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1BE64">
      <w:bookmarkStart w:id="0" w:name="_Toc484617559"/>
      <w:bookmarkStart w:id="1" w:name="_Toc363634013"/>
      <w:bookmarkStart w:id="2" w:name="_Toc364332996"/>
      <w:bookmarkStart w:id="3" w:name="_Toc477249461"/>
      <w:bookmarkStart w:id="324" w:name="_GoBack"/>
      <w:bookmarkEnd w:id="324"/>
    </w:p>
    <w:p w14:paraId="3ED1D0EE">
      <w:pPr>
        <w:rPr>
          <w:b/>
          <w:sz w:val="44"/>
          <w:szCs w:val="44"/>
        </w:rPr>
      </w:pPr>
    </w:p>
    <w:p w14:paraId="124902B2">
      <w:pPr>
        <w:spacing w:line="760" w:lineRule="exact"/>
        <w:jc w:val="center"/>
        <w:rPr>
          <w:b/>
          <w:sz w:val="52"/>
          <w:szCs w:val="52"/>
        </w:rPr>
      </w:pPr>
      <w:r>
        <w:rPr>
          <w:b/>
          <w:bCs/>
          <w:sz w:val="52"/>
          <w:szCs w:val="52"/>
        </w:rPr>
        <w:t>新疆艾斯米尔锰合金有限公司特种合金冶炼及烧结车间技改项目</w:t>
      </w:r>
    </w:p>
    <w:p w14:paraId="15F91E0A">
      <w:pPr>
        <w:spacing w:line="480" w:lineRule="auto"/>
        <w:jc w:val="center"/>
        <w:rPr>
          <w:b/>
          <w:sz w:val="28"/>
          <w:szCs w:val="28"/>
        </w:rPr>
      </w:pPr>
    </w:p>
    <w:p w14:paraId="11022207">
      <w:pPr>
        <w:spacing w:before="312" w:beforeLines="100" w:line="720" w:lineRule="auto"/>
        <w:jc w:val="center"/>
        <w:rPr>
          <w:b/>
          <w:sz w:val="72"/>
          <w:szCs w:val="72"/>
        </w:rPr>
      </w:pPr>
      <w:r>
        <w:rPr>
          <w:b/>
          <w:sz w:val="72"/>
          <w:szCs w:val="72"/>
        </w:rPr>
        <w:t>环 境 影 响 报 告 书</w:t>
      </w:r>
    </w:p>
    <w:p w14:paraId="19E02975">
      <w:pPr>
        <w:spacing w:line="720" w:lineRule="auto"/>
        <w:jc w:val="center"/>
        <w:rPr>
          <w:b/>
          <w:sz w:val="44"/>
          <w:szCs w:val="44"/>
        </w:rPr>
      </w:pPr>
      <w:bookmarkStart w:id="4" w:name="_Toc1043"/>
      <w:r>
        <w:rPr>
          <w:b/>
          <w:sz w:val="44"/>
          <w:szCs w:val="44"/>
        </w:rPr>
        <w:t>（送审稿）</w:t>
      </w:r>
      <w:bookmarkEnd w:id="4"/>
    </w:p>
    <w:p w14:paraId="47A328D9">
      <w:pPr>
        <w:spacing w:line="480" w:lineRule="auto"/>
        <w:jc w:val="center"/>
        <w:rPr>
          <w:b/>
          <w:sz w:val="52"/>
          <w:szCs w:val="52"/>
        </w:rPr>
      </w:pPr>
    </w:p>
    <w:p w14:paraId="5962E146">
      <w:pPr>
        <w:spacing w:line="480" w:lineRule="auto"/>
        <w:jc w:val="center"/>
        <w:rPr>
          <w:b/>
          <w:sz w:val="52"/>
          <w:szCs w:val="52"/>
        </w:rPr>
      </w:pPr>
    </w:p>
    <w:p w14:paraId="41692F78">
      <w:pPr>
        <w:spacing w:line="480" w:lineRule="auto"/>
        <w:jc w:val="center"/>
        <w:rPr>
          <w:b/>
          <w:sz w:val="52"/>
          <w:szCs w:val="52"/>
        </w:rPr>
      </w:pPr>
    </w:p>
    <w:p w14:paraId="7B4EDDCA">
      <w:pPr>
        <w:spacing w:line="480" w:lineRule="auto"/>
        <w:jc w:val="center"/>
        <w:rPr>
          <w:b/>
          <w:sz w:val="52"/>
          <w:szCs w:val="52"/>
        </w:rPr>
      </w:pPr>
    </w:p>
    <w:p w14:paraId="1B9F8E5D">
      <w:pPr>
        <w:spacing w:line="480" w:lineRule="auto"/>
        <w:jc w:val="center"/>
        <w:rPr>
          <w:b/>
          <w:sz w:val="52"/>
          <w:szCs w:val="52"/>
        </w:rPr>
      </w:pPr>
    </w:p>
    <w:p w14:paraId="5325428D">
      <w:pPr>
        <w:spacing w:line="480" w:lineRule="auto"/>
        <w:jc w:val="center"/>
        <w:rPr>
          <w:b/>
          <w:sz w:val="52"/>
          <w:szCs w:val="52"/>
        </w:rPr>
      </w:pPr>
    </w:p>
    <w:p w14:paraId="577700F9">
      <w:pPr>
        <w:spacing w:line="480" w:lineRule="auto"/>
        <w:jc w:val="center"/>
        <w:rPr>
          <w:b/>
          <w:sz w:val="52"/>
          <w:szCs w:val="52"/>
        </w:rPr>
      </w:pPr>
    </w:p>
    <w:p w14:paraId="0B6D43ED">
      <w:pPr>
        <w:spacing w:line="480" w:lineRule="auto"/>
        <w:jc w:val="center"/>
        <w:rPr>
          <w:b/>
          <w:sz w:val="52"/>
          <w:szCs w:val="52"/>
        </w:rPr>
      </w:pPr>
    </w:p>
    <w:p w14:paraId="79D38B0C">
      <w:pPr>
        <w:spacing w:line="480" w:lineRule="auto"/>
        <w:jc w:val="center"/>
        <w:rPr>
          <w:b/>
          <w:sz w:val="52"/>
          <w:szCs w:val="52"/>
        </w:rPr>
      </w:pPr>
    </w:p>
    <w:p w14:paraId="438A5527">
      <w:pPr>
        <w:jc w:val="center"/>
        <w:rPr>
          <w:b/>
          <w:sz w:val="36"/>
          <w:szCs w:val="36"/>
        </w:rPr>
      </w:pPr>
      <w:r>
        <w:rPr>
          <w:b/>
          <w:sz w:val="36"/>
          <w:szCs w:val="36"/>
        </w:rPr>
        <w:t>建设单位：新疆艾斯米尔锰合金有限公司</w:t>
      </w:r>
    </w:p>
    <w:p w14:paraId="2CF19482">
      <w:pPr>
        <w:jc w:val="center"/>
        <w:rPr>
          <w:b/>
          <w:sz w:val="36"/>
          <w:szCs w:val="36"/>
        </w:rPr>
      </w:pPr>
      <w:r>
        <w:rPr>
          <w:b/>
          <w:sz w:val="36"/>
          <w:szCs w:val="36"/>
        </w:rPr>
        <w:t>编制单位：乌鲁木齐天之宇环保科技有限公司</w:t>
      </w:r>
    </w:p>
    <w:p w14:paraId="4ADB02D0">
      <w:pPr>
        <w:spacing w:line="480" w:lineRule="auto"/>
        <w:jc w:val="center"/>
        <w:rPr>
          <w:b/>
          <w:sz w:val="36"/>
          <w:szCs w:val="36"/>
        </w:rPr>
        <w:sectPr>
          <w:headerReference r:id="rId5" w:type="first"/>
          <w:pgSz w:w="11906" w:h="16838"/>
          <w:pgMar w:top="1440" w:right="1800" w:bottom="1440" w:left="1800" w:header="851" w:footer="992" w:gutter="0"/>
          <w:pgNumType w:fmt="upperRoman"/>
          <w:cols w:space="720" w:num="1"/>
          <w:titlePg/>
          <w:docGrid w:type="lines" w:linePitch="312" w:charSpace="0"/>
        </w:sectPr>
      </w:pPr>
      <w:r>
        <w:rPr>
          <w:b/>
          <w:sz w:val="36"/>
          <w:szCs w:val="36"/>
        </w:rPr>
        <w:t>2025年8月</w:t>
      </w:r>
    </w:p>
    <w:p w14:paraId="4F07B942">
      <w:pPr>
        <w:pStyle w:val="3"/>
        <w:ind w:left="-2" w:leftChars="-296" w:hanging="708" w:hangingChars="295"/>
      </w:pPr>
      <w:r>
        <w:drawing>
          <wp:inline distT="0" distB="0" distL="0" distR="0">
            <wp:extent cx="6089015" cy="8572500"/>
            <wp:effectExtent l="0" t="0" r="6985" b="0"/>
            <wp:docPr id="18702237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23754"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89386" cy="8572500"/>
                    </a:xfrm>
                    <a:prstGeom prst="rect">
                      <a:avLst/>
                    </a:prstGeom>
                    <a:noFill/>
                    <a:ln>
                      <a:noFill/>
                    </a:ln>
                  </pic:spPr>
                </pic:pic>
              </a:graphicData>
            </a:graphic>
          </wp:inline>
        </w:drawing>
      </w:r>
    </w:p>
    <w:p w14:paraId="765AEEB1">
      <w:pPr>
        <w:pStyle w:val="3"/>
        <w:ind w:firstLine="480"/>
        <w:sectPr>
          <w:headerReference r:id="rId6" w:type="default"/>
          <w:footerReference r:id="rId7" w:type="default"/>
          <w:pgSz w:w="11906" w:h="16838"/>
          <w:pgMar w:top="1440" w:right="1800" w:bottom="1440" w:left="1800" w:header="851" w:footer="992" w:gutter="0"/>
          <w:pgNumType w:fmt="upperRoman"/>
          <w:cols w:space="720" w:num="1"/>
          <w:docGrid w:type="lines" w:linePitch="312" w:charSpace="0"/>
        </w:sectPr>
      </w:pPr>
    </w:p>
    <w:p w14:paraId="328133F0">
      <w:pPr>
        <w:adjustRightInd w:val="0"/>
        <w:snapToGrid w:val="0"/>
        <w:jc w:val="center"/>
      </w:pPr>
      <w:bookmarkStart w:id="5" w:name="_Toc10203"/>
      <w:r>
        <w:rPr>
          <w:sz w:val="28"/>
          <w:szCs w:val="28"/>
        </w:rPr>
        <w:t>目  录</w:t>
      </w:r>
      <w:r>
        <w:rPr>
          <w:rFonts w:eastAsia="楷体"/>
        </w:rPr>
        <w:fldChar w:fldCharType="begin"/>
      </w:r>
      <w:r>
        <w:rPr>
          <w:rFonts w:eastAsia="楷体"/>
        </w:rPr>
        <w:instrText xml:space="preserve"> TOC \o "1-2" \h \z \u </w:instrText>
      </w:r>
      <w:r>
        <w:rPr>
          <w:rFonts w:eastAsia="楷体"/>
        </w:rPr>
        <w:fldChar w:fldCharType="separate"/>
      </w:r>
    </w:p>
    <w:p w14:paraId="21B25615">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"_Toc207208366" </w:instrText>
      </w:r>
      <w:r>
        <w:fldChar w:fldCharType="separate"/>
      </w:r>
      <w:r>
        <w:rPr>
          <w:rStyle w:val="32"/>
          <w:rFonts w:hint="eastAsia"/>
        </w:rPr>
        <w:t>1</w:t>
      </w:r>
      <w:r>
        <w:rPr>
          <w:rFonts w:hint="eastAsia" w:asciiTheme="minorHAnsi" w:hAnsiTheme="minorHAnsi" w:eastAsiaTheme="minorEastAsia" w:cstheme="minorBidi"/>
          <w:b w:val="0"/>
          <w:bCs w:val="0"/>
          <w:sz w:val="22"/>
          <w14:ligatures w14:val="standardContextual"/>
        </w:rPr>
        <w:tab/>
      </w:r>
      <w:r>
        <w:rPr>
          <w:rStyle w:val="32"/>
          <w:rFonts w:hint="eastAsia"/>
        </w:rPr>
        <w:t>概述</w:t>
      </w:r>
      <w:r>
        <w:rPr>
          <w:rFonts w:hint="eastAsia"/>
        </w:rPr>
        <w:tab/>
      </w:r>
      <w:r>
        <w:rPr>
          <w:rFonts w:hint="eastAsia"/>
        </w:rPr>
        <w:fldChar w:fldCharType="begin"/>
      </w:r>
      <w:r>
        <w:rPr>
          <w:rFonts w:hint="eastAsia"/>
        </w:rPr>
        <w:instrText xml:space="preserve"> </w:instrText>
      </w:r>
      <w:r>
        <w:instrText xml:space="preserve">PAGEREF _Toc207208366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19D1994">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"_Toc207208367" </w:instrText>
      </w:r>
      <w:r>
        <w:fldChar w:fldCharType="separate"/>
      </w:r>
      <w:r>
        <w:rPr>
          <w:rStyle w:val="32"/>
          <w:rFonts w:hint="eastAsia"/>
        </w:rPr>
        <w:t>1.1</w:t>
      </w:r>
      <w:r>
        <w:rPr>
          <w:rFonts w:hint="eastAsia" w:asciiTheme="minorHAnsi" w:hAnsiTheme="minorHAnsi" w:eastAsiaTheme="minorEastAsia" w:cstheme="minorBidi"/>
          <w:sz w:val="22"/>
          <w14:ligatures w14:val="standardContextual"/>
        </w:rPr>
        <w:tab/>
      </w:r>
      <w:r>
        <w:rPr>
          <w:rStyle w:val="32"/>
          <w:rFonts w:hint="eastAsia"/>
        </w:rPr>
        <w:t>项目由来</w:t>
      </w:r>
      <w:r>
        <w:rPr>
          <w:rFonts w:hint="eastAsia"/>
        </w:rPr>
        <w:tab/>
      </w:r>
      <w:r>
        <w:rPr>
          <w:rFonts w:hint="eastAsia"/>
        </w:rPr>
        <w:fldChar w:fldCharType="begin"/>
      </w:r>
      <w:r>
        <w:rPr>
          <w:rFonts w:hint="eastAsia"/>
        </w:rPr>
        <w:instrText xml:space="preserve"> </w:instrText>
      </w:r>
      <w:r>
        <w:instrText xml:space="preserve">PAGEREF _Toc207208367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12EB1437">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"_Toc207208368" </w:instrText>
      </w:r>
      <w:r>
        <w:fldChar w:fldCharType="separate"/>
      </w:r>
      <w:r>
        <w:rPr>
          <w:rStyle w:val="32"/>
          <w:rFonts w:hint="eastAsia"/>
        </w:rPr>
        <w:t>1.2</w:t>
      </w:r>
      <w:r>
        <w:rPr>
          <w:rFonts w:hint="eastAsia" w:asciiTheme="minorHAnsi" w:hAnsiTheme="minorHAnsi" w:eastAsiaTheme="minorEastAsia" w:cstheme="minorBidi"/>
          <w:sz w:val="22"/>
          <w14:ligatures w14:val="standardContextual"/>
        </w:rPr>
        <w:tab/>
      </w:r>
      <w:r>
        <w:rPr>
          <w:rStyle w:val="32"/>
          <w:rFonts w:hint="eastAsia"/>
        </w:rPr>
        <w:t>环境影响评价工作过程</w:t>
      </w:r>
      <w:r>
        <w:rPr>
          <w:rFonts w:hint="eastAsia"/>
        </w:rPr>
        <w:tab/>
      </w:r>
      <w:r>
        <w:rPr>
          <w:rFonts w:hint="eastAsia"/>
        </w:rPr>
        <w:fldChar w:fldCharType="begin"/>
      </w:r>
      <w:r>
        <w:rPr>
          <w:rFonts w:hint="eastAsia"/>
        </w:rPr>
        <w:instrText xml:space="preserve"> </w:instrText>
      </w:r>
      <w:r>
        <w:instrText xml:space="preserve">PAGEREF _Toc207208368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F734677">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"_Toc207208369" </w:instrText>
      </w:r>
      <w:r>
        <w:fldChar w:fldCharType="separate"/>
      </w:r>
      <w:r>
        <w:rPr>
          <w:rStyle w:val="32"/>
          <w:rFonts w:hint="eastAsia"/>
        </w:rPr>
        <w:t>1.3</w:t>
      </w:r>
      <w:r>
        <w:rPr>
          <w:rFonts w:hint="eastAsia" w:asciiTheme="minorHAnsi" w:hAnsiTheme="minorHAnsi" w:eastAsiaTheme="minorEastAsia" w:cstheme="minorBidi"/>
          <w:sz w:val="22"/>
          <w14:ligatures w14:val="standardContextual"/>
        </w:rPr>
        <w:tab/>
      </w:r>
      <w:r>
        <w:rPr>
          <w:rStyle w:val="32"/>
          <w:rFonts w:hint="eastAsia"/>
        </w:rPr>
        <w:t>分析判定相关情况</w:t>
      </w:r>
      <w:r>
        <w:rPr>
          <w:rFonts w:hint="eastAsia"/>
        </w:rPr>
        <w:tab/>
      </w:r>
      <w:r>
        <w:rPr>
          <w:rFonts w:hint="eastAsia"/>
        </w:rPr>
        <w:fldChar w:fldCharType="begin"/>
      </w:r>
      <w:r>
        <w:rPr>
          <w:rFonts w:hint="eastAsia"/>
        </w:rPr>
        <w:instrText xml:space="preserve"> </w:instrText>
      </w:r>
      <w:r>
        <w:instrText xml:space="preserve">PAGEREF _Toc207208369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64631DD1">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"_Toc207208370" </w:instrText>
      </w:r>
      <w:r>
        <w:fldChar w:fldCharType="separate"/>
      </w:r>
      <w:r>
        <w:rPr>
          <w:rStyle w:val="32"/>
          <w:rFonts w:hint="eastAsia"/>
        </w:rPr>
        <w:t>1.4</w:t>
      </w:r>
      <w:r>
        <w:rPr>
          <w:rFonts w:hint="eastAsia" w:asciiTheme="minorHAnsi" w:hAnsiTheme="minorHAnsi" w:eastAsiaTheme="minorEastAsia" w:cstheme="minorBidi"/>
          <w:sz w:val="22"/>
          <w14:ligatures w14:val="standardContextual"/>
        </w:rPr>
        <w:tab/>
      </w:r>
      <w:r>
        <w:rPr>
          <w:rStyle w:val="32"/>
          <w:rFonts w:hint="eastAsia"/>
        </w:rPr>
        <w:t>关注的主要环境问题及环境影响</w:t>
      </w:r>
      <w:r>
        <w:rPr>
          <w:rFonts w:hint="eastAsia"/>
        </w:rPr>
        <w:tab/>
      </w:r>
      <w:r>
        <w:rPr>
          <w:rFonts w:hint="eastAsia"/>
        </w:rPr>
        <w:fldChar w:fldCharType="begin"/>
      </w:r>
      <w:r>
        <w:rPr>
          <w:rFonts w:hint="eastAsia"/>
        </w:rPr>
        <w:instrText xml:space="preserve"> </w:instrText>
      </w:r>
      <w:r>
        <w:instrText xml:space="preserve">PAGEREF _Toc207208370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497BCBEB">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"_Toc207208371" </w:instrText>
      </w:r>
      <w:r>
        <w:fldChar w:fldCharType="separate"/>
      </w:r>
      <w:r>
        <w:rPr>
          <w:rStyle w:val="32"/>
          <w:rFonts w:hint="eastAsia"/>
        </w:rPr>
        <w:t>1.5</w:t>
      </w:r>
      <w:r>
        <w:rPr>
          <w:rFonts w:hint="eastAsia" w:asciiTheme="minorHAnsi" w:hAnsiTheme="minorHAnsi" w:eastAsiaTheme="minorEastAsia" w:cstheme="minorBidi"/>
          <w:sz w:val="22"/>
          <w14:ligatures w14:val="standardContextual"/>
        </w:rPr>
        <w:tab/>
      </w:r>
      <w:r>
        <w:rPr>
          <w:rStyle w:val="32"/>
          <w:rFonts w:hint="eastAsia"/>
        </w:rPr>
        <w:t>环境影响评价主要结论</w:t>
      </w:r>
      <w:r>
        <w:rPr>
          <w:rFonts w:hint="eastAsia"/>
        </w:rPr>
        <w:tab/>
      </w:r>
      <w:r>
        <w:rPr>
          <w:rFonts w:hint="eastAsia"/>
        </w:rPr>
        <w:fldChar w:fldCharType="begin"/>
      </w:r>
      <w:r>
        <w:rPr>
          <w:rFonts w:hint="eastAsia"/>
        </w:rPr>
        <w:instrText xml:space="preserve"> </w:instrText>
      </w:r>
      <w:r>
        <w:instrText xml:space="preserve">PAGEREF _Toc207208371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2D4ACCEA">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"_Toc207208372" </w:instrText>
      </w:r>
      <w:r>
        <w:fldChar w:fldCharType="separate"/>
      </w:r>
      <w:r>
        <w:rPr>
          <w:rStyle w:val="32"/>
          <w:rFonts w:hint="eastAsia"/>
        </w:rPr>
        <w:t>2</w:t>
      </w:r>
      <w:r>
        <w:rPr>
          <w:rFonts w:hint="eastAsia" w:asciiTheme="minorHAnsi" w:hAnsiTheme="minorHAnsi" w:eastAsiaTheme="minorEastAsia" w:cstheme="minorBidi"/>
          <w:b w:val="0"/>
          <w:bCs w:val="0"/>
          <w:sz w:val="22"/>
          <w14:ligatures w14:val="standardContextual"/>
        </w:rPr>
        <w:tab/>
      </w:r>
      <w:r>
        <w:rPr>
          <w:rStyle w:val="32"/>
          <w:rFonts w:hint="eastAsia"/>
        </w:rPr>
        <w:t>总则</w:t>
      </w:r>
      <w:r>
        <w:rPr>
          <w:rFonts w:hint="eastAsia"/>
        </w:rPr>
        <w:tab/>
      </w:r>
      <w:r>
        <w:rPr>
          <w:rFonts w:hint="eastAsia"/>
        </w:rPr>
        <w:fldChar w:fldCharType="begin"/>
      </w:r>
      <w:r>
        <w:rPr>
          <w:rFonts w:hint="eastAsia"/>
        </w:rPr>
        <w:instrText xml:space="preserve"> </w:instrText>
      </w:r>
      <w:r>
        <w:instrText xml:space="preserve">PAGEREF _Toc207208372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29A3FEFB">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"_Toc207208373" </w:instrText>
      </w:r>
      <w:r>
        <w:fldChar w:fldCharType="separate"/>
      </w:r>
      <w:r>
        <w:rPr>
          <w:rStyle w:val="32"/>
          <w:rFonts w:hint="eastAsia"/>
        </w:rPr>
        <w:t>2.1</w:t>
      </w:r>
      <w:r>
        <w:rPr>
          <w:rFonts w:hint="eastAsia" w:asciiTheme="minorHAnsi" w:hAnsiTheme="minorHAnsi" w:eastAsiaTheme="minorEastAsia" w:cstheme="minorBidi"/>
          <w:sz w:val="22"/>
          <w14:ligatures w14:val="standardContextual"/>
        </w:rPr>
        <w:tab/>
      </w:r>
      <w:r>
        <w:rPr>
          <w:rStyle w:val="32"/>
          <w:rFonts w:hint="eastAsia"/>
        </w:rPr>
        <w:t>编制依据</w:t>
      </w:r>
      <w:r>
        <w:rPr>
          <w:rFonts w:hint="eastAsia"/>
        </w:rPr>
        <w:tab/>
      </w:r>
      <w:r>
        <w:rPr>
          <w:rFonts w:hint="eastAsia"/>
        </w:rPr>
        <w:fldChar w:fldCharType="begin"/>
      </w:r>
      <w:r>
        <w:rPr>
          <w:rFonts w:hint="eastAsia"/>
        </w:rPr>
        <w:instrText xml:space="preserve"> </w:instrText>
      </w:r>
      <w:r>
        <w:instrText xml:space="preserve">PAGEREF _Toc207208373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1379B216">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"_Toc207208374" </w:instrText>
      </w:r>
      <w:r>
        <w:fldChar w:fldCharType="separate"/>
      </w:r>
      <w:r>
        <w:rPr>
          <w:rStyle w:val="32"/>
          <w:rFonts w:hint="eastAsia"/>
        </w:rPr>
        <w:t>2.2</w:t>
      </w:r>
      <w:r>
        <w:rPr>
          <w:rFonts w:hint="eastAsia" w:asciiTheme="minorHAnsi" w:hAnsiTheme="minorHAnsi" w:eastAsiaTheme="minorEastAsia" w:cstheme="minorBidi"/>
          <w:sz w:val="22"/>
          <w14:ligatures w14:val="standardContextual"/>
        </w:rPr>
        <w:tab/>
      </w:r>
      <w:r>
        <w:rPr>
          <w:rStyle w:val="32"/>
          <w:rFonts w:hint="eastAsia"/>
        </w:rPr>
        <w:t>评价目的和评价原则</w:t>
      </w:r>
      <w:r>
        <w:rPr>
          <w:rFonts w:hint="eastAsia"/>
        </w:rPr>
        <w:tab/>
      </w:r>
      <w:r>
        <w:rPr>
          <w:rFonts w:hint="eastAsia"/>
        </w:rPr>
        <w:fldChar w:fldCharType="begin"/>
      </w:r>
      <w:r>
        <w:rPr>
          <w:rFonts w:hint="eastAsia"/>
        </w:rPr>
        <w:instrText xml:space="preserve"> </w:instrText>
      </w:r>
      <w:r>
        <w:instrText xml:space="preserve">PAGEREF _Toc207208374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3EB1B3BC">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"_Toc207208375" </w:instrText>
      </w:r>
      <w:r>
        <w:fldChar w:fldCharType="separate"/>
      </w:r>
      <w:r>
        <w:rPr>
          <w:rStyle w:val="32"/>
          <w:rFonts w:hint="eastAsia"/>
        </w:rPr>
        <w:t>2.3</w:t>
      </w:r>
      <w:r>
        <w:rPr>
          <w:rFonts w:hint="eastAsia" w:asciiTheme="minorHAnsi" w:hAnsiTheme="minorHAnsi" w:eastAsiaTheme="minorEastAsia" w:cstheme="minorBidi"/>
          <w:sz w:val="22"/>
          <w14:ligatures w14:val="standardContextual"/>
        </w:rPr>
        <w:tab/>
      </w:r>
      <w:r>
        <w:rPr>
          <w:rStyle w:val="32"/>
          <w:rFonts w:hint="eastAsia"/>
        </w:rPr>
        <w:t>评价因子与评价标准</w:t>
      </w:r>
      <w:r>
        <w:rPr>
          <w:rFonts w:hint="eastAsia"/>
        </w:rPr>
        <w:tab/>
      </w:r>
      <w:r>
        <w:rPr>
          <w:rFonts w:hint="eastAsia"/>
        </w:rPr>
        <w:fldChar w:fldCharType="begin"/>
      </w:r>
      <w:r>
        <w:rPr>
          <w:rFonts w:hint="eastAsia"/>
        </w:rPr>
        <w:instrText xml:space="preserve"> </w:instrText>
      </w:r>
      <w:r>
        <w:instrText xml:space="preserve">PAGEREF _Toc207208375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4249008C">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"_Toc207208376" </w:instrText>
      </w:r>
      <w:r>
        <w:fldChar w:fldCharType="separate"/>
      </w:r>
      <w:r>
        <w:rPr>
          <w:rStyle w:val="32"/>
          <w:rFonts w:hint="eastAsia"/>
        </w:rPr>
        <w:t>2.4</w:t>
      </w:r>
      <w:r>
        <w:rPr>
          <w:rFonts w:hint="eastAsia" w:asciiTheme="minorHAnsi" w:hAnsiTheme="minorHAnsi" w:eastAsiaTheme="minorEastAsia" w:cstheme="minorBidi"/>
          <w:sz w:val="22"/>
          <w14:ligatures w14:val="standardContextual"/>
        </w:rPr>
        <w:tab/>
      </w:r>
      <w:r>
        <w:rPr>
          <w:rStyle w:val="32"/>
          <w:rFonts w:hint="eastAsia"/>
        </w:rPr>
        <w:t>评价工作等级和评价范围</w:t>
      </w:r>
      <w:r>
        <w:rPr>
          <w:rFonts w:hint="eastAsia"/>
        </w:rPr>
        <w:tab/>
      </w:r>
      <w:r>
        <w:rPr>
          <w:rFonts w:hint="eastAsia"/>
        </w:rPr>
        <w:fldChar w:fldCharType="begin"/>
      </w:r>
      <w:r>
        <w:rPr>
          <w:rFonts w:hint="eastAsia"/>
        </w:rPr>
        <w:instrText xml:space="preserve"> </w:instrText>
      </w:r>
      <w:r>
        <w:instrText xml:space="preserve">PAGEREF _Toc207208376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05A6DF1E">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"_Toc207208377" </w:instrText>
      </w:r>
      <w:r>
        <w:fldChar w:fldCharType="separate"/>
      </w:r>
      <w:r>
        <w:rPr>
          <w:rStyle w:val="32"/>
          <w:rFonts w:hint="eastAsia"/>
        </w:rPr>
        <w:t>2.5</w:t>
      </w:r>
      <w:r>
        <w:rPr>
          <w:rFonts w:hint="eastAsia" w:asciiTheme="minorHAnsi" w:hAnsiTheme="minorHAnsi" w:eastAsiaTheme="minorEastAsia" w:cstheme="minorBidi"/>
          <w:sz w:val="22"/>
          <w14:ligatures w14:val="standardContextual"/>
        </w:rPr>
        <w:tab/>
      </w:r>
      <w:r>
        <w:rPr>
          <w:rStyle w:val="32"/>
          <w:rFonts w:hint="eastAsia"/>
        </w:rPr>
        <w:t>相关规划与环境功能区划</w:t>
      </w:r>
      <w:r>
        <w:rPr>
          <w:rFonts w:hint="eastAsia"/>
        </w:rPr>
        <w:tab/>
      </w:r>
      <w:r>
        <w:rPr>
          <w:rFonts w:hint="eastAsia"/>
        </w:rPr>
        <w:fldChar w:fldCharType="begin"/>
      </w:r>
      <w:r>
        <w:rPr>
          <w:rFonts w:hint="eastAsia"/>
        </w:rPr>
        <w:instrText xml:space="preserve"> </w:instrText>
      </w:r>
      <w:r>
        <w:instrText xml:space="preserve">PAGEREF _Toc207208377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6DCA36B8">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"_Toc207208378" </w:instrText>
      </w:r>
      <w:r>
        <w:fldChar w:fldCharType="separate"/>
      </w:r>
      <w:r>
        <w:rPr>
          <w:rStyle w:val="32"/>
          <w:rFonts w:hint="eastAsia"/>
        </w:rPr>
        <w:t>2.6</w:t>
      </w:r>
      <w:r>
        <w:rPr>
          <w:rFonts w:hint="eastAsia" w:asciiTheme="minorHAnsi" w:hAnsiTheme="minorHAnsi" w:eastAsiaTheme="minorEastAsia" w:cstheme="minorBidi"/>
          <w:sz w:val="22"/>
          <w14:ligatures w14:val="standardContextual"/>
        </w:rPr>
        <w:tab/>
      </w:r>
      <w:r>
        <w:rPr>
          <w:rStyle w:val="32"/>
          <w:rFonts w:hint="eastAsia"/>
        </w:rPr>
        <w:t>污染控制目标及环境保护目标</w:t>
      </w:r>
      <w:r>
        <w:rPr>
          <w:rFonts w:hint="eastAsia"/>
        </w:rPr>
        <w:tab/>
      </w:r>
      <w:r>
        <w:rPr>
          <w:rFonts w:hint="eastAsia"/>
        </w:rPr>
        <w:fldChar w:fldCharType="begin"/>
      </w:r>
      <w:r>
        <w:rPr>
          <w:rFonts w:hint="eastAsia"/>
        </w:rPr>
        <w:instrText xml:space="preserve"> </w:instrText>
      </w:r>
      <w:r>
        <w:instrText xml:space="preserve">PAGEREF _Toc207208378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01A23339">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"_Toc207208379" </w:instrText>
      </w:r>
      <w:r>
        <w:fldChar w:fldCharType="separate"/>
      </w:r>
      <w:r>
        <w:rPr>
          <w:rStyle w:val="32"/>
          <w:rFonts w:hint="eastAsia"/>
        </w:rPr>
        <w:t>3</w:t>
      </w:r>
      <w:r>
        <w:rPr>
          <w:rFonts w:hint="eastAsia" w:asciiTheme="minorHAnsi" w:hAnsiTheme="minorHAnsi" w:eastAsiaTheme="minorEastAsia" w:cstheme="minorBidi"/>
          <w:b w:val="0"/>
          <w:bCs w:val="0"/>
          <w:sz w:val="22"/>
          <w14:ligatures w14:val="standardContextual"/>
        </w:rPr>
        <w:tab/>
      </w:r>
      <w:r>
        <w:rPr>
          <w:rStyle w:val="32"/>
          <w:rFonts w:hint="eastAsia"/>
        </w:rPr>
        <w:t>现有工程回顾性分析</w:t>
      </w:r>
      <w:r>
        <w:rPr>
          <w:rFonts w:hint="eastAsia"/>
        </w:rPr>
        <w:tab/>
      </w:r>
      <w:r>
        <w:rPr>
          <w:rFonts w:hint="eastAsia"/>
        </w:rPr>
        <w:fldChar w:fldCharType="begin"/>
      </w:r>
      <w:r>
        <w:rPr>
          <w:rFonts w:hint="eastAsia"/>
        </w:rPr>
        <w:instrText xml:space="preserve"> </w:instrText>
      </w:r>
      <w:r>
        <w:instrText xml:space="preserve">PAGEREF _Toc207208379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4693C748">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"_Toc207208380" </w:instrText>
      </w:r>
      <w:r>
        <w:fldChar w:fldCharType="separate"/>
      </w:r>
      <w:r>
        <w:rPr>
          <w:rStyle w:val="32"/>
          <w:rFonts w:hint="eastAsia"/>
        </w:rPr>
        <w:t>3.1</w:t>
      </w:r>
      <w:r>
        <w:rPr>
          <w:rFonts w:hint="eastAsia" w:asciiTheme="minorHAnsi" w:hAnsiTheme="minorHAnsi" w:eastAsiaTheme="minorEastAsia" w:cstheme="minorBidi"/>
          <w:sz w:val="22"/>
          <w14:ligatures w14:val="standardContextual"/>
        </w:rPr>
        <w:tab/>
      </w:r>
      <w:r>
        <w:rPr>
          <w:rStyle w:val="32"/>
          <w:rFonts w:hint="eastAsia"/>
        </w:rPr>
        <w:t>现有工程概况</w:t>
      </w:r>
      <w:r>
        <w:rPr>
          <w:rFonts w:hint="eastAsia"/>
        </w:rPr>
        <w:tab/>
      </w:r>
      <w:r>
        <w:rPr>
          <w:rFonts w:hint="eastAsia"/>
        </w:rPr>
        <w:fldChar w:fldCharType="begin"/>
      </w:r>
      <w:r>
        <w:rPr>
          <w:rFonts w:hint="eastAsia"/>
        </w:rPr>
        <w:instrText xml:space="preserve"> </w:instrText>
      </w:r>
      <w:r>
        <w:instrText xml:space="preserve">PAGEREF _Toc207208380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2E50EA21">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"_Toc207208381" </w:instrText>
      </w:r>
      <w:r>
        <w:fldChar w:fldCharType="separate"/>
      </w:r>
      <w:r>
        <w:rPr>
          <w:rStyle w:val="32"/>
          <w:rFonts w:hint="eastAsia"/>
        </w:rPr>
        <w:t>3.2</w:t>
      </w:r>
      <w:r>
        <w:rPr>
          <w:rFonts w:hint="eastAsia" w:asciiTheme="minorHAnsi" w:hAnsiTheme="minorHAnsi" w:eastAsiaTheme="minorEastAsia" w:cstheme="minorBidi"/>
          <w:sz w:val="22"/>
          <w14:ligatures w14:val="standardContextual"/>
        </w:rPr>
        <w:tab/>
      </w:r>
      <w:r>
        <w:rPr>
          <w:rStyle w:val="32"/>
          <w:rFonts w:hint="eastAsia"/>
        </w:rPr>
        <w:t>现有工程生产工艺流程及简述</w:t>
      </w:r>
      <w:r>
        <w:rPr>
          <w:rFonts w:hint="eastAsia"/>
        </w:rPr>
        <w:tab/>
      </w:r>
      <w:r>
        <w:rPr>
          <w:rFonts w:hint="eastAsia"/>
        </w:rPr>
        <w:fldChar w:fldCharType="begin"/>
      </w:r>
      <w:r>
        <w:rPr>
          <w:rFonts w:hint="eastAsia"/>
        </w:rPr>
        <w:instrText xml:space="preserve"> </w:instrText>
      </w:r>
      <w:r>
        <w:instrText xml:space="preserve">PAGEREF _Toc207208381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7132B22D">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"_Toc207208382" </w:instrText>
      </w:r>
      <w:r>
        <w:fldChar w:fldCharType="separate"/>
      </w:r>
      <w:r>
        <w:rPr>
          <w:rStyle w:val="32"/>
          <w:rFonts w:hint="eastAsia"/>
        </w:rPr>
        <w:t>3.3</w:t>
      </w:r>
      <w:r>
        <w:rPr>
          <w:rFonts w:hint="eastAsia" w:asciiTheme="minorHAnsi" w:hAnsiTheme="minorHAnsi" w:eastAsiaTheme="minorEastAsia" w:cstheme="minorBidi"/>
          <w:sz w:val="22"/>
          <w14:ligatures w14:val="standardContextual"/>
        </w:rPr>
        <w:tab/>
      </w:r>
      <w:r>
        <w:rPr>
          <w:rStyle w:val="32"/>
          <w:rFonts w:hint="eastAsia"/>
        </w:rPr>
        <w:t>现有工程主要污染物排放情况及治理措施</w:t>
      </w:r>
      <w:r>
        <w:rPr>
          <w:rFonts w:hint="eastAsia"/>
        </w:rPr>
        <w:tab/>
      </w:r>
      <w:r>
        <w:rPr>
          <w:rFonts w:hint="eastAsia"/>
        </w:rPr>
        <w:fldChar w:fldCharType="begin"/>
      </w:r>
      <w:r>
        <w:rPr>
          <w:rFonts w:hint="eastAsia"/>
        </w:rPr>
        <w:instrText xml:space="preserve"> </w:instrText>
      </w:r>
      <w:r>
        <w:instrText xml:space="preserve">PAGEREF _Toc207208382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14:paraId="40EA5F69">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"_Toc207208383" </w:instrText>
      </w:r>
      <w:r>
        <w:fldChar w:fldCharType="separate"/>
      </w:r>
      <w:r>
        <w:rPr>
          <w:rStyle w:val="32"/>
          <w:rFonts w:hint="eastAsia"/>
        </w:rPr>
        <w:t>3.4</w:t>
      </w:r>
      <w:r>
        <w:rPr>
          <w:rFonts w:hint="eastAsia" w:asciiTheme="minorHAnsi" w:hAnsiTheme="minorHAnsi" w:eastAsiaTheme="minorEastAsia" w:cstheme="minorBidi"/>
          <w:sz w:val="22"/>
          <w14:ligatures w14:val="standardContextual"/>
        </w:rPr>
        <w:tab/>
      </w:r>
      <w:r>
        <w:rPr>
          <w:rStyle w:val="32"/>
          <w:rFonts w:hint="eastAsia"/>
        </w:rPr>
        <w:t>现有工程污染物排放情况</w:t>
      </w:r>
      <w:r>
        <w:rPr>
          <w:rFonts w:hint="eastAsia"/>
        </w:rPr>
        <w:tab/>
      </w:r>
      <w:r>
        <w:rPr>
          <w:rFonts w:hint="eastAsia"/>
        </w:rPr>
        <w:fldChar w:fldCharType="begin"/>
      </w:r>
      <w:r>
        <w:rPr>
          <w:rFonts w:hint="eastAsia"/>
        </w:rPr>
        <w:instrText xml:space="preserve"> </w:instrText>
      </w:r>
      <w:r>
        <w:instrText xml:space="preserve">PAGEREF _Toc207208383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7A5B0ABE">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"_Toc207208384" </w:instrText>
      </w:r>
      <w:r>
        <w:fldChar w:fldCharType="separate"/>
      </w:r>
      <w:r>
        <w:rPr>
          <w:rStyle w:val="32"/>
          <w:rFonts w:hint="eastAsia"/>
        </w:rPr>
        <w:t>3.5</w:t>
      </w:r>
      <w:r>
        <w:rPr>
          <w:rFonts w:hint="eastAsia" w:asciiTheme="minorHAnsi" w:hAnsiTheme="minorHAnsi" w:eastAsiaTheme="minorEastAsia" w:cstheme="minorBidi"/>
          <w:sz w:val="22"/>
          <w14:ligatures w14:val="standardContextual"/>
        </w:rPr>
        <w:tab/>
      </w:r>
      <w:r>
        <w:rPr>
          <w:rStyle w:val="32"/>
          <w:rFonts w:hint="eastAsia"/>
        </w:rPr>
        <w:t>现有工程主要环境问题</w:t>
      </w:r>
      <w:r>
        <w:rPr>
          <w:rFonts w:hint="eastAsia"/>
        </w:rPr>
        <w:tab/>
      </w:r>
      <w:r>
        <w:rPr>
          <w:rFonts w:hint="eastAsia"/>
        </w:rPr>
        <w:fldChar w:fldCharType="begin"/>
      </w:r>
      <w:r>
        <w:rPr>
          <w:rFonts w:hint="eastAsia"/>
        </w:rPr>
        <w:instrText xml:space="preserve"> </w:instrText>
      </w:r>
      <w:r>
        <w:instrText xml:space="preserve">PAGEREF _Toc207208384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14:paraId="11B825CB">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"_Toc207208385" </w:instrText>
      </w:r>
      <w:r>
        <w:fldChar w:fldCharType="separate"/>
      </w:r>
      <w:r>
        <w:rPr>
          <w:rStyle w:val="32"/>
          <w:rFonts w:hint="eastAsia"/>
        </w:rPr>
        <w:t>4</w:t>
      </w:r>
      <w:r>
        <w:rPr>
          <w:rFonts w:hint="eastAsia" w:asciiTheme="minorHAnsi" w:hAnsiTheme="minorHAnsi" w:eastAsiaTheme="minorEastAsia" w:cstheme="minorBidi"/>
          <w:b w:val="0"/>
          <w:bCs w:val="0"/>
          <w:sz w:val="22"/>
          <w14:ligatures w14:val="standardContextual"/>
        </w:rPr>
        <w:tab/>
      </w:r>
      <w:r>
        <w:rPr>
          <w:rStyle w:val="32"/>
          <w:rFonts w:hint="eastAsia"/>
        </w:rPr>
        <w:t>建设项目工程分析</w:t>
      </w:r>
      <w:r>
        <w:rPr>
          <w:rFonts w:hint="eastAsia"/>
        </w:rPr>
        <w:tab/>
      </w:r>
      <w:r>
        <w:rPr>
          <w:rFonts w:hint="eastAsia"/>
        </w:rPr>
        <w:fldChar w:fldCharType="begin"/>
      </w:r>
      <w:r>
        <w:rPr>
          <w:rFonts w:hint="eastAsia"/>
        </w:rPr>
        <w:instrText xml:space="preserve"> </w:instrText>
      </w:r>
      <w:r>
        <w:instrText xml:space="preserve">PAGEREF _Toc207208385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14:paraId="608E9F81">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"_Toc207208386" </w:instrText>
      </w:r>
      <w:r>
        <w:fldChar w:fldCharType="separate"/>
      </w:r>
      <w:r>
        <w:rPr>
          <w:rStyle w:val="32"/>
          <w:rFonts w:hint="eastAsia"/>
        </w:rPr>
        <w:t>4.1</w:t>
      </w:r>
      <w:r>
        <w:rPr>
          <w:rFonts w:hint="eastAsia" w:asciiTheme="minorHAnsi" w:hAnsiTheme="minorHAnsi" w:eastAsiaTheme="minorEastAsia" w:cstheme="minorBidi"/>
          <w:sz w:val="22"/>
          <w14:ligatures w14:val="standardContextual"/>
        </w:rPr>
        <w:tab/>
      </w:r>
      <w:r>
        <w:rPr>
          <w:rStyle w:val="32"/>
          <w:rFonts w:hint="eastAsia"/>
        </w:rPr>
        <w:t>建设项目概况</w:t>
      </w:r>
      <w:r>
        <w:rPr>
          <w:rFonts w:hint="eastAsia"/>
        </w:rPr>
        <w:tab/>
      </w:r>
      <w:r>
        <w:rPr>
          <w:rFonts w:hint="eastAsia"/>
        </w:rPr>
        <w:fldChar w:fldCharType="begin"/>
      </w:r>
      <w:r>
        <w:rPr>
          <w:rFonts w:hint="eastAsia"/>
        </w:rPr>
        <w:instrText xml:space="preserve"> </w:instrText>
      </w:r>
      <w:r>
        <w:instrText xml:space="preserve">PAGEREF _Toc207208386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14:paraId="5A8A11FF">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"_Toc207208387" </w:instrText>
      </w:r>
      <w:r>
        <w:fldChar w:fldCharType="separate"/>
      </w:r>
      <w:r>
        <w:rPr>
          <w:rStyle w:val="32"/>
          <w:rFonts w:hint="eastAsia"/>
        </w:rPr>
        <w:t>4.2</w:t>
      </w:r>
      <w:r>
        <w:rPr>
          <w:rFonts w:hint="eastAsia" w:asciiTheme="minorHAnsi" w:hAnsiTheme="minorHAnsi" w:eastAsiaTheme="minorEastAsia" w:cstheme="minorBidi"/>
          <w:sz w:val="22"/>
          <w14:ligatures w14:val="standardContextual"/>
        </w:rPr>
        <w:tab/>
      </w:r>
      <w:r>
        <w:rPr>
          <w:rStyle w:val="32"/>
          <w:rFonts w:hint="eastAsia"/>
        </w:rPr>
        <w:t>环境影响因素分析</w:t>
      </w:r>
      <w:r>
        <w:rPr>
          <w:rFonts w:hint="eastAsia"/>
        </w:rPr>
        <w:tab/>
      </w:r>
      <w:r>
        <w:rPr>
          <w:rFonts w:hint="eastAsia"/>
        </w:rPr>
        <w:fldChar w:fldCharType="begin"/>
      </w:r>
      <w:r>
        <w:rPr>
          <w:rFonts w:hint="eastAsia"/>
        </w:rPr>
        <w:instrText xml:space="preserve"> </w:instrText>
      </w:r>
      <w:r>
        <w:instrText xml:space="preserve">PAGEREF _Toc207208387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14:paraId="7DE14052">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"_Toc207208388" </w:instrText>
      </w:r>
      <w:r>
        <w:fldChar w:fldCharType="separate"/>
      </w:r>
      <w:r>
        <w:rPr>
          <w:rStyle w:val="32"/>
          <w:rFonts w:hint="eastAsia"/>
        </w:rPr>
        <w:t>4.3</w:t>
      </w:r>
      <w:r>
        <w:rPr>
          <w:rFonts w:hint="eastAsia" w:asciiTheme="minorHAnsi" w:hAnsiTheme="minorHAnsi" w:eastAsiaTheme="minorEastAsia" w:cstheme="minorBidi"/>
          <w:sz w:val="22"/>
          <w14:ligatures w14:val="standardContextual"/>
        </w:rPr>
        <w:tab/>
      </w:r>
      <w:r>
        <w:rPr>
          <w:rStyle w:val="32"/>
          <w:rFonts w:hint="eastAsia"/>
        </w:rPr>
        <w:t>污染源源强核算</w:t>
      </w:r>
      <w:r>
        <w:rPr>
          <w:rFonts w:hint="eastAsia"/>
        </w:rPr>
        <w:tab/>
      </w:r>
      <w:r>
        <w:rPr>
          <w:rFonts w:hint="eastAsia"/>
        </w:rPr>
        <w:fldChar w:fldCharType="begin"/>
      </w:r>
      <w:r>
        <w:rPr>
          <w:rFonts w:hint="eastAsia"/>
        </w:rPr>
        <w:instrText xml:space="preserve"> </w:instrText>
      </w:r>
      <w:r>
        <w:instrText xml:space="preserve">PAGEREF _Toc207208388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456D7E14">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"_Toc207208389" </w:instrText>
      </w:r>
      <w:r>
        <w:fldChar w:fldCharType="separate"/>
      </w:r>
      <w:r>
        <w:rPr>
          <w:rStyle w:val="32"/>
          <w:rFonts w:hint="eastAsia"/>
        </w:rPr>
        <w:t>4.4</w:t>
      </w:r>
      <w:r>
        <w:rPr>
          <w:rFonts w:hint="eastAsia" w:asciiTheme="minorHAnsi" w:hAnsiTheme="minorHAnsi" w:eastAsiaTheme="minorEastAsia" w:cstheme="minorBidi"/>
          <w:sz w:val="22"/>
          <w14:ligatures w14:val="standardContextual"/>
        </w:rPr>
        <w:tab/>
      </w:r>
      <w:r>
        <w:rPr>
          <w:rStyle w:val="32"/>
          <w:rFonts w:hint="eastAsia"/>
        </w:rPr>
        <w:t>污染物排放与总量控制</w:t>
      </w:r>
      <w:r>
        <w:rPr>
          <w:rFonts w:hint="eastAsia"/>
        </w:rPr>
        <w:tab/>
      </w:r>
      <w:r>
        <w:rPr>
          <w:rFonts w:hint="eastAsia"/>
        </w:rPr>
        <w:fldChar w:fldCharType="begin"/>
      </w:r>
      <w:r>
        <w:rPr>
          <w:rFonts w:hint="eastAsia"/>
        </w:rPr>
        <w:instrText xml:space="preserve"> </w:instrText>
      </w:r>
      <w:r>
        <w:instrText xml:space="preserve">PAGEREF _Toc207208389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14:paraId="148A9B83">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"_Toc207208390" </w:instrText>
      </w:r>
      <w:r>
        <w:fldChar w:fldCharType="separate"/>
      </w:r>
      <w:r>
        <w:rPr>
          <w:rStyle w:val="32"/>
          <w:rFonts w:hint="eastAsia"/>
        </w:rPr>
        <w:t>4.5</w:t>
      </w:r>
      <w:r>
        <w:rPr>
          <w:rFonts w:hint="eastAsia" w:asciiTheme="minorHAnsi" w:hAnsiTheme="minorHAnsi" w:eastAsiaTheme="minorEastAsia" w:cstheme="minorBidi"/>
          <w:sz w:val="22"/>
          <w14:ligatures w14:val="standardContextual"/>
        </w:rPr>
        <w:tab/>
      </w:r>
      <w:r>
        <w:rPr>
          <w:rStyle w:val="32"/>
          <w:rFonts w:hint="eastAsia"/>
        </w:rPr>
        <w:t>总量控制</w:t>
      </w:r>
      <w:r>
        <w:rPr>
          <w:rFonts w:hint="eastAsia"/>
        </w:rPr>
        <w:tab/>
      </w:r>
      <w:r>
        <w:rPr>
          <w:rFonts w:hint="eastAsia"/>
        </w:rPr>
        <w:fldChar w:fldCharType="begin"/>
      </w:r>
      <w:r>
        <w:rPr>
          <w:rFonts w:hint="eastAsia"/>
        </w:rPr>
        <w:instrText xml:space="preserve"> </w:instrText>
      </w:r>
      <w:r>
        <w:instrText xml:space="preserve">PAGEREF _Toc207208390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14:paraId="247CA6B1">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"_Toc207208391" </w:instrText>
      </w:r>
      <w:r>
        <w:fldChar w:fldCharType="separate"/>
      </w:r>
      <w:r>
        <w:rPr>
          <w:rStyle w:val="32"/>
          <w:rFonts w:hint="eastAsia"/>
        </w:rPr>
        <w:t>4.6</w:t>
      </w:r>
      <w:r>
        <w:rPr>
          <w:rFonts w:hint="eastAsia" w:asciiTheme="minorHAnsi" w:hAnsiTheme="minorHAnsi" w:eastAsiaTheme="minorEastAsia" w:cstheme="minorBidi"/>
          <w:sz w:val="22"/>
          <w14:ligatures w14:val="standardContextual"/>
        </w:rPr>
        <w:tab/>
      </w:r>
      <w:r>
        <w:rPr>
          <w:rStyle w:val="32"/>
          <w:rFonts w:hint="eastAsia"/>
        </w:rPr>
        <w:t>清洁生产</w:t>
      </w:r>
      <w:r>
        <w:rPr>
          <w:rFonts w:hint="eastAsia"/>
        </w:rPr>
        <w:tab/>
      </w:r>
      <w:r>
        <w:rPr>
          <w:rFonts w:hint="eastAsia"/>
        </w:rPr>
        <w:fldChar w:fldCharType="begin"/>
      </w:r>
      <w:r>
        <w:rPr>
          <w:rFonts w:hint="eastAsia"/>
        </w:rPr>
        <w:instrText xml:space="preserve"> </w:instrText>
      </w:r>
      <w:r>
        <w:instrText xml:space="preserve">PAGEREF _Toc207208391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5D138D52">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"_Toc207208392" </w:instrText>
      </w:r>
      <w:r>
        <w:fldChar w:fldCharType="separate"/>
      </w:r>
      <w:r>
        <w:rPr>
          <w:rStyle w:val="32"/>
          <w:rFonts w:hint="eastAsia"/>
        </w:rPr>
        <w:t>5</w:t>
      </w:r>
      <w:r>
        <w:rPr>
          <w:rFonts w:hint="eastAsia" w:asciiTheme="minorHAnsi" w:hAnsiTheme="minorHAnsi" w:eastAsiaTheme="minorEastAsia" w:cstheme="minorBidi"/>
          <w:b w:val="0"/>
          <w:bCs w:val="0"/>
          <w:sz w:val="22"/>
          <w14:ligatures w14:val="standardContextual"/>
        </w:rPr>
        <w:tab/>
      </w:r>
      <w:r>
        <w:rPr>
          <w:rStyle w:val="32"/>
          <w:rFonts w:hint="eastAsia"/>
        </w:rPr>
        <w:t>环境现状调查与评价</w:t>
      </w:r>
      <w:r>
        <w:rPr>
          <w:rFonts w:hint="eastAsia"/>
        </w:rPr>
        <w:tab/>
      </w:r>
      <w:r>
        <w:rPr>
          <w:rFonts w:hint="eastAsia"/>
        </w:rPr>
        <w:fldChar w:fldCharType="begin"/>
      </w:r>
      <w:r>
        <w:rPr>
          <w:rFonts w:hint="eastAsia"/>
        </w:rPr>
        <w:instrText xml:space="preserve"> </w:instrText>
      </w:r>
      <w:r>
        <w:instrText xml:space="preserve">PAGEREF _Toc207208392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14:paraId="52216565">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"_Toc207208393" </w:instrText>
      </w:r>
      <w:r>
        <w:fldChar w:fldCharType="separate"/>
      </w:r>
      <w:r>
        <w:rPr>
          <w:rStyle w:val="32"/>
          <w:rFonts w:hint="eastAsia"/>
        </w:rPr>
        <w:t>5.1</w:t>
      </w:r>
      <w:r>
        <w:rPr>
          <w:rFonts w:hint="eastAsia" w:asciiTheme="minorHAnsi" w:hAnsiTheme="minorHAnsi" w:eastAsiaTheme="minorEastAsia" w:cstheme="minorBidi"/>
          <w:sz w:val="22"/>
          <w14:ligatures w14:val="standardContextual"/>
        </w:rPr>
        <w:tab/>
      </w:r>
      <w:r>
        <w:rPr>
          <w:rStyle w:val="32"/>
          <w:rFonts w:hint="eastAsia"/>
        </w:rPr>
        <w:t>自然环境现状调查与评价</w:t>
      </w:r>
      <w:r>
        <w:rPr>
          <w:rFonts w:hint="eastAsia"/>
        </w:rPr>
        <w:tab/>
      </w:r>
      <w:r>
        <w:rPr>
          <w:rFonts w:hint="eastAsia"/>
        </w:rPr>
        <w:fldChar w:fldCharType="begin"/>
      </w:r>
      <w:r>
        <w:rPr>
          <w:rFonts w:hint="eastAsia"/>
        </w:rPr>
        <w:instrText xml:space="preserve"> </w:instrText>
      </w:r>
      <w:r>
        <w:instrText xml:space="preserve">PAGEREF _Toc207208393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14:paraId="663BAF07">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"_Toc207208394" </w:instrText>
      </w:r>
      <w:r>
        <w:fldChar w:fldCharType="separate"/>
      </w:r>
      <w:r>
        <w:rPr>
          <w:rStyle w:val="32"/>
          <w:rFonts w:hint="eastAsia"/>
        </w:rPr>
        <w:t>5.2</w:t>
      </w:r>
      <w:r>
        <w:rPr>
          <w:rFonts w:hint="eastAsia" w:asciiTheme="minorHAnsi" w:hAnsiTheme="minorHAnsi" w:eastAsiaTheme="minorEastAsia" w:cstheme="minorBidi"/>
          <w:sz w:val="22"/>
          <w14:ligatures w14:val="standardContextual"/>
        </w:rPr>
        <w:tab/>
      </w:r>
      <w:r>
        <w:rPr>
          <w:rStyle w:val="32"/>
          <w:rFonts w:hint="eastAsia"/>
        </w:rPr>
        <w:t>环境质量现状调查与评价</w:t>
      </w:r>
      <w:r>
        <w:rPr>
          <w:rFonts w:hint="eastAsia"/>
        </w:rPr>
        <w:tab/>
      </w:r>
      <w:r>
        <w:rPr>
          <w:rFonts w:hint="eastAsia"/>
        </w:rPr>
        <w:fldChar w:fldCharType="begin"/>
      </w:r>
      <w:r>
        <w:rPr>
          <w:rFonts w:hint="eastAsia"/>
        </w:rPr>
        <w:instrText xml:space="preserve"> </w:instrText>
      </w:r>
      <w:r>
        <w:instrText xml:space="preserve">PAGEREF _Toc207208394 \h</w:instrText>
      </w:r>
      <w:r>
        <w:rPr>
          <w:rFonts w:hint="eastAsia"/>
        </w:rPr>
        <w:instrText xml:space="preserve"> </w:instrText>
      </w:r>
      <w:r>
        <w:rPr>
          <w:rFonts w:hint="eastAsia"/>
        </w:rPr>
        <w:fldChar w:fldCharType="separate"/>
      </w:r>
      <w:r>
        <w:t>95</w:t>
      </w:r>
      <w:r>
        <w:rPr>
          <w:rFonts w:hint="eastAsia"/>
        </w:rPr>
        <w:fldChar w:fldCharType="end"/>
      </w:r>
      <w:r>
        <w:rPr>
          <w:rFonts w:hint="eastAsia"/>
        </w:rPr>
        <w:fldChar w:fldCharType="end"/>
      </w:r>
    </w:p>
    <w:p w14:paraId="1AB6897F">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"_Toc207208395" </w:instrText>
      </w:r>
      <w:r>
        <w:fldChar w:fldCharType="separate"/>
      </w:r>
      <w:r>
        <w:rPr>
          <w:rStyle w:val="32"/>
          <w:rFonts w:hint="eastAsia"/>
        </w:rPr>
        <w:t>5.3</w:t>
      </w:r>
      <w:r>
        <w:rPr>
          <w:rFonts w:hint="eastAsia" w:asciiTheme="minorHAnsi" w:hAnsiTheme="minorHAnsi" w:eastAsiaTheme="minorEastAsia" w:cstheme="minorBidi"/>
          <w:sz w:val="22"/>
          <w14:ligatures w14:val="standardContextual"/>
        </w:rPr>
        <w:tab/>
      </w:r>
      <w:r>
        <w:rPr>
          <w:rStyle w:val="32"/>
          <w:rFonts w:hint="eastAsia"/>
        </w:rPr>
        <w:t>区域污染源调查</w:t>
      </w:r>
      <w:r>
        <w:rPr>
          <w:rFonts w:hint="eastAsia"/>
        </w:rPr>
        <w:tab/>
      </w:r>
      <w:r>
        <w:rPr>
          <w:rFonts w:hint="eastAsia"/>
        </w:rPr>
        <w:fldChar w:fldCharType="begin"/>
      </w:r>
      <w:r>
        <w:rPr>
          <w:rFonts w:hint="eastAsia"/>
        </w:rPr>
        <w:instrText xml:space="preserve"> </w:instrText>
      </w:r>
      <w:r>
        <w:instrText xml:space="preserve">PAGEREF _Toc207208395 \h</w:instrText>
      </w:r>
      <w:r>
        <w:rPr>
          <w:rFonts w:hint="eastAsia"/>
        </w:rPr>
        <w:instrText xml:space="preserve"> </w:instrText>
      </w:r>
      <w:r>
        <w:rPr>
          <w:rFonts w:hint="eastAsia"/>
        </w:rPr>
        <w:fldChar w:fldCharType="separate"/>
      </w:r>
      <w:r>
        <w:t>102</w:t>
      </w:r>
      <w:r>
        <w:rPr>
          <w:rFonts w:hint="eastAsia"/>
        </w:rPr>
        <w:fldChar w:fldCharType="end"/>
      </w:r>
      <w:r>
        <w:rPr>
          <w:rFonts w:hint="eastAsia"/>
        </w:rPr>
        <w:fldChar w:fldCharType="end"/>
      </w:r>
    </w:p>
    <w:p w14:paraId="67C57A77">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"_Toc207208396" </w:instrText>
      </w:r>
      <w:r>
        <w:fldChar w:fldCharType="separate"/>
      </w:r>
      <w:r>
        <w:rPr>
          <w:rStyle w:val="32"/>
          <w:rFonts w:hint="eastAsia"/>
        </w:rPr>
        <w:t>6</w:t>
      </w:r>
      <w:r>
        <w:rPr>
          <w:rFonts w:hint="eastAsia" w:asciiTheme="minorHAnsi" w:hAnsiTheme="minorHAnsi" w:eastAsiaTheme="minorEastAsia" w:cstheme="minorBidi"/>
          <w:b w:val="0"/>
          <w:bCs w:val="0"/>
          <w:sz w:val="22"/>
          <w14:ligatures w14:val="standardContextual"/>
        </w:rPr>
        <w:tab/>
      </w:r>
      <w:r>
        <w:rPr>
          <w:rStyle w:val="32"/>
          <w:rFonts w:hint="eastAsia"/>
        </w:rPr>
        <w:t>环境影响预测与评价</w:t>
      </w:r>
      <w:r>
        <w:rPr>
          <w:rFonts w:hint="eastAsia"/>
        </w:rPr>
        <w:tab/>
      </w:r>
      <w:r>
        <w:rPr>
          <w:rFonts w:hint="eastAsia"/>
        </w:rPr>
        <w:fldChar w:fldCharType="begin"/>
      </w:r>
      <w:r>
        <w:rPr>
          <w:rFonts w:hint="eastAsia"/>
        </w:rPr>
        <w:instrText xml:space="preserve"> </w:instrText>
      </w:r>
      <w:r>
        <w:instrText xml:space="preserve">PAGEREF _Toc207208396 \h</w:instrText>
      </w:r>
      <w:r>
        <w:rPr>
          <w:rFonts w:hint="eastAsia"/>
        </w:rPr>
        <w:instrText xml:space="preserve"> </w:instrText>
      </w:r>
      <w:r>
        <w:rPr>
          <w:rFonts w:hint="eastAsia"/>
        </w:rPr>
        <w:fldChar w:fldCharType="separate"/>
      </w:r>
      <w:r>
        <w:t>103</w:t>
      </w:r>
      <w:r>
        <w:rPr>
          <w:rFonts w:hint="eastAsia"/>
        </w:rPr>
        <w:fldChar w:fldCharType="end"/>
      </w:r>
      <w:r>
        <w:rPr>
          <w:rFonts w:hint="eastAsia"/>
        </w:rPr>
        <w:fldChar w:fldCharType="end"/>
      </w:r>
    </w:p>
    <w:p w14:paraId="1DF82350">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"_Toc207208397" </w:instrText>
      </w:r>
      <w:r>
        <w:fldChar w:fldCharType="separate"/>
      </w:r>
      <w:r>
        <w:rPr>
          <w:rStyle w:val="32"/>
          <w:rFonts w:hint="eastAsia"/>
        </w:rPr>
        <w:t>6.1</w:t>
      </w:r>
      <w:r>
        <w:rPr>
          <w:rFonts w:hint="eastAsia" w:asciiTheme="minorHAnsi" w:hAnsiTheme="minorHAnsi" w:eastAsiaTheme="minorEastAsia" w:cstheme="minorBidi"/>
          <w:sz w:val="22"/>
          <w14:ligatures w14:val="standardContextual"/>
        </w:rPr>
        <w:tab/>
      </w:r>
      <w:r>
        <w:rPr>
          <w:rStyle w:val="32"/>
          <w:rFonts w:hint="eastAsia"/>
        </w:rPr>
        <w:t>施工期环境影响分析与评价</w:t>
      </w:r>
      <w:r>
        <w:rPr>
          <w:rFonts w:hint="eastAsia"/>
        </w:rPr>
        <w:tab/>
      </w:r>
      <w:r>
        <w:rPr>
          <w:rFonts w:hint="eastAsia"/>
        </w:rPr>
        <w:fldChar w:fldCharType="begin"/>
      </w:r>
      <w:r>
        <w:rPr>
          <w:rFonts w:hint="eastAsia"/>
        </w:rPr>
        <w:instrText xml:space="preserve"> </w:instrText>
      </w:r>
      <w:r>
        <w:instrText xml:space="preserve">PAGEREF _Toc207208397 \h</w:instrText>
      </w:r>
      <w:r>
        <w:rPr>
          <w:rFonts w:hint="eastAsia"/>
        </w:rPr>
        <w:instrText xml:space="preserve"> </w:instrText>
      </w:r>
      <w:r>
        <w:rPr>
          <w:rFonts w:hint="eastAsia"/>
        </w:rPr>
        <w:fldChar w:fldCharType="separate"/>
      </w:r>
      <w:r>
        <w:t>103</w:t>
      </w:r>
      <w:r>
        <w:rPr>
          <w:rFonts w:hint="eastAsia"/>
        </w:rPr>
        <w:fldChar w:fldCharType="end"/>
      </w:r>
      <w:r>
        <w:rPr>
          <w:rFonts w:hint="eastAsia"/>
        </w:rPr>
        <w:fldChar w:fldCharType="end"/>
      </w:r>
    </w:p>
    <w:p w14:paraId="536F861C">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"_Toc207208398" </w:instrText>
      </w:r>
      <w:r>
        <w:fldChar w:fldCharType="separate"/>
      </w:r>
      <w:r>
        <w:rPr>
          <w:rStyle w:val="32"/>
          <w:rFonts w:hint="eastAsia"/>
        </w:rPr>
        <w:t>6.2</w:t>
      </w:r>
      <w:r>
        <w:rPr>
          <w:rFonts w:hint="eastAsia" w:asciiTheme="minorHAnsi" w:hAnsiTheme="minorHAnsi" w:eastAsiaTheme="minorEastAsia" w:cstheme="minorBidi"/>
          <w:sz w:val="22"/>
          <w14:ligatures w14:val="standardContextual"/>
        </w:rPr>
        <w:tab/>
      </w:r>
      <w:r>
        <w:rPr>
          <w:rStyle w:val="32"/>
          <w:rFonts w:hint="eastAsia"/>
        </w:rPr>
        <w:t>运营期环境影响预测与评价</w:t>
      </w:r>
      <w:r>
        <w:rPr>
          <w:rFonts w:hint="eastAsia"/>
        </w:rPr>
        <w:tab/>
      </w:r>
      <w:r>
        <w:rPr>
          <w:rFonts w:hint="eastAsia"/>
        </w:rPr>
        <w:fldChar w:fldCharType="begin"/>
      </w:r>
      <w:r>
        <w:rPr>
          <w:rFonts w:hint="eastAsia"/>
        </w:rPr>
        <w:instrText xml:space="preserve"> </w:instrText>
      </w:r>
      <w:r>
        <w:instrText xml:space="preserve">PAGEREF _Toc207208398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14:paraId="7878B609">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"_Toc207208399" </w:instrText>
      </w:r>
      <w:r>
        <w:fldChar w:fldCharType="separate"/>
      </w:r>
      <w:r>
        <w:rPr>
          <w:rStyle w:val="32"/>
          <w:rFonts w:hint="eastAsia"/>
        </w:rPr>
        <w:t>7</w:t>
      </w:r>
      <w:r>
        <w:rPr>
          <w:rFonts w:hint="eastAsia" w:asciiTheme="minorHAnsi" w:hAnsiTheme="minorHAnsi" w:eastAsiaTheme="minorEastAsia" w:cstheme="minorBidi"/>
          <w:b w:val="0"/>
          <w:bCs w:val="0"/>
          <w:sz w:val="22"/>
          <w14:ligatures w14:val="standardContextual"/>
        </w:rPr>
        <w:tab/>
      </w:r>
      <w:r>
        <w:rPr>
          <w:rStyle w:val="32"/>
          <w:rFonts w:hint="eastAsia"/>
        </w:rPr>
        <w:t>环境保护措施及其可行性论证</w:t>
      </w:r>
      <w:r>
        <w:rPr>
          <w:rFonts w:hint="eastAsia"/>
        </w:rPr>
        <w:tab/>
      </w:r>
      <w:r>
        <w:rPr>
          <w:rFonts w:hint="eastAsia"/>
        </w:rPr>
        <w:fldChar w:fldCharType="begin"/>
      </w:r>
      <w:r>
        <w:rPr>
          <w:rFonts w:hint="eastAsia"/>
        </w:rPr>
        <w:instrText xml:space="preserve"> </w:instrText>
      </w:r>
      <w:r>
        <w:instrText xml:space="preserve">PAGEREF _Toc207208399 \h</w:instrText>
      </w:r>
      <w:r>
        <w:rPr>
          <w:rFonts w:hint="eastAsia"/>
        </w:rPr>
        <w:instrText xml:space="preserve"> </w:instrText>
      </w:r>
      <w:r>
        <w:rPr>
          <w:rFonts w:hint="eastAsia"/>
        </w:rPr>
        <w:fldChar w:fldCharType="separate"/>
      </w:r>
      <w:r>
        <w:t>138</w:t>
      </w:r>
      <w:r>
        <w:rPr>
          <w:rFonts w:hint="eastAsia"/>
        </w:rPr>
        <w:fldChar w:fldCharType="end"/>
      </w:r>
      <w:r>
        <w:rPr>
          <w:rFonts w:hint="eastAsia"/>
        </w:rPr>
        <w:fldChar w:fldCharType="end"/>
      </w:r>
    </w:p>
    <w:p w14:paraId="49EC7D9E">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"_Toc207208400" </w:instrText>
      </w:r>
      <w:r>
        <w:fldChar w:fldCharType="separate"/>
      </w:r>
      <w:r>
        <w:rPr>
          <w:rStyle w:val="32"/>
          <w:rFonts w:hint="eastAsia"/>
        </w:rPr>
        <w:t>7.1</w:t>
      </w:r>
      <w:r>
        <w:rPr>
          <w:rFonts w:hint="eastAsia" w:asciiTheme="minorHAnsi" w:hAnsiTheme="minorHAnsi" w:eastAsiaTheme="minorEastAsia" w:cstheme="minorBidi"/>
          <w:sz w:val="22"/>
          <w14:ligatures w14:val="standardContextual"/>
        </w:rPr>
        <w:tab/>
      </w:r>
      <w:r>
        <w:rPr>
          <w:rStyle w:val="32"/>
          <w:rFonts w:hint="eastAsia"/>
        </w:rPr>
        <w:t>施工期环境保护措施及管理要求</w:t>
      </w:r>
      <w:r>
        <w:rPr>
          <w:rFonts w:hint="eastAsia"/>
        </w:rPr>
        <w:tab/>
      </w:r>
      <w:r>
        <w:rPr>
          <w:rFonts w:hint="eastAsia"/>
        </w:rPr>
        <w:fldChar w:fldCharType="begin"/>
      </w:r>
      <w:r>
        <w:rPr>
          <w:rFonts w:hint="eastAsia"/>
        </w:rPr>
        <w:instrText xml:space="preserve"> </w:instrText>
      </w:r>
      <w:r>
        <w:instrText xml:space="preserve">PAGEREF _Toc207208400 \h</w:instrText>
      </w:r>
      <w:r>
        <w:rPr>
          <w:rFonts w:hint="eastAsia"/>
        </w:rPr>
        <w:instrText xml:space="preserve"> </w:instrText>
      </w:r>
      <w:r>
        <w:rPr>
          <w:rFonts w:hint="eastAsia"/>
        </w:rPr>
        <w:fldChar w:fldCharType="separate"/>
      </w:r>
      <w:r>
        <w:t>138</w:t>
      </w:r>
      <w:r>
        <w:rPr>
          <w:rFonts w:hint="eastAsia"/>
        </w:rPr>
        <w:fldChar w:fldCharType="end"/>
      </w:r>
      <w:r>
        <w:rPr>
          <w:rFonts w:hint="eastAsia"/>
        </w:rPr>
        <w:fldChar w:fldCharType="end"/>
      </w:r>
    </w:p>
    <w:p w14:paraId="109BE41A">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"_Toc207208401" </w:instrText>
      </w:r>
      <w:r>
        <w:fldChar w:fldCharType="separate"/>
      </w:r>
      <w:r>
        <w:rPr>
          <w:rStyle w:val="32"/>
          <w:rFonts w:hint="eastAsia"/>
        </w:rPr>
        <w:t>7.2</w:t>
      </w:r>
      <w:r>
        <w:rPr>
          <w:rFonts w:hint="eastAsia" w:asciiTheme="minorHAnsi" w:hAnsiTheme="minorHAnsi" w:eastAsiaTheme="minorEastAsia" w:cstheme="minorBidi"/>
          <w:sz w:val="22"/>
          <w14:ligatures w14:val="standardContextual"/>
        </w:rPr>
        <w:tab/>
      </w:r>
      <w:r>
        <w:rPr>
          <w:rStyle w:val="32"/>
          <w:rFonts w:hint="eastAsia"/>
        </w:rPr>
        <w:t>运营期环境保护措施及管理要求</w:t>
      </w:r>
      <w:r>
        <w:rPr>
          <w:rFonts w:hint="eastAsia"/>
        </w:rPr>
        <w:tab/>
      </w:r>
      <w:r>
        <w:rPr>
          <w:rFonts w:hint="eastAsia"/>
        </w:rPr>
        <w:fldChar w:fldCharType="begin"/>
      </w:r>
      <w:r>
        <w:rPr>
          <w:rFonts w:hint="eastAsia"/>
        </w:rPr>
        <w:instrText xml:space="preserve"> </w:instrText>
      </w:r>
      <w:r>
        <w:instrText xml:space="preserve">PAGEREF _Toc207208401 \h</w:instrText>
      </w:r>
      <w:r>
        <w:rPr>
          <w:rFonts w:hint="eastAsia"/>
        </w:rPr>
        <w:instrText xml:space="preserve"> </w:instrText>
      </w:r>
      <w:r>
        <w:rPr>
          <w:rFonts w:hint="eastAsia"/>
        </w:rPr>
        <w:fldChar w:fldCharType="separate"/>
      </w:r>
      <w:r>
        <w:t>143</w:t>
      </w:r>
      <w:r>
        <w:rPr>
          <w:rFonts w:hint="eastAsia"/>
        </w:rPr>
        <w:fldChar w:fldCharType="end"/>
      </w:r>
      <w:r>
        <w:rPr>
          <w:rFonts w:hint="eastAsia"/>
        </w:rPr>
        <w:fldChar w:fldCharType="end"/>
      </w:r>
    </w:p>
    <w:p w14:paraId="478A7AC8">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"_Toc207208402" </w:instrText>
      </w:r>
      <w:r>
        <w:fldChar w:fldCharType="separate"/>
      </w:r>
      <w:r>
        <w:rPr>
          <w:rStyle w:val="32"/>
          <w:rFonts w:hint="eastAsia"/>
        </w:rPr>
        <w:t>8</w:t>
      </w:r>
      <w:r>
        <w:rPr>
          <w:rFonts w:hint="eastAsia" w:asciiTheme="minorHAnsi" w:hAnsiTheme="minorHAnsi" w:eastAsiaTheme="minorEastAsia" w:cstheme="minorBidi"/>
          <w:b w:val="0"/>
          <w:bCs w:val="0"/>
          <w:sz w:val="22"/>
          <w14:ligatures w14:val="standardContextual"/>
        </w:rPr>
        <w:tab/>
      </w:r>
      <w:r>
        <w:rPr>
          <w:rStyle w:val="32"/>
          <w:rFonts w:hint="eastAsia"/>
        </w:rPr>
        <w:t>碳排放评价</w:t>
      </w:r>
      <w:r>
        <w:rPr>
          <w:rFonts w:hint="eastAsia"/>
        </w:rPr>
        <w:tab/>
      </w:r>
      <w:r>
        <w:rPr>
          <w:rFonts w:hint="eastAsia"/>
        </w:rPr>
        <w:fldChar w:fldCharType="begin"/>
      </w:r>
      <w:r>
        <w:rPr>
          <w:rFonts w:hint="eastAsia"/>
        </w:rPr>
        <w:instrText xml:space="preserve"> </w:instrText>
      </w:r>
      <w:r>
        <w:instrText xml:space="preserve">PAGEREF _Toc207208402 \h</w:instrText>
      </w:r>
      <w:r>
        <w:rPr>
          <w:rFonts w:hint="eastAsia"/>
        </w:rPr>
        <w:instrText xml:space="preserve"> </w:instrText>
      </w:r>
      <w:r>
        <w:rPr>
          <w:rFonts w:hint="eastAsia"/>
        </w:rPr>
        <w:fldChar w:fldCharType="separate"/>
      </w:r>
      <w:r>
        <w:t>152</w:t>
      </w:r>
      <w:r>
        <w:rPr>
          <w:rFonts w:hint="eastAsia"/>
        </w:rPr>
        <w:fldChar w:fldCharType="end"/>
      </w:r>
      <w:r>
        <w:rPr>
          <w:rFonts w:hint="eastAsia"/>
        </w:rPr>
        <w:fldChar w:fldCharType="end"/>
      </w:r>
    </w:p>
    <w:p w14:paraId="2695337C">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"_Toc207208403" </w:instrText>
      </w:r>
      <w:r>
        <w:fldChar w:fldCharType="separate"/>
      </w:r>
      <w:r>
        <w:rPr>
          <w:rStyle w:val="32"/>
          <w:rFonts w:hint="eastAsia"/>
        </w:rPr>
        <w:t>8.1</w:t>
      </w:r>
      <w:r>
        <w:rPr>
          <w:rFonts w:hint="eastAsia" w:asciiTheme="minorHAnsi" w:hAnsiTheme="minorHAnsi" w:eastAsiaTheme="minorEastAsia" w:cstheme="minorBidi"/>
          <w:sz w:val="22"/>
          <w14:ligatures w14:val="standardContextual"/>
        </w:rPr>
        <w:tab/>
      </w:r>
      <w:r>
        <w:rPr>
          <w:rStyle w:val="32"/>
          <w:rFonts w:hint="eastAsia"/>
        </w:rPr>
        <w:t>源项识别</w:t>
      </w:r>
      <w:r>
        <w:rPr>
          <w:rFonts w:hint="eastAsia"/>
        </w:rPr>
        <w:tab/>
      </w:r>
      <w:r>
        <w:rPr>
          <w:rFonts w:hint="eastAsia"/>
        </w:rPr>
        <w:fldChar w:fldCharType="begin"/>
      </w:r>
      <w:r>
        <w:rPr>
          <w:rFonts w:hint="eastAsia"/>
        </w:rPr>
        <w:instrText xml:space="preserve"> </w:instrText>
      </w:r>
      <w:r>
        <w:instrText xml:space="preserve">PAGEREF _Toc207208403 \h</w:instrText>
      </w:r>
      <w:r>
        <w:rPr>
          <w:rFonts w:hint="eastAsia"/>
        </w:rPr>
        <w:instrText xml:space="preserve"> </w:instrText>
      </w:r>
      <w:r>
        <w:rPr>
          <w:rFonts w:hint="eastAsia"/>
        </w:rPr>
        <w:fldChar w:fldCharType="separate"/>
      </w:r>
      <w:r>
        <w:t>152</w:t>
      </w:r>
      <w:r>
        <w:rPr>
          <w:rFonts w:hint="eastAsia"/>
        </w:rPr>
        <w:fldChar w:fldCharType="end"/>
      </w:r>
      <w:r>
        <w:rPr>
          <w:rFonts w:hint="eastAsia"/>
        </w:rPr>
        <w:fldChar w:fldCharType="end"/>
      </w:r>
    </w:p>
    <w:p w14:paraId="44E4D3F2">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"_Toc207208404" </w:instrText>
      </w:r>
      <w:r>
        <w:fldChar w:fldCharType="separate"/>
      </w:r>
      <w:r>
        <w:rPr>
          <w:rStyle w:val="32"/>
          <w:rFonts w:hint="eastAsia"/>
        </w:rPr>
        <w:t>8.2</w:t>
      </w:r>
      <w:r>
        <w:rPr>
          <w:rFonts w:hint="eastAsia" w:asciiTheme="minorHAnsi" w:hAnsiTheme="minorHAnsi" w:eastAsiaTheme="minorEastAsia" w:cstheme="minorBidi"/>
          <w:sz w:val="22"/>
          <w14:ligatures w14:val="standardContextual"/>
        </w:rPr>
        <w:tab/>
      </w:r>
      <w:r>
        <w:rPr>
          <w:rStyle w:val="32"/>
          <w:rFonts w:hint="eastAsia"/>
        </w:rPr>
        <w:t>源强核算</w:t>
      </w:r>
      <w:r>
        <w:rPr>
          <w:rFonts w:hint="eastAsia"/>
        </w:rPr>
        <w:tab/>
      </w:r>
      <w:r>
        <w:rPr>
          <w:rFonts w:hint="eastAsia"/>
        </w:rPr>
        <w:fldChar w:fldCharType="begin"/>
      </w:r>
      <w:r>
        <w:rPr>
          <w:rFonts w:hint="eastAsia"/>
        </w:rPr>
        <w:instrText xml:space="preserve"> </w:instrText>
      </w:r>
      <w:r>
        <w:instrText xml:space="preserve">PAGEREF _Toc207208404 \h</w:instrText>
      </w:r>
      <w:r>
        <w:rPr>
          <w:rFonts w:hint="eastAsia"/>
        </w:rPr>
        <w:instrText xml:space="preserve"> </w:instrText>
      </w:r>
      <w:r>
        <w:rPr>
          <w:rFonts w:hint="eastAsia"/>
        </w:rPr>
        <w:fldChar w:fldCharType="separate"/>
      </w:r>
      <w:r>
        <w:t>153</w:t>
      </w:r>
      <w:r>
        <w:rPr>
          <w:rFonts w:hint="eastAsia"/>
        </w:rPr>
        <w:fldChar w:fldCharType="end"/>
      </w:r>
      <w:r>
        <w:rPr>
          <w:rFonts w:hint="eastAsia"/>
        </w:rPr>
        <w:fldChar w:fldCharType="end"/>
      </w:r>
    </w:p>
    <w:p w14:paraId="19A3B1B9">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"_Toc207208405" </w:instrText>
      </w:r>
      <w:r>
        <w:fldChar w:fldCharType="separate"/>
      </w:r>
      <w:r>
        <w:rPr>
          <w:rStyle w:val="32"/>
          <w:rFonts w:hint="eastAsia"/>
        </w:rPr>
        <w:t>8.3</w:t>
      </w:r>
      <w:r>
        <w:rPr>
          <w:rFonts w:hint="eastAsia" w:asciiTheme="minorHAnsi" w:hAnsiTheme="minorHAnsi" w:eastAsiaTheme="minorEastAsia" w:cstheme="minorBidi"/>
          <w:sz w:val="22"/>
          <w14:ligatures w14:val="standardContextual"/>
        </w:rPr>
        <w:tab/>
      </w:r>
      <w:r>
        <w:rPr>
          <w:rStyle w:val="32"/>
          <w:rFonts w:hint="eastAsia"/>
        </w:rPr>
        <w:t>减排潜力分析</w:t>
      </w:r>
      <w:r>
        <w:rPr>
          <w:rFonts w:hint="eastAsia"/>
        </w:rPr>
        <w:tab/>
      </w:r>
      <w:r>
        <w:rPr>
          <w:rFonts w:hint="eastAsia"/>
        </w:rPr>
        <w:fldChar w:fldCharType="begin"/>
      </w:r>
      <w:r>
        <w:rPr>
          <w:rFonts w:hint="eastAsia"/>
        </w:rPr>
        <w:instrText xml:space="preserve"> </w:instrText>
      </w:r>
      <w:r>
        <w:instrText xml:space="preserve">PAGEREF _Toc207208405 \h</w:instrText>
      </w:r>
      <w:r>
        <w:rPr>
          <w:rFonts w:hint="eastAsia"/>
        </w:rPr>
        <w:instrText xml:space="preserve"> </w:instrText>
      </w:r>
      <w:r>
        <w:rPr>
          <w:rFonts w:hint="eastAsia"/>
        </w:rPr>
        <w:fldChar w:fldCharType="separate"/>
      </w:r>
      <w:r>
        <w:t>154</w:t>
      </w:r>
      <w:r>
        <w:rPr>
          <w:rFonts w:hint="eastAsia"/>
        </w:rPr>
        <w:fldChar w:fldCharType="end"/>
      </w:r>
      <w:r>
        <w:rPr>
          <w:rFonts w:hint="eastAsia"/>
        </w:rPr>
        <w:fldChar w:fldCharType="end"/>
      </w:r>
    </w:p>
    <w:p w14:paraId="37E5D2A2">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"_Toc207208406" </w:instrText>
      </w:r>
      <w:r>
        <w:fldChar w:fldCharType="separate"/>
      </w:r>
      <w:r>
        <w:rPr>
          <w:rStyle w:val="32"/>
          <w:rFonts w:hint="eastAsia"/>
        </w:rPr>
        <w:t>8.4</w:t>
      </w:r>
      <w:r>
        <w:rPr>
          <w:rFonts w:hint="eastAsia" w:asciiTheme="minorHAnsi" w:hAnsiTheme="minorHAnsi" w:eastAsiaTheme="minorEastAsia" w:cstheme="minorBidi"/>
          <w:sz w:val="22"/>
          <w14:ligatures w14:val="standardContextual"/>
        </w:rPr>
        <w:tab/>
      </w:r>
      <w:r>
        <w:rPr>
          <w:rStyle w:val="32"/>
          <w:rFonts w:hint="eastAsia"/>
        </w:rPr>
        <w:t>排放控制管理</w:t>
      </w:r>
      <w:r>
        <w:rPr>
          <w:rFonts w:hint="eastAsia"/>
        </w:rPr>
        <w:tab/>
      </w:r>
      <w:r>
        <w:rPr>
          <w:rFonts w:hint="eastAsia"/>
        </w:rPr>
        <w:fldChar w:fldCharType="begin"/>
      </w:r>
      <w:r>
        <w:rPr>
          <w:rFonts w:hint="eastAsia"/>
        </w:rPr>
        <w:instrText xml:space="preserve"> </w:instrText>
      </w:r>
      <w:r>
        <w:instrText xml:space="preserve">PAGEREF _Toc207208406 \h</w:instrText>
      </w:r>
      <w:r>
        <w:rPr>
          <w:rFonts w:hint="eastAsia"/>
        </w:rPr>
        <w:instrText xml:space="preserve"> </w:instrText>
      </w:r>
      <w:r>
        <w:rPr>
          <w:rFonts w:hint="eastAsia"/>
        </w:rPr>
        <w:fldChar w:fldCharType="separate"/>
      </w:r>
      <w:r>
        <w:t>154</w:t>
      </w:r>
      <w:r>
        <w:rPr>
          <w:rFonts w:hint="eastAsia"/>
        </w:rPr>
        <w:fldChar w:fldCharType="end"/>
      </w:r>
      <w:r>
        <w:rPr>
          <w:rFonts w:hint="eastAsia"/>
        </w:rPr>
        <w:fldChar w:fldCharType="end"/>
      </w:r>
    </w:p>
    <w:p w14:paraId="06CE752F">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"_Toc207208407" </w:instrText>
      </w:r>
      <w:r>
        <w:fldChar w:fldCharType="separate"/>
      </w:r>
      <w:r>
        <w:rPr>
          <w:rStyle w:val="32"/>
          <w:rFonts w:hint="eastAsia"/>
        </w:rPr>
        <w:t>8.5</w:t>
      </w:r>
      <w:r>
        <w:rPr>
          <w:rFonts w:hint="eastAsia" w:asciiTheme="minorHAnsi" w:hAnsiTheme="minorHAnsi" w:eastAsiaTheme="minorEastAsia" w:cstheme="minorBidi"/>
          <w:sz w:val="22"/>
          <w14:ligatures w14:val="standardContextual"/>
        </w:rPr>
        <w:tab/>
      </w:r>
      <w:r>
        <w:rPr>
          <w:rStyle w:val="32"/>
          <w:rFonts w:hint="eastAsia"/>
        </w:rPr>
        <w:t>节能降碳措施</w:t>
      </w:r>
      <w:r>
        <w:rPr>
          <w:rFonts w:hint="eastAsia"/>
        </w:rPr>
        <w:tab/>
      </w:r>
      <w:r>
        <w:rPr>
          <w:rFonts w:hint="eastAsia"/>
        </w:rPr>
        <w:fldChar w:fldCharType="begin"/>
      </w:r>
      <w:r>
        <w:rPr>
          <w:rFonts w:hint="eastAsia"/>
        </w:rPr>
        <w:instrText xml:space="preserve"> </w:instrText>
      </w:r>
      <w:r>
        <w:instrText xml:space="preserve">PAGEREF _Toc207208407 \h</w:instrText>
      </w:r>
      <w:r>
        <w:rPr>
          <w:rFonts w:hint="eastAsia"/>
        </w:rPr>
        <w:instrText xml:space="preserve"> </w:instrText>
      </w:r>
      <w:r>
        <w:rPr>
          <w:rFonts w:hint="eastAsia"/>
        </w:rPr>
        <w:fldChar w:fldCharType="separate"/>
      </w:r>
      <w:r>
        <w:t>156</w:t>
      </w:r>
      <w:r>
        <w:rPr>
          <w:rFonts w:hint="eastAsia"/>
        </w:rPr>
        <w:fldChar w:fldCharType="end"/>
      </w:r>
      <w:r>
        <w:rPr>
          <w:rFonts w:hint="eastAsia"/>
        </w:rPr>
        <w:fldChar w:fldCharType="end"/>
      </w:r>
    </w:p>
    <w:p w14:paraId="397247DE">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"_Toc207208408" </w:instrText>
      </w:r>
      <w:r>
        <w:fldChar w:fldCharType="separate"/>
      </w:r>
      <w:r>
        <w:rPr>
          <w:rStyle w:val="32"/>
          <w:rFonts w:hint="eastAsia"/>
        </w:rPr>
        <w:t>8.6</w:t>
      </w:r>
      <w:r>
        <w:rPr>
          <w:rFonts w:hint="eastAsia" w:asciiTheme="minorHAnsi" w:hAnsiTheme="minorHAnsi" w:eastAsiaTheme="minorEastAsia" w:cstheme="minorBidi"/>
          <w:sz w:val="22"/>
          <w14:ligatures w14:val="standardContextual"/>
        </w:rPr>
        <w:tab/>
      </w:r>
      <w:r>
        <w:rPr>
          <w:rStyle w:val="32"/>
          <w:rFonts w:hint="eastAsia"/>
        </w:rPr>
        <w:t>碳排放分析结论</w:t>
      </w:r>
      <w:r>
        <w:rPr>
          <w:rFonts w:hint="eastAsia"/>
        </w:rPr>
        <w:tab/>
      </w:r>
      <w:r>
        <w:rPr>
          <w:rFonts w:hint="eastAsia"/>
        </w:rPr>
        <w:fldChar w:fldCharType="begin"/>
      </w:r>
      <w:r>
        <w:rPr>
          <w:rFonts w:hint="eastAsia"/>
        </w:rPr>
        <w:instrText xml:space="preserve"> </w:instrText>
      </w:r>
      <w:r>
        <w:instrText xml:space="preserve">PAGEREF _Toc207208408 \h</w:instrText>
      </w:r>
      <w:r>
        <w:rPr>
          <w:rFonts w:hint="eastAsia"/>
        </w:rPr>
        <w:instrText xml:space="preserve"> </w:instrText>
      </w:r>
      <w:r>
        <w:rPr>
          <w:rFonts w:hint="eastAsia"/>
        </w:rPr>
        <w:fldChar w:fldCharType="separate"/>
      </w:r>
      <w:r>
        <w:t>157</w:t>
      </w:r>
      <w:r>
        <w:rPr>
          <w:rFonts w:hint="eastAsia"/>
        </w:rPr>
        <w:fldChar w:fldCharType="end"/>
      </w:r>
      <w:r>
        <w:rPr>
          <w:rFonts w:hint="eastAsia"/>
        </w:rPr>
        <w:fldChar w:fldCharType="end"/>
      </w:r>
    </w:p>
    <w:p w14:paraId="703BE789">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"_Toc207208409" </w:instrText>
      </w:r>
      <w:r>
        <w:fldChar w:fldCharType="separate"/>
      </w:r>
      <w:r>
        <w:rPr>
          <w:rStyle w:val="32"/>
          <w:rFonts w:hint="eastAsia"/>
        </w:rPr>
        <w:t>9</w:t>
      </w:r>
      <w:r>
        <w:rPr>
          <w:rFonts w:hint="eastAsia" w:asciiTheme="minorHAnsi" w:hAnsiTheme="minorHAnsi" w:eastAsiaTheme="minorEastAsia" w:cstheme="minorBidi"/>
          <w:b w:val="0"/>
          <w:bCs w:val="0"/>
          <w:sz w:val="22"/>
          <w14:ligatures w14:val="standardContextual"/>
        </w:rPr>
        <w:tab/>
      </w:r>
      <w:r>
        <w:rPr>
          <w:rStyle w:val="32"/>
          <w:rFonts w:hint="eastAsia"/>
        </w:rPr>
        <w:t>环境影响经济损益分析</w:t>
      </w:r>
      <w:r>
        <w:rPr>
          <w:rFonts w:hint="eastAsia"/>
        </w:rPr>
        <w:tab/>
      </w:r>
      <w:r>
        <w:rPr>
          <w:rFonts w:hint="eastAsia"/>
        </w:rPr>
        <w:fldChar w:fldCharType="begin"/>
      </w:r>
      <w:r>
        <w:rPr>
          <w:rFonts w:hint="eastAsia"/>
        </w:rPr>
        <w:instrText xml:space="preserve"> </w:instrText>
      </w:r>
      <w:r>
        <w:instrText xml:space="preserve">PAGEREF _Toc207208409 \h</w:instrText>
      </w:r>
      <w:r>
        <w:rPr>
          <w:rFonts w:hint="eastAsia"/>
        </w:rPr>
        <w:instrText xml:space="preserve"> </w:instrText>
      </w:r>
      <w:r>
        <w:rPr>
          <w:rFonts w:hint="eastAsia"/>
        </w:rPr>
        <w:fldChar w:fldCharType="separate"/>
      </w:r>
      <w:r>
        <w:t>158</w:t>
      </w:r>
      <w:r>
        <w:rPr>
          <w:rFonts w:hint="eastAsia"/>
        </w:rPr>
        <w:fldChar w:fldCharType="end"/>
      </w:r>
      <w:r>
        <w:rPr>
          <w:rFonts w:hint="eastAsia"/>
        </w:rPr>
        <w:fldChar w:fldCharType="end"/>
      </w:r>
    </w:p>
    <w:p w14:paraId="452E7572">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"_Toc207208410" </w:instrText>
      </w:r>
      <w:r>
        <w:fldChar w:fldCharType="separate"/>
      </w:r>
      <w:r>
        <w:rPr>
          <w:rStyle w:val="32"/>
          <w:rFonts w:hint="eastAsia"/>
        </w:rPr>
        <w:t>9.1</w:t>
      </w:r>
      <w:r>
        <w:rPr>
          <w:rFonts w:hint="eastAsia" w:asciiTheme="minorHAnsi" w:hAnsiTheme="minorHAnsi" w:eastAsiaTheme="minorEastAsia" w:cstheme="minorBidi"/>
          <w:sz w:val="22"/>
          <w14:ligatures w14:val="standardContextual"/>
        </w:rPr>
        <w:tab/>
      </w:r>
      <w:r>
        <w:rPr>
          <w:rStyle w:val="32"/>
          <w:rFonts w:hint="eastAsia"/>
        </w:rPr>
        <w:t>经济效益分析</w:t>
      </w:r>
      <w:r>
        <w:rPr>
          <w:rFonts w:hint="eastAsia"/>
        </w:rPr>
        <w:tab/>
      </w:r>
      <w:r>
        <w:rPr>
          <w:rFonts w:hint="eastAsia"/>
        </w:rPr>
        <w:fldChar w:fldCharType="begin"/>
      </w:r>
      <w:r>
        <w:rPr>
          <w:rFonts w:hint="eastAsia"/>
        </w:rPr>
        <w:instrText xml:space="preserve"> </w:instrText>
      </w:r>
      <w:r>
        <w:instrText xml:space="preserve">PAGEREF _Toc207208410 \h</w:instrText>
      </w:r>
      <w:r>
        <w:rPr>
          <w:rFonts w:hint="eastAsia"/>
        </w:rPr>
        <w:instrText xml:space="preserve"> </w:instrText>
      </w:r>
      <w:r>
        <w:rPr>
          <w:rFonts w:hint="eastAsia"/>
        </w:rPr>
        <w:fldChar w:fldCharType="separate"/>
      </w:r>
      <w:r>
        <w:t>158</w:t>
      </w:r>
      <w:r>
        <w:rPr>
          <w:rFonts w:hint="eastAsia"/>
        </w:rPr>
        <w:fldChar w:fldCharType="end"/>
      </w:r>
      <w:r>
        <w:rPr>
          <w:rFonts w:hint="eastAsia"/>
        </w:rPr>
        <w:fldChar w:fldCharType="end"/>
      </w:r>
    </w:p>
    <w:p w14:paraId="225C67DD">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"_Toc207208411" </w:instrText>
      </w:r>
      <w:r>
        <w:fldChar w:fldCharType="separate"/>
      </w:r>
      <w:r>
        <w:rPr>
          <w:rStyle w:val="32"/>
          <w:rFonts w:hint="eastAsia"/>
        </w:rPr>
        <w:t>9.2</w:t>
      </w:r>
      <w:r>
        <w:rPr>
          <w:rFonts w:hint="eastAsia" w:asciiTheme="minorHAnsi" w:hAnsiTheme="minorHAnsi" w:eastAsiaTheme="minorEastAsia" w:cstheme="minorBidi"/>
          <w:sz w:val="22"/>
          <w14:ligatures w14:val="standardContextual"/>
        </w:rPr>
        <w:tab/>
      </w:r>
      <w:r>
        <w:rPr>
          <w:rStyle w:val="32"/>
          <w:rFonts w:hint="eastAsia"/>
        </w:rPr>
        <w:t>社会效益分析</w:t>
      </w:r>
      <w:r>
        <w:rPr>
          <w:rFonts w:hint="eastAsia"/>
        </w:rPr>
        <w:tab/>
      </w:r>
      <w:r>
        <w:rPr>
          <w:rFonts w:hint="eastAsia"/>
        </w:rPr>
        <w:fldChar w:fldCharType="begin"/>
      </w:r>
      <w:r>
        <w:rPr>
          <w:rFonts w:hint="eastAsia"/>
        </w:rPr>
        <w:instrText xml:space="preserve"> </w:instrText>
      </w:r>
      <w:r>
        <w:instrText xml:space="preserve">PAGEREF _Toc207208411 \h</w:instrText>
      </w:r>
      <w:r>
        <w:rPr>
          <w:rFonts w:hint="eastAsia"/>
        </w:rPr>
        <w:instrText xml:space="preserve"> </w:instrText>
      </w:r>
      <w:r>
        <w:rPr>
          <w:rFonts w:hint="eastAsia"/>
        </w:rPr>
        <w:fldChar w:fldCharType="separate"/>
      </w:r>
      <w:r>
        <w:t>159</w:t>
      </w:r>
      <w:r>
        <w:rPr>
          <w:rFonts w:hint="eastAsia"/>
        </w:rPr>
        <w:fldChar w:fldCharType="end"/>
      </w:r>
      <w:r>
        <w:rPr>
          <w:rFonts w:hint="eastAsia"/>
        </w:rPr>
        <w:fldChar w:fldCharType="end"/>
      </w:r>
    </w:p>
    <w:p w14:paraId="4E094DC5">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"_Toc207208412" </w:instrText>
      </w:r>
      <w:r>
        <w:fldChar w:fldCharType="separate"/>
      </w:r>
      <w:r>
        <w:rPr>
          <w:rStyle w:val="32"/>
          <w:rFonts w:hint="eastAsia"/>
        </w:rPr>
        <w:t>9.3</w:t>
      </w:r>
      <w:r>
        <w:rPr>
          <w:rFonts w:hint="eastAsia" w:asciiTheme="minorHAnsi" w:hAnsiTheme="minorHAnsi" w:eastAsiaTheme="minorEastAsia" w:cstheme="minorBidi"/>
          <w:sz w:val="22"/>
          <w14:ligatures w14:val="standardContextual"/>
        </w:rPr>
        <w:tab/>
      </w:r>
      <w:r>
        <w:rPr>
          <w:rStyle w:val="32"/>
          <w:rFonts w:hint="eastAsia"/>
        </w:rPr>
        <w:t>环境损益分析</w:t>
      </w:r>
      <w:r>
        <w:rPr>
          <w:rFonts w:hint="eastAsia"/>
        </w:rPr>
        <w:tab/>
      </w:r>
      <w:r>
        <w:rPr>
          <w:rFonts w:hint="eastAsia"/>
        </w:rPr>
        <w:fldChar w:fldCharType="begin"/>
      </w:r>
      <w:r>
        <w:rPr>
          <w:rFonts w:hint="eastAsia"/>
        </w:rPr>
        <w:instrText xml:space="preserve"> </w:instrText>
      </w:r>
      <w:r>
        <w:instrText xml:space="preserve">PAGEREF _Toc207208412 \h</w:instrText>
      </w:r>
      <w:r>
        <w:rPr>
          <w:rFonts w:hint="eastAsia"/>
        </w:rPr>
        <w:instrText xml:space="preserve"> </w:instrText>
      </w:r>
      <w:r>
        <w:rPr>
          <w:rFonts w:hint="eastAsia"/>
        </w:rPr>
        <w:fldChar w:fldCharType="separate"/>
      </w:r>
      <w:r>
        <w:t>159</w:t>
      </w:r>
      <w:r>
        <w:rPr>
          <w:rFonts w:hint="eastAsia"/>
        </w:rPr>
        <w:fldChar w:fldCharType="end"/>
      </w:r>
      <w:r>
        <w:rPr>
          <w:rFonts w:hint="eastAsia"/>
        </w:rPr>
        <w:fldChar w:fldCharType="end"/>
      </w:r>
    </w:p>
    <w:p w14:paraId="55F95927">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"_Toc207208413" </w:instrText>
      </w:r>
      <w:r>
        <w:fldChar w:fldCharType="separate"/>
      </w:r>
      <w:r>
        <w:rPr>
          <w:rStyle w:val="32"/>
          <w:rFonts w:hint="eastAsia"/>
        </w:rPr>
        <w:t>9.4</w:t>
      </w:r>
      <w:r>
        <w:rPr>
          <w:rFonts w:hint="eastAsia" w:asciiTheme="minorHAnsi" w:hAnsiTheme="minorHAnsi" w:eastAsiaTheme="minorEastAsia" w:cstheme="minorBidi"/>
          <w:sz w:val="22"/>
          <w14:ligatures w14:val="standardContextual"/>
        </w:rPr>
        <w:tab/>
      </w:r>
      <w:r>
        <w:rPr>
          <w:rStyle w:val="32"/>
          <w:rFonts w:hint="eastAsia"/>
        </w:rPr>
        <w:t>结论</w:t>
      </w:r>
      <w:r>
        <w:rPr>
          <w:rFonts w:hint="eastAsia"/>
        </w:rPr>
        <w:tab/>
      </w:r>
      <w:r>
        <w:rPr>
          <w:rFonts w:hint="eastAsia"/>
        </w:rPr>
        <w:fldChar w:fldCharType="begin"/>
      </w:r>
      <w:r>
        <w:rPr>
          <w:rFonts w:hint="eastAsia"/>
        </w:rPr>
        <w:instrText xml:space="preserve"> </w:instrText>
      </w:r>
      <w:r>
        <w:instrText xml:space="preserve">PAGEREF _Toc207208413 \h</w:instrText>
      </w:r>
      <w:r>
        <w:rPr>
          <w:rFonts w:hint="eastAsia"/>
        </w:rPr>
        <w:instrText xml:space="preserve"> </w:instrText>
      </w:r>
      <w:r>
        <w:rPr>
          <w:rFonts w:hint="eastAsia"/>
        </w:rPr>
        <w:fldChar w:fldCharType="separate"/>
      </w:r>
      <w:r>
        <w:t>160</w:t>
      </w:r>
      <w:r>
        <w:rPr>
          <w:rFonts w:hint="eastAsia"/>
        </w:rPr>
        <w:fldChar w:fldCharType="end"/>
      </w:r>
      <w:r>
        <w:rPr>
          <w:rFonts w:hint="eastAsia"/>
        </w:rPr>
        <w:fldChar w:fldCharType="end"/>
      </w:r>
    </w:p>
    <w:p w14:paraId="59DE1E29">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"_Toc207208414" </w:instrText>
      </w:r>
      <w:r>
        <w:fldChar w:fldCharType="separate"/>
      </w:r>
      <w:r>
        <w:rPr>
          <w:rStyle w:val="32"/>
          <w:rFonts w:hint="eastAsia"/>
        </w:rPr>
        <w:t>10</w:t>
      </w:r>
      <w:r>
        <w:rPr>
          <w:rFonts w:hint="eastAsia" w:asciiTheme="minorHAnsi" w:hAnsiTheme="minorHAnsi" w:eastAsiaTheme="minorEastAsia" w:cstheme="minorBidi"/>
          <w:b w:val="0"/>
          <w:bCs w:val="0"/>
          <w:sz w:val="22"/>
          <w14:ligatures w14:val="standardContextual"/>
        </w:rPr>
        <w:tab/>
      </w:r>
      <w:r>
        <w:rPr>
          <w:rStyle w:val="32"/>
          <w:rFonts w:hint="eastAsia"/>
        </w:rPr>
        <w:t>环境管理与环境监测计划</w:t>
      </w:r>
      <w:r>
        <w:rPr>
          <w:rFonts w:hint="eastAsia"/>
        </w:rPr>
        <w:tab/>
      </w:r>
      <w:r>
        <w:rPr>
          <w:rFonts w:hint="eastAsia"/>
        </w:rPr>
        <w:fldChar w:fldCharType="begin"/>
      </w:r>
      <w:r>
        <w:rPr>
          <w:rFonts w:hint="eastAsia"/>
        </w:rPr>
        <w:instrText xml:space="preserve"> </w:instrText>
      </w:r>
      <w:r>
        <w:instrText xml:space="preserve">PAGEREF _Toc207208414 \h</w:instrText>
      </w:r>
      <w:r>
        <w:rPr>
          <w:rFonts w:hint="eastAsia"/>
        </w:rPr>
        <w:instrText xml:space="preserve"> </w:instrText>
      </w:r>
      <w:r>
        <w:rPr>
          <w:rFonts w:hint="eastAsia"/>
        </w:rPr>
        <w:fldChar w:fldCharType="separate"/>
      </w:r>
      <w:r>
        <w:t>161</w:t>
      </w:r>
      <w:r>
        <w:rPr>
          <w:rFonts w:hint="eastAsia"/>
        </w:rPr>
        <w:fldChar w:fldCharType="end"/>
      </w:r>
      <w:r>
        <w:rPr>
          <w:rFonts w:hint="eastAsia"/>
        </w:rPr>
        <w:fldChar w:fldCharType="end"/>
      </w:r>
    </w:p>
    <w:p w14:paraId="3937E170">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"_Toc207208415" </w:instrText>
      </w:r>
      <w:r>
        <w:fldChar w:fldCharType="separate"/>
      </w:r>
      <w:r>
        <w:rPr>
          <w:rStyle w:val="32"/>
          <w:rFonts w:hint="eastAsia"/>
        </w:rPr>
        <w:t>10.1</w:t>
      </w:r>
      <w:r>
        <w:rPr>
          <w:rFonts w:hint="eastAsia" w:asciiTheme="minorHAnsi" w:hAnsiTheme="minorHAnsi" w:eastAsiaTheme="minorEastAsia" w:cstheme="minorBidi"/>
          <w:sz w:val="22"/>
          <w14:ligatures w14:val="standardContextual"/>
        </w:rPr>
        <w:tab/>
      </w:r>
      <w:r>
        <w:rPr>
          <w:rStyle w:val="32"/>
          <w:rFonts w:hint="eastAsia"/>
        </w:rPr>
        <w:t>环境管理要求</w:t>
      </w:r>
      <w:r>
        <w:rPr>
          <w:rFonts w:hint="eastAsia"/>
        </w:rPr>
        <w:tab/>
      </w:r>
      <w:r>
        <w:rPr>
          <w:rFonts w:hint="eastAsia"/>
        </w:rPr>
        <w:fldChar w:fldCharType="begin"/>
      </w:r>
      <w:r>
        <w:rPr>
          <w:rFonts w:hint="eastAsia"/>
        </w:rPr>
        <w:instrText xml:space="preserve"> </w:instrText>
      </w:r>
      <w:r>
        <w:instrText xml:space="preserve">PAGEREF _Toc207208415 \h</w:instrText>
      </w:r>
      <w:r>
        <w:rPr>
          <w:rFonts w:hint="eastAsia"/>
        </w:rPr>
        <w:instrText xml:space="preserve"> </w:instrText>
      </w:r>
      <w:r>
        <w:rPr>
          <w:rFonts w:hint="eastAsia"/>
        </w:rPr>
        <w:fldChar w:fldCharType="separate"/>
      </w:r>
      <w:r>
        <w:t>161</w:t>
      </w:r>
      <w:r>
        <w:rPr>
          <w:rFonts w:hint="eastAsia"/>
        </w:rPr>
        <w:fldChar w:fldCharType="end"/>
      </w:r>
      <w:r>
        <w:rPr>
          <w:rFonts w:hint="eastAsia"/>
        </w:rPr>
        <w:fldChar w:fldCharType="end"/>
      </w:r>
    </w:p>
    <w:p w14:paraId="2FD057A9">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"_Toc207208416" </w:instrText>
      </w:r>
      <w:r>
        <w:fldChar w:fldCharType="separate"/>
      </w:r>
      <w:r>
        <w:rPr>
          <w:rStyle w:val="32"/>
          <w:rFonts w:hint="eastAsia"/>
        </w:rPr>
        <w:t>10.2</w:t>
      </w:r>
      <w:r>
        <w:rPr>
          <w:rFonts w:hint="eastAsia" w:asciiTheme="minorHAnsi" w:hAnsiTheme="minorHAnsi" w:eastAsiaTheme="minorEastAsia" w:cstheme="minorBidi"/>
          <w:sz w:val="22"/>
          <w14:ligatures w14:val="standardContextual"/>
        </w:rPr>
        <w:tab/>
      </w:r>
      <w:r>
        <w:rPr>
          <w:rStyle w:val="32"/>
          <w:rFonts w:hint="eastAsia"/>
        </w:rPr>
        <w:t>环境管理制度</w:t>
      </w:r>
      <w:r>
        <w:rPr>
          <w:rFonts w:hint="eastAsia"/>
        </w:rPr>
        <w:tab/>
      </w:r>
      <w:r>
        <w:rPr>
          <w:rFonts w:hint="eastAsia"/>
        </w:rPr>
        <w:fldChar w:fldCharType="begin"/>
      </w:r>
      <w:r>
        <w:rPr>
          <w:rFonts w:hint="eastAsia"/>
        </w:rPr>
        <w:instrText xml:space="preserve"> </w:instrText>
      </w:r>
      <w:r>
        <w:instrText xml:space="preserve">PAGEREF _Toc207208416 \h</w:instrText>
      </w:r>
      <w:r>
        <w:rPr>
          <w:rFonts w:hint="eastAsia"/>
        </w:rPr>
        <w:instrText xml:space="preserve"> </w:instrText>
      </w:r>
      <w:r>
        <w:rPr>
          <w:rFonts w:hint="eastAsia"/>
        </w:rPr>
        <w:fldChar w:fldCharType="separate"/>
      </w:r>
      <w:r>
        <w:t>161</w:t>
      </w:r>
      <w:r>
        <w:rPr>
          <w:rFonts w:hint="eastAsia"/>
        </w:rPr>
        <w:fldChar w:fldCharType="end"/>
      </w:r>
      <w:r>
        <w:rPr>
          <w:rFonts w:hint="eastAsia"/>
        </w:rPr>
        <w:fldChar w:fldCharType="end"/>
      </w:r>
    </w:p>
    <w:p w14:paraId="66BFBD4B">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"_Toc207208417" </w:instrText>
      </w:r>
      <w:r>
        <w:fldChar w:fldCharType="separate"/>
      </w:r>
      <w:r>
        <w:rPr>
          <w:rStyle w:val="32"/>
          <w:rFonts w:hint="eastAsia"/>
        </w:rPr>
        <w:t>10.3</w:t>
      </w:r>
      <w:r>
        <w:rPr>
          <w:rFonts w:hint="eastAsia" w:asciiTheme="minorHAnsi" w:hAnsiTheme="minorHAnsi" w:eastAsiaTheme="minorEastAsia" w:cstheme="minorBidi"/>
          <w:sz w:val="22"/>
          <w14:ligatures w14:val="standardContextual"/>
        </w:rPr>
        <w:tab/>
      </w:r>
      <w:r>
        <w:rPr>
          <w:rStyle w:val="32"/>
          <w:rFonts w:hint="eastAsia"/>
        </w:rPr>
        <w:t>环境管理计划</w:t>
      </w:r>
      <w:r>
        <w:rPr>
          <w:rFonts w:hint="eastAsia"/>
        </w:rPr>
        <w:tab/>
      </w:r>
      <w:r>
        <w:rPr>
          <w:rFonts w:hint="eastAsia"/>
        </w:rPr>
        <w:fldChar w:fldCharType="begin"/>
      </w:r>
      <w:r>
        <w:rPr>
          <w:rFonts w:hint="eastAsia"/>
        </w:rPr>
        <w:instrText xml:space="preserve"> </w:instrText>
      </w:r>
      <w:r>
        <w:instrText xml:space="preserve">PAGEREF _Toc207208417 \h</w:instrText>
      </w:r>
      <w:r>
        <w:rPr>
          <w:rFonts w:hint="eastAsia"/>
        </w:rPr>
        <w:instrText xml:space="preserve"> </w:instrText>
      </w:r>
      <w:r>
        <w:rPr>
          <w:rFonts w:hint="eastAsia"/>
        </w:rPr>
        <w:fldChar w:fldCharType="separate"/>
      </w:r>
      <w:r>
        <w:t>162</w:t>
      </w:r>
      <w:r>
        <w:rPr>
          <w:rFonts w:hint="eastAsia"/>
        </w:rPr>
        <w:fldChar w:fldCharType="end"/>
      </w:r>
      <w:r>
        <w:rPr>
          <w:rFonts w:hint="eastAsia"/>
        </w:rPr>
        <w:fldChar w:fldCharType="end"/>
      </w:r>
    </w:p>
    <w:p w14:paraId="64CDCA59">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"_Toc207208418" </w:instrText>
      </w:r>
      <w:r>
        <w:fldChar w:fldCharType="separate"/>
      </w:r>
      <w:r>
        <w:rPr>
          <w:rStyle w:val="32"/>
          <w:rFonts w:hint="eastAsia"/>
          <w:lang w:bidi="ar"/>
        </w:rPr>
        <w:t>10.4</w:t>
      </w:r>
      <w:r>
        <w:rPr>
          <w:rFonts w:hint="eastAsia" w:asciiTheme="minorHAnsi" w:hAnsiTheme="minorHAnsi" w:eastAsiaTheme="minorEastAsia" w:cstheme="minorBidi"/>
          <w:sz w:val="22"/>
          <w14:ligatures w14:val="standardContextual"/>
        </w:rPr>
        <w:tab/>
      </w:r>
      <w:r>
        <w:rPr>
          <w:rStyle w:val="32"/>
          <w:rFonts w:hint="eastAsia"/>
          <w:lang w:bidi="ar"/>
        </w:rPr>
        <w:t>排污许可</w:t>
      </w:r>
      <w:r>
        <w:rPr>
          <w:rFonts w:hint="eastAsia"/>
        </w:rPr>
        <w:tab/>
      </w:r>
      <w:r>
        <w:rPr>
          <w:rFonts w:hint="eastAsia"/>
        </w:rPr>
        <w:fldChar w:fldCharType="begin"/>
      </w:r>
      <w:r>
        <w:rPr>
          <w:rFonts w:hint="eastAsia"/>
        </w:rPr>
        <w:instrText xml:space="preserve"> </w:instrText>
      </w:r>
      <w:r>
        <w:instrText xml:space="preserve">PAGEREF _Toc207208418 \h</w:instrText>
      </w:r>
      <w:r>
        <w:rPr>
          <w:rFonts w:hint="eastAsia"/>
        </w:rPr>
        <w:instrText xml:space="preserve"> </w:instrText>
      </w:r>
      <w:r>
        <w:rPr>
          <w:rFonts w:hint="eastAsia"/>
        </w:rPr>
        <w:fldChar w:fldCharType="separate"/>
      </w:r>
      <w:r>
        <w:t>163</w:t>
      </w:r>
      <w:r>
        <w:rPr>
          <w:rFonts w:hint="eastAsia"/>
        </w:rPr>
        <w:fldChar w:fldCharType="end"/>
      </w:r>
      <w:r>
        <w:rPr>
          <w:rFonts w:hint="eastAsia"/>
        </w:rPr>
        <w:fldChar w:fldCharType="end"/>
      </w:r>
    </w:p>
    <w:p w14:paraId="45D8ABF2">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"_Toc207208419" </w:instrText>
      </w:r>
      <w:r>
        <w:fldChar w:fldCharType="separate"/>
      </w:r>
      <w:r>
        <w:rPr>
          <w:rStyle w:val="32"/>
          <w:rFonts w:hint="eastAsia"/>
        </w:rPr>
        <w:t>10.5</w:t>
      </w:r>
      <w:r>
        <w:rPr>
          <w:rFonts w:hint="eastAsia" w:asciiTheme="minorHAnsi" w:hAnsiTheme="minorHAnsi" w:eastAsiaTheme="minorEastAsia" w:cstheme="minorBidi"/>
          <w:sz w:val="22"/>
          <w14:ligatures w14:val="standardContextual"/>
        </w:rPr>
        <w:tab/>
      </w:r>
      <w:r>
        <w:rPr>
          <w:rStyle w:val="32"/>
          <w:rFonts w:hint="eastAsia"/>
        </w:rPr>
        <w:t>污染物排放清单</w:t>
      </w:r>
      <w:r>
        <w:rPr>
          <w:rFonts w:hint="eastAsia"/>
        </w:rPr>
        <w:tab/>
      </w:r>
      <w:r>
        <w:rPr>
          <w:rFonts w:hint="eastAsia"/>
        </w:rPr>
        <w:fldChar w:fldCharType="begin"/>
      </w:r>
      <w:r>
        <w:rPr>
          <w:rFonts w:hint="eastAsia"/>
        </w:rPr>
        <w:instrText xml:space="preserve"> </w:instrText>
      </w:r>
      <w:r>
        <w:instrText xml:space="preserve">PAGEREF _Toc207208419 \h</w:instrText>
      </w:r>
      <w:r>
        <w:rPr>
          <w:rFonts w:hint="eastAsia"/>
        </w:rPr>
        <w:instrText xml:space="preserve"> </w:instrText>
      </w:r>
      <w:r>
        <w:rPr>
          <w:rFonts w:hint="eastAsia"/>
        </w:rPr>
        <w:fldChar w:fldCharType="separate"/>
      </w:r>
      <w:r>
        <w:t>164</w:t>
      </w:r>
      <w:r>
        <w:rPr>
          <w:rFonts w:hint="eastAsia"/>
        </w:rPr>
        <w:fldChar w:fldCharType="end"/>
      </w:r>
      <w:r>
        <w:rPr>
          <w:rFonts w:hint="eastAsia"/>
        </w:rPr>
        <w:fldChar w:fldCharType="end"/>
      </w:r>
    </w:p>
    <w:p w14:paraId="2449472C">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"_Toc207208420" </w:instrText>
      </w:r>
      <w:r>
        <w:fldChar w:fldCharType="separate"/>
      </w:r>
      <w:r>
        <w:rPr>
          <w:rStyle w:val="32"/>
          <w:rFonts w:hint="eastAsia"/>
        </w:rPr>
        <w:t>10.6</w:t>
      </w:r>
      <w:r>
        <w:rPr>
          <w:rFonts w:hint="eastAsia" w:asciiTheme="minorHAnsi" w:hAnsiTheme="minorHAnsi" w:eastAsiaTheme="minorEastAsia" w:cstheme="minorBidi"/>
          <w:sz w:val="22"/>
          <w14:ligatures w14:val="standardContextual"/>
        </w:rPr>
        <w:tab/>
      </w:r>
      <w:r>
        <w:rPr>
          <w:rStyle w:val="32"/>
          <w:rFonts w:hint="eastAsia"/>
        </w:rPr>
        <w:t>环境监测计划</w:t>
      </w:r>
      <w:r>
        <w:rPr>
          <w:rFonts w:hint="eastAsia"/>
        </w:rPr>
        <w:tab/>
      </w:r>
      <w:r>
        <w:rPr>
          <w:rFonts w:hint="eastAsia"/>
        </w:rPr>
        <w:fldChar w:fldCharType="begin"/>
      </w:r>
      <w:r>
        <w:rPr>
          <w:rFonts w:hint="eastAsia"/>
        </w:rPr>
        <w:instrText xml:space="preserve"> </w:instrText>
      </w:r>
      <w:r>
        <w:instrText xml:space="preserve">PAGEREF _Toc207208420 \h</w:instrText>
      </w:r>
      <w:r>
        <w:rPr>
          <w:rFonts w:hint="eastAsia"/>
        </w:rPr>
        <w:instrText xml:space="preserve"> </w:instrText>
      </w:r>
      <w:r>
        <w:rPr>
          <w:rFonts w:hint="eastAsia"/>
        </w:rPr>
        <w:fldChar w:fldCharType="separate"/>
      </w:r>
      <w:r>
        <w:t>165</w:t>
      </w:r>
      <w:r>
        <w:rPr>
          <w:rFonts w:hint="eastAsia"/>
        </w:rPr>
        <w:fldChar w:fldCharType="end"/>
      </w:r>
      <w:r>
        <w:rPr>
          <w:rFonts w:hint="eastAsia"/>
        </w:rPr>
        <w:fldChar w:fldCharType="end"/>
      </w:r>
    </w:p>
    <w:p w14:paraId="2A3C17CF">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"_Toc207208421" </w:instrText>
      </w:r>
      <w:r>
        <w:fldChar w:fldCharType="separate"/>
      </w:r>
      <w:r>
        <w:rPr>
          <w:rStyle w:val="32"/>
          <w:rFonts w:hint="eastAsia"/>
        </w:rPr>
        <w:t>10.7</w:t>
      </w:r>
      <w:r>
        <w:rPr>
          <w:rFonts w:hint="eastAsia" w:asciiTheme="minorHAnsi" w:hAnsiTheme="minorHAnsi" w:eastAsiaTheme="minorEastAsia" w:cstheme="minorBidi"/>
          <w:sz w:val="22"/>
          <w14:ligatures w14:val="standardContextual"/>
        </w:rPr>
        <w:tab/>
      </w:r>
      <w:r>
        <w:rPr>
          <w:rStyle w:val="32"/>
          <w:rFonts w:hint="eastAsia"/>
        </w:rPr>
        <w:t>环境保护验收与“三同时”</w:t>
      </w:r>
      <w:r>
        <w:rPr>
          <w:rFonts w:hint="eastAsia"/>
        </w:rPr>
        <w:tab/>
      </w:r>
      <w:r>
        <w:rPr>
          <w:rFonts w:hint="eastAsia"/>
        </w:rPr>
        <w:fldChar w:fldCharType="begin"/>
      </w:r>
      <w:r>
        <w:rPr>
          <w:rFonts w:hint="eastAsia"/>
        </w:rPr>
        <w:instrText xml:space="preserve"> </w:instrText>
      </w:r>
      <w:r>
        <w:instrText xml:space="preserve">PAGEREF _Toc207208421 \h</w:instrText>
      </w:r>
      <w:r>
        <w:rPr>
          <w:rFonts w:hint="eastAsia"/>
        </w:rPr>
        <w:instrText xml:space="preserve"> </w:instrText>
      </w:r>
      <w:r>
        <w:rPr>
          <w:rFonts w:hint="eastAsia"/>
        </w:rPr>
        <w:fldChar w:fldCharType="separate"/>
      </w:r>
      <w:r>
        <w:t>166</w:t>
      </w:r>
      <w:r>
        <w:rPr>
          <w:rFonts w:hint="eastAsia"/>
        </w:rPr>
        <w:fldChar w:fldCharType="end"/>
      </w:r>
      <w:r>
        <w:rPr>
          <w:rFonts w:hint="eastAsia"/>
        </w:rPr>
        <w:fldChar w:fldCharType="end"/>
      </w:r>
    </w:p>
    <w:p w14:paraId="5E6A3C36">
      <w:pPr>
        <w:pStyle w:val="20"/>
        <w:rPr>
          <w:rFonts w:hint="eastAsia" w:asciiTheme="minorHAnsi" w:hAnsiTheme="minorHAnsi" w:eastAsiaTheme="minorEastAsia" w:cstheme="minorBidi"/>
          <w:b w:val="0"/>
          <w:bCs w:val="0"/>
          <w:sz w:val="22"/>
          <w14:ligatures w14:val="standardContextual"/>
        </w:rPr>
      </w:pPr>
      <w:r>
        <w:fldChar w:fldCharType="begin"/>
      </w:r>
      <w:r>
        <w:instrText xml:space="preserve"> HYPERLINK \l "_Toc207208422" </w:instrText>
      </w:r>
      <w:r>
        <w:fldChar w:fldCharType="separate"/>
      </w:r>
      <w:r>
        <w:rPr>
          <w:rStyle w:val="32"/>
          <w:rFonts w:hint="eastAsia"/>
        </w:rPr>
        <w:t>11</w:t>
      </w:r>
      <w:r>
        <w:rPr>
          <w:rFonts w:hint="eastAsia" w:asciiTheme="minorHAnsi" w:hAnsiTheme="minorHAnsi" w:eastAsiaTheme="minorEastAsia" w:cstheme="minorBidi"/>
          <w:b w:val="0"/>
          <w:bCs w:val="0"/>
          <w:sz w:val="22"/>
          <w14:ligatures w14:val="standardContextual"/>
        </w:rPr>
        <w:tab/>
      </w:r>
      <w:r>
        <w:rPr>
          <w:rStyle w:val="32"/>
          <w:rFonts w:hint="eastAsia"/>
        </w:rPr>
        <w:t>环境影响评价结论</w:t>
      </w:r>
      <w:r>
        <w:rPr>
          <w:rFonts w:hint="eastAsia"/>
        </w:rPr>
        <w:tab/>
      </w:r>
      <w:r>
        <w:rPr>
          <w:rFonts w:hint="eastAsia"/>
        </w:rPr>
        <w:fldChar w:fldCharType="begin"/>
      </w:r>
      <w:r>
        <w:rPr>
          <w:rFonts w:hint="eastAsia"/>
        </w:rPr>
        <w:instrText xml:space="preserve"> </w:instrText>
      </w:r>
      <w:r>
        <w:instrText xml:space="preserve">PAGEREF _Toc207208422 \h</w:instrText>
      </w:r>
      <w:r>
        <w:rPr>
          <w:rFonts w:hint="eastAsia"/>
        </w:rPr>
        <w:instrText xml:space="preserve"> </w:instrText>
      </w:r>
      <w:r>
        <w:rPr>
          <w:rFonts w:hint="eastAsia"/>
        </w:rPr>
        <w:fldChar w:fldCharType="separate"/>
      </w:r>
      <w:r>
        <w:t>169</w:t>
      </w:r>
      <w:r>
        <w:rPr>
          <w:rFonts w:hint="eastAsia"/>
        </w:rPr>
        <w:fldChar w:fldCharType="end"/>
      </w:r>
      <w:r>
        <w:rPr>
          <w:rFonts w:hint="eastAsia"/>
        </w:rPr>
        <w:fldChar w:fldCharType="end"/>
      </w:r>
    </w:p>
    <w:p w14:paraId="2C94BF8E">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"_Toc207208423" </w:instrText>
      </w:r>
      <w:r>
        <w:fldChar w:fldCharType="separate"/>
      </w:r>
      <w:r>
        <w:rPr>
          <w:rStyle w:val="32"/>
          <w:rFonts w:hint="eastAsia"/>
        </w:rPr>
        <w:t>11.1</w:t>
      </w:r>
      <w:r>
        <w:rPr>
          <w:rFonts w:hint="eastAsia" w:asciiTheme="minorHAnsi" w:hAnsiTheme="minorHAnsi" w:eastAsiaTheme="minorEastAsia" w:cstheme="minorBidi"/>
          <w:sz w:val="22"/>
          <w14:ligatures w14:val="standardContextual"/>
        </w:rPr>
        <w:tab/>
      </w:r>
      <w:r>
        <w:rPr>
          <w:rStyle w:val="32"/>
          <w:rFonts w:hint="eastAsia"/>
        </w:rPr>
        <w:t>建设概况</w:t>
      </w:r>
      <w:r>
        <w:rPr>
          <w:rFonts w:hint="eastAsia"/>
        </w:rPr>
        <w:tab/>
      </w:r>
      <w:r>
        <w:rPr>
          <w:rFonts w:hint="eastAsia"/>
        </w:rPr>
        <w:fldChar w:fldCharType="begin"/>
      </w:r>
      <w:r>
        <w:rPr>
          <w:rFonts w:hint="eastAsia"/>
        </w:rPr>
        <w:instrText xml:space="preserve"> </w:instrText>
      </w:r>
      <w:r>
        <w:instrText xml:space="preserve">PAGEREF _Toc207208423 \h</w:instrText>
      </w:r>
      <w:r>
        <w:rPr>
          <w:rFonts w:hint="eastAsia"/>
        </w:rPr>
        <w:instrText xml:space="preserve"> </w:instrText>
      </w:r>
      <w:r>
        <w:rPr>
          <w:rFonts w:hint="eastAsia"/>
        </w:rPr>
        <w:fldChar w:fldCharType="separate"/>
      </w:r>
      <w:r>
        <w:t>169</w:t>
      </w:r>
      <w:r>
        <w:rPr>
          <w:rFonts w:hint="eastAsia"/>
        </w:rPr>
        <w:fldChar w:fldCharType="end"/>
      </w:r>
      <w:r>
        <w:rPr>
          <w:rFonts w:hint="eastAsia"/>
        </w:rPr>
        <w:fldChar w:fldCharType="end"/>
      </w:r>
    </w:p>
    <w:p w14:paraId="61857F8E">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"_Toc207208424" </w:instrText>
      </w:r>
      <w:r>
        <w:fldChar w:fldCharType="separate"/>
      </w:r>
      <w:r>
        <w:rPr>
          <w:rStyle w:val="32"/>
          <w:rFonts w:hint="eastAsia"/>
        </w:rPr>
        <w:t>11.2</w:t>
      </w:r>
      <w:r>
        <w:rPr>
          <w:rFonts w:hint="eastAsia" w:asciiTheme="minorHAnsi" w:hAnsiTheme="minorHAnsi" w:eastAsiaTheme="minorEastAsia" w:cstheme="minorBidi"/>
          <w:sz w:val="22"/>
          <w14:ligatures w14:val="standardContextual"/>
        </w:rPr>
        <w:tab/>
      </w:r>
      <w:r>
        <w:rPr>
          <w:rStyle w:val="32"/>
          <w:rFonts w:hint="eastAsia"/>
        </w:rPr>
        <w:t>产业政策符合性</w:t>
      </w:r>
      <w:r>
        <w:rPr>
          <w:rFonts w:hint="eastAsia"/>
        </w:rPr>
        <w:tab/>
      </w:r>
      <w:r>
        <w:rPr>
          <w:rFonts w:hint="eastAsia"/>
        </w:rPr>
        <w:fldChar w:fldCharType="begin"/>
      </w:r>
      <w:r>
        <w:rPr>
          <w:rFonts w:hint="eastAsia"/>
        </w:rPr>
        <w:instrText xml:space="preserve"> </w:instrText>
      </w:r>
      <w:r>
        <w:instrText xml:space="preserve">PAGEREF _Toc207208424 \h</w:instrText>
      </w:r>
      <w:r>
        <w:rPr>
          <w:rFonts w:hint="eastAsia"/>
        </w:rPr>
        <w:instrText xml:space="preserve"> </w:instrText>
      </w:r>
      <w:r>
        <w:rPr>
          <w:rFonts w:hint="eastAsia"/>
        </w:rPr>
        <w:fldChar w:fldCharType="separate"/>
      </w:r>
      <w:r>
        <w:t>169</w:t>
      </w:r>
      <w:r>
        <w:rPr>
          <w:rFonts w:hint="eastAsia"/>
        </w:rPr>
        <w:fldChar w:fldCharType="end"/>
      </w:r>
      <w:r>
        <w:rPr>
          <w:rFonts w:hint="eastAsia"/>
        </w:rPr>
        <w:fldChar w:fldCharType="end"/>
      </w:r>
    </w:p>
    <w:p w14:paraId="597B43AD">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"_Toc207208425" </w:instrText>
      </w:r>
      <w:r>
        <w:fldChar w:fldCharType="separate"/>
      </w:r>
      <w:r>
        <w:rPr>
          <w:rStyle w:val="32"/>
          <w:rFonts w:hint="eastAsia"/>
        </w:rPr>
        <w:t>11.3</w:t>
      </w:r>
      <w:r>
        <w:rPr>
          <w:rFonts w:hint="eastAsia" w:asciiTheme="minorHAnsi" w:hAnsiTheme="minorHAnsi" w:eastAsiaTheme="minorEastAsia" w:cstheme="minorBidi"/>
          <w:sz w:val="22"/>
          <w14:ligatures w14:val="standardContextual"/>
        </w:rPr>
        <w:tab/>
      </w:r>
      <w:r>
        <w:rPr>
          <w:rStyle w:val="32"/>
          <w:rFonts w:hint="eastAsia"/>
        </w:rPr>
        <w:t>环境质量现状</w:t>
      </w:r>
      <w:r>
        <w:rPr>
          <w:rFonts w:hint="eastAsia"/>
        </w:rPr>
        <w:tab/>
      </w:r>
      <w:r>
        <w:rPr>
          <w:rFonts w:hint="eastAsia"/>
        </w:rPr>
        <w:fldChar w:fldCharType="begin"/>
      </w:r>
      <w:r>
        <w:rPr>
          <w:rFonts w:hint="eastAsia"/>
        </w:rPr>
        <w:instrText xml:space="preserve"> </w:instrText>
      </w:r>
      <w:r>
        <w:instrText xml:space="preserve">PAGEREF _Toc207208425 \h</w:instrText>
      </w:r>
      <w:r>
        <w:rPr>
          <w:rFonts w:hint="eastAsia"/>
        </w:rPr>
        <w:instrText xml:space="preserve"> </w:instrText>
      </w:r>
      <w:r>
        <w:rPr>
          <w:rFonts w:hint="eastAsia"/>
        </w:rPr>
        <w:fldChar w:fldCharType="separate"/>
      </w:r>
      <w:r>
        <w:t>169</w:t>
      </w:r>
      <w:r>
        <w:rPr>
          <w:rFonts w:hint="eastAsia"/>
        </w:rPr>
        <w:fldChar w:fldCharType="end"/>
      </w:r>
      <w:r>
        <w:rPr>
          <w:rFonts w:hint="eastAsia"/>
        </w:rPr>
        <w:fldChar w:fldCharType="end"/>
      </w:r>
    </w:p>
    <w:p w14:paraId="68E01C90">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"_Toc207208426" </w:instrText>
      </w:r>
      <w:r>
        <w:fldChar w:fldCharType="separate"/>
      </w:r>
      <w:r>
        <w:rPr>
          <w:rStyle w:val="32"/>
          <w:rFonts w:hint="eastAsia"/>
        </w:rPr>
        <w:t>11.4</w:t>
      </w:r>
      <w:r>
        <w:rPr>
          <w:rFonts w:hint="eastAsia" w:asciiTheme="minorHAnsi" w:hAnsiTheme="minorHAnsi" w:eastAsiaTheme="minorEastAsia" w:cstheme="minorBidi"/>
          <w:sz w:val="22"/>
          <w14:ligatures w14:val="standardContextual"/>
        </w:rPr>
        <w:tab/>
      </w:r>
      <w:r>
        <w:rPr>
          <w:rStyle w:val="32"/>
          <w:rFonts w:hint="eastAsia"/>
        </w:rPr>
        <w:t>污染物排放情况</w:t>
      </w:r>
      <w:r>
        <w:rPr>
          <w:rFonts w:hint="eastAsia"/>
        </w:rPr>
        <w:tab/>
      </w:r>
      <w:r>
        <w:rPr>
          <w:rFonts w:hint="eastAsia"/>
        </w:rPr>
        <w:fldChar w:fldCharType="begin"/>
      </w:r>
      <w:r>
        <w:rPr>
          <w:rFonts w:hint="eastAsia"/>
        </w:rPr>
        <w:instrText xml:space="preserve"> </w:instrText>
      </w:r>
      <w:r>
        <w:instrText xml:space="preserve">PAGEREF _Toc207208426 \h</w:instrText>
      </w:r>
      <w:r>
        <w:rPr>
          <w:rFonts w:hint="eastAsia"/>
        </w:rPr>
        <w:instrText xml:space="preserve"> </w:instrText>
      </w:r>
      <w:r>
        <w:rPr>
          <w:rFonts w:hint="eastAsia"/>
        </w:rPr>
        <w:fldChar w:fldCharType="separate"/>
      </w:r>
      <w:r>
        <w:t>170</w:t>
      </w:r>
      <w:r>
        <w:rPr>
          <w:rFonts w:hint="eastAsia"/>
        </w:rPr>
        <w:fldChar w:fldCharType="end"/>
      </w:r>
      <w:r>
        <w:rPr>
          <w:rFonts w:hint="eastAsia"/>
        </w:rPr>
        <w:fldChar w:fldCharType="end"/>
      </w:r>
    </w:p>
    <w:p w14:paraId="78B49C8C">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"_Toc207208427" </w:instrText>
      </w:r>
      <w:r>
        <w:fldChar w:fldCharType="separate"/>
      </w:r>
      <w:r>
        <w:rPr>
          <w:rStyle w:val="32"/>
          <w:rFonts w:hint="eastAsia"/>
        </w:rPr>
        <w:t>11.5</w:t>
      </w:r>
      <w:r>
        <w:rPr>
          <w:rFonts w:hint="eastAsia" w:asciiTheme="minorHAnsi" w:hAnsiTheme="minorHAnsi" w:eastAsiaTheme="minorEastAsia" w:cstheme="minorBidi"/>
          <w:sz w:val="22"/>
          <w14:ligatures w14:val="standardContextual"/>
        </w:rPr>
        <w:tab/>
      </w:r>
      <w:r>
        <w:rPr>
          <w:rStyle w:val="32"/>
          <w:rFonts w:hint="eastAsia"/>
        </w:rPr>
        <w:t>主要环境影响</w:t>
      </w:r>
      <w:r>
        <w:rPr>
          <w:rFonts w:hint="eastAsia"/>
        </w:rPr>
        <w:tab/>
      </w:r>
      <w:r>
        <w:rPr>
          <w:rFonts w:hint="eastAsia"/>
        </w:rPr>
        <w:fldChar w:fldCharType="begin"/>
      </w:r>
      <w:r>
        <w:rPr>
          <w:rFonts w:hint="eastAsia"/>
        </w:rPr>
        <w:instrText xml:space="preserve"> </w:instrText>
      </w:r>
      <w:r>
        <w:instrText xml:space="preserve">PAGEREF _Toc207208427 \h</w:instrText>
      </w:r>
      <w:r>
        <w:rPr>
          <w:rFonts w:hint="eastAsia"/>
        </w:rPr>
        <w:instrText xml:space="preserve"> </w:instrText>
      </w:r>
      <w:r>
        <w:rPr>
          <w:rFonts w:hint="eastAsia"/>
        </w:rPr>
        <w:fldChar w:fldCharType="separate"/>
      </w:r>
      <w:r>
        <w:t>171</w:t>
      </w:r>
      <w:r>
        <w:rPr>
          <w:rFonts w:hint="eastAsia"/>
        </w:rPr>
        <w:fldChar w:fldCharType="end"/>
      </w:r>
      <w:r>
        <w:rPr>
          <w:rFonts w:hint="eastAsia"/>
        </w:rPr>
        <w:fldChar w:fldCharType="end"/>
      </w:r>
    </w:p>
    <w:p w14:paraId="43E697B4">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"_Toc207208428" </w:instrText>
      </w:r>
      <w:r>
        <w:fldChar w:fldCharType="separate"/>
      </w:r>
      <w:r>
        <w:rPr>
          <w:rStyle w:val="32"/>
          <w:rFonts w:hint="eastAsia"/>
        </w:rPr>
        <w:t>11.6</w:t>
      </w:r>
      <w:r>
        <w:rPr>
          <w:rFonts w:hint="eastAsia" w:asciiTheme="minorHAnsi" w:hAnsiTheme="minorHAnsi" w:eastAsiaTheme="minorEastAsia" w:cstheme="minorBidi"/>
          <w:sz w:val="22"/>
          <w14:ligatures w14:val="standardContextual"/>
        </w:rPr>
        <w:tab/>
      </w:r>
      <w:r>
        <w:rPr>
          <w:rStyle w:val="32"/>
          <w:rFonts w:hint="eastAsia"/>
        </w:rPr>
        <w:t>环境保护措施</w:t>
      </w:r>
      <w:r>
        <w:rPr>
          <w:rFonts w:hint="eastAsia"/>
        </w:rPr>
        <w:tab/>
      </w:r>
      <w:r>
        <w:rPr>
          <w:rFonts w:hint="eastAsia"/>
        </w:rPr>
        <w:fldChar w:fldCharType="begin"/>
      </w:r>
      <w:r>
        <w:rPr>
          <w:rFonts w:hint="eastAsia"/>
        </w:rPr>
        <w:instrText xml:space="preserve"> </w:instrText>
      </w:r>
      <w:r>
        <w:instrText xml:space="preserve">PAGEREF _Toc207208428 \h</w:instrText>
      </w:r>
      <w:r>
        <w:rPr>
          <w:rFonts w:hint="eastAsia"/>
        </w:rPr>
        <w:instrText xml:space="preserve"> </w:instrText>
      </w:r>
      <w:r>
        <w:rPr>
          <w:rFonts w:hint="eastAsia"/>
        </w:rPr>
        <w:fldChar w:fldCharType="separate"/>
      </w:r>
      <w:r>
        <w:t>172</w:t>
      </w:r>
      <w:r>
        <w:rPr>
          <w:rFonts w:hint="eastAsia"/>
        </w:rPr>
        <w:fldChar w:fldCharType="end"/>
      </w:r>
      <w:r>
        <w:rPr>
          <w:rFonts w:hint="eastAsia"/>
        </w:rPr>
        <w:fldChar w:fldCharType="end"/>
      </w:r>
    </w:p>
    <w:p w14:paraId="00569D26">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"_Toc207208429" </w:instrText>
      </w:r>
      <w:r>
        <w:fldChar w:fldCharType="separate"/>
      </w:r>
      <w:r>
        <w:rPr>
          <w:rStyle w:val="32"/>
          <w:rFonts w:hint="eastAsia"/>
        </w:rPr>
        <w:t>11.7</w:t>
      </w:r>
      <w:r>
        <w:rPr>
          <w:rFonts w:hint="eastAsia" w:asciiTheme="minorHAnsi" w:hAnsiTheme="minorHAnsi" w:eastAsiaTheme="minorEastAsia" w:cstheme="minorBidi"/>
          <w:sz w:val="22"/>
          <w14:ligatures w14:val="standardContextual"/>
        </w:rPr>
        <w:tab/>
      </w:r>
      <w:r>
        <w:rPr>
          <w:rStyle w:val="32"/>
          <w:rFonts w:hint="eastAsia"/>
        </w:rPr>
        <w:t>总量控制指标</w:t>
      </w:r>
      <w:r>
        <w:rPr>
          <w:rFonts w:hint="eastAsia"/>
        </w:rPr>
        <w:tab/>
      </w:r>
      <w:r>
        <w:rPr>
          <w:rFonts w:hint="eastAsia"/>
        </w:rPr>
        <w:fldChar w:fldCharType="begin"/>
      </w:r>
      <w:r>
        <w:rPr>
          <w:rFonts w:hint="eastAsia"/>
        </w:rPr>
        <w:instrText xml:space="preserve"> </w:instrText>
      </w:r>
      <w:r>
        <w:instrText xml:space="preserve">PAGEREF _Toc207208429 \h</w:instrText>
      </w:r>
      <w:r>
        <w:rPr>
          <w:rFonts w:hint="eastAsia"/>
        </w:rPr>
        <w:instrText xml:space="preserve"> </w:instrText>
      </w:r>
      <w:r>
        <w:rPr>
          <w:rFonts w:hint="eastAsia"/>
        </w:rPr>
        <w:fldChar w:fldCharType="separate"/>
      </w:r>
      <w:r>
        <w:t>172</w:t>
      </w:r>
      <w:r>
        <w:rPr>
          <w:rFonts w:hint="eastAsia"/>
        </w:rPr>
        <w:fldChar w:fldCharType="end"/>
      </w:r>
      <w:r>
        <w:rPr>
          <w:rFonts w:hint="eastAsia"/>
        </w:rPr>
        <w:fldChar w:fldCharType="end"/>
      </w:r>
    </w:p>
    <w:p w14:paraId="15D77C98">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"_Toc207208430" </w:instrText>
      </w:r>
      <w:r>
        <w:fldChar w:fldCharType="separate"/>
      </w:r>
      <w:r>
        <w:rPr>
          <w:rStyle w:val="32"/>
          <w:rFonts w:hint="eastAsia"/>
        </w:rPr>
        <w:t>11.8</w:t>
      </w:r>
      <w:r>
        <w:rPr>
          <w:rFonts w:hint="eastAsia" w:asciiTheme="minorHAnsi" w:hAnsiTheme="minorHAnsi" w:eastAsiaTheme="minorEastAsia" w:cstheme="minorBidi"/>
          <w:sz w:val="22"/>
          <w14:ligatures w14:val="standardContextual"/>
        </w:rPr>
        <w:tab/>
      </w:r>
      <w:r>
        <w:rPr>
          <w:rStyle w:val="32"/>
          <w:rFonts w:hint="eastAsia"/>
        </w:rPr>
        <w:t>碳减排分析</w:t>
      </w:r>
      <w:r>
        <w:rPr>
          <w:rFonts w:hint="eastAsia"/>
        </w:rPr>
        <w:tab/>
      </w:r>
      <w:r>
        <w:rPr>
          <w:rFonts w:hint="eastAsia"/>
        </w:rPr>
        <w:fldChar w:fldCharType="begin"/>
      </w:r>
      <w:r>
        <w:rPr>
          <w:rFonts w:hint="eastAsia"/>
        </w:rPr>
        <w:instrText xml:space="preserve"> </w:instrText>
      </w:r>
      <w:r>
        <w:instrText xml:space="preserve">PAGEREF _Toc207208430 \h</w:instrText>
      </w:r>
      <w:r>
        <w:rPr>
          <w:rFonts w:hint="eastAsia"/>
        </w:rPr>
        <w:instrText xml:space="preserve"> </w:instrText>
      </w:r>
      <w:r>
        <w:rPr>
          <w:rFonts w:hint="eastAsia"/>
        </w:rPr>
        <w:fldChar w:fldCharType="separate"/>
      </w:r>
      <w:r>
        <w:t>173</w:t>
      </w:r>
      <w:r>
        <w:rPr>
          <w:rFonts w:hint="eastAsia"/>
        </w:rPr>
        <w:fldChar w:fldCharType="end"/>
      </w:r>
      <w:r>
        <w:rPr>
          <w:rFonts w:hint="eastAsia"/>
        </w:rPr>
        <w:fldChar w:fldCharType="end"/>
      </w:r>
    </w:p>
    <w:p w14:paraId="06D39922">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"_Toc207208431" </w:instrText>
      </w:r>
      <w:r>
        <w:fldChar w:fldCharType="separate"/>
      </w:r>
      <w:r>
        <w:rPr>
          <w:rStyle w:val="32"/>
          <w:rFonts w:hint="eastAsia"/>
        </w:rPr>
        <w:t>11.9</w:t>
      </w:r>
      <w:r>
        <w:rPr>
          <w:rFonts w:hint="eastAsia" w:asciiTheme="minorHAnsi" w:hAnsiTheme="minorHAnsi" w:eastAsiaTheme="minorEastAsia" w:cstheme="minorBidi"/>
          <w:sz w:val="22"/>
          <w14:ligatures w14:val="standardContextual"/>
        </w:rPr>
        <w:tab/>
      </w:r>
      <w:r>
        <w:rPr>
          <w:rStyle w:val="32"/>
          <w:rFonts w:hint="eastAsia"/>
        </w:rPr>
        <w:t>环境影响经济损益分析</w:t>
      </w:r>
      <w:r>
        <w:rPr>
          <w:rFonts w:hint="eastAsia"/>
        </w:rPr>
        <w:tab/>
      </w:r>
      <w:r>
        <w:rPr>
          <w:rFonts w:hint="eastAsia"/>
        </w:rPr>
        <w:fldChar w:fldCharType="begin"/>
      </w:r>
      <w:r>
        <w:rPr>
          <w:rFonts w:hint="eastAsia"/>
        </w:rPr>
        <w:instrText xml:space="preserve"> </w:instrText>
      </w:r>
      <w:r>
        <w:instrText xml:space="preserve">PAGEREF _Toc207208431 \h</w:instrText>
      </w:r>
      <w:r>
        <w:rPr>
          <w:rFonts w:hint="eastAsia"/>
        </w:rPr>
        <w:instrText xml:space="preserve"> </w:instrText>
      </w:r>
      <w:r>
        <w:rPr>
          <w:rFonts w:hint="eastAsia"/>
        </w:rPr>
        <w:fldChar w:fldCharType="separate"/>
      </w:r>
      <w:r>
        <w:t>173</w:t>
      </w:r>
      <w:r>
        <w:rPr>
          <w:rFonts w:hint="eastAsia"/>
        </w:rPr>
        <w:fldChar w:fldCharType="end"/>
      </w:r>
      <w:r>
        <w:rPr>
          <w:rFonts w:hint="eastAsia"/>
        </w:rPr>
        <w:fldChar w:fldCharType="end"/>
      </w:r>
    </w:p>
    <w:p w14:paraId="7EA65AE3">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"_Toc207208432" </w:instrText>
      </w:r>
      <w:r>
        <w:fldChar w:fldCharType="separate"/>
      </w:r>
      <w:r>
        <w:rPr>
          <w:rStyle w:val="32"/>
          <w:rFonts w:hint="eastAsia"/>
        </w:rPr>
        <w:t>11.10</w:t>
      </w:r>
      <w:r>
        <w:rPr>
          <w:rFonts w:hint="eastAsia" w:asciiTheme="minorHAnsi" w:hAnsiTheme="minorHAnsi" w:eastAsiaTheme="minorEastAsia" w:cstheme="minorBidi"/>
          <w:sz w:val="22"/>
          <w14:ligatures w14:val="standardContextual"/>
        </w:rPr>
        <w:tab/>
      </w:r>
      <w:r>
        <w:rPr>
          <w:rStyle w:val="32"/>
          <w:rFonts w:hint="eastAsia"/>
        </w:rPr>
        <w:t>公众参与</w:t>
      </w:r>
      <w:r>
        <w:rPr>
          <w:rFonts w:hint="eastAsia"/>
        </w:rPr>
        <w:tab/>
      </w:r>
      <w:r>
        <w:rPr>
          <w:rFonts w:hint="eastAsia"/>
        </w:rPr>
        <w:fldChar w:fldCharType="begin"/>
      </w:r>
      <w:r>
        <w:rPr>
          <w:rFonts w:hint="eastAsia"/>
        </w:rPr>
        <w:instrText xml:space="preserve"> </w:instrText>
      </w:r>
      <w:r>
        <w:instrText xml:space="preserve">PAGEREF _Toc207208432 \h</w:instrText>
      </w:r>
      <w:r>
        <w:rPr>
          <w:rFonts w:hint="eastAsia"/>
        </w:rPr>
        <w:instrText xml:space="preserve"> </w:instrText>
      </w:r>
      <w:r>
        <w:rPr>
          <w:rFonts w:hint="eastAsia"/>
        </w:rPr>
        <w:fldChar w:fldCharType="separate"/>
      </w:r>
      <w:r>
        <w:t>173</w:t>
      </w:r>
      <w:r>
        <w:rPr>
          <w:rFonts w:hint="eastAsia"/>
        </w:rPr>
        <w:fldChar w:fldCharType="end"/>
      </w:r>
      <w:r>
        <w:rPr>
          <w:rFonts w:hint="eastAsia"/>
        </w:rPr>
        <w:fldChar w:fldCharType="end"/>
      </w:r>
    </w:p>
    <w:p w14:paraId="4EF9A8F0">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"_Toc207208433" </w:instrText>
      </w:r>
      <w:r>
        <w:fldChar w:fldCharType="separate"/>
      </w:r>
      <w:r>
        <w:rPr>
          <w:rStyle w:val="32"/>
          <w:rFonts w:hint="eastAsia"/>
        </w:rPr>
        <w:t>11.11</w:t>
      </w:r>
      <w:r>
        <w:rPr>
          <w:rFonts w:hint="eastAsia" w:asciiTheme="minorHAnsi" w:hAnsiTheme="minorHAnsi" w:eastAsiaTheme="minorEastAsia" w:cstheme="minorBidi"/>
          <w:sz w:val="22"/>
          <w14:ligatures w14:val="standardContextual"/>
        </w:rPr>
        <w:tab/>
      </w:r>
      <w:r>
        <w:rPr>
          <w:rStyle w:val="32"/>
          <w:rFonts w:hint="eastAsia"/>
        </w:rPr>
        <w:t>环境影响评价综合结论</w:t>
      </w:r>
      <w:r>
        <w:rPr>
          <w:rFonts w:hint="eastAsia"/>
        </w:rPr>
        <w:tab/>
      </w:r>
      <w:r>
        <w:rPr>
          <w:rFonts w:hint="eastAsia"/>
        </w:rPr>
        <w:fldChar w:fldCharType="begin"/>
      </w:r>
      <w:r>
        <w:rPr>
          <w:rFonts w:hint="eastAsia"/>
        </w:rPr>
        <w:instrText xml:space="preserve"> </w:instrText>
      </w:r>
      <w:r>
        <w:instrText xml:space="preserve">PAGEREF _Toc207208433 \h</w:instrText>
      </w:r>
      <w:r>
        <w:rPr>
          <w:rFonts w:hint="eastAsia"/>
        </w:rPr>
        <w:instrText xml:space="preserve"> </w:instrText>
      </w:r>
      <w:r>
        <w:rPr>
          <w:rFonts w:hint="eastAsia"/>
        </w:rPr>
        <w:fldChar w:fldCharType="separate"/>
      </w:r>
      <w:r>
        <w:t>173</w:t>
      </w:r>
      <w:r>
        <w:rPr>
          <w:rFonts w:hint="eastAsia"/>
        </w:rPr>
        <w:fldChar w:fldCharType="end"/>
      </w:r>
      <w:r>
        <w:rPr>
          <w:rFonts w:hint="eastAsia"/>
        </w:rPr>
        <w:fldChar w:fldCharType="end"/>
      </w:r>
    </w:p>
    <w:p w14:paraId="5AD2CF96">
      <w:pPr>
        <w:pStyle w:val="24"/>
        <w:rPr>
          <w:rFonts w:hint="eastAsia" w:asciiTheme="minorHAnsi" w:hAnsiTheme="minorHAnsi" w:eastAsiaTheme="minorEastAsia" w:cstheme="minorBidi"/>
          <w:sz w:val="22"/>
          <w14:ligatures w14:val="standardContextual"/>
        </w:rPr>
      </w:pPr>
      <w:r>
        <w:fldChar w:fldCharType="begin"/>
      </w:r>
      <w:r>
        <w:instrText xml:space="preserve"> HYPERLINK \l "_Toc207208434" </w:instrText>
      </w:r>
      <w:r>
        <w:fldChar w:fldCharType="separate"/>
      </w:r>
      <w:r>
        <w:rPr>
          <w:rStyle w:val="32"/>
          <w:rFonts w:hint="eastAsia"/>
        </w:rPr>
        <w:t>11.12</w:t>
      </w:r>
      <w:r>
        <w:rPr>
          <w:rFonts w:hint="eastAsia" w:asciiTheme="minorHAnsi" w:hAnsiTheme="minorHAnsi" w:eastAsiaTheme="minorEastAsia" w:cstheme="minorBidi"/>
          <w:sz w:val="22"/>
          <w14:ligatures w14:val="standardContextual"/>
        </w:rPr>
        <w:tab/>
      </w:r>
      <w:r>
        <w:rPr>
          <w:rStyle w:val="32"/>
          <w:rFonts w:hint="eastAsia"/>
        </w:rPr>
        <w:t>建议及要求</w:t>
      </w:r>
      <w:r>
        <w:rPr>
          <w:rFonts w:hint="eastAsia"/>
        </w:rPr>
        <w:tab/>
      </w:r>
      <w:r>
        <w:rPr>
          <w:rFonts w:hint="eastAsia"/>
        </w:rPr>
        <w:fldChar w:fldCharType="begin"/>
      </w:r>
      <w:r>
        <w:rPr>
          <w:rFonts w:hint="eastAsia"/>
        </w:rPr>
        <w:instrText xml:space="preserve"> </w:instrText>
      </w:r>
      <w:r>
        <w:instrText xml:space="preserve">PAGEREF _Toc207208434 \h</w:instrText>
      </w:r>
      <w:r>
        <w:rPr>
          <w:rFonts w:hint="eastAsia"/>
        </w:rPr>
        <w:instrText xml:space="preserve"> </w:instrText>
      </w:r>
      <w:r>
        <w:rPr>
          <w:rFonts w:hint="eastAsia"/>
        </w:rPr>
        <w:fldChar w:fldCharType="separate"/>
      </w:r>
      <w:r>
        <w:t>174</w:t>
      </w:r>
      <w:r>
        <w:rPr>
          <w:rFonts w:hint="eastAsia"/>
        </w:rPr>
        <w:fldChar w:fldCharType="end"/>
      </w:r>
      <w:r>
        <w:rPr>
          <w:rFonts w:hint="eastAsia"/>
        </w:rPr>
        <w:fldChar w:fldCharType="end"/>
      </w:r>
    </w:p>
    <w:p w14:paraId="738AE87C">
      <w:pPr>
        <w:adjustRightInd w:val="0"/>
        <w:snapToGrid w:val="0"/>
        <w:spacing w:line="500" w:lineRule="exact"/>
      </w:pPr>
      <w:r>
        <w:rPr>
          <w:rFonts w:eastAsia="楷体"/>
        </w:rPr>
        <w:fldChar w:fldCharType="end"/>
      </w:r>
      <w:bookmarkEnd w:id="0"/>
      <w:bookmarkEnd w:id="1"/>
      <w:bookmarkEnd w:id="2"/>
      <w:bookmarkEnd w:id="3"/>
      <w:bookmarkEnd w:id="5"/>
      <w:bookmarkStart w:id="6" w:name="_Toc448848018"/>
      <w:bookmarkStart w:id="7" w:name="_Toc363634014"/>
      <w:bookmarkStart w:id="8" w:name="_Toc19242"/>
      <w:bookmarkStart w:id="9" w:name="_Toc277877395"/>
    </w:p>
    <w:p w14:paraId="3305E03F">
      <w:pPr>
        <w:pStyle w:val="3"/>
        <w:ind w:firstLine="0" w:firstLineChars="0"/>
        <w:sectPr>
          <w:footerReference r:id="rId8" w:type="default"/>
          <w:pgSz w:w="11906" w:h="16838"/>
          <w:pgMar w:top="1440" w:right="1800" w:bottom="1440" w:left="1800" w:header="851" w:footer="992" w:gutter="0"/>
          <w:pgNumType w:fmt="upperRoman" w:start="1"/>
          <w:cols w:space="720" w:num="1"/>
          <w:docGrid w:type="lines" w:linePitch="312" w:charSpace="0"/>
        </w:sectPr>
      </w:pPr>
    </w:p>
    <w:p w14:paraId="0378ACD4">
      <w:pPr>
        <w:pStyle w:val="2"/>
      </w:pPr>
      <w:bookmarkStart w:id="10" w:name="_Toc25130"/>
      <w:bookmarkStart w:id="11" w:name="_Toc207208366"/>
      <w:r>
        <w:t>概述</w:t>
      </w:r>
      <w:bookmarkEnd w:id="6"/>
      <w:bookmarkEnd w:id="7"/>
      <w:bookmarkEnd w:id="8"/>
      <w:bookmarkEnd w:id="10"/>
      <w:bookmarkEnd w:id="11"/>
    </w:p>
    <w:bookmarkEnd w:id="9"/>
    <w:p w14:paraId="478AEF9F">
      <w:pPr>
        <w:pStyle w:val="4"/>
      </w:pPr>
      <w:bookmarkStart w:id="12" w:name="_Toc207208367"/>
      <w:r>
        <w:t>项目由来</w:t>
      </w:r>
      <w:bookmarkEnd w:id="12"/>
    </w:p>
    <w:p w14:paraId="38177FDA">
      <w:pPr>
        <w:pStyle w:val="49"/>
      </w:pPr>
      <w:r>
        <w:t>新疆艾斯米尔钢铁有限公司创建于2003年7月，主要产品为铁合金材料和隔热、隔音材料。公司于2020年5月更名为新疆艾斯米尔锰合金有限公司。厂区建有冶炼车间、烧结车间、岩棉车间、动力车间、办公生活区5个区域板块。</w:t>
      </w:r>
    </w:p>
    <w:p w14:paraId="7890A6E8">
      <w:pPr>
        <w:pStyle w:val="49"/>
      </w:pPr>
      <w:r>
        <w:t>近年来为适应市场对特殊低碳钢的需求，公司经过充分论证后决定在原产品中增加生产中低碳锰铁。公司将全面升级现有的铁合金技术装备。建设目标为：</w:t>
      </w:r>
      <w:r>
        <w:rPr>
          <w:rFonts w:ascii="Cambria Math" w:hAnsi="Cambria Math" w:cs="Cambria Math"/>
        </w:rPr>
        <w:t>①</w:t>
      </w:r>
      <w:r>
        <w:t>配合原有矿热炉生产出来的锰硅合金通过摇包机二步法生产及热装热兑倒入新建精炼炉内生产出中低碳锰铁合金，</w:t>
      </w:r>
      <w:r>
        <w:rPr>
          <w:rFonts w:ascii="Cambria Math" w:hAnsi="Cambria Math" w:cs="Cambria Math"/>
        </w:rPr>
        <w:t>②</w:t>
      </w:r>
      <w:r>
        <w:t>24平米步进式烧结机更换为48平米带式烧结机；</w:t>
      </w:r>
    </w:p>
    <w:p w14:paraId="606014E1">
      <w:pPr>
        <w:pStyle w:val="49"/>
      </w:pPr>
      <w:r>
        <w:t>在此背景下，提出建设新疆艾斯米尔锰合金有限公司特种合金冶炼及烧结车间技改项目。本次技术改造后年产3.5万吨中低碳锰铁合金。</w:t>
      </w:r>
    </w:p>
    <w:p w14:paraId="610DECA7">
      <w:pPr>
        <w:pStyle w:val="4"/>
      </w:pPr>
      <w:bookmarkStart w:id="13" w:name="_Toc947"/>
      <w:bookmarkStart w:id="14" w:name="_Toc26455"/>
      <w:bookmarkStart w:id="15" w:name="_Toc207208368"/>
      <w:r>
        <w:t>环境影响评价工作过程</w:t>
      </w:r>
      <w:bookmarkEnd w:id="13"/>
      <w:bookmarkEnd w:id="14"/>
      <w:bookmarkEnd w:id="15"/>
    </w:p>
    <w:p w14:paraId="6E3CB89A">
      <w:pPr>
        <w:pStyle w:val="49"/>
      </w:pPr>
      <w:r>
        <w:t>根据《中华人民共和国环境保护法》（2015年1月1日）、《中华人民共和国环境影响评价法》（2018年12月29日）、《建设项目环境保护管理条例》（2017年10月1日）、</w:t>
      </w:r>
      <w:bookmarkStart w:id="16" w:name="_Hlk170904826"/>
      <w:r>
        <w:t>《建设项目环境影响评价分类管理名录（2021年版）》（部令第16号，2020年11月30日），本技改项目属于“二十八、黑色金属冶炼和压延加工业 31——62炼钢312；铁合金冶炼314；——全部”分类，应编制环境影响报告书。</w:t>
      </w:r>
      <w:bookmarkEnd w:id="16"/>
      <w:r>
        <w:t>为此，新疆艾斯米尔锰合金有限公司于2025年2月委托乌鲁木齐天之宇环保科技有限公司承担“新疆艾斯米尔锰合金有限公司特种合金冶炼及烧结车间技改项目”的环境影响评价工作（委托书见附件1）。接受委托后，评价单位组织技术人员对工程厂址及周围环境进行了详细踏勘，搜集了与工程有关的技术资料，在此基础上，按照导则的有关规定和各级生态环境主管部门的具体要求，编制完成了本项目环境影响报告书。</w:t>
      </w:r>
    </w:p>
    <w:p w14:paraId="2A82E867">
      <w:pPr>
        <w:pStyle w:val="49"/>
      </w:pPr>
      <w:r>
        <w:t>环境影响评价的工作程序见下图：</w:t>
      </w:r>
    </w:p>
    <w:p w14:paraId="7B1A8604">
      <w:pPr>
        <w:pStyle w:val="3"/>
        <w:ind w:firstLine="0" w:firstLineChars="0"/>
      </w:pPr>
      <w:r>
        <w:drawing>
          <wp:inline distT="0" distB="0" distL="114300" distR="114300">
            <wp:extent cx="5294630" cy="5074285"/>
            <wp:effectExtent l="19050" t="19050" r="20320" b="311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5294630" cy="5074285"/>
                    </a:xfrm>
                    <a:prstGeom prst="rect">
                      <a:avLst/>
                    </a:prstGeom>
                    <a:noFill/>
                    <a:ln w="19050" cap="flat" cmpd="sng">
                      <a:solidFill>
                        <a:srgbClr val="000000"/>
                      </a:solidFill>
                      <a:prstDash val="solid"/>
                      <a:round/>
                      <a:headEnd type="none" w="med" len="med"/>
                      <a:tailEnd type="none" w="med" len="med"/>
                    </a:ln>
                  </pic:spPr>
                </pic:pic>
              </a:graphicData>
            </a:graphic>
          </wp:inline>
        </w:drawing>
      </w:r>
    </w:p>
    <w:p w14:paraId="4394360C">
      <w:pPr>
        <w:pStyle w:val="42"/>
      </w:pPr>
      <w:r>
        <w:t>图1.2-1   环境影响评价工作程序图</w:t>
      </w:r>
    </w:p>
    <w:p w14:paraId="27EA4819">
      <w:pPr>
        <w:pStyle w:val="49"/>
      </w:pPr>
      <w:r>
        <w:t>环评工作开展情况简述：</w:t>
      </w:r>
    </w:p>
    <w:p w14:paraId="61DCA379">
      <w:pPr>
        <w:pStyle w:val="49"/>
      </w:pPr>
      <w:r>
        <w:t>评价单位承接本建设项目环评任务后，通过搜集技术文件资料进行初步工程分析，委派环评人员奔赴现场勘查，逐步开展环境现状调查，在此基础上进行环境影响识别和评价因子筛选，明确评价重点和环境保护目标，确定工作等级、评价范围和评价标准，完成第一阶段制定工作方案的工作；接下来开展第二阶段工作，即完成工程分析、项目环境现状调查、监测与评价；第三阶段在前期工作成果基础上，提出环境保护措施，核算统计污染物排放清单，综合分析得出建设项目环境影响评价结论。汇集以上工作成果编制完成环境影响报告书后即提交技术评估、分级主管部门预审，最终报送生态环境主管部门审批。</w:t>
      </w:r>
    </w:p>
    <w:p w14:paraId="6878423B">
      <w:pPr>
        <w:pStyle w:val="4"/>
      </w:pPr>
      <w:bookmarkStart w:id="17" w:name="_Toc9779"/>
      <w:bookmarkStart w:id="18" w:name="_Toc207208369"/>
      <w:bookmarkStart w:id="19" w:name="_Toc32402"/>
      <w:r>
        <w:t>分析判定相关情况</w:t>
      </w:r>
      <w:bookmarkEnd w:id="17"/>
      <w:bookmarkEnd w:id="18"/>
      <w:bookmarkEnd w:id="19"/>
    </w:p>
    <w:p w14:paraId="6891B323">
      <w:pPr>
        <w:pStyle w:val="5"/>
        <w:spacing w:before="156"/>
      </w:pPr>
      <w:r>
        <w:t>产业政策符合性</w:t>
      </w:r>
    </w:p>
    <w:p w14:paraId="38924086">
      <w:pPr>
        <w:pStyle w:val="6"/>
      </w:pPr>
      <w:r>
        <w:t>与《产业结构调整指导目录（2024年本）》符合性</w:t>
      </w:r>
    </w:p>
    <w:p w14:paraId="5DC2235A">
      <w:pPr>
        <w:pStyle w:val="3"/>
        <w:ind w:firstLine="480"/>
      </w:pPr>
      <w:r>
        <w:t>本次技改项目为中低碳锰铁合金冶炼项目，技改工程实施后24平米步进式烧结机更换为48平米带式烧结机，不属于《产业结构调整指导目录（2024年本）》中鼓励类、限制类及淘汰类范围内，按照《促进产业结构调整暂行规定》（国发〔2005〕40号）第十三条之规定，符合国家有关法律、法规和政策规定的，视为允许类。具体相关条款判定见表1.3-1。</w:t>
      </w:r>
    </w:p>
    <w:p w14:paraId="7BD32941">
      <w:pPr>
        <w:pStyle w:val="88"/>
        <w:rPr>
          <w:rFonts w:ascii="Times New Roman" w:hAnsi="Times New Roman" w:cs="Times New Roman"/>
        </w:rPr>
      </w:pPr>
      <w:r>
        <w:rPr>
          <w:rFonts w:ascii="Times New Roman" w:hAnsi="Times New Roman" w:cs="Times New Roman"/>
        </w:rPr>
        <w:t>表1.3-1    与《产业结构调整指导目录（2024年本）》符合性分析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574"/>
        <w:gridCol w:w="4183"/>
        <w:gridCol w:w="2161"/>
        <w:gridCol w:w="736"/>
      </w:tblGrid>
      <w:tr w14:paraId="0BE13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09" w:type="pct"/>
            <w:vAlign w:val="center"/>
          </w:tcPr>
          <w:p w14:paraId="6EE2A297">
            <w:pPr>
              <w:pStyle w:val="41"/>
            </w:pPr>
            <w:r>
              <w:t>类别</w:t>
            </w:r>
          </w:p>
        </w:tc>
        <w:tc>
          <w:tcPr>
            <w:tcW w:w="2791" w:type="pct"/>
            <w:gridSpan w:val="2"/>
            <w:vAlign w:val="center"/>
          </w:tcPr>
          <w:p w14:paraId="07845DFD">
            <w:pPr>
              <w:pStyle w:val="41"/>
            </w:pPr>
            <w:r>
              <w:t>内容</w:t>
            </w:r>
          </w:p>
        </w:tc>
        <w:tc>
          <w:tcPr>
            <w:tcW w:w="1268" w:type="pct"/>
            <w:vAlign w:val="center"/>
          </w:tcPr>
          <w:p w14:paraId="7C16725F">
            <w:pPr>
              <w:pStyle w:val="41"/>
            </w:pPr>
            <w:r>
              <w:t>符合性分析</w:t>
            </w:r>
          </w:p>
        </w:tc>
        <w:tc>
          <w:tcPr>
            <w:tcW w:w="432" w:type="pct"/>
            <w:vAlign w:val="center"/>
          </w:tcPr>
          <w:p w14:paraId="042EA0F3">
            <w:pPr>
              <w:pStyle w:val="41"/>
            </w:pPr>
            <w:r>
              <w:t>是否属于</w:t>
            </w:r>
          </w:p>
        </w:tc>
      </w:tr>
      <w:tr w14:paraId="2428D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pct"/>
            <w:vMerge w:val="restart"/>
            <w:vAlign w:val="center"/>
          </w:tcPr>
          <w:p w14:paraId="59EB73B7">
            <w:pPr>
              <w:pStyle w:val="41"/>
            </w:pPr>
            <w:r>
              <w:t>限制类</w:t>
            </w:r>
          </w:p>
        </w:tc>
        <w:tc>
          <w:tcPr>
            <w:tcW w:w="337" w:type="pct"/>
            <w:vMerge w:val="restart"/>
            <w:vAlign w:val="center"/>
          </w:tcPr>
          <w:p w14:paraId="38C32958">
            <w:pPr>
              <w:pStyle w:val="41"/>
            </w:pPr>
            <w:r>
              <w:t>钢铁</w:t>
            </w:r>
          </w:p>
        </w:tc>
        <w:tc>
          <w:tcPr>
            <w:tcW w:w="2454" w:type="pct"/>
            <w:vAlign w:val="center"/>
          </w:tcPr>
          <w:p w14:paraId="3215E418">
            <w:pPr>
              <w:pStyle w:val="41"/>
            </w:pPr>
            <w:r>
              <w:t>2.铁合金、铸造生铁用步进式烧结机，180平方米以下带式烧结机（铁合金烧结机、铸造用生铁烧结机除外）</w:t>
            </w:r>
          </w:p>
        </w:tc>
        <w:tc>
          <w:tcPr>
            <w:tcW w:w="1268" w:type="pct"/>
            <w:vAlign w:val="center"/>
          </w:tcPr>
          <w:p w14:paraId="0CDC3F5E">
            <w:pPr>
              <w:pStyle w:val="41"/>
            </w:pPr>
            <w:r>
              <w:t>本次技改项目为48平米带式铁合金烧结机</w:t>
            </w:r>
          </w:p>
        </w:tc>
        <w:tc>
          <w:tcPr>
            <w:tcW w:w="432" w:type="pct"/>
            <w:vAlign w:val="center"/>
          </w:tcPr>
          <w:p w14:paraId="7877BA09">
            <w:pPr>
              <w:pStyle w:val="41"/>
            </w:pPr>
            <w:r>
              <w:t>不属于</w:t>
            </w:r>
          </w:p>
        </w:tc>
      </w:tr>
      <w:tr w14:paraId="5E62E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pct"/>
            <w:vMerge w:val="continue"/>
            <w:vAlign w:val="center"/>
          </w:tcPr>
          <w:p w14:paraId="4CD94101">
            <w:pPr>
              <w:pStyle w:val="41"/>
            </w:pPr>
          </w:p>
        </w:tc>
        <w:tc>
          <w:tcPr>
            <w:tcW w:w="337" w:type="pct"/>
            <w:vMerge w:val="continue"/>
            <w:vAlign w:val="center"/>
          </w:tcPr>
          <w:p w14:paraId="459F8EE4">
            <w:pPr>
              <w:pStyle w:val="41"/>
            </w:pPr>
          </w:p>
        </w:tc>
        <w:tc>
          <w:tcPr>
            <w:tcW w:w="2454" w:type="pct"/>
            <w:vAlign w:val="center"/>
          </w:tcPr>
          <w:p w14:paraId="15399E44">
            <w:pPr>
              <w:pStyle w:val="41"/>
            </w:pPr>
            <w:r>
              <w:t>14.3000千伏安及以上，未采用热装热兑工艺的中低碳锰铁、电炉金属锰和中低微碳铬铁精炼电炉</w:t>
            </w:r>
          </w:p>
        </w:tc>
        <w:tc>
          <w:tcPr>
            <w:tcW w:w="1268" w:type="pct"/>
            <w:vAlign w:val="center"/>
          </w:tcPr>
          <w:p w14:paraId="5E795D95">
            <w:pPr>
              <w:pStyle w:val="41"/>
            </w:pPr>
            <w:r>
              <w:t>本次技改新建精炼炉设备车间、1×6300kVA精炼炉（采用二步法及热装热兑精炼工艺）</w:t>
            </w:r>
          </w:p>
        </w:tc>
        <w:tc>
          <w:tcPr>
            <w:tcW w:w="432" w:type="pct"/>
            <w:vAlign w:val="center"/>
          </w:tcPr>
          <w:p w14:paraId="710816E2">
            <w:pPr>
              <w:pStyle w:val="41"/>
            </w:pPr>
            <w:r>
              <w:t>不属于</w:t>
            </w:r>
          </w:p>
        </w:tc>
      </w:tr>
      <w:tr w14:paraId="1F2A2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pct"/>
            <w:vMerge w:val="continue"/>
            <w:vAlign w:val="center"/>
          </w:tcPr>
          <w:p w14:paraId="129EC305">
            <w:pPr>
              <w:pStyle w:val="41"/>
            </w:pPr>
          </w:p>
        </w:tc>
        <w:tc>
          <w:tcPr>
            <w:tcW w:w="337" w:type="pct"/>
            <w:vMerge w:val="continue"/>
            <w:vAlign w:val="center"/>
          </w:tcPr>
          <w:p w14:paraId="6FAC44D2">
            <w:pPr>
              <w:pStyle w:val="41"/>
            </w:pPr>
          </w:p>
        </w:tc>
        <w:tc>
          <w:tcPr>
            <w:tcW w:w="2454" w:type="pct"/>
            <w:vAlign w:val="center"/>
          </w:tcPr>
          <w:p w14:paraId="3ED91A5C">
            <w:pPr>
              <w:pStyle w:val="41"/>
            </w:pPr>
            <w:r>
              <w:t>18.2×2.5 万千伏安（总容量 5.0 万千伏安）及以下普通铁合金矿热电炉；2×2.5 万千伏安（总容量5.0万千伏安）以上，没有明确固废及危废处理工艺及设施的新建、扩建铁合金电炉（含所有矿热电炉及精炼电炉）</w:t>
            </w:r>
          </w:p>
        </w:tc>
        <w:tc>
          <w:tcPr>
            <w:tcW w:w="1268" w:type="pct"/>
            <w:vAlign w:val="center"/>
          </w:tcPr>
          <w:p w14:paraId="29D50ED2">
            <w:pPr>
              <w:pStyle w:val="41"/>
            </w:pPr>
            <w:r>
              <w:t>本次技改工程实施后年产3.5万吨中低碳锰铁合金。</w:t>
            </w:r>
          </w:p>
        </w:tc>
        <w:tc>
          <w:tcPr>
            <w:tcW w:w="432" w:type="pct"/>
            <w:vAlign w:val="center"/>
          </w:tcPr>
          <w:p w14:paraId="6DA64822">
            <w:pPr>
              <w:pStyle w:val="41"/>
            </w:pPr>
            <w:r>
              <w:t>不属于</w:t>
            </w:r>
          </w:p>
        </w:tc>
      </w:tr>
      <w:tr w14:paraId="2179B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pct"/>
            <w:vMerge w:val="restart"/>
            <w:vAlign w:val="center"/>
          </w:tcPr>
          <w:p w14:paraId="2E890C8C">
            <w:pPr>
              <w:pStyle w:val="41"/>
            </w:pPr>
            <w:r>
              <w:t>淘汰类</w:t>
            </w:r>
          </w:p>
        </w:tc>
        <w:tc>
          <w:tcPr>
            <w:tcW w:w="337" w:type="pct"/>
            <w:vMerge w:val="restart"/>
            <w:vAlign w:val="center"/>
          </w:tcPr>
          <w:p w14:paraId="5AB32588">
            <w:pPr>
              <w:pStyle w:val="41"/>
            </w:pPr>
            <w:r>
              <w:t>钢铁</w:t>
            </w:r>
          </w:p>
        </w:tc>
        <w:tc>
          <w:tcPr>
            <w:tcW w:w="2454" w:type="pct"/>
            <w:vAlign w:val="center"/>
          </w:tcPr>
          <w:p w14:paraId="25B3C7F8">
            <w:pPr>
              <w:pStyle w:val="41"/>
            </w:pPr>
            <w:r>
              <w:t>3.钢铁生产用环形烧结机，步进式烧结机（2025年12月31日），90平方米以下烧结机，8平方米以下球团竖炉，铁合金生产用24平方米以下带式锰矿、铬矿烧结机，铸造生铁生产用24平方米以下烧结机</w:t>
            </w:r>
          </w:p>
        </w:tc>
        <w:tc>
          <w:tcPr>
            <w:tcW w:w="1268" w:type="pct"/>
            <w:vAlign w:val="center"/>
          </w:tcPr>
          <w:p w14:paraId="7D0B4EB4">
            <w:pPr>
              <w:pStyle w:val="41"/>
            </w:pPr>
            <w:r>
              <w:t>本次技改项目为48平米带式铁合金烧结机</w:t>
            </w:r>
          </w:p>
        </w:tc>
        <w:tc>
          <w:tcPr>
            <w:tcW w:w="432" w:type="pct"/>
            <w:vAlign w:val="center"/>
          </w:tcPr>
          <w:p w14:paraId="35D758E3">
            <w:pPr>
              <w:pStyle w:val="41"/>
            </w:pPr>
            <w:r>
              <w:t>不属于</w:t>
            </w:r>
          </w:p>
        </w:tc>
      </w:tr>
      <w:tr w14:paraId="30D8F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9" w:type="pct"/>
            <w:vMerge w:val="continue"/>
            <w:vAlign w:val="center"/>
          </w:tcPr>
          <w:p w14:paraId="562B6D88">
            <w:pPr>
              <w:pStyle w:val="41"/>
            </w:pPr>
          </w:p>
        </w:tc>
        <w:tc>
          <w:tcPr>
            <w:tcW w:w="337" w:type="pct"/>
            <w:vMerge w:val="continue"/>
            <w:vAlign w:val="center"/>
          </w:tcPr>
          <w:p w14:paraId="5B15CC9A">
            <w:pPr>
              <w:pStyle w:val="41"/>
            </w:pPr>
          </w:p>
        </w:tc>
        <w:tc>
          <w:tcPr>
            <w:tcW w:w="2454" w:type="pct"/>
            <w:vAlign w:val="center"/>
          </w:tcPr>
          <w:p w14:paraId="6E5713BF">
            <w:pPr>
              <w:pStyle w:val="41"/>
            </w:pPr>
            <w:r>
              <w:t>10.12500千伏安以下普通铁合金矿热电炉（2025年12月31日），3000千伏安以下铁合金半封闭直流电炉、铁合金精炼电炉（钨铁、钒铁等特殊品种的电炉除外）</w:t>
            </w:r>
          </w:p>
        </w:tc>
        <w:tc>
          <w:tcPr>
            <w:tcW w:w="1268" w:type="pct"/>
            <w:vAlign w:val="center"/>
          </w:tcPr>
          <w:p w14:paraId="1D9D847E">
            <w:pPr>
              <w:pStyle w:val="41"/>
            </w:pPr>
            <w:r>
              <w:t>本次技改新建1×6300kVA精炼炉</w:t>
            </w:r>
          </w:p>
        </w:tc>
        <w:tc>
          <w:tcPr>
            <w:tcW w:w="432" w:type="pct"/>
            <w:vAlign w:val="center"/>
          </w:tcPr>
          <w:p w14:paraId="3EF0A439">
            <w:pPr>
              <w:pStyle w:val="41"/>
            </w:pPr>
            <w:r>
              <w:t>不属于</w:t>
            </w:r>
          </w:p>
        </w:tc>
      </w:tr>
    </w:tbl>
    <w:p w14:paraId="0FC978C4">
      <w:pPr>
        <w:pStyle w:val="6"/>
      </w:pPr>
      <w:r>
        <w:t>与相关产业政策的符合性分析</w:t>
      </w:r>
    </w:p>
    <w:p w14:paraId="3F2AB2D9">
      <w:pPr>
        <w:pStyle w:val="3"/>
        <w:ind w:firstLine="480"/>
      </w:pPr>
      <w:r>
        <w:t>本项目与相关产业政策符合性分析，见表1.3-2。</w:t>
      </w:r>
    </w:p>
    <w:p w14:paraId="641BF8C9">
      <w:pPr>
        <w:pStyle w:val="3"/>
        <w:ind w:firstLine="480"/>
      </w:pPr>
      <w:r>
        <w:t>根据分析，本项目符合《国务院关于加快建立健全绿色低碳循环发展经济体系的指导意见》《国务院关于印发“十四五”节能减排综合工作方案的通知》《中共中央 国务院关于完整准确全面贯彻新发展理念做好碳达峰碳中和工作的意见》《国家发展改革委等部门关于严格能效约束推动重点领域节能降碳的若干意见》《“十四五”全国清洁生产推行方案》《国务院关于化解产能严重过剩矛盾的指导意见》《关于做好2018年重点领域化解过剩产能工作的通知》《高耗能行业重点领域节能降碳改造升级实施指南》《新疆维吾尔自治区工业领域碳达峰实施方案》《自治区严禁“三高”项目进新疆推动经济高质量发展实施方案》等相关产业政策。</w:t>
      </w:r>
    </w:p>
    <w:p w14:paraId="20241B93">
      <w:pPr>
        <w:pStyle w:val="6"/>
      </w:pPr>
      <w:r>
        <w:t>行业规范条件符合性</w:t>
      </w:r>
    </w:p>
    <w:p w14:paraId="2442A71A">
      <w:pPr>
        <w:pStyle w:val="3"/>
        <w:ind w:firstLine="480"/>
      </w:pPr>
      <w:r>
        <w:t>本项目与《钢铁行业规范条件（2025年版）》的符合性分析，见表1.3-4。根据分析，本项目符合《钢铁行业规范条件（2025年版）》相关要求。</w:t>
      </w:r>
    </w:p>
    <w:p w14:paraId="2C115BF9">
      <w:pPr>
        <w:pStyle w:val="5"/>
        <w:spacing w:before="156"/>
      </w:pPr>
      <w:r>
        <w:t>环境政策符合性</w:t>
      </w:r>
    </w:p>
    <w:p w14:paraId="31023CE5">
      <w:pPr>
        <w:pStyle w:val="3"/>
        <w:ind w:firstLine="480"/>
      </w:pPr>
      <w:r>
        <w:t>本项目与相关环境政策的符合性分析，见表1.3-4。</w:t>
      </w:r>
    </w:p>
    <w:p w14:paraId="3DE6E413">
      <w:pPr>
        <w:pStyle w:val="3"/>
        <w:ind w:firstLine="480"/>
      </w:pPr>
      <w:r>
        <w:t>本项目符合《中共中央 国务院关于深入打好污染防治攻坚战的意见》《关于加强高耗能、高排放建设项目生态环境源头防控的指导意见》《关于深入打好污染防治攻坚战的实施方案》《空气质量持续改善行动计划》《关于加强重点行业建设项目区域削减措施监督管理的通知》《关于重点区域执行大气污染物特别排放限值的公告》《新疆维吾尔自治区大气污染防治条例》《工业炉窑大气污染综合治理方案》《新疆维吾尔自治区危险废物污染环境防治办法》《关于开展自治区2022年度夏秋季大气污染防治“冬病夏治”工作的通知》</w:t>
      </w:r>
      <w:r>
        <w:rPr>
          <w:lang w:bidi="ar"/>
        </w:rPr>
        <w:t>《关于加强涉重金属行业污染防控的意见》《国务院关于印发土壤污染防治行动计划的通知》《新疆维吾尔自治区土壤防治工作方案》《关于印发〈新疆维吾尔自治区加强涉重金属行业污染防控工作方案〉的通知》</w:t>
      </w:r>
      <w:r>
        <w:t>《自治区减污降碳协同增效实施方案》《伊犁州大气环境整治“2024-2025年”行动方案》等环境政策要求。</w:t>
      </w:r>
    </w:p>
    <w:p w14:paraId="5DC8804C">
      <w:pPr>
        <w:pStyle w:val="3"/>
        <w:ind w:firstLine="480"/>
        <w:sectPr>
          <w:pgSz w:w="11906" w:h="16838"/>
          <w:pgMar w:top="1440" w:right="1800" w:bottom="1276" w:left="1800" w:header="851" w:footer="215" w:gutter="0"/>
          <w:pgNumType w:start="1"/>
          <w:cols w:space="720" w:num="1"/>
          <w:docGrid w:type="lines" w:linePitch="312" w:charSpace="0"/>
        </w:sectPr>
      </w:pPr>
    </w:p>
    <w:p w14:paraId="6FEEC3D1">
      <w:pPr>
        <w:pStyle w:val="40"/>
        <w:spacing w:before="163"/>
      </w:pPr>
      <w:bookmarkStart w:id="20" w:name="_Hlk170835279"/>
      <w:bookmarkStart w:id="21" w:name="_Hlk170835295"/>
      <w:r>
        <w:t>表1.3-</w:t>
      </w:r>
      <w:bookmarkEnd w:id="20"/>
      <w:r>
        <w:t>2    本项目与相关产业政策的符合性分析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723"/>
        <w:gridCol w:w="6283"/>
        <w:gridCol w:w="4769"/>
        <w:gridCol w:w="855"/>
      </w:tblGrid>
      <w:tr w14:paraId="09549C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47" w:type="pct"/>
            <w:vAlign w:val="center"/>
          </w:tcPr>
          <w:p w14:paraId="35DB0B75">
            <w:pPr>
              <w:pStyle w:val="41"/>
              <w:adjustRightInd w:val="0"/>
              <w:snapToGrid w:val="0"/>
              <w:ind w:left="-72" w:leftChars="-30" w:right="-72" w:rightChars="-30"/>
            </w:pPr>
            <w:r>
              <w:t>序号</w:t>
            </w:r>
          </w:p>
        </w:tc>
        <w:tc>
          <w:tcPr>
            <w:tcW w:w="601" w:type="pct"/>
            <w:vAlign w:val="center"/>
          </w:tcPr>
          <w:p w14:paraId="2F535BF3">
            <w:pPr>
              <w:pStyle w:val="41"/>
              <w:adjustRightInd w:val="0"/>
              <w:snapToGrid w:val="0"/>
              <w:ind w:left="-72" w:leftChars="-30" w:right="-72" w:rightChars="-30"/>
            </w:pPr>
            <w:r>
              <w:t>政策文件</w:t>
            </w:r>
          </w:p>
        </w:tc>
        <w:tc>
          <w:tcPr>
            <w:tcW w:w="2191" w:type="pct"/>
            <w:vAlign w:val="center"/>
          </w:tcPr>
          <w:p w14:paraId="2BFB47F4">
            <w:pPr>
              <w:pStyle w:val="41"/>
              <w:adjustRightInd w:val="0"/>
              <w:snapToGrid w:val="0"/>
              <w:ind w:left="-72" w:leftChars="-30" w:right="-72" w:rightChars="-30"/>
            </w:pPr>
            <w:r>
              <w:t>具体要求</w:t>
            </w:r>
          </w:p>
        </w:tc>
        <w:tc>
          <w:tcPr>
            <w:tcW w:w="1663" w:type="pct"/>
            <w:vAlign w:val="center"/>
          </w:tcPr>
          <w:p w14:paraId="62042AD7">
            <w:pPr>
              <w:pStyle w:val="41"/>
              <w:adjustRightInd w:val="0"/>
              <w:snapToGrid w:val="0"/>
              <w:ind w:left="-72" w:leftChars="-30" w:right="-72" w:rightChars="-30"/>
            </w:pPr>
            <w:r>
              <w:t>本项目情况</w:t>
            </w:r>
          </w:p>
        </w:tc>
        <w:tc>
          <w:tcPr>
            <w:tcW w:w="298" w:type="pct"/>
            <w:vAlign w:val="center"/>
          </w:tcPr>
          <w:p w14:paraId="54EC53B8">
            <w:pPr>
              <w:pStyle w:val="41"/>
              <w:adjustRightInd w:val="0"/>
              <w:snapToGrid w:val="0"/>
              <w:ind w:left="-72" w:leftChars="-30" w:right="-72" w:rightChars="-30"/>
            </w:pPr>
            <w:r>
              <w:t>符合性</w:t>
            </w:r>
          </w:p>
        </w:tc>
      </w:tr>
      <w:tr w14:paraId="190BB7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0E16E237">
            <w:pPr>
              <w:pStyle w:val="41"/>
              <w:adjustRightInd w:val="0"/>
              <w:snapToGrid w:val="0"/>
              <w:ind w:left="-72" w:leftChars="-30" w:right="-72" w:rightChars="-30"/>
            </w:pPr>
            <w:r>
              <w:t>1</w:t>
            </w:r>
          </w:p>
        </w:tc>
        <w:tc>
          <w:tcPr>
            <w:tcW w:w="601" w:type="pct"/>
            <w:vAlign w:val="center"/>
          </w:tcPr>
          <w:p w14:paraId="1EF0FEB9">
            <w:pPr>
              <w:pStyle w:val="41"/>
              <w:adjustRightInd w:val="0"/>
              <w:snapToGrid w:val="0"/>
              <w:ind w:left="-72" w:leftChars="-30" w:right="-72" w:rightChars="-30"/>
            </w:pPr>
            <w:r>
              <w:t>《国务院关于加快建立健全绿色低碳循环发展经济体系的指导意见》（国发〔2021〕4号）</w:t>
            </w:r>
          </w:p>
        </w:tc>
        <w:tc>
          <w:tcPr>
            <w:tcW w:w="2191" w:type="pct"/>
            <w:vAlign w:val="center"/>
          </w:tcPr>
          <w:p w14:paraId="1E68AF2A">
            <w:pPr>
              <w:pStyle w:val="41"/>
              <w:adjustRightInd w:val="0"/>
              <w:snapToGrid w:val="0"/>
              <w:ind w:left="-72" w:leftChars="-30" w:right="-72" w:rightChars="-30"/>
              <w:jc w:val="left"/>
            </w:pPr>
            <w:r>
              <w:t>（四）推进工业绿色升级。加快实施钢铁、石化、化工、有色、建材、纺织、造纸、皮革等行业绿色化改造。推行产品绿色设计，建设绿色制造体系。大力发展再制造产业，加强再制造产品认证与推广应用。建设资源综合利用基地，促进工业固体废物综合利用。全面推行清洁生产，依法在“双超双有高耗能”行业实施强制性清洁生产审核。完善“散乱污”企业认定办法，分类实施关停取缔、整合搬迁、整改提升等措施。加快实施排污许可制度。加强工业生产过程中危险废物管理。</w:t>
            </w:r>
          </w:p>
        </w:tc>
        <w:tc>
          <w:tcPr>
            <w:tcW w:w="1663" w:type="pct"/>
            <w:vAlign w:val="center"/>
          </w:tcPr>
          <w:p w14:paraId="31149B53">
            <w:pPr>
              <w:pStyle w:val="41"/>
              <w:adjustRightInd w:val="0"/>
              <w:snapToGrid w:val="0"/>
              <w:ind w:left="-72" w:leftChars="-30" w:right="-72" w:rightChars="-30"/>
              <w:jc w:val="left"/>
            </w:pPr>
            <w:r>
              <w:t>本项目为现有工程技术改造项目，充分利用现有生产工艺和设施设备，不改变现有生产工艺和设施设备。</w:t>
            </w:r>
          </w:p>
        </w:tc>
        <w:tc>
          <w:tcPr>
            <w:tcW w:w="298" w:type="pct"/>
            <w:vAlign w:val="center"/>
          </w:tcPr>
          <w:p w14:paraId="7E979A69">
            <w:pPr>
              <w:pStyle w:val="41"/>
              <w:adjustRightInd w:val="0"/>
              <w:snapToGrid w:val="0"/>
              <w:ind w:left="-72" w:leftChars="-30" w:right="-72" w:rightChars="-30"/>
            </w:pPr>
            <w:r>
              <w:t>符合</w:t>
            </w:r>
          </w:p>
        </w:tc>
      </w:tr>
      <w:tr w14:paraId="340C6A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718B0E4C">
            <w:pPr>
              <w:pStyle w:val="41"/>
              <w:adjustRightInd w:val="0"/>
              <w:snapToGrid w:val="0"/>
              <w:ind w:left="-72" w:leftChars="-30" w:right="-72" w:rightChars="-30"/>
            </w:pPr>
            <w:r>
              <w:t>2</w:t>
            </w:r>
          </w:p>
        </w:tc>
        <w:tc>
          <w:tcPr>
            <w:tcW w:w="601" w:type="pct"/>
            <w:vAlign w:val="center"/>
          </w:tcPr>
          <w:p w14:paraId="7EB07C48">
            <w:pPr>
              <w:pStyle w:val="41"/>
              <w:adjustRightInd w:val="0"/>
              <w:snapToGrid w:val="0"/>
              <w:ind w:left="-72" w:leftChars="-30" w:right="-72" w:rightChars="-30"/>
            </w:pPr>
            <w:r>
              <w:t>《国务院关于印发“十四五”节能减排综合工作方案的通知》（国发〔2021〕33号）</w:t>
            </w:r>
          </w:p>
        </w:tc>
        <w:tc>
          <w:tcPr>
            <w:tcW w:w="2191" w:type="pct"/>
            <w:vAlign w:val="center"/>
          </w:tcPr>
          <w:p w14:paraId="539CCDF7">
            <w:pPr>
              <w:pStyle w:val="41"/>
              <w:adjustRightInd w:val="0"/>
              <w:snapToGrid w:val="0"/>
              <w:ind w:left="-72" w:leftChars="-30" w:right="-72" w:rightChars="-30"/>
              <w:jc w:val="left"/>
            </w:pPr>
            <w:r>
              <w:t>三、实施节能减排重点工程</w:t>
            </w:r>
          </w:p>
          <w:p w14:paraId="419667A7">
            <w:pPr>
              <w:pStyle w:val="41"/>
              <w:adjustRightInd w:val="0"/>
              <w:snapToGrid w:val="0"/>
              <w:ind w:left="-72" w:leftChars="-30" w:right="-72" w:rightChars="-30"/>
              <w:jc w:val="left"/>
            </w:pPr>
            <w:r>
              <w:t>（一）重点行业绿色升级工程。以钢铁、有色金属、建材、石化化工等行业为重点，推进节能改造和污染物深度治理。</w:t>
            </w:r>
          </w:p>
        </w:tc>
        <w:tc>
          <w:tcPr>
            <w:tcW w:w="1663" w:type="pct"/>
            <w:vAlign w:val="center"/>
          </w:tcPr>
          <w:p w14:paraId="4213533A">
            <w:pPr>
              <w:pStyle w:val="41"/>
              <w:adjustRightInd w:val="0"/>
              <w:snapToGrid w:val="0"/>
              <w:ind w:left="-72" w:leftChars="-30" w:right="-72" w:rightChars="-30"/>
              <w:jc w:val="left"/>
            </w:pPr>
            <w:r>
              <w:t>本项目技改后，各项污染物可实现达标排放，项目建设不增加企业现有总量控制指标限值。</w:t>
            </w:r>
          </w:p>
        </w:tc>
        <w:tc>
          <w:tcPr>
            <w:tcW w:w="298" w:type="pct"/>
            <w:vAlign w:val="center"/>
          </w:tcPr>
          <w:p w14:paraId="7A6C9E93">
            <w:pPr>
              <w:pStyle w:val="41"/>
              <w:adjustRightInd w:val="0"/>
              <w:snapToGrid w:val="0"/>
              <w:ind w:left="-72" w:leftChars="-30" w:right="-72" w:rightChars="-30"/>
            </w:pPr>
            <w:r>
              <w:t>符合</w:t>
            </w:r>
          </w:p>
        </w:tc>
      </w:tr>
      <w:tr w14:paraId="25E4A8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5B658A06">
            <w:pPr>
              <w:pStyle w:val="41"/>
              <w:adjustRightInd w:val="0"/>
              <w:snapToGrid w:val="0"/>
              <w:ind w:left="-72" w:leftChars="-30" w:right="-72" w:rightChars="-30"/>
            </w:pPr>
            <w:r>
              <w:t>3</w:t>
            </w:r>
          </w:p>
        </w:tc>
        <w:tc>
          <w:tcPr>
            <w:tcW w:w="601" w:type="pct"/>
            <w:vAlign w:val="center"/>
          </w:tcPr>
          <w:p w14:paraId="616CE8D6">
            <w:pPr>
              <w:pStyle w:val="41"/>
              <w:adjustRightInd w:val="0"/>
              <w:snapToGrid w:val="0"/>
              <w:ind w:left="-72" w:leftChars="-30" w:right="-72" w:rightChars="-30"/>
            </w:pPr>
            <w:r>
              <w:t>《中共中央 国务院关于完整准确全面贯彻新发展理念做好碳达峰碳中和工作的意见》（2021年9月22日）</w:t>
            </w:r>
          </w:p>
        </w:tc>
        <w:tc>
          <w:tcPr>
            <w:tcW w:w="2191" w:type="pct"/>
            <w:vAlign w:val="center"/>
          </w:tcPr>
          <w:p w14:paraId="2A2D3FB9">
            <w:pPr>
              <w:pStyle w:val="41"/>
              <w:adjustRightInd w:val="0"/>
              <w:snapToGrid w:val="0"/>
              <w:ind w:left="-72" w:leftChars="-30" w:right="-72" w:rightChars="-30"/>
              <w:jc w:val="left"/>
            </w:pPr>
            <w:r>
              <w:t>四、深度调整产业结构</w:t>
            </w:r>
          </w:p>
          <w:p w14:paraId="24F257DA">
            <w:pPr>
              <w:pStyle w:val="41"/>
              <w:adjustRightInd w:val="0"/>
              <w:snapToGrid w:val="0"/>
              <w:ind w:left="-72" w:leftChars="-30" w:right="-72" w:rightChars="-30"/>
              <w:jc w:val="left"/>
            </w:pPr>
            <w:r>
              <w:t>（六）推动产业结构优化升级。加快推进农业绿色发展，促进农业固碳增效。制定能源、钢铁、有色金属、石化化工、建材、交通、建筑等行业和领域碳达峰实施方案。以节能降碳为导向，修订产业结构调整指导目录。开展钢铁、煤炭去产能“回头看”，巩固去产能成果。加快推进工业领域低碳工艺革新和数字化转型。开展碳达峰试点园区建设。加快商贸流通、信息服务等绿色转型，提升服务业低碳发展水平。</w:t>
            </w:r>
          </w:p>
        </w:tc>
        <w:tc>
          <w:tcPr>
            <w:tcW w:w="1663" w:type="pct"/>
            <w:vAlign w:val="center"/>
          </w:tcPr>
          <w:p w14:paraId="00211027">
            <w:pPr>
              <w:pStyle w:val="41"/>
              <w:adjustRightInd w:val="0"/>
              <w:snapToGrid w:val="0"/>
              <w:ind w:left="-72" w:leftChars="-30" w:right="-72" w:rightChars="-30"/>
              <w:jc w:val="left"/>
            </w:pPr>
            <w:r>
              <w:t>本项目为现有工程技术改造项目，充分利用现有生产工艺和设施设备，不改变现有生产工艺和设施设备。</w:t>
            </w:r>
          </w:p>
        </w:tc>
        <w:tc>
          <w:tcPr>
            <w:tcW w:w="298" w:type="pct"/>
            <w:vAlign w:val="center"/>
          </w:tcPr>
          <w:p w14:paraId="0F75665D">
            <w:pPr>
              <w:pStyle w:val="41"/>
              <w:adjustRightInd w:val="0"/>
              <w:snapToGrid w:val="0"/>
              <w:ind w:left="-72" w:leftChars="-30" w:right="-72" w:rightChars="-30"/>
            </w:pPr>
            <w:r>
              <w:t>符合</w:t>
            </w:r>
          </w:p>
        </w:tc>
      </w:tr>
      <w:tr w14:paraId="2893AC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50128728">
            <w:pPr>
              <w:pStyle w:val="41"/>
              <w:adjustRightInd w:val="0"/>
              <w:snapToGrid w:val="0"/>
              <w:ind w:left="-72" w:leftChars="-30" w:right="-72" w:rightChars="-30"/>
            </w:pPr>
            <w:r>
              <w:t>4</w:t>
            </w:r>
          </w:p>
        </w:tc>
        <w:tc>
          <w:tcPr>
            <w:tcW w:w="601" w:type="pct"/>
            <w:vAlign w:val="center"/>
          </w:tcPr>
          <w:p w14:paraId="71D7EA09">
            <w:pPr>
              <w:pStyle w:val="41"/>
              <w:adjustRightInd w:val="0"/>
              <w:snapToGrid w:val="0"/>
              <w:ind w:left="-72" w:leftChars="-30" w:right="-72" w:rightChars="-30"/>
            </w:pPr>
            <w:r>
              <w:t>《国家发展改革委等部门关于严格能效约束推动重点领域节能降碳的若干意见》（发改产业〔2021〕1464号）</w:t>
            </w:r>
          </w:p>
        </w:tc>
        <w:tc>
          <w:tcPr>
            <w:tcW w:w="2191" w:type="pct"/>
            <w:vAlign w:val="center"/>
          </w:tcPr>
          <w:p w14:paraId="033A59AD">
            <w:pPr>
              <w:pStyle w:val="41"/>
              <w:adjustRightInd w:val="0"/>
              <w:snapToGrid w:val="0"/>
              <w:ind w:left="-72" w:leftChars="-30" w:right="-72" w:rightChars="-30"/>
              <w:jc w:val="left"/>
            </w:pPr>
            <w:r>
              <w:t>（四）稳妥推进改造升级。</w:t>
            </w:r>
          </w:p>
          <w:p w14:paraId="708F05CE">
            <w:pPr>
              <w:pStyle w:val="41"/>
              <w:adjustRightInd w:val="0"/>
              <w:snapToGrid w:val="0"/>
              <w:ind w:left="-72" w:leftChars="-30" w:right="-72" w:rightChars="-30"/>
              <w:jc w:val="left"/>
            </w:pPr>
            <w:r>
              <w:t>推动重点行业存量项目开展节能降碳技术改造，合理设置政策实施过渡期，按照“整体推进、一企一策”的要求，各地分别制定省级节能降碳技术改造总体实施方案和企业具体工作方案，明确推进步骤、改造期限、技术路线、工作节点、预期目标等，确保政策稳妥有序实施。</w:t>
            </w:r>
          </w:p>
          <w:p w14:paraId="39DEA660">
            <w:pPr>
              <w:pStyle w:val="41"/>
              <w:adjustRightInd w:val="0"/>
              <w:snapToGrid w:val="0"/>
              <w:ind w:left="-72" w:leftChars="-30" w:right="-72" w:rightChars="-30"/>
              <w:jc w:val="left"/>
            </w:pPr>
            <w:r>
              <w:t>（六）强化支撑体系建设。</w:t>
            </w:r>
          </w:p>
          <w:p w14:paraId="2DA18911">
            <w:pPr>
              <w:pStyle w:val="41"/>
              <w:adjustRightInd w:val="0"/>
              <w:snapToGrid w:val="0"/>
              <w:ind w:left="-72" w:leftChars="-30" w:right="-72" w:rightChars="-30"/>
              <w:jc w:val="left"/>
            </w:pPr>
            <w:r>
              <w:t>做好产业布局、结构调整、“三线一单”生态环境分区管控、环境准入、节能审查与能耗双控政策的衔接，推动产业集中集约集聚发展，鼓励不同行业和产业链上下游融合发展。</w:t>
            </w:r>
          </w:p>
        </w:tc>
        <w:tc>
          <w:tcPr>
            <w:tcW w:w="1663" w:type="pct"/>
            <w:vAlign w:val="center"/>
          </w:tcPr>
          <w:p w14:paraId="29142300">
            <w:pPr>
              <w:pStyle w:val="41"/>
              <w:adjustRightInd w:val="0"/>
              <w:snapToGrid w:val="0"/>
              <w:ind w:left="-72" w:leftChars="-30" w:right="-72" w:rightChars="-30"/>
              <w:jc w:val="left"/>
            </w:pPr>
            <w:r>
              <w:t>（1）企业已按照要求制定《新疆艾斯米尔锰合金有限公司2024年“一企一策”大气污染治理方案》</w:t>
            </w:r>
          </w:p>
          <w:p w14:paraId="048F77F7">
            <w:pPr>
              <w:pStyle w:val="41"/>
              <w:adjustRightInd w:val="0"/>
              <w:snapToGrid w:val="0"/>
              <w:ind w:left="-72" w:leftChars="-30" w:right="-72" w:rightChars="-30"/>
              <w:jc w:val="left"/>
            </w:pPr>
            <w:r>
              <w:t>（3）本项目符合《新疆维吾尔自治区七大片区“三线一单”生态环境管控要求》《新疆维吾尔自治区生态环境分区管控动态更新成果》（新环环评发﹝2024﹞157号）及《伊犁州直生态环境分区管控动态更新成果（2025版）》，符合当地能耗双控要求。</w:t>
            </w:r>
          </w:p>
        </w:tc>
        <w:tc>
          <w:tcPr>
            <w:tcW w:w="298" w:type="pct"/>
            <w:vAlign w:val="center"/>
          </w:tcPr>
          <w:p w14:paraId="0EFA04B8">
            <w:pPr>
              <w:pStyle w:val="41"/>
              <w:adjustRightInd w:val="0"/>
              <w:snapToGrid w:val="0"/>
              <w:ind w:left="-72" w:leftChars="-30" w:right="-72" w:rightChars="-30"/>
            </w:pPr>
            <w:r>
              <w:t>符合</w:t>
            </w:r>
          </w:p>
        </w:tc>
      </w:tr>
      <w:tr w14:paraId="5C1259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4460047B">
            <w:pPr>
              <w:pStyle w:val="41"/>
              <w:adjustRightInd w:val="0"/>
              <w:snapToGrid w:val="0"/>
              <w:ind w:left="-72" w:leftChars="-30" w:right="-72" w:rightChars="-30"/>
            </w:pPr>
            <w:r>
              <w:t>5</w:t>
            </w:r>
          </w:p>
        </w:tc>
        <w:tc>
          <w:tcPr>
            <w:tcW w:w="601" w:type="pct"/>
            <w:vAlign w:val="center"/>
          </w:tcPr>
          <w:p w14:paraId="3298C0B8">
            <w:pPr>
              <w:pStyle w:val="41"/>
              <w:adjustRightInd w:val="0"/>
              <w:snapToGrid w:val="0"/>
              <w:ind w:left="-72" w:leftChars="-30" w:right="-72" w:rightChars="-30"/>
            </w:pPr>
            <w:r>
              <w:t>《“十四五”全国清洁生产推行方案》（发改环资〔2021〕1524号）</w:t>
            </w:r>
          </w:p>
        </w:tc>
        <w:tc>
          <w:tcPr>
            <w:tcW w:w="2191" w:type="pct"/>
            <w:vAlign w:val="center"/>
          </w:tcPr>
          <w:p w14:paraId="29262B1C">
            <w:pPr>
              <w:pStyle w:val="41"/>
              <w:adjustRightInd w:val="0"/>
              <w:snapToGrid w:val="0"/>
              <w:ind w:left="-72" w:leftChars="-30" w:right="-72" w:rightChars="-30"/>
              <w:jc w:val="left"/>
            </w:pPr>
            <w:r>
              <w:t>（三）加强高耗能高排放项目清洁生产评价。对标节能减排和碳达峰、碳中和目标，严格高耗能高排放项目准入，新建、改建、扩建项目应采取先进适用的工艺技术和装备，单位产品能耗、物耗和水耗等达到清洁生产先进水平。</w:t>
            </w:r>
          </w:p>
          <w:p w14:paraId="3850A9F6">
            <w:pPr>
              <w:pStyle w:val="41"/>
              <w:adjustRightInd w:val="0"/>
              <w:snapToGrid w:val="0"/>
              <w:ind w:left="-72" w:leftChars="-30" w:right="-72" w:rightChars="-30"/>
              <w:jc w:val="left"/>
            </w:pPr>
            <w:r>
              <w:t>（五）加快燃料原材料清洁替代。加大清洁能源推广应用，提高工业领域非化石能源利用比重。对以煤炭、石油焦、重油、渣油、兰炭等为燃料的工业炉窑、自备燃煤电厂及燃煤锅炉，积极推进清洁低碳能源、工业余热等替代。</w:t>
            </w:r>
          </w:p>
        </w:tc>
        <w:tc>
          <w:tcPr>
            <w:tcW w:w="1663" w:type="pct"/>
            <w:vAlign w:val="center"/>
          </w:tcPr>
          <w:p w14:paraId="09952593">
            <w:pPr>
              <w:pStyle w:val="41"/>
              <w:adjustRightInd w:val="0"/>
              <w:snapToGrid w:val="0"/>
              <w:ind w:left="-72" w:leftChars="-30" w:right="-72" w:rightChars="-30"/>
              <w:jc w:val="left"/>
            </w:pPr>
            <w:r>
              <w:t>（1）本项目为现有工程技术改造项目，充分利用现有生产工艺和设施设备。</w:t>
            </w:r>
          </w:p>
          <w:p w14:paraId="39CF3EC3">
            <w:pPr>
              <w:pStyle w:val="41"/>
              <w:adjustRightInd w:val="0"/>
              <w:snapToGrid w:val="0"/>
              <w:ind w:left="-72" w:leftChars="-30" w:right="-72" w:rightChars="-30"/>
              <w:jc w:val="left"/>
            </w:pPr>
            <w:r>
              <w:t>（2）企业积极推进清洁低碳能源改造工程。</w:t>
            </w:r>
          </w:p>
        </w:tc>
        <w:tc>
          <w:tcPr>
            <w:tcW w:w="298" w:type="pct"/>
            <w:vAlign w:val="center"/>
          </w:tcPr>
          <w:p w14:paraId="5EA787D2">
            <w:pPr>
              <w:pStyle w:val="41"/>
              <w:adjustRightInd w:val="0"/>
              <w:snapToGrid w:val="0"/>
              <w:ind w:left="-72" w:leftChars="-30" w:right="-72" w:rightChars="-30"/>
            </w:pPr>
            <w:r>
              <w:t>符合</w:t>
            </w:r>
          </w:p>
        </w:tc>
      </w:tr>
      <w:tr w14:paraId="1B1CA1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4712D217">
            <w:pPr>
              <w:pStyle w:val="41"/>
              <w:adjustRightInd w:val="0"/>
              <w:snapToGrid w:val="0"/>
              <w:ind w:left="-72" w:leftChars="-30" w:right="-72" w:rightChars="-30"/>
            </w:pPr>
            <w:r>
              <w:t>6</w:t>
            </w:r>
          </w:p>
        </w:tc>
        <w:tc>
          <w:tcPr>
            <w:tcW w:w="601" w:type="pct"/>
            <w:vAlign w:val="center"/>
          </w:tcPr>
          <w:p w14:paraId="3812A960">
            <w:pPr>
              <w:pStyle w:val="41"/>
              <w:adjustRightInd w:val="0"/>
              <w:snapToGrid w:val="0"/>
              <w:ind w:left="-72" w:leftChars="-30" w:right="-72" w:rightChars="-30"/>
            </w:pPr>
            <w:r>
              <w:t>《高耗能行业重点领域节能降碳改造升级实施指南》（2022年版）（发改产业〔2022〕200号）</w:t>
            </w:r>
          </w:p>
        </w:tc>
        <w:tc>
          <w:tcPr>
            <w:tcW w:w="2191" w:type="pct"/>
            <w:vAlign w:val="center"/>
          </w:tcPr>
          <w:p w14:paraId="3EF8ACBB">
            <w:pPr>
              <w:pStyle w:val="41"/>
              <w:adjustRightInd w:val="0"/>
              <w:snapToGrid w:val="0"/>
              <w:ind w:left="-72" w:leftChars="-30" w:right="-72" w:rightChars="-30"/>
              <w:jc w:val="left"/>
            </w:pPr>
            <w:r>
              <w:t>一、引导改造升级</w:t>
            </w:r>
          </w:p>
          <w:p w14:paraId="65074824">
            <w:pPr>
              <w:pStyle w:val="41"/>
              <w:adjustRightInd w:val="0"/>
              <w:snapToGrid w:val="0"/>
              <w:ind w:left="-72" w:leftChars="-30" w:right="-72" w:rightChars="-30"/>
              <w:jc w:val="left"/>
            </w:pPr>
            <w:r>
              <w:t>对于能效在标杆水平特别是基准水平以下的企业，积极推广本实施指南、绿色技术推广目录、工业节能技术推荐目录、“能效之星”装备产品目录等提出的先进技术装备，加强能量系统优化、余热余压利用、污染物减排、固体废物综合利用和公辅设施改造，提高生产工艺和技术装备绿色化水平，提升资源能源利用效率，促进形成强大国内市场。</w:t>
            </w:r>
          </w:p>
        </w:tc>
        <w:tc>
          <w:tcPr>
            <w:tcW w:w="1663" w:type="pct"/>
            <w:vAlign w:val="center"/>
          </w:tcPr>
          <w:p w14:paraId="63676E7C">
            <w:pPr>
              <w:pStyle w:val="41"/>
              <w:adjustRightInd w:val="0"/>
              <w:snapToGrid w:val="0"/>
              <w:ind w:left="-72" w:leftChars="-30" w:right="-72" w:rightChars="-30"/>
              <w:jc w:val="left"/>
            </w:pPr>
            <w:r>
              <w:t>本次技改工程的实施有利于企业提高生产工艺和技术装备绿色化水平，提升资源能源利用效率。</w:t>
            </w:r>
          </w:p>
        </w:tc>
        <w:tc>
          <w:tcPr>
            <w:tcW w:w="298" w:type="pct"/>
            <w:vAlign w:val="center"/>
          </w:tcPr>
          <w:p w14:paraId="120669FC">
            <w:pPr>
              <w:pStyle w:val="41"/>
              <w:adjustRightInd w:val="0"/>
              <w:snapToGrid w:val="0"/>
              <w:ind w:left="-72" w:leftChars="-30" w:right="-72" w:rightChars="-30"/>
            </w:pPr>
            <w:r>
              <w:t>符合</w:t>
            </w:r>
          </w:p>
        </w:tc>
      </w:tr>
      <w:tr w14:paraId="0A4286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34667AAC">
            <w:pPr>
              <w:pStyle w:val="41"/>
              <w:adjustRightInd w:val="0"/>
              <w:snapToGrid w:val="0"/>
              <w:ind w:left="-72" w:leftChars="-30" w:right="-72" w:rightChars="-30"/>
            </w:pPr>
            <w:r>
              <w:t>7</w:t>
            </w:r>
          </w:p>
        </w:tc>
        <w:tc>
          <w:tcPr>
            <w:tcW w:w="601" w:type="pct"/>
            <w:vAlign w:val="center"/>
          </w:tcPr>
          <w:p w14:paraId="5A7CD9D2">
            <w:pPr>
              <w:pStyle w:val="41"/>
              <w:adjustRightInd w:val="0"/>
              <w:snapToGrid w:val="0"/>
              <w:ind w:left="-72" w:leftChars="-30" w:right="-72" w:rightChars="-30"/>
            </w:pPr>
            <w:r>
              <w:t>《关于“十四五”大宗固体废弃物综合利用的指导意见》（发改环资〔2021〕381号）</w:t>
            </w:r>
          </w:p>
        </w:tc>
        <w:tc>
          <w:tcPr>
            <w:tcW w:w="2191" w:type="pct"/>
            <w:vAlign w:val="center"/>
          </w:tcPr>
          <w:p w14:paraId="02BD361E">
            <w:pPr>
              <w:pStyle w:val="41"/>
              <w:adjustRightInd w:val="0"/>
              <w:snapToGrid w:val="0"/>
              <w:ind w:left="-72" w:leftChars="-30" w:right="-72" w:rightChars="-30"/>
              <w:jc w:val="left"/>
            </w:pPr>
            <w:r>
              <w:t>（八）冶炼渣。加强产业协同利用，扩大赤泥和钢渣利用规模，提高赤泥在道路材料中的掺用比例，扩大钢渣微粉作混凝土掺合料在建设工程等领域的利用。不断探索赤泥和钢渣的其他规模化利用渠道。鼓励从赤泥中回收铁、碱、氧化铝，从冶炼渣中回收稀有稀散金属和稀贵金属等有价组分，提高矿产资源利用效率，保障国家资源安全，逐步提高冶炼渣综合利用率。</w:t>
            </w:r>
          </w:p>
        </w:tc>
        <w:tc>
          <w:tcPr>
            <w:tcW w:w="1663" w:type="pct"/>
            <w:vAlign w:val="center"/>
          </w:tcPr>
          <w:p w14:paraId="2FD1D4CC">
            <w:pPr>
              <w:pStyle w:val="41"/>
              <w:adjustRightInd w:val="0"/>
              <w:snapToGrid w:val="0"/>
              <w:ind w:left="-72" w:leftChars="-30" w:right="-72" w:rightChars="-30"/>
              <w:jc w:val="left"/>
            </w:pPr>
            <w:r>
              <w:t>本次技改工程新增精炼炉精炼过程产生冶炼渣，与现有工程产生的冶炼渣一同优先送至岩棉保温炉用于岩棉生产，剩余冷却后作为一般固废外售处置。</w:t>
            </w:r>
            <w:r>
              <w:rPr>
                <w:kern w:val="0"/>
                <w:lang w:bidi="ar"/>
              </w:rPr>
              <w:t>不仅可以充分利用矿产资源，还可以获得良好的经济效益，切实实现固体废弃物的资源化、减量化的目的。</w:t>
            </w:r>
          </w:p>
        </w:tc>
        <w:tc>
          <w:tcPr>
            <w:tcW w:w="298" w:type="pct"/>
            <w:vAlign w:val="center"/>
          </w:tcPr>
          <w:p w14:paraId="1FDD5CEC">
            <w:pPr>
              <w:pStyle w:val="41"/>
              <w:adjustRightInd w:val="0"/>
              <w:snapToGrid w:val="0"/>
              <w:ind w:left="-72" w:leftChars="-30" w:right="-72" w:rightChars="-30"/>
            </w:pPr>
            <w:r>
              <w:t>符合</w:t>
            </w:r>
          </w:p>
        </w:tc>
      </w:tr>
      <w:tr w14:paraId="68A5C4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353A41BC">
            <w:pPr>
              <w:pStyle w:val="41"/>
              <w:adjustRightInd w:val="0"/>
              <w:snapToGrid w:val="0"/>
              <w:ind w:left="-72" w:leftChars="-30" w:right="-72" w:rightChars="-30"/>
            </w:pPr>
            <w:r>
              <w:t>8</w:t>
            </w:r>
          </w:p>
        </w:tc>
        <w:tc>
          <w:tcPr>
            <w:tcW w:w="601" w:type="pct"/>
            <w:vAlign w:val="center"/>
          </w:tcPr>
          <w:p w14:paraId="16F8AC48">
            <w:pPr>
              <w:pStyle w:val="41"/>
              <w:adjustRightInd w:val="0"/>
              <w:snapToGrid w:val="0"/>
              <w:ind w:left="-72" w:leftChars="-30" w:right="-72" w:rightChars="-30"/>
            </w:pPr>
            <w:r>
              <w:t>《国务院关于化解产能严重过剩矛盾的指导意见》（国发〔2013〕41号）</w:t>
            </w:r>
          </w:p>
        </w:tc>
        <w:tc>
          <w:tcPr>
            <w:tcW w:w="2191" w:type="pct"/>
            <w:vAlign w:val="center"/>
          </w:tcPr>
          <w:p w14:paraId="5CF5F79C">
            <w:pPr>
              <w:pStyle w:val="41"/>
              <w:adjustRightInd w:val="0"/>
              <w:snapToGrid w:val="0"/>
              <w:ind w:left="-72" w:leftChars="-30" w:right="-72" w:rightChars="-30"/>
              <w:jc w:val="left"/>
            </w:pPr>
            <w:r>
              <w:t>（1）严禁建设新增产能项目。严格执行国家投资管理规定和产业政策，加强产能严重过剩行业项目管理，各地方、各部门不得以任何名义、任何方式核准、备案产能严重过剩行业新增产能项目，各相关部门和机构不得办理土地（海域）供应、能评、环评审批和新增授信支持等相关业务。</w:t>
            </w:r>
          </w:p>
          <w:p w14:paraId="6328F103">
            <w:pPr>
              <w:pStyle w:val="41"/>
              <w:adjustRightInd w:val="0"/>
              <w:snapToGrid w:val="0"/>
              <w:ind w:left="-72" w:leftChars="-30" w:right="-72" w:rightChars="-30"/>
              <w:jc w:val="left"/>
            </w:pPr>
            <w:r>
              <w:t>（三）淘汰和退出落后产能。引导产能有序退出，产能严重过剩行业项目建设，须制定产能置换方案，实施等量或减量置换。</w:t>
            </w:r>
          </w:p>
          <w:p w14:paraId="34B2FC06">
            <w:pPr>
              <w:pStyle w:val="41"/>
              <w:adjustRightInd w:val="0"/>
              <w:snapToGrid w:val="0"/>
              <w:ind w:left="-72" w:leftChars="-30" w:right="-72" w:rightChars="-30"/>
            </w:pPr>
            <w:r>
              <w:t>（四）调整优化产业结构。优化产业空间布局。有序推进产业梯度转移和环保搬迁、退城进园，防止落后产能转移，支持跨地区产能置换。</w:t>
            </w:r>
          </w:p>
        </w:tc>
        <w:tc>
          <w:tcPr>
            <w:tcW w:w="1663" w:type="pct"/>
            <w:vAlign w:val="center"/>
          </w:tcPr>
          <w:p w14:paraId="517B364A">
            <w:pPr>
              <w:pStyle w:val="41"/>
              <w:adjustRightInd w:val="0"/>
              <w:snapToGrid w:val="0"/>
              <w:ind w:left="-72" w:leftChars="-30" w:right="-72" w:rightChars="-30"/>
              <w:jc w:val="left"/>
            </w:pPr>
            <w:r>
              <w:t>（1）现有工程生产锰铁合金作为本次技改生产原料使用，技改工程实施后全厂产能不变。</w:t>
            </w:r>
          </w:p>
          <w:p w14:paraId="7EDE92FD">
            <w:pPr>
              <w:pStyle w:val="41"/>
              <w:adjustRightInd w:val="0"/>
              <w:snapToGrid w:val="0"/>
              <w:ind w:left="-72" w:leftChars="-30" w:right="-72" w:rightChars="-30"/>
              <w:jc w:val="left"/>
            </w:pPr>
            <w:r>
              <w:t>（2）</w:t>
            </w:r>
            <w:r>
              <w:rPr>
                <w:kern w:val="0"/>
              </w:rPr>
              <w:t>项目位于奎屯-独山子经济技术开发区北一区循环经济产业区，用地符合园区规划。</w:t>
            </w:r>
          </w:p>
        </w:tc>
        <w:tc>
          <w:tcPr>
            <w:tcW w:w="298" w:type="pct"/>
            <w:vAlign w:val="center"/>
          </w:tcPr>
          <w:p w14:paraId="3BB9F982">
            <w:pPr>
              <w:pStyle w:val="41"/>
              <w:adjustRightInd w:val="0"/>
              <w:snapToGrid w:val="0"/>
              <w:ind w:left="-72" w:leftChars="-30" w:right="-72" w:rightChars="-30"/>
            </w:pPr>
            <w:r>
              <w:t>符合</w:t>
            </w:r>
          </w:p>
        </w:tc>
      </w:tr>
      <w:tr w14:paraId="6D8389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3A8248A4">
            <w:pPr>
              <w:pStyle w:val="41"/>
              <w:adjustRightInd w:val="0"/>
              <w:snapToGrid w:val="0"/>
              <w:ind w:left="-72" w:leftChars="-30" w:right="-72" w:rightChars="-30"/>
            </w:pPr>
            <w:r>
              <w:t>9</w:t>
            </w:r>
          </w:p>
        </w:tc>
        <w:tc>
          <w:tcPr>
            <w:tcW w:w="601" w:type="pct"/>
            <w:vAlign w:val="center"/>
          </w:tcPr>
          <w:p w14:paraId="3329A0A8">
            <w:pPr>
              <w:pStyle w:val="41"/>
              <w:adjustRightInd w:val="0"/>
              <w:snapToGrid w:val="0"/>
              <w:ind w:left="-72" w:leftChars="-30" w:right="-72" w:rightChars="-30"/>
            </w:pPr>
            <w:r>
              <w:t>《关于做好2018年重点领域化解过剩产能工作的通知》（发改运行〔2018〕554号）</w:t>
            </w:r>
          </w:p>
        </w:tc>
        <w:tc>
          <w:tcPr>
            <w:tcW w:w="2191" w:type="pct"/>
            <w:vAlign w:val="center"/>
          </w:tcPr>
          <w:p w14:paraId="5F052824">
            <w:pPr>
              <w:pStyle w:val="41"/>
              <w:adjustRightInd w:val="0"/>
              <w:snapToGrid w:val="0"/>
              <w:ind w:left="-72" w:leftChars="-30" w:right="-72" w:rightChars="-30"/>
              <w:jc w:val="left"/>
            </w:pPr>
            <w:r>
              <w:t>三、持续深入推进钢铁去产能。巩固化解钢铁过剩产能成果，严禁新增产能，防范“地条钢”死灰复燃和已化解的过剩产能复产。坚持用市场化、法治化手段去产能，通过常态化严格执法和强制性标准实施，促使达不到有关标准和不符合产业政策的落后产能依法依规退出。严把钢铁产能置换和项目备案关，防止产能“边减边增”。着力推进钢铁企业兼并重组，合理高效利用废钢铁资源，进一步推动钢铁行业转型升级和结构优化。</w:t>
            </w:r>
          </w:p>
        </w:tc>
        <w:tc>
          <w:tcPr>
            <w:tcW w:w="1663" w:type="pct"/>
            <w:vAlign w:val="center"/>
          </w:tcPr>
          <w:p w14:paraId="63E1E87C">
            <w:pPr>
              <w:pStyle w:val="41"/>
              <w:adjustRightInd w:val="0"/>
              <w:snapToGrid w:val="0"/>
              <w:ind w:left="-72" w:leftChars="-30" w:right="-72" w:rightChars="-30"/>
              <w:jc w:val="left"/>
            </w:pPr>
            <w:r>
              <w:t>现有工程生产锰铁合金作为本次技改生产原料使用，技改工程实施后全厂产能不变。</w:t>
            </w:r>
          </w:p>
        </w:tc>
        <w:tc>
          <w:tcPr>
            <w:tcW w:w="298" w:type="pct"/>
            <w:vAlign w:val="center"/>
          </w:tcPr>
          <w:p w14:paraId="6CA0BD1A">
            <w:pPr>
              <w:pStyle w:val="41"/>
              <w:adjustRightInd w:val="0"/>
              <w:snapToGrid w:val="0"/>
              <w:ind w:left="-72" w:leftChars="-30" w:right="-72" w:rightChars="-30"/>
            </w:pPr>
            <w:r>
              <w:t>符合</w:t>
            </w:r>
          </w:p>
        </w:tc>
      </w:tr>
      <w:tr w14:paraId="14F1D5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7" w:type="pct"/>
            <w:vAlign w:val="center"/>
          </w:tcPr>
          <w:p w14:paraId="6A3B111A">
            <w:pPr>
              <w:pStyle w:val="41"/>
              <w:adjustRightInd w:val="0"/>
              <w:snapToGrid w:val="0"/>
              <w:ind w:left="-72" w:leftChars="-30" w:right="-72" w:rightChars="-30"/>
            </w:pPr>
            <w:r>
              <w:t>10</w:t>
            </w:r>
          </w:p>
        </w:tc>
        <w:tc>
          <w:tcPr>
            <w:tcW w:w="601" w:type="pct"/>
            <w:vAlign w:val="center"/>
          </w:tcPr>
          <w:p w14:paraId="770C06CE">
            <w:pPr>
              <w:pStyle w:val="41"/>
              <w:adjustRightInd w:val="0"/>
              <w:snapToGrid w:val="0"/>
              <w:ind w:left="-72" w:leftChars="-30" w:right="-72" w:rightChars="-30"/>
            </w:pPr>
            <w:r>
              <w:t>《自治区严禁“三高”项目进新疆推动经济高质量发展实施方案》</w:t>
            </w:r>
          </w:p>
        </w:tc>
        <w:tc>
          <w:tcPr>
            <w:tcW w:w="2191" w:type="pct"/>
            <w:vAlign w:val="center"/>
          </w:tcPr>
          <w:p w14:paraId="236E1069">
            <w:pPr>
              <w:pStyle w:val="41"/>
              <w:adjustRightInd w:val="0"/>
              <w:snapToGrid w:val="0"/>
              <w:ind w:left="-72" w:leftChars="-30" w:right="-72" w:rightChars="-30"/>
              <w:jc w:val="left"/>
            </w:pPr>
            <w:r>
              <w:t>严格落实国家相关产业政策，加快淘汰落后产业，积极化解五大行业产能过剩；凡属于《国家产业结构调整指导目录》中的限制和淘汰类项目、市场准入负面清单中的项目、不符合相应行业准入条件的项目、自治区相关产业政策禁止建设的项目，禁止新（扩）建。</w:t>
            </w:r>
          </w:p>
          <w:p w14:paraId="5078647C">
            <w:pPr>
              <w:pStyle w:val="41"/>
              <w:adjustRightInd w:val="0"/>
              <w:snapToGrid w:val="0"/>
              <w:ind w:left="-72" w:leftChars="-30" w:right="-72" w:rightChars="-30"/>
              <w:jc w:val="left"/>
            </w:pPr>
            <w:r>
              <w:t>乌鲁木齐-昌吉-石河子区域、奎屯-独山子-乌苏区域、克拉玛依市、库尔勒市等自治区大气污染联防联控区域，禁止新（改、扩）建未落实二氧化硫、氮氧化物、挥发性有机物等主要大气污染物倍量替代的项目，国家相关政策及规划有特殊要求的，执行国家相关政策及规划；钢铁、水泥、石化、火电等行业及燃煤锅炉执行大气污染物特别排放限值。</w:t>
            </w:r>
          </w:p>
        </w:tc>
        <w:tc>
          <w:tcPr>
            <w:tcW w:w="1663" w:type="pct"/>
            <w:vAlign w:val="center"/>
          </w:tcPr>
          <w:p w14:paraId="35B3C8CE">
            <w:pPr>
              <w:pStyle w:val="41"/>
              <w:adjustRightInd w:val="0"/>
              <w:snapToGrid w:val="0"/>
              <w:ind w:left="-72" w:leftChars="-30" w:right="-72" w:rightChars="-30"/>
              <w:jc w:val="left"/>
            </w:pPr>
            <w:r>
              <w:t>本项目不属于《方案》中列出的禁止新建或扩建的产业类别，厂址位于“奎-独-乌”同防同治区域，大气污染物执行特别排放限值，项目建设符合《自治区严禁“三高”项目进新疆推动经济高质量发展实施方案》相关要求。</w:t>
            </w:r>
          </w:p>
        </w:tc>
        <w:tc>
          <w:tcPr>
            <w:tcW w:w="298" w:type="pct"/>
            <w:vAlign w:val="center"/>
          </w:tcPr>
          <w:p w14:paraId="4D2B65EB">
            <w:pPr>
              <w:pStyle w:val="41"/>
              <w:adjustRightInd w:val="0"/>
              <w:snapToGrid w:val="0"/>
              <w:ind w:left="-72" w:leftChars="-30" w:right="-72" w:rightChars="-30"/>
            </w:pPr>
            <w:r>
              <w:t>符合</w:t>
            </w:r>
          </w:p>
        </w:tc>
      </w:tr>
      <w:bookmarkEnd w:id="21"/>
    </w:tbl>
    <w:p w14:paraId="1C97220E">
      <w:pPr>
        <w:pStyle w:val="40"/>
        <w:spacing w:before="163"/>
      </w:pPr>
      <w:bookmarkStart w:id="22" w:name="_Hlk170896265"/>
      <w:r>
        <w:t>表1.3-3 本项目与《钢铁行业规范条件（2025年版）》准入要求的符合性分析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49"/>
        <w:gridCol w:w="6697"/>
        <w:gridCol w:w="5805"/>
        <w:gridCol w:w="987"/>
      </w:tblGrid>
      <w:tr w14:paraId="116431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96" w:type="pct"/>
            <w:vAlign w:val="center"/>
          </w:tcPr>
          <w:p w14:paraId="6D02352C">
            <w:pPr>
              <w:pStyle w:val="41"/>
              <w:adjustRightInd w:val="0"/>
              <w:snapToGrid w:val="0"/>
              <w:ind w:left="-72" w:leftChars="-30" w:right="-72" w:rightChars="-30"/>
            </w:pPr>
            <w:r>
              <w:t>序号</w:t>
            </w:r>
          </w:p>
        </w:tc>
        <w:tc>
          <w:tcPr>
            <w:tcW w:w="2335" w:type="pct"/>
            <w:vAlign w:val="center"/>
          </w:tcPr>
          <w:p w14:paraId="08BEBAC5">
            <w:pPr>
              <w:pStyle w:val="41"/>
              <w:adjustRightInd w:val="0"/>
              <w:snapToGrid w:val="0"/>
              <w:ind w:left="-72" w:leftChars="-30" w:right="-72" w:rightChars="-30"/>
            </w:pPr>
            <w:r>
              <w:t>具体要求</w:t>
            </w:r>
          </w:p>
        </w:tc>
        <w:tc>
          <w:tcPr>
            <w:tcW w:w="2024" w:type="pct"/>
            <w:vAlign w:val="center"/>
          </w:tcPr>
          <w:p w14:paraId="180FCCB1">
            <w:pPr>
              <w:pStyle w:val="41"/>
              <w:adjustRightInd w:val="0"/>
              <w:snapToGrid w:val="0"/>
              <w:ind w:left="-72" w:leftChars="-30" w:right="-72" w:rightChars="-30"/>
            </w:pPr>
            <w:r>
              <w:t>本项目情况</w:t>
            </w:r>
          </w:p>
        </w:tc>
        <w:tc>
          <w:tcPr>
            <w:tcW w:w="344" w:type="pct"/>
            <w:vAlign w:val="center"/>
          </w:tcPr>
          <w:p w14:paraId="312C73D3">
            <w:pPr>
              <w:pStyle w:val="41"/>
              <w:adjustRightInd w:val="0"/>
              <w:snapToGrid w:val="0"/>
              <w:ind w:left="-72" w:leftChars="-30" w:right="-72" w:rightChars="-30"/>
            </w:pPr>
            <w:r>
              <w:t>符合性</w:t>
            </w:r>
          </w:p>
        </w:tc>
      </w:tr>
      <w:tr w14:paraId="6EBD16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6" w:type="pct"/>
            <w:vAlign w:val="center"/>
          </w:tcPr>
          <w:p w14:paraId="4BBCAF47">
            <w:pPr>
              <w:pStyle w:val="41"/>
              <w:adjustRightInd w:val="0"/>
              <w:snapToGrid w:val="0"/>
              <w:ind w:left="-72" w:leftChars="-30" w:right="-72" w:rightChars="-30"/>
            </w:pPr>
            <w:r>
              <w:t>1</w:t>
            </w:r>
          </w:p>
        </w:tc>
        <w:tc>
          <w:tcPr>
            <w:tcW w:w="2335" w:type="pct"/>
            <w:vAlign w:val="center"/>
          </w:tcPr>
          <w:p w14:paraId="209D01CC">
            <w:pPr>
              <w:pStyle w:val="41"/>
              <w:adjustRightInd w:val="0"/>
              <w:snapToGrid w:val="0"/>
              <w:ind w:left="-72" w:leftChars="-30" w:right="-72" w:rightChars="-30"/>
              <w:jc w:val="left"/>
            </w:pPr>
            <w:r>
              <w:t>（一）基本要求。依法依规开展生产经营活动，不存在严重违法违规行为，未列入“严重失信主体名单”，维护行业自律。正常生产，未列入“经营异常名录”。依法依规缴纳税款及社会保险费，按规定支付职工薪酬。不存在从事《中华人民共和国反垄断法》规定的垄断行为。规范企业公告前，不存在国家有关专项督察通报问题未整改完成事项。</w:t>
            </w:r>
          </w:p>
        </w:tc>
        <w:tc>
          <w:tcPr>
            <w:tcW w:w="2024" w:type="pct"/>
            <w:vAlign w:val="center"/>
          </w:tcPr>
          <w:p w14:paraId="425AC221">
            <w:pPr>
              <w:pStyle w:val="41"/>
              <w:adjustRightInd w:val="0"/>
              <w:snapToGrid w:val="0"/>
              <w:ind w:left="-72" w:leftChars="-30" w:right="-72" w:rightChars="-30"/>
            </w:pPr>
            <w:r>
              <w:t>本项目所属企业不存在上述问题。</w:t>
            </w:r>
          </w:p>
        </w:tc>
        <w:tc>
          <w:tcPr>
            <w:tcW w:w="344" w:type="pct"/>
            <w:vAlign w:val="center"/>
          </w:tcPr>
          <w:p w14:paraId="2ED64FB8">
            <w:pPr>
              <w:pStyle w:val="41"/>
              <w:adjustRightInd w:val="0"/>
              <w:snapToGrid w:val="0"/>
              <w:ind w:left="-72" w:leftChars="-30" w:right="-72" w:rightChars="-30"/>
            </w:pPr>
            <w:r>
              <w:t>符合</w:t>
            </w:r>
          </w:p>
        </w:tc>
      </w:tr>
      <w:tr w14:paraId="089F7E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6" w:type="pct"/>
            <w:vAlign w:val="center"/>
          </w:tcPr>
          <w:p w14:paraId="67197DE4">
            <w:pPr>
              <w:pStyle w:val="41"/>
              <w:adjustRightInd w:val="0"/>
              <w:snapToGrid w:val="0"/>
              <w:ind w:left="-72" w:leftChars="-30" w:right="-72" w:rightChars="-30"/>
            </w:pPr>
            <w:r>
              <w:t>2</w:t>
            </w:r>
          </w:p>
        </w:tc>
        <w:tc>
          <w:tcPr>
            <w:tcW w:w="2335" w:type="pct"/>
            <w:vAlign w:val="center"/>
          </w:tcPr>
          <w:p w14:paraId="57FF9394">
            <w:pPr>
              <w:pStyle w:val="41"/>
              <w:adjustRightInd w:val="0"/>
              <w:snapToGrid w:val="0"/>
              <w:ind w:left="-72" w:leftChars="-30" w:right="-72" w:rightChars="-30"/>
              <w:jc w:val="left"/>
            </w:pPr>
            <w:r>
              <w:t>（二）工艺装备。所有冶炼设备须具备完备的项目建设手续，严格执行《钢铁行业产能置换实施办法》要求，现有主体工艺技术及装备符合《产业结构调整指导目录》要求，不存在淘汰类工艺技术及装备。</w:t>
            </w:r>
          </w:p>
        </w:tc>
        <w:tc>
          <w:tcPr>
            <w:tcW w:w="2024" w:type="pct"/>
            <w:vAlign w:val="center"/>
          </w:tcPr>
          <w:p w14:paraId="02CD895C">
            <w:pPr>
              <w:pStyle w:val="41"/>
              <w:adjustRightInd w:val="0"/>
              <w:snapToGrid w:val="0"/>
              <w:ind w:left="-72" w:leftChars="-30" w:right="-72" w:rightChars="-30"/>
            </w:pPr>
            <w:r>
              <w:t>本项目符合《产业结构调整指导目录（2024年本）》；现有工程生产锰铁合金作为本次技改生产原料使用，技改工程实施后全厂产能不变，符合《钢铁行业产能置换实施办法》相关要求。</w:t>
            </w:r>
          </w:p>
        </w:tc>
        <w:tc>
          <w:tcPr>
            <w:tcW w:w="344" w:type="pct"/>
            <w:vAlign w:val="center"/>
          </w:tcPr>
          <w:p w14:paraId="221B33D0">
            <w:pPr>
              <w:pStyle w:val="41"/>
              <w:adjustRightInd w:val="0"/>
              <w:snapToGrid w:val="0"/>
              <w:ind w:left="-72" w:leftChars="-30" w:right="-72" w:rightChars="-30"/>
            </w:pPr>
            <w:r>
              <w:t>符合</w:t>
            </w:r>
          </w:p>
        </w:tc>
      </w:tr>
      <w:tr w14:paraId="3A3040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6" w:type="pct"/>
            <w:vAlign w:val="center"/>
          </w:tcPr>
          <w:p w14:paraId="69C66C04">
            <w:pPr>
              <w:pStyle w:val="41"/>
              <w:adjustRightInd w:val="0"/>
              <w:snapToGrid w:val="0"/>
              <w:ind w:left="-72" w:leftChars="-30" w:right="-72" w:rightChars="-30"/>
            </w:pPr>
            <w:r>
              <w:t>3</w:t>
            </w:r>
          </w:p>
        </w:tc>
        <w:tc>
          <w:tcPr>
            <w:tcW w:w="2335" w:type="pct"/>
            <w:vAlign w:val="center"/>
          </w:tcPr>
          <w:p w14:paraId="7C2AC744">
            <w:pPr>
              <w:pStyle w:val="41"/>
              <w:adjustRightInd w:val="0"/>
              <w:snapToGrid w:val="0"/>
              <w:ind w:left="-72" w:leftChars="-30" w:right="-72" w:rightChars="-30"/>
              <w:jc w:val="left"/>
            </w:pPr>
            <w:r>
              <w:t>（三）环境保护。符合生态环境分区管控、环境影响评价、环境保护设施“三同时”、环境保护竣工验收等要求。依法申领排污许可证，履行依证排污责任，落实重点污染物排放总量控制要求。2026年起完成全流程超低排放改造并公示。</w:t>
            </w:r>
          </w:p>
        </w:tc>
        <w:tc>
          <w:tcPr>
            <w:tcW w:w="2024" w:type="pct"/>
            <w:vAlign w:val="center"/>
          </w:tcPr>
          <w:p w14:paraId="102B7889">
            <w:pPr>
              <w:pStyle w:val="41"/>
              <w:adjustRightInd w:val="0"/>
              <w:snapToGrid w:val="0"/>
              <w:ind w:left="-72" w:leftChars="-30" w:right="-72" w:rightChars="-30"/>
            </w:pPr>
            <w:r>
              <w:t>厂址位于“奎-独-乌”同防同治区域，大气污染物执行特别排放限值，烧结车间机头排口执行《关于推进实施钢铁行业超低排放的意见》（环大气〔2019〕35号）附件2排放限值；项目符合《新疆维吾尔自治区生态环境分区管控动态更新成果》（新环环评发﹝2024﹞157号）及《伊犁州直生态环境分区管控动态更新成果（2025版）》，现有工程已申领排污许可证。</w:t>
            </w:r>
          </w:p>
        </w:tc>
        <w:tc>
          <w:tcPr>
            <w:tcW w:w="344" w:type="pct"/>
          </w:tcPr>
          <w:p w14:paraId="6EBBEAEC">
            <w:pPr>
              <w:pStyle w:val="41"/>
              <w:adjustRightInd w:val="0"/>
              <w:snapToGrid w:val="0"/>
              <w:ind w:left="-72" w:leftChars="-30" w:right="-72" w:rightChars="-30"/>
            </w:pPr>
            <w:r>
              <w:t>符合</w:t>
            </w:r>
          </w:p>
        </w:tc>
      </w:tr>
      <w:tr w14:paraId="0667B8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6" w:type="pct"/>
            <w:vAlign w:val="center"/>
          </w:tcPr>
          <w:p w14:paraId="682EA1F0">
            <w:pPr>
              <w:pStyle w:val="41"/>
              <w:adjustRightInd w:val="0"/>
              <w:snapToGrid w:val="0"/>
              <w:ind w:left="-72" w:leftChars="-30" w:right="-72" w:rightChars="-30"/>
            </w:pPr>
            <w:r>
              <w:t>4</w:t>
            </w:r>
          </w:p>
        </w:tc>
        <w:tc>
          <w:tcPr>
            <w:tcW w:w="2335" w:type="pct"/>
            <w:vAlign w:val="center"/>
          </w:tcPr>
          <w:p w14:paraId="600753A5">
            <w:pPr>
              <w:pStyle w:val="41"/>
              <w:adjustRightInd w:val="0"/>
              <w:snapToGrid w:val="0"/>
              <w:ind w:left="-72" w:leftChars="-30" w:right="-72" w:rightChars="-30"/>
              <w:jc w:val="left"/>
            </w:pPr>
            <w:r>
              <w:t>（四）资源消耗。资源综合利用符合国家有关规定。水资源消耗符合国家有关强制标准规定，不存在未经批准擅自取用地下水行为。按要求履行项目节能审查和验收等相关手续，2025年底前主要生产工序能效指标达到基准水平。</w:t>
            </w:r>
          </w:p>
        </w:tc>
        <w:tc>
          <w:tcPr>
            <w:tcW w:w="2024" w:type="pct"/>
            <w:vAlign w:val="center"/>
          </w:tcPr>
          <w:p w14:paraId="1420CA85">
            <w:pPr>
              <w:pStyle w:val="41"/>
              <w:adjustRightInd w:val="0"/>
              <w:snapToGrid w:val="0"/>
              <w:ind w:left="-72" w:leftChars="-30" w:right="-72" w:rightChars="-30"/>
            </w:pPr>
            <w:r>
              <w:t>本项目生产用水由园区供水管网提供，不开采地下水；企业已完成清洁生产审核工作，并提交</w:t>
            </w:r>
            <w:r>
              <w:rPr>
                <w:color w:val="000000"/>
              </w:rPr>
              <w:t>《新疆艾斯米尔锰合金有限公司清洁生产审核验收报告》；</w:t>
            </w:r>
          </w:p>
        </w:tc>
        <w:tc>
          <w:tcPr>
            <w:tcW w:w="344" w:type="pct"/>
          </w:tcPr>
          <w:p w14:paraId="4906012B">
            <w:pPr>
              <w:pStyle w:val="41"/>
              <w:adjustRightInd w:val="0"/>
              <w:snapToGrid w:val="0"/>
              <w:ind w:left="-72" w:leftChars="-30" w:right="-72" w:rightChars="-30"/>
            </w:pPr>
            <w:r>
              <w:t>符合</w:t>
            </w:r>
          </w:p>
        </w:tc>
      </w:tr>
      <w:tr w14:paraId="191F11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6" w:type="pct"/>
            <w:vAlign w:val="center"/>
          </w:tcPr>
          <w:p w14:paraId="542EEC16">
            <w:pPr>
              <w:pStyle w:val="41"/>
              <w:adjustRightInd w:val="0"/>
              <w:snapToGrid w:val="0"/>
              <w:ind w:left="-72" w:leftChars="-30" w:right="-72" w:rightChars="-30"/>
            </w:pPr>
            <w:r>
              <w:t>5</w:t>
            </w:r>
          </w:p>
        </w:tc>
        <w:tc>
          <w:tcPr>
            <w:tcW w:w="2335" w:type="pct"/>
            <w:vAlign w:val="center"/>
          </w:tcPr>
          <w:p w14:paraId="2723EF78">
            <w:pPr>
              <w:pStyle w:val="41"/>
              <w:adjustRightInd w:val="0"/>
              <w:snapToGrid w:val="0"/>
              <w:ind w:left="-72" w:leftChars="-30" w:right="-72" w:rightChars="-30"/>
              <w:jc w:val="left"/>
            </w:pPr>
            <w:r>
              <w:t>（五）安全生产。落实安全生产主体责任，遵守《冶金企业和有色金属企业安全生产规定》，配套建设安全设施、职业卫生防护设施，具备安全、职业卫生、消防竣工验收等相关手续。上年度以来未发生较大及以上生产安全事故，未发生重大及以上网络安全事件、数据安全事件。</w:t>
            </w:r>
          </w:p>
        </w:tc>
        <w:tc>
          <w:tcPr>
            <w:tcW w:w="2024" w:type="pct"/>
            <w:vAlign w:val="center"/>
          </w:tcPr>
          <w:p w14:paraId="28A6A284">
            <w:pPr>
              <w:pStyle w:val="41"/>
              <w:adjustRightInd w:val="0"/>
              <w:snapToGrid w:val="0"/>
              <w:ind w:left="-72" w:leftChars="-30" w:right="-72" w:rightChars="-30"/>
            </w:pPr>
            <w:r>
              <w:t>企业未发生安全事故。</w:t>
            </w:r>
          </w:p>
        </w:tc>
        <w:tc>
          <w:tcPr>
            <w:tcW w:w="344" w:type="pct"/>
            <w:vAlign w:val="center"/>
          </w:tcPr>
          <w:p w14:paraId="1BB56637">
            <w:pPr>
              <w:pStyle w:val="41"/>
              <w:adjustRightInd w:val="0"/>
              <w:snapToGrid w:val="0"/>
              <w:ind w:left="-72" w:leftChars="-30" w:right="-72" w:rightChars="-30"/>
            </w:pPr>
            <w:r>
              <w:t>符合</w:t>
            </w:r>
          </w:p>
        </w:tc>
      </w:tr>
      <w:tr w14:paraId="7242C2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96" w:type="pct"/>
            <w:vAlign w:val="center"/>
          </w:tcPr>
          <w:p w14:paraId="57F57DC0">
            <w:pPr>
              <w:pStyle w:val="41"/>
              <w:adjustRightInd w:val="0"/>
              <w:snapToGrid w:val="0"/>
              <w:ind w:left="-72" w:leftChars="-30" w:right="-72" w:rightChars="-30"/>
            </w:pPr>
            <w:r>
              <w:t>6</w:t>
            </w:r>
          </w:p>
        </w:tc>
        <w:tc>
          <w:tcPr>
            <w:tcW w:w="2335" w:type="pct"/>
            <w:vAlign w:val="center"/>
          </w:tcPr>
          <w:p w14:paraId="7FE6042A">
            <w:pPr>
              <w:pStyle w:val="41"/>
              <w:adjustRightInd w:val="0"/>
              <w:snapToGrid w:val="0"/>
              <w:ind w:left="-72" w:leftChars="-30" w:right="-72" w:rightChars="-30"/>
              <w:jc w:val="left"/>
            </w:pPr>
            <w:r>
              <w:t>（六）质量管理。建立完备的产品生产全过程质量保证制度和质量控制指标体系，具有产品质量保障部门和检化验设施，保持良好的产品质量信用记录。生产质量合格产品，不存在以假充真、以次充好，以不合格产品冒充合格产品以及生产《产业结构调整指导目录》中列明的淘汰类产品行为。</w:t>
            </w:r>
          </w:p>
        </w:tc>
        <w:tc>
          <w:tcPr>
            <w:tcW w:w="2024" w:type="pct"/>
            <w:vAlign w:val="center"/>
          </w:tcPr>
          <w:p w14:paraId="363AC229">
            <w:pPr>
              <w:pStyle w:val="41"/>
              <w:adjustRightInd w:val="0"/>
              <w:snapToGrid w:val="0"/>
              <w:ind w:left="-72" w:leftChars="-30" w:right="-72" w:rightChars="-30"/>
            </w:pPr>
            <w:r>
              <w:t>企业建设有完善的产全过程质量保证制度和质量控制指标体系，具有产品质量保障部门和检化验设施，保持良好的产品质量信用记录，设备、产品及工艺均符合《产业结构调整指导目录（2024年本）》相关要求。</w:t>
            </w:r>
          </w:p>
        </w:tc>
        <w:tc>
          <w:tcPr>
            <w:tcW w:w="344" w:type="pct"/>
            <w:vAlign w:val="center"/>
          </w:tcPr>
          <w:p w14:paraId="07375EF6">
            <w:pPr>
              <w:pStyle w:val="41"/>
              <w:adjustRightInd w:val="0"/>
              <w:snapToGrid w:val="0"/>
              <w:ind w:left="-72" w:leftChars="-30" w:right="-72" w:rightChars="-30"/>
            </w:pPr>
            <w:r>
              <w:t>符合</w:t>
            </w:r>
          </w:p>
        </w:tc>
      </w:tr>
    </w:tbl>
    <w:p w14:paraId="062ADA19">
      <w:pPr>
        <w:pStyle w:val="40"/>
        <w:spacing w:before="163"/>
      </w:pPr>
      <w:r>
        <w:t>表1.3-4    本项目与相关环境政策的符合性分析</w:t>
      </w:r>
    </w:p>
    <w:tbl>
      <w:tblPr>
        <w:tblStyle w:val="28"/>
        <w:tblW w:w="496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6"/>
        <w:gridCol w:w="1873"/>
        <w:gridCol w:w="6187"/>
        <w:gridCol w:w="4750"/>
        <w:gridCol w:w="703"/>
      </w:tblGrid>
      <w:tr w14:paraId="0EB9CB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52" w:type="pct"/>
            <w:vAlign w:val="center"/>
          </w:tcPr>
          <w:p w14:paraId="34FDB199">
            <w:pPr>
              <w:pStyle w:val="41"/>
              <w:adjustRightInd w:val="0"/>
              <w:snapToGrid w:val="0"/>
              <w:ind w:left="-72" w:leftChars="-30" w:right="-72" w:rightChars="-30"/>
            </w:pPr>
            <w:r>
              <w:t>序号</w:t>
            </w:r>
          </w:p>
        </w:tc>
        <w:tc>
          <w:tcPr>
            <w:tcW w:w="658" w:type="pct"/>
            <w:vAlign w:val="center"/>
          </w:tcPr>
          <w:p w14:paraId="0392FD1F">
            <w:pPr>
              <w:pStyle w:val="41"/>
              <w:adjustRightInd w:val="0"/>
              <w:snapToGrid w:val="0"/>
              <w:ind w:left="-72" w:leftChars="-30" w:right="-72" w:rightChars="-30"/>
            </w:pPr>
            <w:r>
              <w:t>政策文件</w:t>
            </w:r>
          </w:p>
        </w:tc>
        <w:tc>
          <w:tcPr>
            <w:tcW w:w="2174" w:type="pct"/>
            <w:vAlign w:val="center"/>
          </w:tcPr>
          <w:p w14:paraId="39054D21">
            <w:pPr>
              <w:pStyle w:val="41"/>
              <w:adjustRightInd w:val="0"/>
              <w:snapToGrid w:val="0"/>
              <w:ind w:left="-72" w:leftChars="-30" w:right="-72" w:rightChars="-30"/>
            </w:pPr>
            <w:r>
              <w:t>具体要求</w:t>
            </w:r>
          </w:p>
        </w:tc>
        <w:tc>
          <w:tcPr>
            <w:tcW w:w="1669" w:type="pct"/>
            <w:vAlign w:val="center"/>
          </w:tcPr>
          <w:p w14:paraId="1B6CADAD">
            <w:pPr>
              <w:pStyle w:val="41"/>
              <w:adjustRightInd w:val="0"/>
              <w:snapToGrid w:val="0"/>
              <w:ind w:left="-72" w:leftChars="-30" w:right="-72" w:rightChars="-30"/>
            </w:pPr>
            <w:r>
              <w:t>本项目情况</w:t>
            </w:r>
          </w:p>
        </w:tc>
        <w:tc>
          <w:tcPr>
            <w:tcW w:w="247" w:type="pct"/>
            <w:vAlign w:val="center"/>
          </w:tcPr>
          <w:p w14:paraId="334F92A6">
            <w:pPr>
              <w:pStyle w:val="41"/>
              <w:adjustRightInd w:val="0"/>
              <w:snapToGrid w:val="0"/>
              <w:ind w:left="-72" w:leftChars="-30" w:right="-72" w:rightChars="-30"/>
            </w:pPr>
            <w:r>
              <w:t>符合性</w:t>
            </w:r>
          </w:p>
        </w:tc>
      </w:tr>
      <w:tr w14:paraId="25180E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08B1E517">
            <w:pPr>
              <w:pStyle w:val="41"/>
              <w:adjustRightInd w:val="0"/>
              <w:snapToGrid w:val="0"/>
              <w:ind w:left="-72" w:leftChars="-30" w:right="-72" w:rightChars="-30"/>
            </w:pPr>
            <w:r>
              <w:t>1</w:t>
            </w:r>
          </w:p>
        </w:tc>
        <w:tc>
          <w:tcPr>
            <w:tcW w:w="658" w:type="pct"/>
            <w:vMerge w:val="restart"/>
            <w:vAlign w:val="center"/>
          </w:tcPr>
          <w:p w14:paraId="2BAE56C2">
            <w:pPr>
              <w:widowControl/>
              <w:spacing w:line="240" w:lineRule="auto"/>
              <w:jc w:val="center"/>
            </w:pPr>
            <w:r>
              <w:rPr>
                <w:kern w:val="0"/>
                <w:sz w:val="21"/>
                <w:szCs w:val="21"/>
              </w:rPr>
              <w:t>《中共中央 国务院关于深入打好污染防治攻坚战的意见》（2021年11月2</w:t>
            </w:r>
            <w:r>
              <w:rPr>
                <w:kern w:val="0"/>
              </w:rPr>
              <w:t>日）</w:t>
            </w:r>
          </w:p>
        </w:tc>
        <w:tc>
          <w:tcPr>
            <w:tcW w:w="2174" w:type="pct"/>
            <w:vAlign w:val="center"/>
          </w:tcPr>
          <w:p w14:paraId="5A431B2E">
            <w:pPr>
              <w:pStyle w:val="41"/>
              <w:adjustRightInd w:val="0"/>
              <w:snapToGrid w:val="0"/>
              <w:ind w:left="-72" w:leftChars="-30" w:right="-72" w:rightChars="-30"/>
              <w:jc w:val="left"/>
            </w:pPr>
            <w:r>
              <w:t>（七）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1669" w:type="pct"/>
            <w:vAlign w:val="center"/>
          </w:tcPr>
          <w:p w14:paraId="5B769138">
            <w:pPr>
              <w:pStyle w:val="41"/>
              <w:adjustRightInd w:val="0"/>
              <w:snapToGrid w:val="0"/>
              <w:ind w:left="-72" w:leftChars="-30" w:right="-72" w:rightChars="-30"/>
            </w:pPr>
            <w:r>
              <w:t>本项目按照国家及自治区相关排放标准，采取有效措施从严控制污染物排放。本次技术改造工程不新增全厂产能。</w:t>
            </w:r>
          </w:p>
        </w:tc>
        <w:tc>
          <w:tcPr>
            <w:tcW w:w="247" w:type="pct"/>
            <w:vAlign w:val="center"/>
          </w:tcPr>
          <w:p w14:paraId="6EAE058E">
            <w:pPr>
              <w:pStyle w:val="41"/>
              <w:adjustRightInd w:val="0"/>
              <w:snapToGrid w:val="0"/>
              <w:ind w:left="-72" w:leftChars="-30" w:right="-72" w:rightChars="-30"/>
            </w:pPr>
            <w:r>
              <w:t>符合</w:t>
            </w:r>
          </w:p>
        </w:tc>
      </w:tr>
      <w:tr w14:paraId="6CE8AD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26E68171">
            <w:pPr>
              <w:pStyle w:val="41"/>
              <w:adjustRightInd w:val="0"/>
              <w:snapToGrid w:val="0"/>
              <w:ind w:left="-72" w:leftChars="-30" w:right="-72" w:rightChars="-30"/>
            </w:pPr>
          </w:p>
        </w:tc>
        <w:tc>
          <w:tcPr>
            <w:tcW w:w="658" w:type="pct"/>
            <w:vMerge w:val="continue"/>
            <w:vAlign w:val="center"/>
          </w:tcPr>
          <w:p w14:paraId="740092A1">
            <w:pPr>
              <w:widowControl/>
              <w:spacing w:line="240" w:lineRule="auto"/>
              <w:jc w:val="center"/>
              <w:rPr>
                <w:kern w:val="0"/>
                <w:sz w:val="21"/>
                <w:szCs w:val="21"/>
              </w:rPr>
            </w:pPr>
          </w:p>
        </w:tc>
        <w:tc>
          <w:tcPr>
            <w:tcW w:w="2174" w:type="pct"/>
            <w:vAlign w:val="center"/>
          </w:tcPr>
          <w:p w14:paraId="55062EBC">
            <w:pPr>
              <w:pStyle w:val="41"/>
              <w:adjustRightInd w:val="0"/>
              <w:snapToGrid w:val="0"/>
              <w:ind w:left="-72" w:leftChars="-30" w:right="-72" w:rightChars="-30"/>
              <w:jc w:val="left"/>
            </w:pPr>
            <w:r>
              <w:t>（八）推进清洁生产和能源资源节约高效利用。引导重点行业深入实施清洁生产改造，依法开展自愿性清洁生产评价认证。大力推行绿色制造，构建资源循环利用体系。</w:t>
            </w:r>
          </w:p>
        </w:tc>
        <w:tc>
          <w:tcPr>
            <w:tcW w:w="1669" w:type="pct"/>
            <w:vAlign w:val="center"/>
          </w:tcPr>
          <w:p w14:paraId="693BD310">
            <w:pPr>
              <w:pStyle w:val="41"/>
              <w:adjustRightInd w:val="0"/>
              <w:snapToGrid w:val="0"/>
              <w:ind w:left="-72" w:leftChars="-30" w:right="-72" w:rightChars="-30"/>
            </w:pPr>
            <w:r>
              <w:t>本项目单位产品综合能耗水平满足行业清洁生产指标要求；对产生的“三废”尽量回收利用，不能回收利用的均采取切实可行的末端治理措施，有利于提高全厂清洁生产水平。</w:t>
            </w:r>
          </w:p>
        </w:tc>
        <w:tc>
          <w:tcPr>
            <w:tcW w:w="247" w:type="pct"/>
            <w:vAlign w:val="center"/>
          </w:tcPr>
          <w:p w14:paraId="371CF4D0">
            <w:pPr>
              <w:pStyle w:val="41"/>
              <w:adjustRightInd w:val="0"/>
              <w:snapToGrid w:val="0"/>
              <w:ind w:left="-72" w:leftChars="-30" w:right="-72" w:rightChars="-30"/>
            </w:pPr>
            <w:r>
              <w:t>符合</w:t>
            </w:r>
          </w:p>
        </w:tc>
      </w:tr>
      <w:tr w14:paraId="54D3DB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35641E55">
            <w:pPr>
              <w:pStyle w:val="41"/>
              <w:adjustRightInd w:val="0"/>
              <w:snapToGrid w:val="0"/>
              <w:ind w:left="-72" w:leftChars="-30" w:right="-72" w:rightChars="-30"/>
            </w:pPr>
          </w:p>
        </w:tc>
        <w:tc>
          <w:tcPr>
            <w:tcW w:w="658" w:type="pct"/>
            <w:vMerge w:val="continue"/>
            <w:vAlign w:val="center"/>
          </w:tcPr>
          <w:p w14:paraId="5CEC6B55">
            <w:pPr>
              <w:widowControl/>
              <w:spacing w:line="240" w:lineRule="auto"/>
              <w:jc w:val="center"/>
              <w:rPr>
                <w:kern w:val="0"/>
                <w:sz w:val="21"/>
                <w:szCs w:val="21"/>
              </w:rPr>
            </w:pPr>
          </w:p>
        </w:tc>
        <w:tc>
          <w:tcPr>
            <w:tcW w:w="2174" w:type="pct"/>
            <w:vAlign w:val="center"/>
          </w:tcPr>
          <w:p w14:paraId="74DE8E84">
            <w:pPr>
              <w:pStyle w:val="41"/>
              <w:adjustRightInd w:val="0"/>
              <w:snapToGrid w:val="0"/>
              <w:ind w:left="-72" w:leftChars="-30" w:right="-72" w:rightChars="-30"/>
              <w:jc w:val="left"/>
            </w:pPr>
            <w:r>
              <w:t>（十一）着力打好重污染天气消除攻坚战。天山北坡城市群加强兵地协作，钢铁、有色金属、化工等行业参照重点区域执行重污染天气应急减排措施。</w:t>
            </w:r>
          </w:p>
        </w:tc>
        <w:tc>
          <w:tcPr>
            <w:tcW w:w="1669" w:type="pct"/>
            <w:vAlign w:val="center"/>
          </w:tcPr>
          <w:p w14:paraId="190E5AB6">
            <w:pPr>
              <w:widowControl/>
              <w:spacing w:line="240" w:lineRule="auto"/>
              <w:jc w:val="left"/>
            </w:pPr>
            <w:r>
              <w:rPr>
                <w:kern w:val="0"/>
                <w:sz w:val="21"/>
                <w:szCs w:val="21"/>
              </w:rPr>
              <w:t>本项</w:t>
            </w:r>
            <w:r>
              <w:rPr>
                <w:sz w:val="21"/>
                <w:szCs w:val="21"/>
              </w:rPr>
              <w:t>目位于奎屯-独山子经济技术开发区北一区循环经济产业区，属于天山北坡城市群，厂内主体工程属于铁合金冶炼行业，严格按照重点区域执行重污染天气应急减排措施。</w:t>
            </w:r>
          </w:p>
        </w:tc>
        <w:tc>
          <w:tcPr>
            <w:tcW w:w="247" w:type="pct"/>
            <w:vAlign w:val="center"/>
          </w:tcPr>
          <w:p w14:paraId="56BABC3A">
            <w:pPr>
              <w:pStyle w:val="41"/>
              <w:adjustRightInd w:val="0"/>
              <w:snapToGrid w:val="0"/>
              <w:ind w:left="-72" w:leftChars="-30" w:right="-72" w:rightChars="-30"/>
            </w:pPr>
            <w:r>
              <w:t>符合</w:t>
            </w:r>
          </w:p>
        </w:tc>
      </w:tr>
      <w:bookmarkEnd w:id="22"/>
      <w:tr w14:paraId="2AA036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5E8C52F1">
            <w:pPr>
              <w:pStyle w:val="41"/>
              <w:adjustRightInd w:val="0"/>
              <w:snapToGrid w:val="0"/>
              <w:ind w:left="-72" w:leftChars="-30" w:right="-72" w:rightChars="-30"/>
            </w:pPr>
            <w:r>
              <w:t>2</w:t>
            </w:r>
          </w:p>
        </w:tc>
        <w:tc>
          <w:tcPr>
            <w:tcW w:w="658" w:type="pct"/>
            <w:vMerge w:val="restart"/>
            <w:vAlign w:val="center"/>
          </w:tcPr>
          <w:p w14:paraId="4856E295">
            <w:pPr>
              <w:widowControl/>
              <w:spacing w:line="240" w:lineRule="auto"/>
              <w:jc w:val="left"/>
              <w:rPr>
                <w:kern w:val="0"/>
                <w:sz w:val="21"/>
                <w:szCs w:val="21"/>
              </w:rPr>
            </w:pPr>
            <w:r>
              <w:rPr>
                <w:kern w:val="0"/>
                <w:sz w:val="21"/>
                <w:szCs w:val="21"/>
              </w:rPr>
              <w:t>《关于加强高耗能、高排放建设项目生态环境源头防控的指导意见》（环环评〔2021〕45号）</w:t>
            </w:r>
          </w:p>
        </w:tc>
        <w:tc>
          <w:tcPr>
            <w:tcW w:w="2174" w:type="pct"/>
            <w:vAlign w:val="center"/>
          </w:tcPr>
          <w:p w14:paraId="483F51B5">
            <w:pPr>
              <w:pStyle w:val="41"/>
              <w:adjustRightInd w:val="0"/>
              <w:snapToGrid w:val="0"/>
              <w:ind w:left="-72" w:leftChars="-30" w:right="-72" w:rightChars="-30"/>
              <w:jc w:val="left"/>
            </w:pPr>
            <w:r>
              <w:t>严把建设项目环境准入关。新建、改建、扩建“两高”项目须符合生态环境保护法律法规和相关法定规划，满足重点污染物排放总量控制、碳排放碳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669" w:type="pct"/>
            <w:vAlign w:val="center"/>
          </w:tcPr>
          <w:p w14:paraId="402E75F4">
            <w:pPr>
              <w:widowControl/>
              <w:spacing w:line="240" w:lineRule="auto"/>
              <w:jc w:val="left"/>
              <w:rPr>
                <w:kern w:val="0"/>
                <w:sz w:val="21"/>
                <w:szCs w:val="21"/>
              </w:rPr>
            </w:pPr>
            <w:r>
              <w:rPr>
                <w:kern w:val="0"/>
                <w:sz w:val="21"/>
                <w:szCs w:val="21"/>
              </w:rPr>
              <w:t>（1）本项目不新增废气污染物排放总量，满足相关总量控制要求及碳排放达峰目标、生态环境准入清单、新疆维吾尔自治区准入条件等。</w:t>
            </w:r>
          </w:p>
          <w:p w14:paraId="516FEC61">
            <w:pPr>
              <w:widowControl/>
              <w:spacing w:line="240" w:lineRule="auto"/>
              <w:jc w:val="left"/>
              <w:rPr>
                <w:kern w:val="0"/>
                <w:sz w:val="21"/>
                <w:szCs w:val="21"/>
              </w:rPr>
            </w:pPr>
            <w:r>
              <w:rPr>
                <w:kern w:val="0"/>
                <w:sz w:val="21"/>
                <w:szCs w:val="21"/>
              </w:rPr>
              <w:t>（2）本项目位于奎屯-独山子经济技术开发区北一区循环经济产业区，属于依法设立的工业园区。</w:t>
            </w:r>
          </w:p>
        </w:tc>
        <w:tc>
          <w:tcPr>
            <w:tcW w:w="247" w:type="pct"/>
            <w:vAlign w:val="center"/>
          </w:tcPr>
          <w:p w14:paraId="4DCC1DCE">
            <w:pPr>
              <w:pStyle w:val="41"/>
              <w:adjustRightInd w:val="0"/>
              <w:snapToGrid w:val="0"/>
              <w:ind w:left="-72" w:leftChars="-30" w:right="-72" w:rightChars="-30"/>
            </w:pPr>
            <w:r>
              <w:t>符合</w:t>
            </w:r>
          </w:p>
        </w:tc>
      </w:tr>
      <w:tr w14:paraId="7B3B6A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5F49AF6F">
            <w:pPr>
              <w:pStyle w:val="41"/>
              <w:adjustRightInd w:val="0"/>
              <w:snapToGrid w:val="0"/>
              <w:ind w:left="-72" w:leftChars="-30" w:right="-72" w:rightChars="-30"/>
              <w:rPr>
                <w:color w:val="EE0000"/>
              </w:rPr>
            </w:pPr>
          </w:p>
        </w:tc>
        <w:tc>
          <w:tcPr>
            <w:tcW w:w="658" w:type="pct"/>
            <w:vMerge w:val="continue"/>
            <w:vAlign w:val="center"/>
          </w:tcPr>
          <w:p w14:paraId="28DC238C">
            <w:pPr>
              <w:widowControl/>
              <w:spacing w:line="240" w:lineRule="auto"/>
              <w:jc w:val="center"/>
              <w:rPr>
                <w:kern w:val="0"/>
                <w:sz w:val="21"/>
                <w:szCs w:val="21"/>
              </w:rPr>
            </w:pPr>
          </w:p>
        </w:tc>
        <w:tc>
          <w:tcPr>
            <w:tcW w:w="2174" w:type="pct"/>
            <w:vAlign w:val="center"/>
          </w:tcPr>
          <w:p w14:paraId="204C6CC1">
            <w:pPr>
              <w:widowControl/>
              <w:spacing w:line="240" w:lineRule="auto"/>
              <w:jc w:val="left"/>
              <w:rPr>
                <w:sz w:val="21"/>
                <w:szCs w:val="21"/>
              </w:rPr>
            </w:pPr>
            <w:r>
              <w:rPr>
                <w:kern w:val="0"/>
                <w:sz w:val="21"/>
                <w:szCs w:val="21"/>
              </w:rPr>
              <w:t>落实区域削减要求。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1669" w:type="pct"/>
            <w:vAlign w:val="center"/>
          </w:tcPr>
          <w:p w14:paraId="2EF4F91D">
            <w:pPr>
              <w:widowControl/>
              <w:spacing w:line="240" w:lineRule="auto"/>
              <w:jc w:val="left"/>
              <w:rPr>
                <w:kern w:val="0"/>
                <w:sz w:val="21"/>
                <w:szCs w:val="21"/>
              </w:rPr>
            </w:pPr>
            <w:r>
              <w:rPr>
                <w:kern w:val="0"/>
                <w:sz w:val="21"/>
                <w:szCs w:val="21"/>
              </w:rPr>
              <w:t>本次技改后，各项污染物排放总量均满足原有排污许可证、环评及批复要求。无需新申请总量控制指标。</w:t>
            </w:r>
          </w:p>
        </w:tc>
        <w:tc>
          <w:tcPr>
            <w:tcW w:w="247" w:type="pct"/>
            <w:vAlign w:val="center"/>
          </w:tcPr>
          <w:p w14:paraId="07058E94">
            <w:pPr>
              <w:pStyle w:val="41"/>
              <w:adjustRightInd w:val="0"/>
              <w:snapToGrid w:val="0"/>
              <w:ind w:left="-72" w:leftChars="-30" w:right="-72" w:rightChars="-30"/>
            </w:pPr>
            <w:r>
              <w:t>符合</w:t>
            </w:r>
          </w:p>
        </w:tc>
      </w:tr>
      <w:tr w14:paraId="295A2D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316BED71">
            <w:pPr>
              <w:pStyle w:val="41"/>
              <w:adjustRightInd w:val="0"/>
              <w:snapToGrid w:val="0"/>
              <w:ind w:left="-72" w:leftChars="-30" w:right="-72" w:rightChars="-30"/>
              <w:rPr>
                <w:color w:val="EE0000"/>
              </w:rPr>
            </w:pPr>
          </w:p>
        </w:tc>
        <w:tc>
          <w:tcPr>
            <w:tcW w:w="658" w:type="pct"/>
            <w:vMerge w:val="continue"/>
            <w:vAlign w:val="center"/>
          </w:tcPr>
          <w:p w14:paraId="1480CD83">
            <w:pPr>
              <w:widowControl/>
              <w:spacing w:line="240" w:lineRule="auto"/>
              <w:jc w:val="center"/>
              <w:rPr>
                <w:color w:val="EE0000"/>
                <w:kern w:val="0"/>
                <w:sz w:val="21"/>
                <w:szCs w:val="21"/>
              </w:rPr>
            </w:pPr>
          </w:p>
        </w:tc>
        <w:tc>
          <w:tcPr>
            <w:tcW w:w="2174" w:type="pct"/>
            <w:vAlign w:val="center"/>
          </w:tcPr>
          <w:p w14:paraId="2C58DCAE">
            <w:pPr>
              <w:pStyle w:val="41"/>
              <w:adjustRightInd w:val="0"/>
              <w:snapToGrid w:val="0"/>
              <w:ind w:left="-72" w:leftChars="-30" w:right="-72" w:rightChars="-30"/>
              <w:jc w:val="left"/>
            </w:pPr>
            <w:r>
              <w:t>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1669" w:type="pct"/>
            <w:vAlign w:val="center"/>
          </w:tcPr>
          <w:p w14:paraId="6816BAA1">
            <w:pPr>
              <w:widowControl/>
              <w:spacing w:line="240" w:lineRule="auto"/>
              <w:jc w:val="left"/>
              <w:rPr>
                <w:kern w:val="0"/>
                <w:sz w:val="21"/>
                <w:szCs w:val="21"/>
              </w:rPr>
            </w:pPr>
            <w:r>
              <w:rPr>
                <w:kern w:val="0"/>
                <w:sz w:val="21"/>
                <w:szCs w:val="21"/>
              </w:rPr>
              <w:t>（1）本项目属于技改项目，降低全厂单位产品能耗水平，符合区域能耗双控要求。</w:t>
            </w:r>
          </w:p>
          <w:p w14:paraId="4B028DE7">
            <w:pPr>
              <w:widowControl/>
              <w:spacing w:line="240" w:lineRule="auto"/>
              <w:jc w:val="left"/>
              <w:rPr>
                <w:kern w:val="0"/>
                <w:sz w:val="21"/>
                <w:szCs w:val="21"/>
              </w:rPr>
            </w:pPr>
            <w:r>
              <w:rPr>
                <w:kern w:val="0"/>
                <w:sz w:val="21"/>
                <w:szCs w:val="21"/>
              </w:rPr>
              <w:t>（2）本项目为现有工程提质改造项目，采用先进的生产工艺、节能型设备，提高项目单位产品综合能耗水平；对产生的“三废”尽量回收利用，不能回收利用的均采取切实可行的末端治理措施，有利于提高全厂清洁生产水平。</w:t>
            </w:r>
          </w:p>
          <w:p w14:paraId="3C0AA179">
            <w:pPr>
              <w:widowControl/>
              <w:spacing w:line="240" w:lineRule="auto"/>
              <w:jc w:val="left"/>
              <w:rPr>
                <w:kern w:val="0"/>
                <w:sz w:val="21"/>
                <w:szCs w:val="21"/>
              </w:rPr>
            </w:pPr>
            <w:r>
              <w:rPr>
                <w:kern w:val="0"/>
                <w:sz w:val="21"/>
                <w:szCs w:val="21"/>
              </w:rPr>
              <w:t>（3）环评已提出采取源头防控、分区防渗、应急管理等措施防治土壤及地下水污染。</w:t>
            </w:r>
          </w:p>
        </w:tc>
        <w:tc>
          <w:tcPr>
            <w:tcW w:w="247" w:type="pct"/>
            <w:vAlign w:val="center"/>
          </w:tcPr>
          <w:p w14:paraId="7EE16E87">
            <w:pPr>
              <w:pStyle w:val="41"/>
              <w:adjustRightInd w:val="0"/>
              <w:snapToGrid w:val="0"/>
              <w:ind w:left="-72" w:leftChars="-30" w:right="-72" w:rightChars="-30"/>
            </w:pPr>
            <w:r>
              <w:t>符合</w:t>
            </w:r>
          </w:p>
        </w:tc>
      </w:tr>
      <w:tr w14:paraId="05BE82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0390561B">
            <w:pPr>
              <w:pStyle w:val="41"/>
              <w:adjustRightInd w:val="0"/>
              <w:snapToGrid w:val="0"/>
              <w:ind w:left="-72" w:leftChars="-30" w:right="-72" w:rightChars="-30"/>
              <w:rPr>
                <w:color w:val="EE0000"/>
              </w:rPr>
            </w:pPr>
          </w:p>
        </w:tc>
        <w:tc>
          <w:tcPr>
            <w:tcW w:w="658" w:type="pct"/>
            <w:vMerge w:val="continue"/>
            <w:vAlign w:val="center"/>
          </w:tcPr>
          <w:p w14:paraId="5343EBAD">
            <w:pPr>
              <w:widowControl/>
              <w:spacing w:line="240" w:lineRule="auto"/>
              <w:jc w:val="center"/>
              <w:rPr>
                <w:color w:val="EE0000"/>
                <w:kern w:val="0"/>
                <w:sz w:val="21"/>
                <w:szCs w:val="21"/>
              </w:rPr>
            </w:pPr>
          </w:p>
        </w:tc>
        <w:tc>
          <w:tcPr>
            <w:tcW w:w="2174" w:type="pct"/>
            <w:vAlign w:val="center"/>
          </w:tcPr>
          <w:p w14:paraId="6FB52995">
            <w:pPr>
              <w:pStyle w:val="41"/>
              <w:adjustRightInd w:val="0"/>
              <w:snapToGrid w:val="0"/>
              <w:ind w:left="-72" w:leftChars="-30" w:right="-72" w:rightChars="-30"/>
              <w:jc w:val="left"/>
            </w:pPr>
            <w:r>
              <w:t>将碳排放影响评价纳入环境影响评价体系。各级生态环境部门和行政审批部门应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1669" w:type="pct"/>
            <w:vAlign w:val="center"/>
          </w:tcPr>
          <w:p w14:paraId="14091BE3">
            <w:pPr>
              <w:widowControl/>
              <w:spacing w:line="240" w:lineRule="auto"/>
              <w:jc w:val="left"/>
              <w:rPr>
                <w:kern w:val="0"/>
                <w:sz w:val="21"/>
                <w:szCs w:val="21"/>
              </w:rPr>
            </w:pPr>
            <w:r>
              <w:rPr>
                <w:kern w:val="0"/>
                <w:sz w:val="21"/>
                <w:szCs w:val="21"/>
              </w:rPr>
              <w:t>本次评价已开展碳排放影响评价，对碳排放的源项进行识别、核算，并提出相应的减碳措施。</w:t>
            </w:r>
          </w:p>
        </w:tc>
        <w:tc>
          <w:tcPr>
            <w:tcW w:w="247" w:type="pct"/>
            <w:vAlign w:val="center"/>
          </w:tcPr>
          <w:p w14:paraId="3C7F9687">
            <w:pPr>
              <w:pStyle w:val="41"/>
              <w:adjustRightInd w:val="0"/>
              <w:snapToGrid w:val="0"/>
              <w:ind w:left="-72" w:leftChars="-30" w:right="-72" w:rightChars="-30"/>
            </w:pPr>
            <w:r>
              <w:t>符合</w:t>
            </w:r>
          </w:p>
        </w:tc>
      </w:tr>
      <w:tr w14:paraId="785DAF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789A765A">
            <w:pPr>
              <w:pStyle w:val="41"/>
              <w:adjustRightInd w:val="0"/>
              <w:snapToGrid w:val="0"/>
              <w:ind w:left="-72" w:leftChars="-30" w:right="-72" w:rightChars="-30"/>
            </w:pPr>
            <w:r>
              <w:t>3</w:t>
            </w:r>
          </w:p>
        </w:tc>
        <w:tc>
          <w:tcPr>
            <w:tcW w:w="658" w:type="pct"/>
            <w:vMerge w:val="restart"/>
            <w:vAlign w:val="center"/>
          </w:tcPr>
          <w:p w14:paraId="58BB507B">
            <w:pPr>
              <w:widowControl/>
              <w:spacing w:line="240" w:lineRule="auto"/>
              <w:jc w:val="center"/>
              <w:rPr>
                <w:kern w:val="0"/>
                <w:sz w:val="21"/>
                <w:szCs w:val="21"/>
              </w:rPr>
            </w:pPr>
            <w:r>
              <w:rPr>
                <w:kern w:val="0"/>
                <w:sz w:val="21"/>
                <w:szCs w:val="21"/>
              </w:rPr>
              <w:t>《关于深入打好污染防治攻坚战的实施方案》（2022年7月26日）</w:t>
            </w:r>
          </w:p>
        </w:tc>
        <w:tc>
          <w:tcPr>
            <w:tcW w:w="2174" w:type="pct"/>
            <w:vAlign w:val="center"/>
          </w:tcPr>
          <w:p w14:paraId="250B6D34">
            <w:pPr>
              <w:pStyle w:val="41"/>
              <w:adjustRightInd w:val="0"/>
              <w:snapToGrid w:val="0"/>
              <w:ind w:left="-72" w:leftChars="-30" w:right="-72" w:rightChars="-30"/>
              <w:jc w:val="left"/>
            </w:pPr>
            <w:r>
              <w:t>严把高耗能高排放低水平项目准入关口，严格落实污染物排放区域削减要求，对不符合规定的项目坚决停批停建。依法依规淘汰落后产能和化解过剩产能。大气污染防治重点区域严禁新增钢铁、水泥熟料、平板玻璃、煤化工产能，严控新增炼油产能，其他地区钢铁、水泥熟</w:t>
            </w:r>
          </w:p>
          <w:p w14:paraId="42693AA8">
            <w:pPr>
              <w:pStyle w:val="41"/>
              <w:adjustRightInd w:val="0"/>
              <w:snapToGrid w:val="0"/>
              <w:ind w:left="-72" w:leftChars="-30" w:right="-72" w:rightChars="-30"/>
              <w:jc w:val="left"/>
            </w:pPr>
            <w:r>
              <w:t>料、平板玻璃、炼油、电解铝等新建、扩建项目严格实施产能等量或减量置换要求。</w:t>
            </w:r>
          </w:p>
        </w:tc>
        <w:tc>
          <w:tcPr>
            <w:tcW w:w="1669" w:type="pct"/>
            <w:vAlign w:val="center"/>
          </w:tcPr>
          <w:p w14:paraId="59FC25E8">
            <w:pPr>
              <w:widowControl/>
              <w:spacing w:line="240" w:lineRule="auto"/>
              <w:jc w:val="left"/>
              <w:rPr>
                <w:kern w:val="0"/>
                <w:sz w:val="21"/>
                <w:szCs w:val="21"/>
              </w:rPr>
            </w:pPr>
            <w:r>
              <w:rPr>
                <w:kern w:val="0"/>
                <w:sz w:val="21"/>
                <w:szCs w:val="21"/>
              </w:rPr>
              <w:t>本次技改后，各项污染物排放总量均满足原有排污许可证、环评及批复要求。无需新申请总量控制指标。</w:t>
            </w:r>
          </w:p>
        </w:tc>
        <w:tc>
          <w:tcPr>
            <w:tcW w:w="247" w:type="pct"/>
            <w:vAlign w:val="center"/>
          </w:tcPr>
          <w:p w14:paraId="39471E2E">
            <w:pPr>
              <w:pStyle w:val="41"/>
              <w:adjustRightInd w:val="0"/>
              <w:snapToGrid w:val="0"/>
              <w:ind w:left="-72" w:leftChars="-30" w:right="-72" w:rightChars="-30"/>
            </w:pPr>
            <w:r>
              <w:t>符合</w:t>
            </w:r>
          </w:p>
        </w:tc>
      </w:tr>
      <w:tr w14:paraId="5A0C44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3D33733D">
            <w:pPr>
              <w:pStyle w:val="41"/>
              <w:adjustRightInd w:val="0"/>
              <w:snapToGrid w:val="0"/>
              <w:ind w:left="-72" w:leftChars="-30" w:right="-72" w:rightChars="-30"/>
              <w:rPr>
                <w:color w:val="EE0000"/>
              </w:rPr>
            </w:pPr>
          </w:p>
        </w:tc>
        <w:tc>
          <w:tcPr>
            <w:tcW w:w="658" w:type="pct"/>
            <w:vMerge w:val="continue"/>
            <w:vAlign w:val="center"/>
          </w:tcPr>
          <w:p w14:paraId="79D8B81C">
            <w:pPr>
              <w:widowControl/>
              <w:spacing w:line="240" w:lineRule="auto"/>
              <w:jc w:val="center"/>
              <w:rPr>
                <w:kern w:val="0"/>
                <w:sz w:val="21"/>
                <w:szCs w:val="21"/>
              </w:rPr>
            </w:pPr>
          </w:p>
        </w:tc>
        <w:tc>
          <w:tcPr>
            <w:tcW w:w="2174" w:type="pct"/>
            <w:vAlign w:val="center"/>
          </w:tcPr>
          <w:p w14:paraId="0A1BF8EB">
            <w:pPr>
              <w:pStyle w:val="41"/>
              <w:adjustRightInd w:val="0"/>
              <w:snapToGrid w:val="0"/>
              <w:ind w:left="-72" w:leftChars="-30" w:right="-72" w:rightChars="-30"/>
              <w:jc w:val="left"/>
            </w:pPr>
            <w:r>
              <w:t>强化钢铁、有色金属、化工等行业执行重污染天气应急减排措施监督检查；建立和完善重污染天气兵地联合应急预案、预报预警应急机制和会商联动机制。“乌—昌—石”区域内可能影响相邻行政区域大气环境的项目，兵地间、城市间必须相互征求意见。</w:t>
            </w:r>
          </w:p>
        </w:tc>
        <w:tc>
          <w:tcPr>
            <w:tcW w:w="1669" w:type="pct"/>
            <w:vAlign w:val="center"/>
          </w:tcPr>
          <w:p w14:paraId="6E2914D4">
            <w:pPr>
              <w:widowControl/>
              <w:spacing w:line="240" w:lineRule="auto"/>
              <w:jc w:val="left"/>
              <w:rPr>
                <w:kern w:val="0"/>
                <w:sz w:val="21"/>
                <w:szCs w:val="21"/>
              </w:rPr>
            </w:pPr>
            <w:r>
              <w:rPr>
                <w:kern w:val="0"/>
                <w:sz w:val="21"/>
                <w:szCs w:val="21"/>
              </w:rPr>
              <w:t>本项</w:t>
            </w:r>
            <w:r>
              <w:rPr>
                <w:sz w:val="21"/>
                <w:szCs w:val="21"/>
              </w:rPr>
              <w:t>目位于奎屯-独山子经济技术开发区，属于天山北坡城市群，厂内主体工程属于铁合金冶炼行业，严格按照重点区域执行重污染天气应急减排措施。</w:t>
            </w:r>
          </w:p>
        </w:tc>
        <w:tc>
          <w:tcPr>
            <w:tcW w:w="247" w:type="pct"/>
            <w:vAlign w:val="center"/>
          </w:tcPr>
          <w:p w14:paraId="3910F177">
            <w:pPr>
              <w:pStyle w:val="41"/>
              <w:adjustRightInd w:val="0"/>
              <w:snapToGrid w:val="0"/>
              <w:ind w:left="-72" w:leftChars="-30" w:right="-72" w:rightChars="-30"/>
            </w:pPr>
            <w:r>
              <w:t>符合</w:t>
            </w:r>
          </w:p>
        </w:tc>
      </w:tr>
      <w:tr w14:paraId="61EE96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239FC23F">
            <w:pPr>
              <w:pStyle w:val="41"/>
              <w:adjustRightInd w:val="0"/>
              <w:snapToGrid w:val="0"/>
              <w:ind w:left="-72" w:leftChars="-30" w:right="-72" w:rightChars="-30"/>
              <w:rPr>
                <w:color w:val="EE0000"/>
              </w:rPr>
            </w:pPr>
          </w:p>
        </w:tc>
        <w:tc>
          <w:tcPr>
            <w:tcW w:w="658" w:type="pct"/>
            <w:vMerge w:val="continue"/>
            <w:vAlign w:val="center"/>
          </w:tcPr>
          <w:p w14:paraId="42EBAD33">
            <w:pPr>
              <w:widowControl/>
              <w:spacing w:line="240" w:lineRule="auto"/>
              <w:jc w:val="center"/>
              <w:rPr>
                <w:color w:val="EE0000"/>
                <w:kern w:val="0"/>
                <w:sz w:val="21"/>
                <w:szCs w:val="21"/>
              </w:rPr>
            </w:pPr>
          </w:p>
        </w:tc>
        <w:tc>
          <w:tcPr>
            <w:tcW w:w="2174" w:type="pct"/>
            <w:vAlign w:val="center"/>
          </w:tcPr>
          <w:p w14:paraId="66604DD9">
            <w:pPr>
              <w:pStyle w:val="41"/>
              <w:adjustRightInd w:val="0"/>
              <w:snapToGrid w:val="0"/>
              <w:ind w:left="-72" w:leftChars="-30" w:right="-72" w:rightChars="-30"/>
              <w:jc w:val="left"/>
            </w:pPr>
            <w:r>
              <w:t>以碳达峰碳中和工作为引领，着力提高能源资源利用效率。引导重点行业深入实施清洁生产改造，钢铁、建材、石油化工等重点行业以及其他行业重点用能单位持续开展节能降耗。</w:t>
            </w:r>
          </w:p>
        </w:tc>
        <w:tc>
          <w:tcPr>
            <w:tcW w:w="1669" w:type="pct"/>
            <w:vAlign w:val="center"/>
          </w:tcPr>
          <w:p w14:paraId="1797733F">
            <w:pPr>
              <w:widowControl/>
              <w:spacing w:line="240" w:lineRule="auto"/>
              <w:jc w:val="left"/>
              <w:rPr>
                <w:kern w:val="0"/>
                <w:sz w:val="21"/>
                <w:szCs w:val="21"/>
              </w:rPr>
            </w:pPr>
            <w:r>
              <w:rPr>
                <w:kern w:val="0"/>
                <w:sz w:val="21"/>
                <w:szCs w:val="21"/>
              </w:rPr>
              <w:t>环评已开展碳排放影响评价，对碳排放的源项进行识别、核算，并提出相应的减碳措施。</w:t>
            </w:r>
          </w:p>
        </w:tc>
        <w:tc>
          <w:tcPr>
            <w:tcW w:w="247" w:type="pct"/>
            <w:vAlign w:val="center"/>
          </w:tcPr>
          <w:p w14:paraId="282D0391">
            <w:pPr>
              <w:pStyle w:val="41"/>
              <w:adjustRightInd w:val="0"/>
              <w:snapToGrid w:val="0"/>
              <w:ind w:left="-72" w:leftChars="-30" w:right="-72" w:rightChars="-30"/>
            </w:pPr>
            <w:r>
              <w:t>符合</w:t>
            </w:r>
          </w:p>
        </w:tc>
      </w:tr>
      <w:tr w14:paraId="4A885D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19179C95">
            <w:pPr>
              <w:pStyle w:val="41"/>
              <w:adjustRightInd w:val="0"/>
              <w:snapToGrid w:val="0"/>
              <w:ind w:left="-72" w:leftChars="-30" w:right="-72" w:rightChars="-30"/>
              <w:rPr>
                <w:color w:val="EE0000"/>
              </w:rPr>
            </w:pPr>
          </w:p>
        </w:tc>
        <w:tc>
          <w:tcPr>
            <w:tcW w:w="658" w:type="pct"/>
            <w:vMerge w:val="continue"/>
            <w:vAlign w:val="center"/>
          </w:tcPr>
          <w:p w14:paraId="39DEADE9">
            <w:pPr>
              <w:widowControl/>
              <w:spacing w:line="240" w:lineRule="auto"/>
              <w:jc w:val="center"/>
              <w:rPr>
                <w:color w:val="EE0000"/>
                <w:kern w:val="0"/>
                <w:sz w:val="21"/>
                <w:szCs w:val="21"/>
              </w:rPr>
            </w:pPr>
          </w:p>
        </w:tc>
        <w:tc>
          <w:tcPr>
            <w:tcW w:w="2174" w:type="pct"/>
            <w:vAlign w:val="center"/>
          </w:tcPr>
          <w:p w14:paraId="2EC29CD0">
            <w:pPr>
              <w:pStyle w:val="41"/>
              <w:adjustRightInd w:val="0"/>
              <w:snapToGrid w:val="0"/>
              <w:ind w:left="-72" w:leftChars="-30" w:right="-72" w:rightChars="-30"/>
              <w:jc w:val="left"/>
            </w:pPr>
            <w:r>
              <w:t>贯彻落实《新疆维吾尔自治区国土空间规划（2021～2035年）》《新疆维吾尔自治区“三线一单”生态环境分区管控方案》相关要求，将生态保护红线、环境质量底线、资源利用上线的硬约束落实到环境管控单元。建立差别化的生态环境准入清单，加强“三线一单”成果在政策制定、环境准入、园区管理、监管执法等方面的应用。</w:t>
            </w:r>
          </w:p>
        </w:tc>
        <w:tc>
          <w:tcPr>
            <w:tcW w:w="1669" w:type="pct"/>
            <w:vAlign w:val="center"/>
          </w:tcPr>
          <w:p w14:paraId="7B0690E1">
            <w:pPr>
              <w:widowControl/>
              <w:spacing w:line="240" w:lineRule="auto"/>
              <w:jc w:val="left"/>
              <w:rPr>
                <w:kern w:val="0"/>
                <w:sz w:val="21"/>
                <w:szCs w:val="21"/>
              </w:rPr>
            </w:pPr>
            <w:r>
              <w:rPr>
                <w:kern w:val="0"/>
                <w:sz w:val="21"/>
                <w:szCs w:val="21"/>
              </w:rPr>
              <w:t>本项目符合</w:t>
            </w:r>
            <w:r>
              <w:rPr>
                <w:sz w:val="21"/>
                <w:szCs w:val="21"/>
              </w:rPr>
              <w:t>《新疆维吾尔自治区生态环境分区管控动态更新成果》（新环环评发﹝2024﹞157号）及《伊犁州直生态环境分区管控动态更新成果（2025版）》</w:t>
            </w:r>
            <w:r>
              <w:rPr>
                <w:kern w:val="0"/>
                <w:sz w:val="21"/>
                <w:szCs w:val="21"/>
              </w:rPr>
              <w:t>相关要求。</w:t>
            </w:r>
          </w:p>
        </w:tc>
        <w:tc>
          <w:tcPr>
            <w:tcW w:w="247" w:type="pct"/>
            <w:vAlign w:val="center"/>
          </w:tcPr>
          <w:p w14:paraId="45F10638">
            <w:pPr>
              <w:pStyle w:val="41"/>
              <w:adjustRightInd w:val="0"/>
              <w:snapToGrid w:val="0"/>
              <w:ind w:left="-72" w:leftChars="-30" w:right="-72" w:rightChars="-30"/>
            </w:pPr>
            <w:r>
              <w:t>符合</w:t>
            </w:r>
          </w:p>
        </w:tc>
      </w:tr>
      <w:tr w14:paraId="19B737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6C6C329C">
            <w:pPr>
              <w:pStyle w:val="41"/>
              <w:adjustRightInd w:val="0"/>
              <w:snapToGrid w:val="0"/>
              <w:ind w:left="-72" w:leftChars="-30" w:right="-72" w:rightChars="-30"/>
            </w:pPr>
            <w:r>
              <w:t>4</w:t>
            </w:r>
          </w:p>
        </w:tc>
        <w:tc>
          <w:tcPr>
            <w:tcW w:w="658" w:type="pct"/>
            <w:vAlign w:val="center"/>
          </w:tcPr>
          <w:p w14:paraId="0DDE76A6">
            <w:pPr>
              <w:pStyle w:val="41"/>
              <w:adjustRightInd w:val="0"/>
              <w:snapToGrid w:val="0"/>
              <w:ind w:left="-72" w:leftChars="-30" w:right="-72" w:rightChars="-30"/>
            </w:pPr>
            <w:r>
              <w:t>《空气质量持续改善行动计划》（国发〔2023〕24号）</w:t>
            </w:r>
          </w:p>
        </w:tc>
        <w:tc>
          <w:tcPr>
            <w:tcW w:w="2174" w:type="pct"/>
            <w:vAlign w:val="center"/>
          </w:tcPr>
          <w:p w14:paraId="2A7A680B">
            <w:pPr>
              <w:pStyle w:val="41"/>
              <w:adjustRightInd w:val="0"/>
              <w:snapToGrid w:val="0"/>
              <w:ind w:left="-72" w:leftChars="-30" w:right="-72" w:rightChars="-30"/>
              <w:jc w:val="left"/>
            </w:pPr>
            <w:r>
              <w:t>二、优化产业结构，促进产业产品绿色升级</w:t>
            </w:r>
          </w:p>
          <w:p w14:paraId="34F62824">
            <w:pPr>
              <w:pStyle w:val="41"/>
              <w:adjustRightInd w:val="0"/>
              <w:snapToGrid w:val="0"/>
              <w:ind w:left="-72" w:leftChars="-30" w:right="-72" w:rightChars="-30"/>
              <w:jc w:val="left"/>
            </w:pPr>
            <w: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626EC51E">
            <w:pPr>
              <w:pStyle w:val="41"/>
              <w:adjustRightInd w:val="0"/>
              <w:snapToGrid w:val="0"/>
              <w:ind w:left="-72" w:leftChars="-30" w:right="-72" w:rightChars="-30"/>
              <w:jc w:val="left"/>
            </w:pPr>
            <w:r>
              <w:t>（五）加快退出重点行业落后产能。修订《产业结构调整指导目录》，研究将污染物或温室气体排放明显高出行业平均水平、能效和清洁生产水平低的工艺和装备纳入淘汰类和限制类名单。</w:t>
            </w:r>
          </w:p>
        </w:tc>
        <w:tc>
          <w:tcPr>
            <w:tcW w:w="1669" w:type="pct"/>
            <w:vAlign w:val="center"/>
          </w:tcPr>
          <w:p w14:paraId="4E8CFA25">
            <w:pPr>
              <w:pStyle w:val="41"/>
              <w:adjustRightInd w:val="0"/>
              <w:snapToGrid w:val="0"/>
              <w:ind w:left="-72" w:leftChars="-30" w:right="-72" w:rightChars="-30"/>
              <w:jc w:val="left"/>
            </w:pPr>
            <w:r>
              <w:t>（1）本项目符合《产业结构调整指导目录（2024年本）》，不属于落后产能，符合国家产业政策。</w:t>
            </w:r>
          </w:p>
          <w:p w14:paraId="11654D03">
            <w:pPr>
              <w:pStyle w:val="41"/>
              <w:adjustRightInd w:val="0"/>
              <w:snapToGrid w:val="0"/>
              <w:ind w:left="-72" w:leftChars="-30" w:right="-72" w:rightChars="-30"/>
              <w:jc w:val="left"/>
            </w:pPr>
            <w:r>
              <w:t>（2）本项目符合《新疆维吾尔自治区生态环境分区管控动态更新成果》（新环环评发﹝2024﹞157号）及《伊犁州直生态环境分区管控动态更新成果（2025版）》。</w:t>
            </w:r>
          </w:p>
          <w:p w14:paraId="76483152">
            <w:pPr>
              <w:pStyle w:val="41"/>
              <w:adjustRightInd w:val="0"/>
              <w:snapToGrid w:val="0"/>
              <w:ind w:left="-72" w:leftChars="-30" w:right="-72" w:rightChars="-30"/>
              <w:jc w:val="left"/>
            </w:pPr>
            <w:r>
              <w:t>（3）本项目尚未纳入国家产业规划。本项目符合《关于奎屯-独山子经济技术开发区总体规划环境影响报告书》及其审查意见。</w:t>
            </w:r>
          </w:p>
          <w:p w14:paraId="4A9910B2">
            <w:pPr>
              <w:pStyle w:val="41"/>
              <w:adjustRightInd w:val="0"/>
              <w:snapToGrid w:val="0"/>
              <w:ind w:left="-72" w:leftChars="-30" w:right="-72" w:rightChars="-30"/>
              <w:jc w:val="left"/>
            </w:pPr>
            <w:r>
              <w:t>（4）本项目为现有工程升级改造项目，不新增产能。</w:t>
            </w:r>
          </w:p>
          <w:p w14:paraId="6D226AE2">
            <w:pPr>
              <w:pStyle w:val="41"/>
              <w:adjustRightInd w:val="0"/>
              <w:snapToGrid w:val="0"/>
              <w:ind w:left="-72" w:leftChars="-30" w:right="-72" w:rightChars="-30"/>
              <w:jc w:val="left"/>
            </w:pPr>
            <w:r>
              <w:t>（5）本项目原料及产品运输积极采用绿色低碳运输方式，全面推动绿色运输业发展。</w:t>
            </w:r>
          </w:p>
        </w:tc>
        <w:tc>
          <w:tcPr>
            <w:tcW w:w="247" w:type="pct"/>
            <w:vAlign w:val="center"/>
          </w:tcPr>
          <w:p w14:paraId="5C6B415B">
            <w:pPr>
              <w:pStyle w:val="41"/>
              <w:adjustRightInd w:val="0"/>
              <w:snapToGrid w:val="0"/>
              <w:ind w:left="-72" w:leftChars="-30" w:right="-72" w:rightChars="-30"/>
            </w:pPr>
            <w:r>
              <w:t>符合</w:t>
            </w:r>
          </w:p>
        </w:tc>
      </w:tr>
      <w:tr w14:paraId="1456AC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24DBAB04">
            <w:pPr>
              <w:pStyle w:val="41"/>
              <w:adjustRightInd w:val="0"/>
              <w:snapToGrid w:val="0"/>
              <w:ind w:left="-72" w:leftChars="-30" w:right="-72" w:rightChars="-30"/>
            </w:pPr>
            <w:r>
              <w:t>5</w:t>
            </w:r>
          </w:p>
        </w:tc>
        <w:tc>
          <w:tcPr>
            <w:tcW w:w="658" w:type="pct"/>
            <w:vMerge w:val="restart"/>
            <w:vAlign w:val="center"/>
          </w:tcPr>
          <w:p w14:paraId="1A3C7D2A">
            <w:pPr>
              <w:pStyle w:val="41"/>
              <w:adjustRightInd w:val="0"/>
              <w:snapToGrid w:val="0"/>
              <w:ind w:left="-72" w:leftChars="-30" w:right="-72" w:rightChars="-30"/>
            </w:pPr>
            <w:r>
              <w:t>《关于加强重点行业建设项目区域削减措施监督管理的通知》（环办环评〔2020〕36号）</w:t>
            </w:r>
          </w:p>
        </w:tc>
        <w:tc>
          <w:tcPr>
            <w:tcW w:w="2174" w:type="pct"/>
            <w:vAlign w:val="center"/>
          </w:tcPr>
          <w:p w14:paraId="1D9A7D64">
            <w:pPr>
              <w:pStyle w:val="41"/>
              <w:adjustRightInd w:val="0"/>
              <w:snapToGrid w:val="0"/>
              <w:ind w:left="-72" w:leftChars="-30" w:right="-72" w:rightChars="-30"/>
              <w:jc w:val="left"/>
            </w:pPr>
            <w:r>
              <w:t>（一）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1669" w:type="pct"/>
            <w:vAlign w:val="center"/>
          </w:tcPr>
          <w:p w14:paraId="4AC92398">
            <w:pPr>
              <w:pStyle w:val="41"/>
              <w:adjustRightInd w:val="0"/>
              <w:snapToGrid w:val="0"/>
              <w:ind w:left="-72" w:leftChars="-30" w:right="-72" w:rightChars="-30"/>
              <w:jc w:val="left"/>
            </w:pPr>
            <w:r>
              <w:rPr>
                <w:kern w:val="0"/>
              </w:rPr>
              <w:t>本次技改后，各项污染物排放总量均满足原有排污许可证、环评及批复要求。无需新申请总量控制指标。</w:t>
            </w:r>
          </w:p>
        </w:tc>
        <w:tc>
          <w:tcPr>
            <w:tcW w:w="247" w:type="pct"/>
            <w:vAlign w:val="center"/>
          </w:tcPr>
          <w:p w14:paraId="216755E3">
            <w:pPr>
              <w:pStyle w:val="41"/>
              <w:adjustRightInd w:val="0"/>
              <w:snapToGrid w:val="0"/>
              <w:ind w:left="-72" w:leftChars="-30" w:right="-72" w:rightChars="-30"/>
            </w:pPr>
            <w:r>
              <w:t>符合</w:t>
            </w:r>
          </w:p>
        </w:tc>
      </w:tr>
      <w:tr w14:paraId="695070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5C32C4D2">
            <w:pPr>
              <w:pStyle w:val="41"/>
              <w:adjustRightInd w:val="0"/>
              <w:snapToGrid w:val="0"/>
              <w:ind w:left="-72" w:leftChars="-30" w:right="-72" w:rightChars="-30"/>
              <w:rPr>
                <w:color w:val="EE0000"/>
              </w:rPr>
            </w:pPr>
          </w:p>
        </w:tc>
        <w:tc>
          <w:tcPr>
            <w:tcW w:w="658" w:type="pct"/>
            <w:vMerge w:val="continue"/>
            <w:vAlign w:val="center"/>
          </w:tcPr>
          <w:p w14:paraId="22B59604">
            <w:pPr>
              <w:pStyle w:val="41"/>
              <w:adjustRightInd w:val="0"/>
              <w:snapToGrid w:val="0"/>
              <w:ind w:left="-72" w:leftChars="-30" w:right="-72" w:rightChars="-30"/>
              <w:rPr>
                <w:color w:val="EE0000"/>
              </w:rPr>
            </w:pPr>
          </w:p>
        </w:tc>
        <w:tc>
          <w:tcPr>
            <w:tcW w:w="2174" w:type="pct"/>
            <w:vAlign w:val="center"/>
          </w:tcPr>
          <w:p w14:paraId="2B48D63F">
            <w:pPr>
              <w:pStyle w:val="41"/>
              <w:adjustRightInd w:val="0"/>
              <w:snapToGrid w:val="0"/>
              <w:ind w:left="-72" w:leftChars="-30" w:right="-72" w:rightChars="-30"/>
              <w:jc w:val="left"/>
            </w:pPr>
            <w:r>
              <w:t>（二）规范削减措施来源。区域削减措施应明确测算依据、测算方法，确保可落实、可检查、可考核。削减措施原则上应优先来源于纳入排污许可管理的排污单位采取的治理措施（含关停、原料和工艺改造、末端治理等）。</w:t>
            </w:r>
          </w:p>
        </w:tc>
        <w:tc>
          <w:tcPr>
            <w:tcW w:w="1669" w:type="pct"/>
            <w:vAlign w:val="center"/>
          </w:tcPr>
          <w:p w14:paraId="244FEA9B">
            <w:pPr>
              <w:pStyle w:val="41"/>
              <w:adjustRightInd w:val="0"/>
              <w:snapToGrid w:val="0"/>
              <w:ind w:left="-72" w:leftChars="-30" w:right="-72" w:rightChars="-30"/>
              <w:jc w:val="left"/>
            </w:pPr>
            <w:r>
              <w:t>本项目现有污染源作为技改工程削减源，削减源可落实。</w:t>
            </w:r>
          </w:p>
        </w:tc>
        <w:tc>
          <w:tcPr>
            <w:tcW w:w="247" w:type="pct"/>
            <w:vAlign w:val="center"/>
          </w:tcPr>
          <w:p w14:paraId="28E80D3C">
            <w:pPr>
              <w:pStyle w:val="41"/>
              <w:adjustRightInd w:val="0"/>
              <w:snapToGrid w:val="0"/>
              <w:ind w:left="-72" w:leftChars="-30" w:right="-72" w:rightChars="-30"/>
            </w:pPr>
            <w:r>
              <w:t>符合</w:t>
            </w:r>
          </w:p>
        </w:tc>
      </w:tr>
      <w:tr w14:paraId="4F8DA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4E06C5B8">
            <w:pPr>
              <w:pStyle w:val="41"/>
              <w:adjustRightInd w:val="0"/>
              <w:snapToGrid w:val="0"/>
              <w:ind w:left="-72" w:leftChars="-30" w:right="-72" w:rightChars="-30"/>
            </w:pPr>
            <w:r>
              <w:t>6</w:t>
            </w:r>
          </w:p>
        </w:tc>
        <w:tc>
          <w:tcPr>
            <w:tcW w:w="658" w:type="pct"/>
            <w:vAlign w:val="center"/>
          </w:tcPr>
          <w:p w14:paraId="74DC1236">
            <w:pPr>
              <w:pStyle w:val="41"/>
              <w:adjustRightInd w:val="0"/>
              <w:snapToGrid w:val="0"/>
              <w:ind w:left="-72" w:leftChars="-30" w:right="-72" w:rightChars="-30"/>
            </w:pPr>
            <w:r>
              <w:t>《新疆维吾尔自治区大气污染防治条例》（新疆维吾尔自治区第十三届人民代表大会常务委员会公告第15号）</w:t>
            </w:r>
          </w:p>
        </w:tc>
        <w:tc>
          <w:tcPr>
            <w:tcW w:w="2174" w:type="pct"/>
            <w:vAlign w:val="center"/>
          </w:tcPr>
          <w:p w14:paraId="39B390D0">
            <w:pPr>
              <w:pStyle w:val="41"/>
              <w:adjustRightInd w:val="0"/>
              <w:snapToGrid w:val="0"/>
              <w:ind w:left="-72" w:leftChars="-30" w:right="-72" w:rightChars="-30"/>
              <w:jc w:val="left"/>
            </w:pPr>
            <w:r>
              <w:t>第十三条自治区对重点大气污染物排放实行总量控制制度。</w:t>
            </w:r>
          </w:p>
          <w:p w14:paraId="38C74452">
            <w:pPr>
              <w:pStyle w:val="41"/>
              <w:adjustRightInd w:val="0"/>
              <w:snapToGrid w:val="0"/>
              <w:ind w:left="-72" w:leftChars="-30" w:right="-72" w:rightChars="-30"/>
              <w:jc w:val="left"/>
            </w:pPr>
            <w:r>
              <w:t>第二十九条县级以上人民政府应当鼓励产业集聚发展，按照主体功能区划合理规划工业园区的布局，引导工业企业入驻工业园区。</w:t>
            </w:r>
          </w:p>
        </w:tc>
        <w:tc>
          <w:tcPr>
            <w:tcW w:w="1669" w:type="pct"/>
            <w:vAlign w:val="center"/>
          </w:tcPr>
          <w:p w14:paraId="4F94BF93">
            <w:pPr>
              <w:pStyle w:val="41"/>
              <w:adjustRightInd w:val="0"/>
              <w:snapToGrid w:val="0"/>
              <w:ind w:left="-72" w:leftChars="-30" w:right="-72" w:rightChars="-30"/>
              <w:jc w:val="left"/>
            </w:pPr>
            <w:r>
              <w:t>（1）</w:t>
            </w:r>
            <w:r>
              <w:rPr>
                <w:kern w:val="0"/>
              </w:rPr>
              <w:t>本次技改后，各项污染物排放总量均满足原有排污许可证、环评及批复要求。无需新申请总量控制指标。</w:t>
            </w:r>
          </w:p>
          <w:p w14:paraId="188656AD">
            <w:pPr>
              <w:pStyle w:val="41"/>
              <w:adjustRightInd w:val="0"/>
              <w:snapToGrid w:val="0"/>
              <w:ind w:left="-72" w:leftChars="-30" w:right="-72" w:rightChars="-30"/>
              <w:jc w:val="left"/>
            </w:pPr>
            <w:r>
              <w:t>（2）本项目符合《奎屯-独山子经济技术开发区总体规划修编环境影响报告书》及其审查意见的产业布局。</w:t>
            </w:r>
          </w:p>
        </w:tc>
        <w:tc>
          <w:tcPr>
            <w:tcW w:w="247" w:type="pct"/>
            <w:vAlign w:val="center"/>
          </w:tcPr>
          <w:p w14:paraId="74B7F061">
            <w:pPr>
              <w:pStyle w:val="41"/>
              <w:adjustRightInd w:val="0"/>
              <w:snapToGrid w:val="0"/>
              <w:ind w:left="-72" w:leftChars="-30" w:right="-72" w:rightChars="-30"/>
            </w:pPr>
            <w:r>
              <w:t>符合</w:t>
            </w:r>
          </w:p>
        </w:tc>
      </w:tr>
      <w:tr w14:paraId="1300E0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088C12C5">
            <w:pPr>
              <w:pStyle w:val="41"/>
              <w:adjustRightInd w:val="0"/>
              <w:snapToGrid w:val="0"/>
              <w:ind w:left="-72" w:leftChars="-30" w:right="-72" w:rightChars="-30"/>
            </w:pPr>
            <w:r>
              <w:t>7</w:t>
            </w:r>
          </w:p>
        </w:tc>
        <w:tc>
          <w:tcPr>
            <w:tcW w:w="658" w:type="pct"/>
            <w:vAlign w:val="center"/>
          </w:tcPr>
          <w:p w14:paraId="00B8CBF6">
            <w:pPr>
              <w:pStyle w:val="41"/>
              <w:adjustRightInd w:val="0"/>
              <w:snapToGrid w:val="0"/>
              <w:ind w:left="-72" w:leftChars="-30" w:right="-72" w:rightChars="-30"/>
            </w:pPr>
            <w:r>
              <w:t>《关于重点区域执行大气污染物特别排放限值的公告》（公告〔2016〕45号）</w:t>
            </w:r>
          </w:p>
        </w:tc>
        <w:tc>
          <w:tcPr>
            <w:tcW w:w="2174" w:type="pct"/>
            <w:vAlign w:val="center"/>
          </w:tcPr>
          <w:p w14:paraId="4C755F47">
            <w:pPr>
              <w:pStyle w:val="41"/>
              <w:adjustRightInd w:val="0"/>
              <w:snapToGrid w:val="0"/>
              <w:ind w:left="-72" w:leftChars="-30" w:right="-72" w:rightChars="-30"/>
              <w:jc w:val="left"/>
            </w:pPr>
            <w:r>
              <w:t>对于国家排放标准及修改单中已规定大气污染物特别排放限值或特别控制要求的行业以及锅炉，于2023年12月1日开始执行本公告相应标准中颗粒物、二氧化硫、氮氧化物和挥发性有机物大气污染物特别排放限值和特别控制要求。</w:t>
            </w:r>
          </w:p>
        </w:tc>
        <w:tc>
          <w:tcPr>
            <w:tcW w:w="1669" w:type="pct"/>
            <w:vAlign w:val="center"/>
          </w:tcPr>
          <w:p w14:paraId="4DD50880">
            <w:pPr>
              <w:pStyle w:val="41"/>
              <w:adjustRightInd w:val="0"/>
              <w:snapToGrid w:val="0"/>
              <w:ind w:left="-72" w:leftChars="-30" w:right="-72" w:rightChars="-30"/>
              <w:jc w:val="left"/>
            </w:pPr>
            <w:r>
              <w:t>本项目位于“奎-独-乌”重点区域，厂区设置有高效的废气处理设施，满足相关的特别排放限值要求。</w:t>
            </w:r>
          </w:p>
        </w:tc>
        <w:tc>
          <w:tcPr>
            <w:tcW w:w="247" w:type="pct"/>
            <w:vAlign w:val="center"/>
          </w:tcPr>
          <w:p w14:paraId="00B3F66A">
            <w:pPr>
              <w:pStyle w:val="41"/>
              <w:adjustRightInd w:val="0"/>
              <w:snapToGrid w:val="0"/>
              <w:ind w:left="-72" w:leftChars="-30" w:right="-72" w:rightChars="-30"/>
            </w:pPr>
            <w:r>
              <w:t>符合</w:t>
            </w:r>
          </w:p>
        </w:tc>
      </w:tr>
      <w:tr w14:paraId="67F326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23BCFD54">
            <w:pPr>
              <w:pStyle w:val="41"/>
              <w:adjustRightInd w:val="0"/>
              <w:snapToGrid w:val="0"/>
              <w:ind w:left="-72" w:leftChars="-30" w:right="-72" w:rightChars="-30"/>
            </w:pPr>
            <w:r>
              <w:t>8</w:t>
            </w:r>
          </w:p>
        </w:tc>
        <w:tc>
          <w:tcPr>
            <w:tcW w:w="658" w:type="pct"/>
            <w:vAlign w:val="center"/>
          </w:tcPr>
          <w:p w14:paraId="244F513A">
            <w:pPr>
              <w:pStyle w:val="41"/>
              <w:adjustRightInd w:val="0"/>
              <w:snapToGrid w:val="0"/>
              <w:ind w:left="-72" w:leftChars="-30" w:right="-72" w:rightChars="-30"/>
            </w:pPr>
            <w:r>
              <w:t>《关于开展自治区2022年度夏秋季大气污染防治“冬病夏治”工作的通知》（新环大气函〔2022〕483号）</w:t>
            </w:r>
          </w:p>
        </w:tc>
        <w:tc>
          <w:tcPr>
            <w:tcW w:w="2174" w:type="pct"/>
            <w:vAlign w:val="center"/>
          </w:tcPr>
          <w:p w14:paraId="11EBE7C4">
            <w:pPr>
              <w:pStyle w:val="41"/>
              <w:adjustRightInd w:val="0"/>
              <w:snapToGrid w:val="0"/>
              <w:ind w:left="-72" w:leftChars="-30" w:right="-72" w:rightChars="-30"/>
              <w:jc w:val="left"/>
            </w:pPr>
            <w:r>
              <w:t>（三）推进重点行业大气污染物深度治理</w:t>
            </w:r>
          </w:p>
          <w:p w14:paraId="22270330">
            <w:pPr>
              <w:pStyle w:val="41"/>
              <w:adjustRightInd w:val="0"/>
              <w:snapToGrid w:val="0"/>
              <w:ind w:left="-72" w:leftChars="-30" w:right="-72" w:rightChars="-30"/>
              <w:jc w:val="left"/>
            </w:pPr>
            <w:r>
              <w:t>全面推进重点区域钢铁、有色金属、化工等行业实行深度治理，按照2023年底前达到绩效分级B级的要求，制定提升计划，并报生态环境厅备案。</w:t>
            </w:r>
          </w:p>
        </w:tc>
        <w:tc>
          <w:tcPr>
            <w:tcW w:w="1669" w:type="pct"/>
            <w:vAlign w:val="center"/>
          </w:tcPr>
          <w:p w14:paraId="4DB21460">
            <w:pPr>
              <w:pStyle w:val="41"/>
              <w:adjustRightInd w:val="0"/>
              <w:snapToGrid w:val="0"/>
              <w:ind w:left="-72" w:leftChars="-30" w:right="-72" w:rightChars="-30"/>
              <w:jc w:val="left"/>
            </w:pPr>
            <w:r>
              <w:rPr>
                <w:kern w:val="0"/>
              </w:rPr>
              <w:t>本次技改后，各项污染物排放总量均满足原有排污许可证、环评及批复要求。无需新申请总量控制指标。</w:t>
            </w:r>
          </w:p>
        </w:tc>
        <w:tc>
          <w:tcPr>
            <w:tcW w:w="247" w:type="pct"/>
            <w:vAlign w:val="center"/>
          </w:tcPr>
          <w:p w14:paraId="43C49774">
            <w:pPr>
              <w:pStyle w:val="41"/>
              <w:adjustRightInd w:val="0"/>
              <w:snapToGrid w:val="0"/>
              <w:ind w:left="-72" w:leftChars="-30" w:right="-72" w:rightChars="-30"/>
            </w:pPr>
            <w:r>
              <w:t>符合</w:t>
            </w:r>
          </w:p>
        </w:tc>
      </w:tr>
      <w:tr w14:paraId="387FB8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7629B14E">
            <w:pPr>
              <w:pStyle w:val="41"/>
              <w:adjustRightInd w:val="0"/>
              <w:snapToGrid w:val="0"/>
              <w:ind w:left="-72" w:leftChars="-30" w:right="-72" w:rightChars="-30"/>
            </w:pPr>
            <w:r>
              <w:t>9</w:t>
            </w:r>
          </w:p>
        </w:tc>
        <w:tc>
          <w:tcPr>
            <w:tcW w:w="658" w:type="pct"/>
            <w:vAlign w:val="center"/>
          </w:tcPr>
          <w:p w14:paraId="388401A9">
            <w:pPr>
              <w:pStyle w:val="41"/>
              <w:adjustRightInd w:val="0"/>
              <w:snapToGrid w:val="0"/>
              <w:ind w:left="-72" w:leftChars="-30" w:right="-72" w:rightChars="-30"/>
            </w:pPr>
            <w:bookmarkStart w:id="23" w:name="_Hlk173412342"/>
            <w:r>
              <w:rPr>
                <w:kern w:val="0"/>
                <w:lang w:bidi="ar"/>
              </w:rPr>
              <w:t>《关于加强涉重金属行业污染防控的意见》（环土壤〔</w:t>
            </w:r>
            <w:r>
              <w:rPr>
                <w:rFonts w:eastAsia="Times New Roman"/>
                <w:kern w:val="0"/>
                <w:lang w:bidi="ar"/>
              </w:rPr>
              <w:t>2018</w:t>
            </w:r>
            <w:r>
              <w:rPr>
                <w:kern w:val="0"/>
                <w:lang w:bidi="ar"/>
              </w:rPr>
              <w:t>〕</w:t>
            </w:r>
            <w:r>
              <w:rPr>
                <w:rFonts w:eastAsia="Times New Roman"/>
                <w:kern w:val="0"/>
                <w:lang w:bidi="ar"/>
              </w:rPr>
              <w:t>22</w:t>
            </w:r>
            <w:r>
              <w:rPr>
                <w:kern w:val="0"/>
                <w:lang w:bidi="ar"/>
              </w:rPr>
              <w:t>号）</w:t>
            </w:r>
            <w:bookmarkEnd w:id="23"/>
          </w:p>
        </w:tc>
        <w:tc>
          <w:tcPr>
            <w:tcW w:w="2174" w:type="pct"/>
            <w:vAlign w:val="center"/>
          </w:tcPr>
          <w:p w14:paraId="3B4081D8">
            <w:pPr>
              <w:pStyle w:val="41"/>
              <w:adjustRightInd w:val="0"/>
              <w:snapToGrid w:val="0"/>
              <w:ind w:left="-72" w:leftChars="-30" w:right="-72" w:rightChars="-30"/>
              <w:jc w:val="left"/>
            </w:pPr>
            <w:r>
              <w:rPr>
                <w:kern w:val="0"/>
                <w:lang w:bidi="ar"/>
              </w:rPr>
              <w:t>排放铅、铬等重点重金属污染物，应采取减排措施；根据严格环境准入的要求，对新、改、扩建涉重金属重点行业项目进行统筹考虑。新、改、扩建涉重金属重点行业建设项目必须遵循重点重金属污染物排放“减量置换”或“等量替换”的原则，应在本省（区、市）行政区域内有明确具体的重金属污染物排放总量来源。无明确具体总量来源的，各级生态环境部门不得批准相关环境影响评价文件。</w:t>
            </w:r>
          </w:p>
        </w:tc>
        <w:tc>
          <w:tcPr>
            <w:tcW w:w="1669" w:type="pct"/>
            <w:vAlign w:val="center"/>
          </w:tcPr>
          <w:p w14:paraId="34C1FFF4">
            <w:pPr>
              <w:pStyle w:val="41"/>
              <w:adjustRightInd w:val="0"/>
              <w:snapToGrid w:val="0"/>
              <w:ind w:left="-72" w:leftChars="-30" w:right="-72" w:rightChars="-30"/>
              <w:jc w:val="left"/>
            </w:pPr>
            <w:r>
              <w:rPr>
                <w:kern w:val="0"/>
              </w:rPr>
              <w:t>本次技改后，各项污染物排放总量均满足原有排污许可证、环评及批复要求。无需新申请总量控制指标。</w:t>
            </w:r>
          </w:p>
        </w:tc>
        <w:tc>
          <w:tcPr>
            <w:tcW w:w="247" w:type="pct"/>
            <w:vAlign w:val="center"/>
          </w:tcPr>
          <w:p w14:paraId="11850E3B">
            <w:pPr>
              <w:pStyle w:val="41"/>
              <w:adjustRightInd w:val="0"/>
              <w:snapToGrid w:val="0"/>
              <w:ind w:left="-72" w:leftChars="-30" w:right="-72" w:rightChars="-30"/>
            </w:pPr>
            <w:r>
              <w:t>符合</w:t>
            </w:r>
          </w:p>
        </w:tc>
      </w:tr>
      <w:tr w14:paraId="381FFE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16C5145C">
            <w:pPr>
              <w:pStyle w:val="41"/>
              <w:adjustRightInd w:val="0"/>
              <w:snapToGrid w:val="0"/>
              <w:ind w:left="-72" w:leftChars="-30" w:right="-72" w:rightChars="-30"/>
            </w:pPr>
            <w:r>
              <w:t>10</w:t>
            </w:r>
          </w:p>
        </w:tc>
        <w:tc>
          <w:tcPr>
            <w:tcW w:w="658" w:type="pct"/>
            <w:vAlign w:val="center"/>
          </w:tcPr>
          <w:p w14:paraId="21AAB908">
            <w:pPr>
              <w:pStyle w:val="41"/>
              <w:adjustRightInd w:val="0"/>
              <w:snapToGrid w:val="0"/>
              <w:ind w:left="-72" w:leftChars="-30" w:right="-72" w:rightChars="-30"/>
            </w:pPr>
            <w:r>
              <w:rPr>
                <w:kern w:val="0"/>
                <w:lang w:bidi="ar"/>
              </w:rPr>
              <w:t>《国务院关于印发土壤污染防治行动计划的通知》（国发〔</w:t>
            </w:r>
            <w:r>
              <w:rPr>
                <w:rFonts w:eastAsia="Times New Roman"/>
                <w:kern w:val="0"/>
                <w:lang w:bidi="ar"/>
              </w:rPr>
              <w:t>2016</w:t>
            </w:r>
            <w:r>
              <w:rPr>
                <w:kern w:val="0"/>
                <w:lang w:bidi="ar"/>
              </w:rPr>
              <w:t>〕</w:t>
            </w:r>
            <w:r>
              <w:rPr>
                <w:rFonts w:eastAsia="Times New Roman"/>
                <w:kern w:val="0"/>
                <w:lang w:bidi="ar"/>
              </w:rPr>
              <w:t>31</w:t>
            </w:r>
            <w:r>
              <w:rPr>
                <w:kern w:val="0"/>
                <w:lang w:bidi="ar"/>
              </w:rPr>
              <w:t>号）</w:t>
            </w:r>
          </w:p>
        </w:tc>
        <w:tc>
          <w:tcPr>
            <w:tcW w:w="2174" w:type="pct"/>
            <w:vAlign w:val="center"/>
          </w:tcPr>
          <w:p w14:paraId="2D8936CF">
            <w:pPr>
              <w:pStyle w:val="41"/>
              <w:adjustRightInd w:val="0"/>
              <w:snapToGrid w:val="0"/>
              <w:ind w:left="-72" w:leftChars="-30" w:right="-72" w:rightChars="-30"/>
              <w:jc w:val="left"/>
            </w:pPr>
            <w:r>
              <w:rPr>
                <w:kern w:val="0"/>
                <w:lang w:bidi="ar"/>
              </w:rPr>
              <w:t>应加强涉重金属行业污染防控，严格执行重金属污染物排放标准并落实相关总量控制指标；在新疆等省（区）矿产资源开发活动集中的区域，执行重点污染物特别排放限值；制定涉重金属重点工业行业清洁生产技术推行方案，鼓励企业采用先进适用生产工艺和技术。</w:t>
            </w:r>
          </w:p>
        </w:tc>
        <w:tc>
          <w:tcPr>
            <w:tcW w:w="1669" w:type="pct"/>
            <w:vAlign w:val="center"/>
          </w:tcPr>
          <w:p w14:paraId="040860F2">
            <w:pPr>
              <w:pStyle w:val="41"/>
              <w:adjustRightInd w:val="0"/>
              <w:snapToGrid w:val="0"/>
              <w:ind w:left="-72" w:leftChars="-30" w:right="-72" w:rightChars="-30"/>
              <w:jc w:val="left"/>
            </w:pPr>
            <w:r>
              <w:t>全厂工程整体清洁生产水平处于铁合金冶炼行业国内清洁生产先进水平。</w:t>
            </w:r>
          </w:p>
        </w:tc>
        <w:tc>
          <w:tcPr>
            <w:tcW w:w="247" w:type="pct"/>
            <w:vAlign w:val="center"/>
          </w:tcPr>
          <w:p w14:paraId="507BCACD">
            <w:pPr>
              <w:pStyle w:val="41"/>
              <w:adjustRightInd w:val="0"/>
              <w:snapToGrid w:val="0"/>
              <w:ind w:left="-72" w:leftChars="-30" w:right="-72" w:rightChars="-30"/>
            </w:pPr>
            <w:r>
              <w:t>符合</w:t>
            </w:r>
          </w:p>
        </w:tc>
      </w:tr>
      <w:tr w14:paraId="1F4739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3E7C00C2">
            <w:pPr>
              <w:pStyle w:val="41"/>
              <w:adjustRightInd w:val="0"/>
              <w:snapToGrid w:val="0"/>
              <w:ind w:left="-72" w:leftChars="-30" w:right="-72" w:rightChars="-30"/>
            </w:pPr>
            <w:r>
              <w:t>11</w:t>
            </w:r>
          </w:p>
        </w:tc>
        <w:tc>
          <w:tcPr>
            <w:tcW w:w="658" w:type="pct"/>
            <w:vAlign w:val="center"/>
          </w:tcPr>
          <w:p w14:paraId="3635EE7D">
            <w:pPr>
              <w:pStyle w:val="41"/>
              <w:adjustRightInd w:val="0"/>
              <w:snapToGrid w:val="0"/>
              <w:ind w:left="-72" w:leftChars="-30" w:right="-72" w:rightChars="-30"/>
            </w:pPr>
            <w:r>
              <w:rPr>
                <w:kern w:val="0"/>
                <w:lang w:bidi="ar"/>
              </w:rPr>
              <w:t>《新疆维吾尔自治区土壤防治工作方案》</w:t>
            </w:r>
          </w:p>
        </w:tc>
        <w:tc>
          <w:tcPr>
            <w:tcW w:w="2174" w:type="pct"/>
            <w:vAlign w:val="center"/>
          </w:tcPr>
          <w:p w14:paraId="4E0B0D59">
            <w:pPr>
              <w:pStyle w:val="41"/>
              <w:adjustRightInd w:val="0"/>
              <w:snapToGrid w:val="0"/>
              <w:ind w:left="-72" w:leftChars="-30" w:right="-72" w:rightChars="-30"/>
              <w:jc w:val="left"/>
            </w:pPr>
            <w:r>
              <w:rPr>
                <w:kern w:val="0"/>
                <w:lang w:bidi="ar"/>
              </w:rPr>
              <w:t>加强涉重金属行业污染防控：严格执行重金属污染物排放标准，加强涉重金属企业清洁生产审核。进一步加大重金属污染防控力度，重金属重点控制区不再建设新增重金属污染物排放的项目。</w:t>
            </w:r>
          </w:p>
        </w:tc>
        <w:tc>
          <w:tcPr>
            <w:tcW w:w="1669" w:type="pct"/>
            <w:vAlign w:val="center"/>
          </w:tcPr>
          <w:p w14:paraId="190BE44E">
            <w:pPr>
              <w:pStyle w:val="41"/>
              <w:adjustRightInd w:val="0"/>
              <w:snapToGrid w:val="0"/>
              <w:ind w:left="-72" w:leftChars="-30" w:right="-72" w:rightChars="-30"/>
              <w:jc w:val="left"/>
            </w:pPr>
            <w:r>
              <w:rPr>
                <w:kern w:val="0"/>
                <w:lang w:bidi="ar"/>
              </w:rPr>
              <w:t>本项目位于奎屯-独山子经济技术开发区，艾斯米尔已委托开展了清洁生产审核工作，本次技改后全厂污染物排放标准严格按照相关特别排放限值执行，且在满足原有批复总量控制指标前提下，不新增污染物排放总量。</w:t>
            </w:r>
          </w:p>
        </w:tc>
        <w:tc>
          <w:tcPr>
            <w:tcW w:w="247" w:type="pct"/>
            <w:vAlign w:val="center"/>
          </w:tcPr>
          <w:p w14:paraId="7842370F">
            <w:pPr>
              <w:pStyle w:val="41"/>
              <w:adjustRightInd w:val="0"/>
              <w:snapToGrid w:val="0"/>
              <w:ind w:left="-72" w:leftChars="-30" w:right="-72" w:rightChars="-30"/>
            </w:pPr>
            <w:r>
              <w:t>符合</w:t>
            </w:r>
          </w:p>
        </w:tc>
      </w:tr>
      <w:tr w14:paraId="6FFB30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0A76CC49">
            <w:pPr>
              <w:pStyle w:val="41"/>
              <w:adjustRightInd w:val="0"/>
              <w:snapToGrid w:val="0"/>
              <w:ind w:left="-72" w:leftChars="-30" w:right="-72" w:rightChars="-30"/>
            </w:pPr>
            <w:r>
              <w:t>12</w:t>
            </w:r>
          </w:p>
        </w:tc>
        <w:tc>
          <w:tcPr>
            <w:tcW w:w="658" w:type="pct"/>
            <w:vAlign w:val="center"/>
          </w:tcPr>
          <w:p w14:paraId="0A87B0A3">
            <w:pPr>
              <w:pStyle w:val="41"/>
              <w:adjustRightInd w:val="0"/>
              <w:snapToGrid w:val="0"/>
              <w:ind w:left="-72" w:leftChars="-30" w:right="-72" w:rightChars="-30"/>
            </w:pPr>
            <w:r>
              <w:rPr>
                <w:kern w:val="0"/>
                <w:lang w:bidi="ar"/>
              </w:rPr>
              <w:t>《关于印发〈新疆维吾尔自治区加强涉重金属行业污染防控工作方案〉的通知》（新环发〔</w:t>
            </w:r>
            <w:r>
              <w:rPr>
                <w:rFonts w:eastAsia="Times New Roman"/>
                <w:kern w:val="0"/>
                <w:lang w:bidi="ar"/>
              </w:rPr>
              <w:t>2018</w:t>
            </w:r>
            <w:r>
              <w:rPr>
                <w:kern w:val="0"/>
                <w:lang w:bidi="ar"/>
              </w:rPr>
              <w:t>〕</w:t>
            </w:r>
            <w:r>
              <w:rPr>
                <w:rFonts w:eastAsia="Times New Roman"/>
                <w:kern w:val="0"/>
                <w:lang w:bidi="ar"/>
              </w:rPr>
              <w:t>118</w:t>
            </w:r>
            <w:r>
              <w:rPr>
                <w:kern w:val="0"/>
                <w:lang w:bidi="ar"/>
              </w:rPr>
              <w:t>号）</w:t>
            </w:r>
          </w:p>
        </w:tc>
        <w:tc>
          <w:tcPr>
            <w:tcW w:w="2174" w:type="pct"/>
            <w:vAlign w:val="center"/>
          </w:tcPr>
          <w:p w14:paraId="129025D3">
            <w:pPr>
              <w:pStyle w:val="41"/>
              <w:adjustRightInd w:val="0"/>
              <w:snapToGrid w:val="0"/>
              <w:ind w:left="-72" w:leftChars="-30" w:right="-72" w:rightChars="-30"/>
              <w:jc w:val="left"/>
            </w:pPr>
            <w:r>
              <w:rPr>
                <w:kern w:val="0"/>
                <w:lang w:bidi="ar"/>
              </w:rPr>
              <w:t>排放铅、铬重点重金属污染物，应采取减排措施；根据严格环境准入的要求，新、改、扩建涉重金属重点行业建设项目必须遵循重点重金属污染物排放“减量置换”或“等量替换”的原则，应有明确具体的重金属污染物排放总量来源。无明确具体总量来源的，各地生态环境部门不得批准相关环境影响评价文件。</w:t>
            </w:r>
          </w:p>
        </w:tc>
        <w:tc>
          <w:tcPr>
            <w:tcW w:w="1669" w:type="pct"/>
            <w:vAlign w:val="center"/>
          </w:tcPr>
          <w:p w14:paraId="3F07C381">
            <w:pPr>
              <w:pStyle w:val="41"/>
              <w:adjustRightInd w:val="0"/>
              <w:snapToGrid w:val="0"/>
              <w:ind w:left="-72" w:leftChars="-30" w:right="-72" w:rightChars="-30"/>
              <w:jc w:val="left"/>
            </w:pPr>
            <w:r>
              <w:rPr>
                <w:kern w:val="0"/>
                <w:lang w:bidi="ar"/>
              </w:rPr>
              <w:t>本项目为铁合金冶炼业，</w:t>
            </w:r>
            <w:r>
              <w:t>项目技改后在满足原有环评批复的总量控制指标前提下，不新增污染物排放总量。</w:t>
            </w:r>
          </w:p>
        </w:tc>
        <w:tc>
          <w:tcPr>
            <w:tcW w:w="247" w:type="pct"/>
            <w:vAlign w:val="center"/>
          </w:tcPr>
          <w:p w14:paraId="27E3FA04">
            <w:pPr>
              <w:pStyle w:val="41"/>
              <w:adjustRightInd w:val="0"/>
              <w:snapToGrid w:val="0"/>
              <w:ind w:left="-72" w:leftChars="-30" w:right="-72" w:rightChars="-30"/>
            </w:pPr>
            <w:r>
              <w:t>符合</w:t>
            </w:r>
          </w:p>
        </w:tc>
      </w:tr>
      <w:tr w14:paraId="747AA8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12766443">
            <w:pPr>
              <w:pStyle w:val="41"/>
              <w:adjustRightInd w:val="0"/>
              <w:snapToGrid w:val="0"/>
              <w:ind w:left="-72" w:leftChars="-30" w:right="-72" w:rightChars="-30"/>
            </w:pPr>
            <w:r>
              <w:t>13</w:t>
            </w:r>
          </w:p>
        </w:tc>
        <w:tc>
          <w:tcPr>
            <w:tcW w:w="658" w:type="pct"/>
            <w:vMerge w:val="restart"/>
            <w:vAlign w:val="center"/>
          </w:tcPr>
          <w:p w14:paraId="62F1188F">
            <w:pPr>
              <w:pStyle w:val="41"/>
              <w:adjustRightInd w:val="0"/>
              <w:snapToGrid w:val="0"/>
              <w:ind w:left="-72" w:leftChars="-30" w:right="-72" w:rightChars="-30"/>
              <w:rPr>
                <w:kern w:val="0"/>
                <w:lang w:bidi="ar"/>
              </w:rPr>
            </w:pPr>
            <w:bookmarkStart w:id="24" w:name="_Hlk170896238"/>
            <w:r>
              <w:t>《关于进一步加强重金属污染防控的意见》（环固体〔2022〕17号）</w:t>
            </w:r>
            <w:bookmarkEnd w:id="24"/>
          </w:p>
        </w:tc>
        <w:tc>
          <w:tcPr>
            <w:tcW w:w="2174" w:type="pct"/>
            <w:vAlign w:val="center"/>
          </w:tcPr>
          <w:p w14:paraId="564804F5">
            <w:pPr>
              <w:pStyle w:val="41"/>
              <w:adjustRightInd w:val="0"/>
              <w:snapToGrid w:val="0"/>
              <w:ind w:left="-72" w:leftChars="-30" w:right="-72" w:rightChars="-30"/>
              <w:jc w:val="left"/>
              <w:rPr>
                <w:kern w:val="0"/>
                <w:lang w:bidi="ar"/>
              </w:rPr>
            </w:pPr>
            <w:r>
              <w:rPr>
                <w:kern w:val="0"/>
                <w:lang w:bidi="ar"/>
              </w:rPr>
              <w:t>推行企业重金属污染物排放总量控制制度。依法将重点行业企业纳入排污许可管理。对于实施排污许可重点管理的企业，排污许可证应当明确重金属污染物排放种类、许可排放浓度、许可排放量等。</w:t>
            </w:r>
          </w:p>
        </w:tc>
        <w:tc>
          <w:tcPr>
            <w:tcW w:w="1669" w:type="pct"/>
            <w:vAlign w:val="center"/>
          </w:tcPr>
          <w:p w14:paraId="23F31122">
            <w:pPr>
              <w:pStyle w:val="41"/>
              <w:adjustRightInd w:val="0"/>
              <w:snapToGrid w:val="0"/>
              <w:ind w:left="-72" w:leftChars="-30" w:right="-72" w:rightChars="-30"/>
              <w:jc w:val="left"/>
              <w:rPr>
                <w:kern w:val="0"/>
                <w:lang w:bidi="ar"/>
              </w:rPr>
            </w:pPr>
            <w:r>
              <w:rPr>
                <w:kern w:val="0"/>
                <w:lang w:bidi="ar"/>
              </w:rPr>
              <w:t>本项目为排污许可重点管理的企业，项目环评批复后应对排污许可证进行变更，按照要求明确重金属污染物排放种类、许可排放浓度、许可排放量等</w:t>
            </w:r>
          </w:p>
        </w:tc>
        <w:tc>
          <w:tcPr>
            <w:tcW w:w="247" w:type="pct"/>
            <w:vAlign w:val="center"/>
          </w:tcPr>
          <w:p w14:paraId="3EE50EEE">
            <w:pPr>
              <w:pStyle w:val="41"/>
              <w:adjustRightInd w:val="0"/>
              <w:snapToGrid w:val="0"/>
              <w:ind w:left="-72" w:leftChars="-30" w:right="-72" w:rightChars="-30"/>
            </w:pPr>
            <w:r>
              <w:t>符合</w:t>
            </w:r>
          </w:p>
        </w:tc>
      </w:tr>
      <w:tr w14:paraId="089247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20A07513">
            <w:pPr>
              <w:pStyle w:val="41"/>
              <w:adjustRightInd w:val="0"/>
              <w:snapToGrid w:val="0"/>
              <w:ind w:left="-72" w:leftChars="-30" w:right="-72" w:rightChars="-30"/>
            </w:pPr>
          </w:p>
        </w:tc>
        <w:tc>
          <w:tcPr>
            <w:tcW w:w="658" w:type="pct"/>
            <w:vMerge w:val="continue"/>
            <w:vAlign w:val="center"/>
          </w:tcPr>
          <w:p w14:paraId="46B8238F">
            <w:pPr>
              <w:pStyle w:val="41"/>
              <w:adjustRightInd w:val="0"/>
              <w:snapToGrid w:val="0"/>
              <w:ind w:left="-72" w:leftChars="-30" w:right="-72" w:rightChars="-30"/>
            </w:pPr>
          </w:p>
        </w:tc>
        <w:tc>
          <w:tcPr>
            <w:tcW w:w="2174" w:type="pct"/>
            <w:vAlign w:val="center"/>
          </w:tcPr>
          <w:p w14:paraId="2138EDA2">
            <w:pPr>
              <w:pStyle w:val="41"/>
              <w:adjustRightInd w:val="0"/>
              <w:snapToGrid w:val="0"/>
              <w:ind w:left="-72" w:leftChars="-30" w:right="-72" w:rightChars="-30"/>
              <w:jc w:val="left"/>
              <w:rPr>
                <w:kern w:val="0"/>
                <w:lang w:bidi="ar"/>
              </w:rPr>
            </w:pPr>
            <w:r>
              <w:rPr>
                <w:kern w:val="0"/>
                <w:lang w:bidi="ar"/>
              </w:rPr>
              <w:t>探索重金属污染物排放总量替代管理豁免。对利用涉重金属固体废物的重点行业建设项目，特别是以历史遗留涉重金属固体废物为原料的，在满足利用固体废物种类、原料来源、建设地点、工艺设备和污染治理水平等必要条件并严格审批前提下，可在环评审批程序实行重金属污染物排放总量替代管理豁免。</w:t>
            </w:r>
          </w:p>
        </w:tc>
        <w:tc>
          <w:tcPr>
            <w:tcW w:w="1669" w:type="pct"/>
            <w:vAlign w:val="center"/>
          </w:tcPr>
          <w:p w14:paraId="20011AAC">
            <w:pPr>
              <w:pStyle w:val="41"/>
              <w:adjustRightInd w:val="0"/>
              <w:snapToGrid w:val="0"/>
              <w:ind w:left="-72" w:leftChars="-30" w:right="-72" w:rightChars="-30"/>
              <w:jc w:val="left"/>
              <w:rPr>
                <w:kern w:val="0"/>
                <w:lang w:bidi="ar"/>
              </w:rPr>
            </w:pPr>
            <w:r>
              <w:t>项目技改后在满足原有环评批复的总量控制指标前提下，不新增污染物排放总量。</w:t>
            </w:r>
          </w:p>
        </w:tc>
        <w:tc>
          <w:tcPr>
            <w:tcW w:w="247" w:type="pct"/>
            <w:vAlign w:val="center"/>
          </w:tcPr>
          <w:p w14:paraId="65690283">
            <w:pPr>
              <w:pStyle w:val="41"/>
              <w:adjustRightInd w:val="0"/>
              <w:snapToGrid w:val="0"/>
              <w:ind w:left="-72" w:leftChars="-30" w:right="-72" w:rightChars="-30"/>
            </w:pPr>
            <w:r>
              <w:t>符合</w:t>
            </w:r>
          </w:p>
        </w:tc>
      </w:tr>
      <w:tr w14:paraId="321714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6EBEF01C">
            <w:pPr>
              <w:pStyle w:val="41"/>
              <w:adjustRightInd w:val="0"/>
              <w:snapToGrid w:val="0"/>
              <w:ind w:left="-72" w:leftChars="-30" w:right="-72" w:rightChars="-30"/>
              <w:rPr>
                <w:color w:val="EE0000"/>
              </w:rPr>
            </w:pPr>
          </w:p>
        </w:tc>
        <w:tc>
          <w:tcPr>
            <w:tcW w:w="658" w:type="pct"/>
            <w:vMerge w:val="continue"/>
            <w:vAlign w:val="center"/>
          </w:tcPr>
          <w:p w14:paraId="2E0E5470">
            <w:pPr>
              <w:pStyle w:val="41"/>
              <w:adjustRightInd w:val="0"/>
              <w:snapToGrid w:val="0"/>
              <w:ind w:left="-72" w:leftChars="-30" w:right="-72" w:rightChars="-30"/>
              <w:rPr>
                <w:color w:val="EE0000"/>
              </w:rPr>
            </w:pPr>
          </w:p>
        </w:tc>
        <w:tc>
          <w:tcPr>
            <w:tcW w:w="2174" w:type="pct"/>
            <w:vAlign w:val="center"/>
          </w:tcPr>
          <w:p w14:paraId="76CA26AC">
            <w:pPr>
              <w:pStyle w:val="41"/>
              <w:adjustRightInd w:val="0"/>
              <w:snapToGrid w:val="0"/>
              <w:ind w:left="-72" w:leftChars="-30" w:right="-72" w:rightChars="-30"/>
              <w:jc w:val="left"/>
              <w:rPr>
                <w:kern w:val="0"/>
                <w:lang w:bidi="ar"/>
              </w:rPr>
            </w:pPr>
            <w:r>
              <w:rPr>
                <w:kern w:val="0"/>
                <w:lang w:bidi="ar"/>
              </w:rPr>
              <w:t>严格重点行业企业准入管理。新、改、扩建重点行业建设项目应符合“三线一单”、产业政策、区域环评、规划环评和行业环境准入管控要求。重点区域的新、改、扩建重点行业建设项目应遵循重点重金属污染物排放“减量替代”原则，减量替代比例不低于1.2:1；其他区域遵循“等量替代”原则。建设单位在提交环境影响评价文件时应明确重点重金属污染物排放总量及来源。无明确具体总量来源的，各级生态环境部门不得批准相关环境影响评价文件。总量来源原则上应是同一重点行业内企业削减的重点重金属污染物排放量，当同一重点行业内企业削减量无法满足时可从其他重点行业调剂。严格重点行业建设项目环境影响评价审批，审慎下放审批权限，不得以改革试点为名降低审批要求。</w:t>
            </w:r>
          </w:p>
        </w:tc>
        <w:tc>
          <w:tcPr>
            <w:tcW w:w="1669" w:type="pct"/>
            <w:vAlign w:val="center"/>
          </w:tcPr>
          <w:p w14:paraId="443A9A75">
            <w:pPr>
              <w:pStyle w:val="41"/>
              <w:adjustRightInd w:val="0"/>
              <w:snapToGrid w:val="0"/>
              <w:ind w:left="-72" w:leftChars="-30" w:right="-72" w:rightChars="-30"/>
              <w:jc w:val="left"/>
              <w:rPr>
                <w:kern w:val="0"/>
                <w:lang w:bidi="ar"/>
              </w:rPr>
            </w:pPr>
            <w:r>
              <w:rPr>
                <w:kern w:val="0"/>
                <w:lang w:bidi="ar"/>
              </w:rPr>
              <w:t>本项目为铁合金冶炼业，</w:t>
            </w:r>
            <w:r>
              <w:t>项目技改后在满足原有环评批复的总量控制指标前提下，不新增污染物排放总量。</w:t>
            </w:r>
          </w:p>
        </w:tc>
        <w:tc>
          <w:tcPr>
            <w:tcW w:w="247" w:type="pct"/>
            <w:vAlign w:val="center"/>
          </w:tcPr>
          <w:p w14:paraId="17444BA7">
            <w:pPr>
              <w:pStyle w:val="41"/>
              <w:adjustRightInd w:val="0"/>
              <w:snapToGrid w:val="0"/>
              <w:ind w:left="-72" w:leftChars="-30" w:right="-72" w:rightChars="-30"/>
            </w:pPr>
            <w:r>
              <w:t>符合</w:t>
            </w:r>
          </w:p>
        </w:tc>
      </w:tr>
      <w:tr w14:paraId="1977E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3A7FC2A7">
            <w:pPr>
              <w:pStyle w:val="41"/>
              <w:adjustRightInd w:val="0"/>
              <w:snapToGrid w:val="0"/>
              <w:ind w:left="-72" w:leftChars="-30" w:right="-72" w:rightChars="-30"/>
              <w:rPr>
                <w:color w:val="EE0000"/>
              </w:rPr>
            </w:pPr>
          </w:p>
        </w:tc>
        <w:tc>
          <w:tcPr>
            <w:tcW w:w="658" w:type="pct"/>
            <w:vMerge w:val="continue"/>
            <w:vAlign w:val="center"/>
          </w:tcPr>
          <w:p w14:paraId="525B49CC">
            <w:pPr>
              <w:pStyle w:val="41"/>
              <w:adjustRightInd w:val="0"/>
              <w:snapToGrid w:val="0"/>
              <w:ind w:left="-72" w:leftChars="-30" w:right="-72" w:rightChars="-30"/>
              <w:rPr>
                <w:color w:val="EE0000"/>
              </w:rPr>
            </w:pPr>
          </w:p>
        </w:tc>
        <w:tc>
          <w:tcPr>
            <w:tcW w:w="2174" w:type="pct"/>
            <w:vAlign w:val="center"/>
          </w:tcPr>
          <w:p w14:paraId="132AFBBE">
            <w:pPr>
              <w:pStyle w:val="41"/>
              <w:adjustRightInd w:val="0"/>
              <w:snapToGrid w:val="0"/>
              <w:ind w:left="-72" w:leftChars="-30" w:right="-72" w:rightChars="-30"/>
              <w:jc w:val="left"/>
              <w:rPr>
                <w:kern w:val="0"/>
                <w:lang w:bidi="ar"/>
              </w:rPr>
            </w:pPr>
            <w:r>
              <w:rPr>
                <w:kern w:val="0"/>
                <w:lang w:bidi="ar"/>
              </w:rPr>
              <w:t>依法推动落后产能退出。根据《产业结构调整指导目录》《限期淘汰产生严重污染环境的工业固体废物的落后生产工艺设备名录》等要求，推动依法淘汰涉重金属落后产能和化解过剩产能。严格执行生态环境保护等相关法规标准，推动经整改仍达不到要求的产能依法依规关闭退出。</w:t>
            </w:r>
          </w:p>
        </w:tc>
        <w:tc>
          <w:tcPr>
            <w:tcW w:w="1669" w:type="pct"/>
            <w:vAlign w:val="center"/>
          </w:tcPr>
          <w:p w14:paraId="73085953">
            <w:pPr>
              <w:pStyle w:val="41"/>
              <w:adjustRightInd w:val="0"/>
              <w:snapToGrid w:val="0"/>
              <w:ind w:left="-72" w:leftChars="-30" w:right="-72" w:rightChars="-30"/>
              <w:jc w:val="left"/>
              <w:rPr>
                <w:kern w:val="0"/>
                <w:lang w:bidi="ar"/>
              </w:rPr>
            </w:pPr>
            <w:r>
              <w:t>本项目符合《产业结构调整指导目录（2024年本）》，不含</w:t>
            </w:r>
            <w:r>
              <w:rPr>
                <w:kern w:val="0"/>
                <w:lang w:bidi="ar"/>
              </w:rPr>
              <w:t>《限期淘汰产生严重污染环境的工业固体废物的落后生产工艺设备名录》中落后淘汰工艺及设备。</w:t>
            </w:r>
          </w:p>
        </w:tc>
        <w:tc>
          <w:tcPr>
            <w:tcW w:w="247" w:type="pct"/>
            <w:vAlign w:val="center"/>
          </w:tcPr>
          <w:p w14:paraId="2257B2ED">
            <w:pPr>
              <w:pStyle w:val="41"/>
              <w:adjustRightInd w:val="0"/>
              <w:snapToGrid w:val="0"/>
              <w:ind w:left="-72" w:leftChars="-30" w:right="-72" w:rightChars="-30"/>
            </w:pPr>
            <w:r>
              <w:t>符合</w:t>
            </w:r>
          </w:p>
        </w:tc>
      </w:tr>
      <w:tr w14:paraId="5B8F15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27B0CF18">
            <w:pPr>
              <w:pStyle w:val="41"/>
              <w:adjustRightInd w:val="0"/>
              <w:snapToGrid w:val="0"/>
              <w:ind w:left="-72" w:leftChars="-30" w:right="-72" w:rightChars="-30"/>
              <w:rPr>
                <w:color w:val="EE0000"/>
              </w:rPr>
            </w:pPr>
          </w:p>
        </w:tc>
        <w:tc>
          <w:tcPr>
            <w:tcW w:w="658" w:type="pct"/>
            <w:vMerge w:val="continue"/>
            <w:vAlign w:val="center"/>
          </w:tcPr>
          <w:p w14:paraId="45058663">
            <w:pPr>
              <w:pStyle w:val="41"/>
              <w:adjustRightInd w:val="0"/>
              <w:snapToGrid w:val="0"/>
              <w:ind w:left="-72" w:leftChars="-30" w:right="-72" w:rightChars="-30"/>
              <w:rPr>
                <w:color w:val="EE0000"/>
              </w:rPr>
            </w:pPr>
          </w:p>
        </w:tc>
        <w:tc>
          <w:tcPr>
            <w:tcW w:w="2174" w:type="pct"/>
            <w:vAlign w:val="center"/>
          </w:tcPr>
          <w:p w14:paraId="0001666D">
            <w:pPr>
              <w:pStyle w:val="41"/>
              <w:adjustRightInd w:val="0"/>
              <w:snapToGrid w:val="0"/>
              <w:ind w:left="-72" w:leftChars="-30" w:right="-72" w:rightChars="-30"/>
              <w:jc w:val="left"/>
              <w:rPr>
                <w:kern w:val="0"/>
                <w:lang w:bidi="ar"/>
              </w:rPr>
            </w:pPr>
            <w:r>
              <w:rPr>
                <w:kern w:val="0"/>
                <w:lang w:bidi="ar"/>
              </w:rPr>
              <w:t>优化重点行业企业布局。推动涉重金属产业集中优化发展，禁止低端落后产能向长江、黄河中上游地区转移。禁止新建用汞的电石法（聚）氯乙烯生产工艺。新建、扩建的重有色金属冶炼、电镀、制革企业优先选择布设在依法合规设立并经规划环评的产业园区。</w:t>
            </w:r>
          </w:p>
        </w:tc>
        <w:tc>
          <w:tcPr>
            <w:tcW w:w="1669" w:type="pct"/>
            <w:vAlign w:val="center"/>
          </w:tcPr>
          <w:p w14:paraId="50C30AA2">
            <w:pPr>
              <w:pStyle w:val="41"/>
              <w:adjustRightInd w:val="0"/>
              <w:snapToGrid w:val="0"/>
              <w:ind w:left="-72" w:leftChars="-30" w:right="-72" w:rightChars="-30"/>
              <w:jc w:val="left"/>
              <w:rPr>
                <w:kern w:val="0"/>
                <w:lang w:bidi="ar"/>
              </w:rPr>
            </w:pPr>
            <w:r>
              <w:rPr>
                <w:kern w:val="0"/>
                <w:lang w:bidi="ar"/>
              </w:rPr>
              <w:t>本项目位于奎屯-独山子经济技术开发区，</w:t>
            </w:r>
            <w:r>
              <w:t>项目符合《奎屯-独山子经济技术开发区总体规划修编（2019-2030）环境影响报告书》及其审查意见。</w:t>
            </w:r>
          </w:p>
        </w:tc>
        <w:tc>
          <w:tcPr>
            <w:tcW w:w="247" w:type="pct"/>
            <w:vAlign w:val="center"/>
          </w:tcPr>
          <w:p w14:paraId="657BDB0B">
            <w:pPr>
              <w:pStyle w:val="41"/>
              <w:adjustRightInd w:val="0"/>
              <w:snapToGrid w:val="0"/>
              <w:ind w:left="-72" w:leftChars="-30" w:right="-72" w:rightChars="-30"/>
            </w:pPr>
            <w:r>
              <w:t>符合</w:t>
            </w:r>
          </w:p>
        </w:tc>
      </w:tr>
      <w:tr w14:paraId="399E44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restart"/>
            <w:vAlign w:val="center"/>
          </w:tcPr>
          <w:p w14:paraId="1B444D64">
            <w:pPr>
              <w:pStyle w:val="41"/>
              <w:adjustRightInd w:val="0"/>
              <w:snapToGrid w:val="0"/>
              <w:ind w:left="-72" w:leftChars="-30" w:right="-72" w:rightChars="-30"/>
            </w:pPr>
            <w:r>
              <w:t>14</w:t>
            </w:r>
          </w:p>
        </w:tc>
        <w:tc>
          <w:tcPr>
            <w:tcW w:w="658" w:type="pct"/>
            <w:vMerge w:val="restart"/>
            <w:vAlign w:val="center"/>
          </w:tcPr>
          <w:p w14:paraId="2659A8BB">
            <w:pPr>
              <w:pStyle w:val="41"/>
              <w:adjustRightInd w:val="0"/>
              <w:snapToGrid w:val="0"/>
              <w:ind w:left="-72" w:leftChars="-30" w:right="-72" w:rightChars="-30"/>
            </w:pPr>
            <w:r>
              <w:t>《自治区减污降碳协同增效实施方案》（新环气候发〔2023〕19号）</w:t>
            </w:r>
          </w:p>
        </w:tc>
        <w:tc>
          <w:tcPr>
            <w:tcW w:w="2174" w:type="pct"/>
            <w:vAlign w:val="center"/>
          </w:tcPr>
          <w:p w14:paraId="58AAD8A3">
            <w:pPr>
              <w:pStyle w:val="41"/>
              <w:adjustRightInd w:val="0"/>
              <w:snapToGrid w:val="0"/>
              <w:ind w:left="-72" w:leftChars="-30" w:right="-72" w:rightChars="-30"/>
              <w:jc w:val="left"/>
            </w:pPr>
            <w:r>
              <w:t>（四）加强生态环境分区管控</w:t>
            </w:r>
          </w:p>
          <w:p w14:paraId="2D45C2BA">
            <w:pPr>
              <w:pStyle w:val="41"/>
              <w:adjustRightInd w:val="0"/>
              <w:snapToGrid w:val="0"/>
              <w:ind w:left="-72" w:leftChars="-30" w:right="-72" w:rightChars="-30"/>
              <w:jc w:val="left"/>
            </w:pPr>
            <w:r>
              <w:t>严格落实城市化地区、农产品主产区减污降碳政策。衔接国土空间规划分区和用途管制要求，通过试点，逐步探索将碳达峰碳中和要求纳入“三线一单”（生态保护红线、环境质量底线、资源利用上线和生态环境准入清单）分区管控体系，建立差别化改善目标及资源利用红线对能源和产业布局的引导约束作用，严格落实以区域环境质量改善和碳达峰目标为导向的产业准入及退出清单制度。大气污染防治重点区域严禁新增钢铁、水泥熟料、平板玻璃、煤化工产能，严控新增炼油产能，等量或减量置换要求。加大结构调整和布局优化力度，严格落实《产业结构调整指导目录》淘汰限制类标准、单位产品能耗限额标准、污染物排放等国家及自治区最新政策标准，加快推动重点区域、重点流域落后产能淘汰和过剩产能压减退出。依法加快城市建成区重污染企业搬迁改造或关闭退出。</w:t>
            </w:r>
          </w:p>
        </w:tc>
        <w:tc>
          <w:tcPr>
            <w:tcW w:w="1669" w:type="pct"/>
            <w:vMerge w:val="restart"/>
            <w:vAlign w:val="center"/>
          </w:tcPr>
          <w:p w14:paraId="684C276B">
            <w:pPr>
              <w:pStyle w:val="41"/>
              <w:adjustRightInd w:val="0"/>
              <w:snapToGrid w:val="0"/>
              <w:ind w:left="-72" w:leftChars="-30" w:right="-72" w:rightChars="-30"/>
              <w:jc w:val="left"/>
            </w:pPr>
            <w:r>
              <w:t>（1）本项目符合《奎屯-独山子经济技术开发区总体规划修编（2019-2030）环境影响报告书》及其审查意见。</w:t>
            </w:r>
          </w:p>
          <w:p w14:paraId="4C912982">
            <w:pPr>
              <w:pStyle w:val="41"/>
              <w:adjustRightInd w:val="0"/>
              <w:snapToGrid w:val="0"/>
              <w:ind w:left="-72" w:leftChars="-30" w:right="-72" w:rightChars="-30"/>
              <w:jc w:val="left"/>
            </w:pPr>
            <w:r>
              <w:t>（2）本项目符合生态环境分区管控相关要求，符合区域生态环境管控方案。</w:t>
            </w:r>
          </w:p>
          <w:p w14:paraId="77F240CE">
            <w:pPr>
              <w:pStyle w:val="41"/>
              <w:adjustRightInd w:val="0"/>
              <w:snapToGrid w:val="0"/>
              <w:ind w:left="-72" w:leftChars="-30" w:right="-72" w:rightChars="-30"/>
              <w:jc w:val="left"/>
            </w:pPr>
            <w:r>
              <w:t>（3）</w:t>
            </w:r>
            <w:bookmarkStart w:id="25" w:name="_Hlk200529388"/>
            <w:r>
              <w:t>本项目符合《产业结构调整指导目录（2024年本）》。</w:t>
            </w:r>
          </w:p>
          <w:p w14:paraId="23AD2436">
            <w:pPr>
              <w:pStyle w:val="41"/>
              <w:adjustRightInd w:val="0"/>
              <w:snapToGrid w:val="0"/>
              <w:ind w:left="-72" w:leftChars="-30" w:right="-72" w:rightChars="-30"/>
              <w:jc w:val="left"/>
            </w:pPr>
            <w:r>
              <w:t>（4）项目技改后在满足原有环评批复的总量控制指标前提下，不新增污染物排放总量。</w:t>
            </w:r>
            <w:bookmarkEnd w:id="25"/>
          </w:p>
          <w:p w14:paraId="4452EB62">
            <w:pPr>
              <w:pStyle w:val="41"/>
              <w:adjustRightInd w:val="0"/>
              <w:snapToGrid w:val="0"/>
              <w:ind w:left="-72" w:leftChars="-30" w:right="-72" w:rightChars="-30"/>
              <w:jc w:val="left"/>
            </w:pPr>
            <w:r>
              <w:t>（5）全厂工程整体清洁生产水平处于铁合金冶炼行业的国内清洁生产先进水平。</w:t>
            </w:r>
          </w:p>
        </w:tc>
        <w:tc>
          <w:tcPr>
            <w:tcW w:w="247" w:type="pct"/>
            <w:vMerge w:val="restart"/>
            <w:vAlign w:val="center"/>
          </w:tcPr>
          <w:p w14:paraId="3C1CD82F">
            <w:pPr>
              <w:pStyle w:val="41"/>
              <w:adjustRightInd w:val="0"/>
              <w:snapToGrid w:val="0"/>
              <w:ind w:left="-72" w:leftChars="-30" w:right="-72" w:rightChars="-30"/>
            </w:pPr>
            <w:r>
              <w:t>符合</w:t>
            </w:r>
          </w:p>
        </w:tc>
      </w:tr>
      <w:tr w14:paraId="77E281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Merge w:val="continue"/>
            <w:vAlign w:val="center"/>
          </w:tcPr>
          <w:p w14:paraId="07C1B854">
            <w:pPr>
              <w:pStyle w:val="41"/>
              <w:adjustRightInd w:val="0"/>
              <w:snapToGrid w:val="0"/>
              <w:ind w:left="-72" w:leftChars="-30" w:right="-72" w:rightChars="-30"/>
              <w:rPr>
                <w:color w:val="EE0000"/>
              </w:rPr>
            </w:pPr>
          </w:p>
        </w:tc>
        <w:tc>
          <w:tcPr>
            <w:tcW w:w="658" w:type="pct"/>
            <w:vMerge w:val="continue"/>
            <w:vAlign w:val="center"/>
          </w:tcPr>
          <w:p w14:paraId="2DC911CF">
            <w:pPr>
              <w:pStyle w:val="41"/>
              <w:adjustRightInd w:val="0"/>
              <w:snapToGrid w:val="0"/>
              <w:ind w:left="-72" w:leftChars="-30" w:right="-72" w:rightChars="-30"/>
              <w:rPr>
                <w:color w:val="EE0000"/>
              </w:rPr>
            </w:pPr>
          </w:p>
        </w:tc>
        <w:tc>
          <w:tcPr>
            <w:tcW w:w="2174" w:type="pct"/>
            <w:vAlign w:val="center"/>
          </w:tcPr>
          <w:p w14:paraId="15BCFAE2">
            <w:pPr>
              <w:pStyle w:val="41"/>
              <w:adjustRightInd w:val="0"/>
              <w:snapToGrid w:val="0"/>
              <w:ind w:left="-72" w:leftChars="-30" w:right="-72" w:rightChars="-30"/>
              <w:jc w:val="left"/>
            </w:pPr>
            <w:r>
              <w:t>（五）加强生态环境准入管理</w:t>
            </w:r>
          </w:p>
          <w:p w14:paraId="0DF16AEC">
            <w:pPr>
              <w:pStyle w:val="41"/>
              <w:adjustRightInd w:val="0"/>
              <w:snapToGrid w:val="0"/>
              <w:ind w:left="-72" w:leftChars="-30" w:right="-72" w:rightChars="-30"/>
              <w:jc w:val="left"/>
            </w:pPr>
            <w:r>
              <w:t>坚决遏制高耗能、高排放、低水平项目盲目发展，新（改、扩）建高耗能、高排放项目，要严格落实国家、自治区产业规划、产业政策、“三线一单”、环评审批、取水许可审批、节能审查以及产能置换、煤炭消费减量替代、污染物区域削减替代等相关要求，采取先进适用的工艺技术和装备，提升能耗准入标准，能耗、改、物耗、水耗要达到清洁生产先进水平。</w:t>
            </w:r>
          </w:p>
        </w:tc>
        <w:tc>
          <w:tcPr>
            <w:tcW w:w="1669" w:type="pct"/>
            <w:vMerge w:val="continue"/>
            <w:vAlign w:val="center"/>
          </w:tcPr>
          <w:p w14:paraId="019FA9C5">
            <w:pPr>
              <w:pStyle w:val="41"/>
              <w:adjustRightInd w:val="0"/>
              <w:snapToGrid w:val="0"/>
              <w:ind w:left="-72" w:leftChars="-30" w:right="-72" w:rightChars="-30"/>
              <w:jc w:val="left"/>
              <w:rPr>
                <w:color w:val="EE0000"/>
              </w:rPr>
            </w:pPr>
          </w:p>
        </w:tc>
        <w:tc>
          <w:tcPr>
            <w:tcW w:w="247" w:type="pct"/>
            <w:vMerge w:val="continue"/>
            <w:vAlign w:val="center"/>
          </w:tcPr>
          <w:p w14:paraId="6540895C">
            <w:pPr>
              <w:pStyle w:val="41"/>
              <w:adjustRightInd w:val="0"/>
              <w:snapToGrid w:val="0"/>
              <w:ind w:left="-72" w:leftChars="-30" w:right="-72" w:rightChars="-30"/>
              <w:rPr>
                <w:color w:val="EE0000"/>
              </w:rPr>
            </w:pPr>
          </w:p>
        </w:tc>
      </w:tr>
      <w:tr w14:paraId="43E60E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52" w:type="pct"/>
            <w:vAlign w:val="center"/>
          </w:tcPr>
          <w:p w14:paraId="4789A427">
            <w:pPr>
              <w:pStyle w:val="41"/>
              <w:adjustRightInd w:val="0"/>
              <w:snapToGrid w:val="0"/>
              <w:ind w:left="-72" w:leftChars="-30" w:right="-72" w:rightChars="-30"/>
            </w:pPr>
            <w:r>
              <w:t>15</w:t>
            </w:r>
          </w:p>
        </w:tc>
        <w:tc>
          <w:tcPr>
            <w:tcW w:w="658" w:type="pct"/>
            <w:vAlign w:val="center"/>
          </w:tcPr>
          <w:p w14:paraId="066B3E38">
            <w:pPr>
              <w:pStyle w:val="41"/>
              <w:adjustRightInd w:val="0"/>
              <w:snapToGrid w:val="0"/>
              <w:ind w:left="-72" w:leftChars="-30" w:right="-72" w:rightChars="-30"/>
            </w:pPr>
            <w:r>
              <w:t>《伊犁州大气环境整治“2024-2025年”行动方案》</w:t>
            </w:r>
          </w:p>
        </w:tc>
        <w:tc>
          <w:tcPr>
            <w:tcW w:w="2174" w:type="pct"/>
            <w:vAlign w:val="center"/>
          </w:tcPr>
          <w:p w14:paraId="5B3E99D9">
            <w:pPr>
              <w:pStyle w:val="41"/>
              <w:adjustRightInd w:val="0"/>
              <w:snapToGrid w:val="0"/>
              <w:ind w:left="-72" w:leftChars="-30" w:right="-72" w:rightChars="-30"/>
              <w:jc w:val="left"/>
            </w:pPr>
            <w:r>
              <w:t>（十三）强化重点行业污染深度治理。继续推进排放总量50吨以上涉气企业落实“一企一策”污染治理措施，各县市根据实际情况适当增加污染物排放总量低于50吨的涉气企业制定污染治理方案，明确污染物减排措施和完成时限。2025底前钢铁、焦化、水泥行业完成超低排放改造。对生产、运输过程实施无组织排放整治，实现厂区内无可见烟粉尘及明味。对低效失效污染治理设施实施提升改造。</w:t>
            </w:r>
          </w:p>
        </w:tc>
        <w:tc>
          <w:tcPr>
            <w:tcW w:w="1669" w:type="pct"/>
            <w:vAlign w:val="center"/>
          </w:tcPr>
          <w:p w14:paraId="0BA0F9D2">
            <w:pPr>
              <w:pStyle w:val="41"/>
              <w:adjustRightInd w:val="0"/>
              <w:snapToGrid w:val="0"/>
              <w:ind w:left="-72" w:leftChars="-30" w:right="-72" w:rightChars="-30"/>
              <w:jc w:val="left"/>
            </w:pPr>
            <w:r>
              <w:t>（1）企业已按照要求制定《新疆艾斯米尔锰合金有限公司2024年“一企一策”大气污染治理方案》；</w:t>
            </w:r>
          </w:p>
          <w:p w14:paraId="399C948D">
            <w:pPr>
              <w:pStyle w:val="41"/>
              <w:adjustRightInd w:val="0"/>
              <w:snapToGrid w:val="0"/>
              <w:ind w:left="-72" w:leftChars="-30" w:right="-72" w:rightChars="-30"/>
              <w:jc w:val="left"/>
            </w:pPr>
            <w:r>
              <w:t>（2）本项目废气排放均满足特别排放限值要求。</w:t>
            </w:r>
          </w:p>
        </w:tc>
        <w:tc>
          <w:tcPr>
            <w:tcW w:w="247" w:type="pct"/>
            <w:vAlign w:val="center"/>
          </w:tcPr>
          <w:p w14:paraId="46FBC5F4">
            <w:pPr>
              <w:pStyle w:val="41"/>
              <w:adjustRightInd w:val="0"/>
              <w:snapToGrid w:val="0"/>
              <w:ind w:left="-72" w:leftChars="-30" w:right="-72" w:rightChars="-30"/>
            </w:pPr>
            <w:r>
              <w:t>符合</w:t>
            </w:r>
          </w:p>
        </w:tc>
      </w:tr>
    </w:tbl>
    <w:p w14:paraId="6BCA6E60">
      <w:pPr>
        <w:pStyle w:val="3"/>
        <w:ind w:firstLine="480"/>
      </w:pPr>
    </w:p>
    <w:p w14:paraId="4FF94991">
      <w:pPr>
        <w:pStyle w:val="3"/>
        <w:ind w:firstLine="480"/>
        <w:sectPr>
          <w:footerReference r:id="rId9" w:type="default"/>
          <w:pgSz w:w="16838" w:h="11906" w:orient="landscape"/>
          <w:pgMar w:top="1135" w:right="1440" w:bottom="1276" w:left="1276" w:header="851" w:footer="666" w:gutter="0"/>
          <w:cols w:space="720" w:num="1"/>
          <w:docGrid w:type="lines" w:linePitch="326" w:charSpace="0"/>
        </w:sectPr>
      </w:pPr>
    </w:p>
    <w:p w14:paraId="298820B6">
      <w:pPr>
        <w:pStyle w:val="5"/>
        <w:spacing w:before="163"/>
      </w:pPr>
      <w:r>
        <w:t>规划符合性</w:t>
      </w:r>
    </w:p>
    <w:p w14:paraId="665BA235">
      <w:pPr>
        <w:pStyle w:val="6"/>
        <w:spacing w:before="163" w:after="163"/>
      </w:pPr>
      <w:r>
        <w:t>与《新疆维吾尔自治区国民经济和社会发展第十四个五年规划和2035年远景目标纲要》符合性分析</w:t>
      </w:r>
    </w:p>
    <w:p w14:paraId="646ABF04">
      <w:pPr>
        <w:pStyle w:val="3"/>
        <w:ind w:firstLine="480"/>
      </w:pPr>
      <w:r>
        <w:t>《新疆维吾尔自治区国民经济和社会发展第十四个五年规划和2035年远景目标纲要》中提出：“十四五”发展目标——生态文明建设实现新进步。……能源资源开发利用效率大幅提升，能耗和水资源消耗、建设用地、碳排放总量得到有效控制，生态保护和修复机制基本形成，生态环境持续改善，生态安全屏障更加牢固，城乡人居环境明显改善，大美新疆天更蓝、山更绿、水更清。</w:t>
      </w:r>
    </w:p>
    <w:p w14:paraId="6E2EEEA4">
      <w:pPr>
        <w:pStyle w:val="3"/>
        <w:ind w:firstLine="480"/>
      </w:pPr>
      <w:r>
        <w:t>本项目符合《产业结构调整指导目录（2024年本）》，项目技改后在满足原有环评批复的总量控制指标前提下，不新增污染物排放总量，有较好的环境效益，符合《新疆维吾尔自治区国民经济和社会发展第十四个五年规划和2035年远景目标纲要》相关要求。</w:t>
      </w:r>
    </w:p>
    <w:p w14:paraId="198602E4">
      <w:pPr>
        <w:pStyle w:val="6"/>
        <w:spacing w:before="163" w:after="163"/>
      </w:pPr>
      <w:r>
        <w:t>与《伊犁哈萨克自治州国民经济和社会发展第十四个五年规划和2035年远景目标纲要》符合性分析</w:t>
      </w:r>
    </w:p>
    <w:p w14:paraId="45299B4D">
      <w:pPr>
        <w:pStyle w:val="3"/>
        <w:ind w:firstLine="480"/>
      </w:pPr>
      <w:r>
        <w:t>《伊犁哈萨克自治州国民经济和社会发展第十四个五年规划和2035年远景目标纲要》中提出：“持续开展大气污染防治。加强城镇大气污染治理，强化奎—独—乌、伊宁市及周边区域（伊宁市—可克达拉市—霍城县—伊宁县—察布查尔锡伯自治县）联防联控、同防同治。继续加大火电、钢铁、水泥、石化、煤化工等工业污染源整治，施行采暖季重点行业错峰生产，强化工业企业排放管控，推动工业污染源全面达标排放。”</w:t>
      </w:r>
    </w:p>
    <w:p w14:paraId="6837B4D5">
      <w:pPr>
        <w:pStyle w:val="3"/>
        <w:ind w:firstLine="480"/>
      </w:pPr>
      <w:r>
        <w:t>企业已按照要求制定《新疆艾斯米尔锰合金有限公司2024年“一企一策”大气污染治理方案》，</w:t>
      </w:r>
      <w:r>
        <w:rPr>
          <w:lang w:bidi="ar"/>
        </w:rPr>
        <w:t>本次技改后全厂污染物排放标准严格按照相关特别排放限值执行，且在满足原有批复总量控制指标前提下，不新增污染物排放总量。</w:t>
      </w:r>
      <w:r>
        <w:t>符合《伊犁哈萨克自治州国民经济和社会发展第十四个五年规划和2035年远景目标纲要》相关要求。</w:t>
      </w:r>
    </w:p>
    <w:p w14:paraId="3C2143BE">
      <w:pPr>
        <w:pStyle w:val="6"/>
        <w:spacing w:before="163" w:after="163"/>
      </w:pPr>
      <w:r>
        <w:t>与《新疆生态环境保护“十四五”规划》符合性分析</w:t>
      </w:r>
    </w:p>
    <w:p w14:paraId="6330AD3B">
      <w:pPr>
        <w:pStyle w:val="3"/>
        <w:ind w:firstLine="480"/>
      </w:pPr>
      <w:r>
        <w:t>根据《新疆生态环境保护“十四五”规划》中提出“深入推进重点区域大气污染治理。深入推进“乌-昌-石”、“奎-独-乌”和伊宁市及周边区域大气污染治理。强化区域大气污染联防联控，合理确定产业布局，推动区域内统一产业准入和排放标准。实施钢铁、水泥、焦化等行业季节性生产调控措施，实施散煤整治、挥发性有机污染物（以下简称“VOCs”）综合治理、钢铁行业超低排放改造、燃气锅炉低氮燃烧改造、工业园区内轨道运输（大宗货物“公转铁”）、柴油货车治理、锅炉炉窑综合治理等工程项目。全面推行绿色施工，持续推动城市建成区重污染企业搬迁改造或关闭退出。”</w:t>
      </w:r>
    </w:p>
    <w:p w14:paraId="5D72AF23">
      <w:pPr>
        <w:pStyle w:val="3"/>
        <w:ind w:firstLine="480"/>
      </w:pPr>
      <w:r>
        <w:t>企业已按照要求制定《新疆艾斯米尔锰合金有限公司2024年“一企一策”大气污染治理方案》，</w:t>
      </w:r>
      <w:r>
        <w:rPr>
          <w:lang w:bidi="ar"/>
        </w:rPr>
        <w:t>本次技改后全厂污染物排放标准严格按照相关特别排放限值执行，且在满足原有批复总量控制指标前提下，不新增污染物排放总量。</w:t>
      </w:r>
      <w:r>
        <w:t>符合《新疆生态环境保护“十四五”规划》的相关要求。</w:t>
      </w:r>
    </w:p>
    <w:p w14:paraId="13B5B17A">
      <w:pPr>
        <w:pStyle w:val="6"/>
        <w:spacing w:before="163" w:after="163"/>
      </w:pPr>
      <w:r>
        <w:t>与《伊犁州生态环境保护“十四五”规划》符合性分析</w:t>
      </w:r>
    </w:p>
    <w:p w14:paraId="3C664E0B">
      <w:pPr>
        <w:pStyle w:val="3"/>
        <w:ind w:firstLine="480"/>
      </w:pPr>
      <w:r>
        <w:t>根据《伊犁州生态环境保护“十四五”规划》“提升重点行业领域能效水平。加强高耗能行业企业的能效管理，提高能源利用效率，大力推动钢铁、建材、化工等重点行业持续开展节能监察工作，有效降低单位产品能耗。大力推广应用工业余热综合利用技术，积极发展循环经济，减少碳排放。大力发展绿色建筑，推进新建公共建筑全面执行75%强制性节能标准，新建居住建筑推广75%节能标准。开展超低能耗、近零能耗建筑试点，扩大地源热、太阳能、风能等可再生能源建筑应用范围。”</w:t>
      </w:r>
    </w:p>
    <w:p w14:paraId="3BCCC2BB">
      <w:pPr>
        <w:pStyle w:val="3"/>
        <w:ind w:firstLine="480"/>
      </w:pPr>
      <w:r>
        <w:t>本项目水淬渣冷却水及冶炼车间冷却水执行《铁合金工业污染物排放标准》（GB28666-2012）中表3水污染物特别排放限值，冷却水循环使用，不外排，企业固体废物贮存、利用、处置符合国家有关标准规范的要求。除中和渣部分回用外，其余危险废物均委托有资质的单位进行处置。符合《伊犁州生态环境保护“十四五”规划》相关要求。</w:t>
      </w:r>
    </w:p>
    <w:p w14:paraId="39574565">
      <w:pPr>
        <w:pStyle w:val="6"/>
        <w:spacing w:before="163" w:after="163"/>
      </w:pPr>
      <w:r>
        <w:t>与</w:t>
      </w:r>
      <w:bookmarkStart w:id="26" w:name="_Hlk173412270"/>
      <w:r>
        <w:t>《“十四五”工业绿色发展规划》</w:t>
      </w:r>
      <w:bookmarkEnd w:id="26"/>
      <w:r>
        <w:t>符合性分析</w:t>
      </w:r>
    </w:p>
    <w:p w14:paraId="640DF5C7">
      <w:pPr>
        <w:pStyle w:val="3"/>
        <w:ind w:firstLine="480"/>
      </w:pPr>
      <w:r>
        <w:t>《“十四五”工业绿色发展规划》（工信部规〔2021〕178号）中提出：推动传统行业绿色低碳发展。加快钢铁、有色金属、石化化工、建材、纺织、轻工、机械等行业实施绿色化升级改造，推进城镇人口密集区危险化学品生产企业搬迁改造。落实能耗“双控”目标和碳排放强度控制要求，推动重化工业减量化、集约化、绿色化发展。对于市场已饱和的“两高”项目，主要产品设计能效水平要对标行业能耗限额先进值或国际先进水平。严格执行钢铁、水泥、平板玻璃、电解铝等行业产能置换政策，严控尿素、磷铵、电石、烧碱、黄磷等行业新增产能，新建项目应实施产能等量或减量置换。强化环保、能耗、水耗等要素约束，依法依规推动落后产能退出。</w:t>
      </w:r>
    </w:p>
    <w:p w14:paraId="069AB514">
      <w:pPr>
        <w:pStyle w:val="3"/>
        <w:ind w:firstLine="480"/>
      </w:pPr>
      <w:r>
        <w:t>本项目技改后在满足原有环评批复的总量控制指标前提下，不新增污染物排放总量。全厂工程整体清洁生产水平处于铁合金冶炼行业的二级。即达到国内清洁生产先进水平。符合《“十四五”工业绿色发展规划》相关要求。</w:t>
      </w:r>
    </w:p>
    <w:p w14:paraId="78217550">
      <w:pPr>
        <w:pStyle w:val="6"/>
        <w:spacing w:before="163" w:after="163"/>
      </w:pPr>
      <w:bookmarkStart w:id="27" w:name="_Hlk170903213"/>
      <w:r>
        <w:t>与《“十四五”原材料工业发展规划》符合性分析</w:t>
      </w:r>
    </w:p>
    <w:p w14:paraId="369E6EFB">
      <w:pPr>
        <w:widowControl/>
        <w:ind w:firstLine="480" w:firstLineChars="200"/>
        <w:jc w:val="left"/>
        <w:rPr>
          <w:kern w:val="0"/>
          <w:lang w:bidi="ar"/>
        </w:rPr>
      </w:pPr>
      <w:r>
        <w:t>《“十四五”原材料工业发展规划》中提出：</w:t>
      </w:r>
    </w:p>
    <w:p w14:paraId="771462D4">
      <w:pPr>
        <w:widowControl/>
        <w:ind w:firstLine="480" w:firstLineChars="200"/>
        <w:jc w:val="left"/>
        <w:rPr>
          <w:kern w:val="0"/>
          <w:lang w:bidi="ar"/>
        </w:rPr>
      </w:pPr>
      <w:r>
        <w:rPr>
          <w:kern w:val="0"/>
          <w:lang w:bidi="ar"/>
        </w:rPr>
        <w:t>发展绿色化水平大幅提升。钢铁、有色金属、建材等重点行业能源消耗总量、碳排放总量控制取得阶段性成果。钢铁行业吨钢综合能耗降低2%，水泥产品单位熟料能耗水平降低 3.7%，电解铝碳排放下降 5%。重点行业单位产值污染物排放强度、总量实现双下降，各行业实现稳定达标排放，新建项目满足超低排放标准。工业废渣等固体废物综合利用率进一步提高。</w:t>
      </w:r>
    </w:p>
    <w:p w14:paraId="64206270">
      <w:pPr>
        <w:widowControl/>
        <w:ind w:firstLine="480" w:firstLineChars="200"/>
        <w:jc w:val="left"/>
        <w:rPr>
          <w:kern w:val="0"/>
          <w:lang w:bidi="ar"/>
        </w:rPr>
      </w:pPr>
      <w:r>
        <w:rPr>
          <w:kern w:val="0"/>
          <w:lang w:bidi="ar"/>
        </w:rPr>
        <w:t>严控新增产能。完善并严格落实钢铁、水泥、平板玻璃、电解铝行业产能置换相关政策，防止铜冶炼、氧化铝等盲目无序发展，新建、改扩建项目必须达到能耗限额标准先进值、污染物超低排放值。严控尿素、磷铵、电石、烧碱、黄磷等行业新增产能，新建项目应实施产能等量或减量置换。鼓励各地区扩大原材料行业产能置换实施范围，提高淘汰落后标准，利用综合标准依法依规推动落后产能退出。严禁新建《产业结构调整指导目录》中限制类和淘汰类项目。</w:t>
      </w:r>
    </w:p>
    <w:p w14:paraId="496D539B">
      <w:pPr>
        <w:widowControl/>
        <w:ind w:firstLine="480" w:firstLineChars="200"/>
        <w:jc w:val="left"/>
        <w:rPr>
          <w:kern w:val="0"/>
          <w:lang w:bidi="ar"/>
        </w:rPr>
      </w:pPr>
      <w:r>
        <w:rPr>
          <w:kern w:val="0"/>
          <w:lang w:bidi="ar"/>
        </w:rPr>
        <w:t>健全长效机制。研究建立运用碳排放、污染物排放、能耗总量等手段遏制过剩产能扩张的约束机制。对达不到超低排放要求、竞争力弱的城市钢厂以及大气污染防治重点区域城市钢厂采取彻底关停、转型发展、就地改造、搬迁改造等方式，推动转型升级。</w:t>
      </w:r>
    </w:p>
    <w:p w14:paraId="022D30E3">
      <w:pPr>
        <w:widowControl/>
        <w:ind w:firstLine="480" w:firstLineChars="200"/>
        <w:jc w:val="left"/>
        <w:rPr>
          <w:kern w:val="0"/>
          <w:lang w:bidi="ar"/>
        </w:rPr>
      </w:pPr>
      <w:r>
        <w:rPr>
          <w:kern w:val="0"/>
          <w:lang w:bidi="ar"/>
        </w:rPr>
        <w:t>优化新建产能布局。贯彻国家区域重大战略、区域协调发展战略、主体功能区战略，依据国土空间规划，推动原材料工业空间布局调整优化。</w:t>
      </w:r>
    </w:p>
    <w:p w14:paraId="1AB92432">
      <w:pPr>
        <w:widowControl/>
        <w:ind w:firstLine="480" w:firstLineChars="200"/>
        <w:jc w:val="left"/>
        <w:rPr>
          <w:kern w:val="0"/>
          <w:lang w:bidi="ar"/>
        </w:rPr>
      </w:pPr>
      <w:r>
        <w:rPr>
          <w:kern w:val="0"/>
          <w:lang w:bidi="ar"/>
        </w:rPr>
        <w:t>推进超低排放和清洁生产：加强有色金属行业重金属污染治理，无害化处理含砷冶炼渣、铝灰等危险废物。</w:t>
      </w:r>
    </w:p>
    <w:p w14:paraId="4BAE60B1">
      <w:pPr>
        <w:widowControl/>
        <w:ind w:firstLine="480" w:firstLineChars="200"/>
        <w:jc w:val="left"/>
        <w:rPr>
          <w:kern w:val="0"/>
          <w:lang w:bidi="ar"/>
        </w:rPr>
      </w:pPr>
      <w:r>
        <w:rPr>
          <w:kern w:val="0"/>
          <w:lang w:bidi="ar"/>
        </w:rPr>
        <w:t>提升资源综合利用水平：全面推进原材料工业固废综合利用，重点围绕尾矿、废石、粉煤灰、赤泥、冶炼渣、电解锰渣、工业副产石膏、化工废渣、废弃纤维及复合材料等，建设一批工业资源综合利用基地，在重点地区建设尾矿废渣、磷石膏、电解锰渣等综合利用和钢铁有色协同处置含锌二次资源项目，以及煤气化炉、水泥窑、大型烧结砖隧道窑协同处置废弃物等示范线，加快实现无害化、减量化、资源化处置。</w:t>
      </w:r>
    </w:p>
    <w:p w14:paraId="7BC03E90">
      <w:pPr>
        <w:widowControl/>
        <w:ind w:firstLine="480" w:firstLineChars="200"/>
        <w:jc w:val="left"/>
        <w:rPr>
          <w:kern w:val="0"/>
          <w:lang w:bidi="ar"/>
        </w:rPr>
      </w:pPr>
      <w:r>
        <w:t>本项目水淬渣冷却水及冶炼车间冷却水执行《铁合金工业污染物排放标准》（GB28666-2012）中表3水污染物特别排放限值，冷却水循环使用，不外排，企业固体废物贮存、利用、处置符合国家有关标准规范的要求。除中和渣部分回用外，其余危险废物均委托有资质的单位进行处置。</w:t>
      </w:r>
      <w:r>
        <w:rPr>
          <w:kern w:val="0"/>
          <w:lang w:bidi="ar"/>
        </w:rPr>
        <w:t>本项目建设生产工艺、装备、生产规模等均处于国内先进水平，项目建设地点位于艾斯米尔厂区内，按照清洁生产、低耗能、少排放的原则，各项目指标均可满足国家相应要求。符合</w:t>
      </w:r>
      <w:r>
        <w:t>《“十四五”原材料工业发展规划》</w:t>
      </w:r>
      <w:r>
        <w:rPr>
          <w:kern w:val="0"/>
          <w:lang w:bidi="ar"/>
        </w:rPr>
        <w:t>中的相关要求。</w:t>
      </w:r>
    </w:p>
    <w:bookmarkEnd w:id="27"/>
    <w:p w14:paraId="192D1978">
      <w:pPr>
        <w:pStyle w:val="6"/>
        <w:spacing w:before="163" w:after="163"/>
      </w:pPr>
      <w:r>
        <w:t>与奎屯-独山子经济技术开发区总体规划及规划环评审查意见符合性分析</w:t>
      </w:r>
    </w:p>
    <w:p w14:paraId="7236CD82">
      <w:pPr>
        <w:pStyle w:val="3"/>
        <w:ind w:firstLine="480"/>
      </w:pPr>
      <w:r>
        <w:t>根据《奎屯-独山子经济技术开发区》及规划环评审查意见，园区总体发展定位:国家新型工业化产业示范基地、新疆引领跨越式发展的经济增长极、天山北坡经济带创新先导区。经开区将以综合能源化工产业、现代物流业为核心产业，同时重点发展装备制造业，发展钢铁产业、建材、纺织服装等产业的生产规模，积极发展节能环保、生物科技等战略性新兴产业。</w:t>
      </w:r>
    </w:p>
    <w:p w14:paraId="3B76E7EB">
      <w:pPr>
        <w:pStyle w:val="3"/>
        <w:ind w:firstLine="480"/>
      </w:pPr>
      <w:r>
        <w:t>园区规划环评审查意见中提出：结合区域资源、能源和环境容量的承载力、国家相关产业政策等，进一步优化调整规划方案。依据水资源论证报告的结论，优化调整园区的产业结构和规模。结合水资源承载力、生态承载力，提出“以水定产”的建议。严格设置园区企业的环境准入标准，入园企业的清洁生产水平必须达到国内先进水平。</w:t>
      </w:r>
    </w:p>
    <w:p w14:paraId="5BABE73B">
      <w:pPr>
        <w:pStyle w:val="3"/>
        <w:ind w:firstLine="480"/>
      </w:pPr>
      <w:r>
        <w:t>本项目所在用地属于现状工业用地，符合园区用地规划要求，符合园区规划及规划环评的要求。</w:t>
      </w:r>
    </w:p>
    <w:p w14:paraId="6CD2997F">
      <w:pPr>
        <w:pStyle w:val="5"/>
        <w:spacing w:before="163"/>
      </w:pPr>
      <w:r>
        <w:t>生态环境分区管控要求符合性分析</w:t>
      </w:r>
    </w:p>
    <w:p w14:paraId="66579FE2">
      <w:pPr>
        <w:pStyle w:val="6"/>
        <w:spacing w:before="163" w:after="163"/>
      </w:pPr>
      <w:bookmarkStart w:id="28" w:name="_Hlk170893343"/>
      <w:r>
        <w:t>与《新疆维吾尔自治区七大片区“三线一单”生态环境分区管控要求（2021年版）》符合性分析</w:t>
      </w:r>
    </w:p>
    <w:p w14:paraId="4A9D9FF4">
      <w:pPr>
        <w:pStyle w:val="3"/>
        <w:ind w:firstLine="480"/>
        <w:rPr>
          <w:color w:val="EE0000"/>
        </w:rPr>
      </w:pPr>
      <w:r>
        <w:t>按照《</w:t>
      </w:r>
      <w:bookmarkStart w:id="29" w:name="OLE_LINK6"/>
      <w:r>
        <w:t>新疆维吾尔自治区七大片区“三线一单”生态环境管控要求</w:t>
      </w:r>
      <w:bookmarkEnd w:id="29"/>
      <w:r>
        <w:t>》，全区划分为七大片区，包括北疆北部（塔城地区、阿勒泰地区）、伊犁河谷、克奎乌-博州、乌昌石、吐哈、天山南坡（巴州、阿克苏地区）和南疆三地州片区，本项目属于克奎乌-博州片区。与该片区符合性分析如下表1.3-5所示。</w:t>
      </w:r>
    </w:p>
    <w:p w14:paraId="1C0E4157">
      <w:pPr>
        <w:pStyle w:val="88"/>
        <w:rPr>
          <w:rFonts w:ascii="Times New Roman" w:hAnsi="Times New Roman" w:cs="Times New Roman"/>
          <w:lang w:bidi="ar"/>
        </w:rPr>
      </w:pPr>
      <w:r>
        <w:rPr>
          <w:rFonts w:ascii="Times New Roman" w:hAnsi="Times New Roman" w:cs="Times New Roman"/>
          <w:lang w:bidi="ar"/>
        </w:rPr>
        <w:t>表1.3-5    与《新疆维吾尔自治区七大片区“三线一单”生态环境分区管控要求》总体管控要求符合性分析表</w:t>
      </w:r>
    </w:p>
    <w:tbl>
      <w:tblPr>
        <w:tblStyle w:val="28"/>
        <w:tblW w:w="495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15"/>
        <w:gridCol w:w="2733"/>
        <w:gridCol w:w="1281"/>
      </w:tblGrid>
      <w:tr w14:paraId="0D92D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916" w:type="pct"/>
            <w:vAlign w:val="center"/>
          </w:tcPr>
          <w:p w14:paraId="69ED5715">
            <w:pPr>
              <w:pStyle w:val="41"/>
            </w:pPr>
            <w:r>
              <w:t>内容</w:t>
            </w:r>
          </w:p>
        </w:tc>
        <w:tc>
          <w:tcPr>
            <w:tcW w:w="1419" w:type="pct"/>
            <w:vAlign w:val="center"/>
          </w:tcPr>
          <w:p w14:paraId="5132AE79">
            <w:pPr>
              <w:pStyle w:val="41"/>
            </w:pPr>
            <w:r>
              <w:t>符合性分析</w:t>
            </w:r>
          </w:p>
        </w:tc>
        <w:tc>
          <w:tcPr>
            <w:tcW w:w="665" w:type="pct"/>
            <w:vAlign w:val="center"/>
          </w:tcPr>
          <w:p w14:paraId="205C3CBD">
            <w:pPr>
              <w:pStyle w:val="41"/>
            </w:pPr>
            <w:r>
              <w:t>是否符合</w:t>
            </w:r>
          </w:p>
        </w:tc>
      </w:tr>
      <w:tr w14:paraId="76420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16" w:type="pct"/>
            <w:vAlign w:val="center"/>
          </w:tcPr>
          <w:p w14:paraId="5657A615">
            <w:pPr>
              <w:pStyle w:val="41"/>
            </w:pPr>
            <w:r>
              <w:t>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p>
        </w:tc>
        <w:tc>
          <w:tcPr>
            <w:tcW w:w="1419" w:type="pct"/>
            <w:vAlign w:val="center"/>
          </w:tcPr>
          <w:p w14:paraId="7B8B522F">
            <w:pPr>
              <w:pStyle w:val="41"/>
            </w:pPr>
            <w:r>
              <w:t>本项目符合国家和自治区产业政策和环境准入要求，不属于“三高”项目。项目符合园区用地规划。</w:t>
            </w:r>
          </w:p>
        </w:tc>
        <w:tc>
          <w:tcPr>
            <w:tcW w:w="665" w:type="pct"/>
            <w:vAlign w:val="center"/>
          </w:tcPr>
          <w:p w14:paraId="2ADCDE1F">
            <w:pPr>
              <w:pStyle w:val="41"/>
            </w:pPr>
            <w:r>
              <w:t>符合</w:t>
            </w:r>
          </w:p>
        </w:tc>
      </w:tr>
      <w:tr w14:paraId="1B733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16" w:type="pct"/>
            <w:vAlign w:val="center"/>
          </w:tcPr>
          <w:p w14:paraId="5E1E1B96">
            <w:pPr>
              <w:pStyle w:val="41"/>
            </w:pPr>
            <w: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结构，加快货物运输绿色转型，做好车油联合管控。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tc>
        <w:tc>
          <w:tcPr>
            <w:tcW w:w="1419" w:type="pct"/>
            <w:vAlign w:val="center"/>
          </w:tcPr>
          <w:p w14:paraId="44153FCE">
            <w:pPr>
              <w:pStyle w:val="41"/>
            </w:pPr>
            <w:r>
              <w:t>本项目执行特别排放限制排放限值。安装自动监测设备，并与环境主管部门的监控平台联网。</w:t>
            </w:r>
          </w:p>
        </w:tc>
        <w:tc>
          <w:tcPr>
            <w:tcW w:w="665" w:type="pct"/>
            <w:vAlign w:val="center"/>
          </w:tcPr>
          <w:p w14:paraId="7E3D9467">
            <w:pPr>
              <w:pStyle w:val="41"/>
            </w:pPr>
            <w:r>
              <w:t>符合</w:t>
            </w:r>
          </w:p>
        </w:tc>
      </w:tr>
      <w:tr w14:paraId="4BDB1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16" w:type="pct"/>
            <w:vAlign w:val="center"/>
          </w:tcPr>
          <w:p w14:paraId="2E876163">
            <w:pPr>
              <w:pStyle w:val="41"/>
            </w:pPr>
            <w:r>
              <w:t>禁止在化工园区外新建、扩建危险化学品生产项目。严格落实危险废物处置相关要求。加强重点流域水环境风险管控，保障水环境安全。</w:t>
            </w:r>
          </w:p>
        </w:tc>
        <w:tc>
          <w:tcPr>
            <w:tcW w:w="1419" w:type="pct"/>
            <w:vAlign w:val="center"/>
          </w:tcPr>
          <w:p w14:paraId="1AAFEA2F">
            <w:pPr>
              <w:pStyle w:val="41"/>
            </w:pPr>
            <w:r>
              <w:t>本项目不涉及危险化学品生产项目。</w:t>
            </w:r>
          </w:p>
        </w:tc>
        <w:tc>
          <w:tcPr>
            <w:tcW w:w="665" w:type="pct"/>
            <w:vAlign w:val="center"/>
          </w:tcPr>
          <w:p w14:paraId="69B7D108">
            <w:pPr>
              <w:pStyle w:val="41"/>
            </w:pPr>
            <w:r>
              <w:t>符合</w:t>
            </w:r>
          </w:p>
        </w:tc>
      </w:tr>
      <w:tr w14:paraId="12984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16" w:type="pct"/>
            <w:vAlign w:val="center"/>
          </w:tcPr>
          <w:p w14:paraId="2EF8D487">
            <w:pPr>
              <w:pStyle w:val="41"/>
            </w:pPr>
            <w:r>
              <w:t>优化能源结构，控制煤炭等化石能源使用量，鼓励使用清洁能源，协同推进减污降碳。全面实施节水工程，合理开发利用水资源，提升水资源利用效率，保障生态用水，严防地下水超采。</w:t>
            </w:r>
          </w:p>
        </w:tc>
        <w:tc>
          <w:tcPr>
            <w:tcW w:w="1419" w:type="pct"/>
            <w:vAlign w:val="center"/>
          </w:tcPr>
          <w:p w14:paraId="1AFE12F7">
            <w:pPr>
              <w:pStyle w:val="41"/>
            </w:pPr>
            <w:r>
              <w:t>本项目冷却水全部循环利用，不外排，项目实施有助于提高水资源重复利用率。</w:t>
            </w:r>
          </w:p>
        </w:tc>
        <w:tc>
          <w:tcPr>
            <w:tcW w:w="665" w:type="pct"/>
            <w:vAlign w:val="center"/>
          </w:tcPr>
          <w:p w14:paraId="202A51FE">
            <w:pPr>
              <w:pStyle w:val="41"/>
            </w:pPr>
            <w:r>
              <w:t>符合</w:t>
            </w:r>
          </w:p>
        </w:tc>
      </w:tr>
    </w:tbl>
    <w:p w14:paraId="764D87FE">
      <w:pPr>
        <w:pStyle w:val="58"/>
        <w:ind w:firstLine="480"/>
        <w:rPr>
          <w:rFonts w:cs="Times New Roman"/>
        </w:rPr>
      </w:pPr>
      <w:r>
        <w:rPr>
          <w:rFonts w:cs="Times New Roman"/>
        </w:rPr>
        <w:t>克奎乌-博州片区管控要求如下：</w:t>
      </w:r>
    </w:p>
    <w:p w14:paraId="1767170F">
      <w:pPr>
        <w:pStyle w:val="58"/>
        <w:ind w:firstLine="480"/>
        <w:rPr>
          <w:rFonts w:cs="Times New Roman"/>
        </w:rPr>
      </w:pPr>
      <w:r>
        <w:rPr>
          <w:rFonts w:cs="Times New Roman"/>
        </w:rPr>
        <w:t>严格落实“奎-独-乌”联防联控区内有关法规政策要求。“奎-独-乌”联防联控区和克拉玛依市所有新建、改建、扩建工业项目执行最严格的大气污染物排放标准。强化与生产建设兵团第七师的联防联控，确保区域环境空气质量持续改善。</w:t>
      </w:r>
    </w:p>
    <w:p w14:paraId="68EC509F">
      <w:pPr>
        <w:pStyle w:val="58"/>
        <w:ind w:firstLine="480"/>
        <w:rPr>
          <w:rFonts w:cs="Times New Roman"/>
        </w:rPr>
      </w:pPr>
      <w:r>
        <w:rPr>
          <w:rFonts w:cs="Times New Roman"/>
        </w:rPr>
        <w:t>加强艾比湖、赛里木湖周边地区、博尔塔拉河流域生态防护林地保护，维护区域生物多样性功能。</w:t>
      </w:r>
    </w:p>
    <w:p w14:paraId="4CDDCA1D">
      <w:pPr>
        <w:pStyle w:val="58"/>
        <w:ind w:firstLine="480"/>
        <w:rPr>
          <w:rFonts w:cs="Times New Roman"/>
        </w:rPr>
      </w:pPr>
      <w:r>
        <w:rPr>
          <w:rFonts w:cs="Times New Roman"/>
        </w:rPr>
        <w:t>开展奎屯河流域地下水超采治理，逐步压减地下水超采量，实现地下水采补平衡。</w:t>
      </w:r>
    </w:p>
    <w:p w14:paraId="739F9904">
      <w:pPr>
        <w:pStyle w:val="58"/>
        <w:ind w:firstLine="480"/>
        <w:rPr>
          <w:rFonts w:cs="Times New Roman"/>
        </w:rPr>
      </w:pPr>
      <w:r>
        <w:rPr>
          <w:rFonts w:cs="Times New Roman"/>
        </w:rPr>
        <w:t>持续推进山区森林草原和准噶尔盆地南缘防沙治沙区域的生态恢复治理工作。煤炭、石油、天然气开发单位应当制定生态保护和恢复治理方案，并予以实施。生态保护和恢复治理方案内容应当向社会公布，接受社会监督。</w:t>
      </w:r>
    </w:p>
    <w:p w14:paraId="4CBE3087">
      <w:pPr>
        <w:pStyle w:val="58"/>
        <w:ind w:firstLine="480"/>
        <w:rPr>
          <w:rFonts w:cs="Times New Roman"/>
        </w:rPr>
      </w:pPr>
      <w:r>
        <w:rPr>
          <w:rFonts w:cs="Times New Roman"/>
        </w:rPr>
        <w:t>强化油（气）资源开发区土壤环境污染综合整治。加强涉重金属行业污染防控与工业废物处理处置。</w:t>
      </w:r>
    </w:p>
    <w:p w14:paraId="37589179">
      <w:pPr>
        <w:pStyle w:val="58"/>
        <w:ind w:firstLine="480"/>
        <w:rPr>
          <w:rFonts w:cs="Times New Roman"/>
        </w:rPr>
      </w:pPr>
      <w:r>
        <w:rPr>
          <w:rFonts w:cs="Times New Roman"/>
        </w:rPr>
        <w:t>本项目符合园区用地规划。新建精炼炉及改造烧结机废气均执行特别排放限值，并安装自动监测设备，并与环境主管部门的监控平台联网。</w:t>
      </w:r>
    </w:p>
    <w:p w14:paraId="5BD18E0C">
      <w:pPr>
        <w:pStyle w:val="58"/>
        <w:ind w:firstLine="480"/>
        <w:rPr>
          <w:rFonts w:cs="Times New Roman"/>
        </w:rPr>
      </w:pPr>
      <w:r>
        <w:rPr>
          <w:rFonts w:cs="Times New Roman"/>
        </w:rPr>
        <w:t>综上，项目实施符合七大片区“三线一单”分区管控总体要求及克奎乌-博州片区管控要求。</w:t>
      </w:r>
    </w:p>
    <w:bookmarkEnd w:id="28"/>
    <w:p w14:paraId="114339F4">
      <w:pPr>
        <w:pStyle w:val="6"/>
        <w:spacing w:before="163" w:after="163"/>
      </w:pPr>
      <w:r>
        <w:t>与生态红线区域保护规划的相符性</w:t>
      </w:r>
    </w:p>
    <w:p w14:paraId="5B130614">
      <w:pPr>
        <w:pStyle w:val="3"/>
        <w:ind w:firstLine="480"/>
      </w:pPr>
      <w:bookmarkStart w:id="30" w:name="_Hlk173492280"/>
      <w:r>
        <w:t>本次评价分别根据《新疆维吾尔自治区生态环境分区管控动态更新成果》（新环环评发﹝2024﹞157号）及《伊犁州直生态环境分区管控动态更新成果（2025版）》开展本项目与区域生态保护红线、环境质量底线、资源利用上线符合性和协调性分析。</w:t>
      </w:r>
      <w:bookmarkEnd w:id="30"/>
    </w:p>
    <w:p w14:paraId="03DD0F33">
      <w:pPr>
        <w:pStyle w:val="3"/>
        <w:ind w:firstLine="480"/>
      </w:pPr>
      <w:bookmarkStart w:id="31" w:name="_Hlk173492396"/>
      <w:r>
        <w:t>根据《新疆生态功能区划》，项目区</w:t>
      </w:r>
      <w:bookmarkEnd w:id="31"/>
      <w:bookmarkStart w:id="32" w:name="_Hlk173492615"/>
      <w:r>
        <w:t>属于Ⅱ 准噶尔盆地温性荒漠与绿洲农业生态区-Ⅱ5 准噶尔盆地南部荒漠绿洲农业生态亚区-26．乌苏—石河子—昌吉城镇与绿洲农业生态功能区。项目与新疆生态功能区划位置关系见图1.3-1，根据《新疆维吾尔自治区主体功能区规划》，本项目位于依法设立的奎屯-独山子经济技术开发区，属于国家层面的重点开发区域-天山北坡地区，项目主体功能区划见报告图1.3-2。</w:t>
      </w:r>
      <w:bookmarkEnd w:id="32"/>
    </w:p>
    <w:p w14:paraId="529CDA83">
      <w:pPr>
        <w:pStyle w:val="3"/>
        <w:ind w:firstLine="480"/>
      </w:pPr>
      <w:bookmarkStart w:id="33" w:name="_Hlk173493059"/>
      <w:r>
        <w:t>新疆“三线一单”环境管控单元分类，见图1.3-3。伊犁哈萨克自治州“三线一单”环境管控单元分类，见图1.3-4。</w:t>
      </w:r>
      <w:bookmarkEnd w:id="33"/>
    </w:p>
    <w:p w14:paraId="2F8811CB">
      <w:pPr>
        <w:pStyle w:val="3"/>
        <w:ind w:firstLine="480"/>
      </w:pPr>
      <w:bookmarkStart w:id="34" w:name="_Hlk173493084"/>
      <w:r>
        <w:t>本项目不在新疆及伊犁哈萨克自治州生态保护红线范围内，也不在一般生态空间范围内，本项目厂址位于奎屯-独山子经济技术开发区，周围均为工业企业，项目建设区域不涉及自然保护区、风景名胜区、饮用水水源保护区等需要特别保护的区域，不属于禁止建设开发区和限制建设开发区，属于适宜建设开发区，属于生态环境重点管控单元。符合生态</w:t>
      </w:r>
      <w:bookmarkEnd w:id="34"/>
    </w:p>
    <w:p w14:paraId="121F5BCF">
      <w:pPr>
        <w:pStyle w:val="3"/>
        <w:ind w:firstLine="480"/>
        <w:sectPr>
          <w:pgSz w:w="11906" w:h="16838"/>
          <w:pgMar w:top="1440" w:right="1135" w:bottom="1276" w:left="1276" w:header="709" w:footer="584" w:gutter="0"/>
          <w:cols w:space="720" w:num="1"/>
          <w:docGrid w:type="lines" w:linePitch="326" w:charSpace="0"/>
        </w:sectPr>
      </w:pPr>
    </w:p>
    <w:p w14:paraId="5811DD7A">
      <w:pPr>
        <w:pStyle w:val="3"/>
        <w:ind w:firstLine="480"/>
      </w:pPr>
      <w:r>
        <w:t>根据伊犁哈萨克自治州对重点管控单元划分的生态环境准入清单，项目区属于重点管控单元（环境管控单元编码：ZH65400320002，管控单元名称：奎屯-独山子经济技术开发区重点管控单元），应执行具体管控要求。</w:t>
      </w:r>
    </w:p>
    <w:p w14:paraId="406A83E3">
      <w:pPr>
        <w:pStyle w:val="3"/>
        <w:ind w:firstLine="480"/>
      </w:pPr>
      <w:r>
        <w:t>本项目与自治区、伊犁哈萨克自治州重点环境管控单元分类管控要求符合性分析，见表1.3-6。</w:t>
      </w:r>
    </w:p>
    <w:p w14:paraId="51526AE3">
      <w:pPr>
        <w:pStyle w:val="40"/>
        <w:spacing w:before="156"/>
      </w:pPr>
      <w:r>
        <w:t>表1.3-6    项目与奎屯-独山子经济技术开发区重点管控单元符合性分析</w:t>
      </w:r>
    </w:p>
    <w:tbl>
      <w:tblPr>
        <w:tblStyle w:val="45"/>
        <w:tblW w:w="509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486"/>
        <w:gridCol w:w="4016"/>
        <w:gridCol w:w="3198"/>
        <w:gridCol w:w="404"/>
      </w:tblGrid>
      <w:tr w14:paraId="6E558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blHeader/>
        </w:trPr>
        <w:tc>
          <w:tcPr>
            <w:tcW w:w="329" w:type="pct"/>
            <w:vAlign w:val="center"/>
          </w:tcPr>
          <w:p w14:paraId="61DB74FB">
            <w:pPr>
              <w:pStyle w:val="34"/>
              <w:adjustRightInd w:val="0"/>
              <w:ind w:left="-120" w:leftChars="-50" w:right="-120" w:rightChars="-50"/>
            </w:pPr>
            <w:r>
              <w:t>环境管控单元类别</w:t>
            </w:r>
          </w:p>
        </w:tc>
        <w:tc>
          <w:tcPr>
            <w:tcW w:w="2594" w:type="pct"/>
            <w:gridSpan w:val="2"/>
            <w:vAlign w:val="center"/>
          </w:tcPr>
          <w:p w14:paraId="3B23BE51">
            <w:pPr>
              <w:pStyle w:val="34"/>
              <w:adjustRightInd w:val="0"/>
            </w:pPr>
            <w:r>
              <w:t>管控要求</w:t>
            </w:r>
          </w:p>
        </w:tc>
        <w:tc>
          <w:tcPr>
            <w:tcW w:w="1843" w:type="pct"/>
            <w:vAlign w:val="center"/>
          </w:tcPr>
          <w:p w14:paraId="6548E9F0">
            <w:pPr>
              <w:pStyle w:val="34"/>
              <w:adjustRightInd w:val="0"/>
            </w:pPr>
            <w:r>
              <w:t>本项目</w:t>
            </w:r>
          </w:p>
        </w:tc>
        <w:tc>
          <w:tcPr>
            <w:tcW w:w="234" w:type="pct"/>
            <w:vAlign w:val="center"/>
          </w:tcPr>
          <w:p w14:paraId="39438516">
            <w:pPr>
              <w:pStyle w:val="34"/>
              <w:adjustRightInd w:val="0"/>
            </w:pPr>
            <w:r>
              <w:t>符合性</w:t>
            </w:r>
          </w:p>
        </w:tc>
      </w:tr>
      <w:tr w14:paraId="7D2D0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29" w:type="pct"/>
            <w:vMerge w:val="restart"/>
            <w:vAlign w:val="center"/>
          </w:tcPr>
          <w:p w14:paraId="61718764">
            <w:pPr>
              <w:pStyle w:val="34"/>
              <w:adjustRightInd w:val="0"/>
              <w:ind w:left="-120" w:leftChars="-50" w:right="-120" w:rightChars="-50"/>
            </w:pPr>
            <w:r>
              <w:t>重点管控单元</w:t>
            </w:r>
          </w:p>
        </w:tc>
        <w:tc>
          <w:tcPr>
            <w:tcW w:w="280" w:type="pct"/>
            <w:vAlign w:val="center"/>
          </w:tcPr>
          <w:p w14:paraId="5B63FAA4">
            <w:pPr>
              <w:pStyle w:val="34"/>
              <w:adjustRightInd w:val="0"/>
            </w:pPr>
            <w:r>
              <w:t>空间布局约束</w:t>
            </w:r>
          </w:p>
        </w:tc>
        <w:tc>
          <w:tcPr>
            <w:tcW w:w="2315" w:type="pct"/>
            <w:vAlign w:val="center"/>
          </w:tcPr>
          <w:p w14:paraId="25935453">
            <w:pPr>
              <w:pStyle w:val="34"/>
              <w:adjustRightInd w:val="0"/>
              <w:jc w:val="left"/>
            </w:pPr>
            <w:r>
              <w:t>1.严格落实规划环评及其批复文件制定的环境准入条件。</w:t>
            </w:r>
          </w:p>
          <w:p w14:paraId="2016B977">
            <w:pPr>
              <w:pStyle w:val="34"/>
              <w:adjustRightInd w:val="0"/>
              <w:jc w:val="left"/>
            </w:pPr>
            <w:r>
              <w:t>2.下列项目禁止或限制入园：（1）不符合园区产业定位的行业；（2）《产业结构调整指导目录（2024年本）》中的限制类、淘汰类；（3）《市场准入负面清单（2022年版）》中列出的禁止准入类项目；（4）《环境保护综合名录（2021年版）》中“高污染、高环境风险”产品加工项目。</w:t>
            </w:r>
          </w:p>
          <w:p w14:paraId="22D5BE62">
            <w:pPr>
              <w:pStyle w:val="34"/>
              <w:adjustRightInd w:val="0"/>
              <w:jc w:val="left"/>
            </w:pPr>
            <w:r>
              <w:t>3.入驻企业生产工艺、污染治理工艺及关键设备等达到国内一流、国际先进水平。</w:t>
            </w:r>
          </w:p>
          <w:p w14:paraId="7CF57942">
            <w:pPr>
              <w:pStyle w:val="34"/>
              <w:adjustRightInd w:val="0"/>
              <w:jc w:val="left"/>
            </w:pPr>
            <w:r>
              <w:t>4.禁止新建每小时65蒸吨以下燃煤锅炉。</w:t>
            </w:r>
          </w:p>
          <w:p w14:paraId="7039DA00">
            <w:pPr>
              <w:pStyle w:val="34"/>
              <w:adjustRightInd w:val="0"/>
              <w:jc w:val="left"/>
            </w:pPr>
            <w:r>
              <w:t>5.化工、纺织等重点行业选址与空间布局需符合《新疆维吾尔自治区重点行业环境准入条件（修订）》及国家、行业相关要求。</w:t>
            </w:r>
          </w:p>
          <w:p w14:paraId="766D2A1B">
            <w:pPr>
              <w:pStyle w:val="34"/>
              <w:adjustRightInd w:val="0"/>
              <w:jc w:val="left"/>
            </w:pPr>
            <w:r>
              <w:t>6.落实《重点管控新污染物清单（2023年版）》、《新疆维吾尔自治区新污染物治理工作方案》（新政办发〔2023〕3号）等相关要求。</w:t>
            </w:r>
          </w:p>
          <w:p w14:paraId="54F5549B">
            <w:pPr>
              <w:pStyle w:val="34"/>
              <w:adjustRightInd w:val="0"/>
              <w:jc w:val="left"/>
            </w:pPr>
            <w:r>
              <w:t>7.坚持以“以水定产”为原则，限制高耗水产业发展。</w:t>
            </w:r>
          </w:p>
        </w:tc>
        <w:tc>
          <w:tcPr>
            <w:tcW w:w="1843" w:type="pct"/>
            <w:vAlign w:val="center"/>
          </w:tcPr>
          <w:p w14:paraId="62BB8F74">
            <w:pPr>
              <w:pStyle w:val="34"/>
              <w:adjustRightInd w:val="0"/>
              <w:jc w:val="left"/>
            </w:pPr>
            <w:r>
              <w:t>（1）本项目符合《奎屯-独山子经济技术开发区总体规划修编（2019-2030）环境影响报告书》及其审查意见。</w:t>
            </w:r>
          </w:p>
          <w:p w14:paraId="507B4A7A">
            <w:pPr>
              <w:pStyle w:val="34"/>
              <w:adjustRightInd w:val="0"/>
              <w:jc w:val="left"/>
            </w:pPr>
            <w:r>
              <w:t>（2）项目符合《产业结构调整指导目录（2024年本）》相关要求；</w:t>
            </w:r>
          </w:p>
          <w:p w14:paraId="24E51565">
            <w:pPr>
              <w:pStyle w:val="34"/>
              <w:adjustRightInd w:val="0"/>
              <w:jc w:val="left"/>
            </w:pPr>
            <w:r>
              <w:t>（3）项目清洁生产水平达到国内先进水平；</w:t>
            </w:r>
          </w:p>
          <w:p w14:paraId="03728CD3">
            <w:pPr>
              <w:pStyle w:val="34"/>
              <w:adjustRightInd w:val="0"/>
              <w:jc w:val="left"/>
            </w:pPr>
            <w:r>
              <w:t xml:space="preserve">（2）企业现有各项污染物达标排放；技改新增排口执行特别排放限值。 </w:t>
            </w:r>
          </w:p>
          <w:p w14:paraId="5C9138EB">
            <w:pPr>
              <w:pStyle w:val="34"/>
              <w:adjustRightInd w:val="0"/>
              <w:jc w:val="left"/>
            </w:pPr>
            <w:r>
              <w:t>（3）本项目符合产业政策，不含淘汰技术工艺落后、资源消耗高、严重污染环境的生产工艺设备。</w:t>
            </w:r>
          </w:p>
          <w:p w14:paraId="4A416709">
            <w:pPr>
              <w:pStyle w:val="34"/>
              <w:adjustRightInd w:val="0"/>
              <w:jc w:val="left"/>
            </w:pPr>
            <w:r>
              <w:t>（4）奎屯-独山子经济技术开发区有稳定的水源保障和供给系统。</w:t>
            </w:r>
          </w:p>
        </w:tc>
        <w:tc>
          <w:tcPr>
            <w:tcW w:w="234" w:type="pct"/>
            <w:vAlign w:val="center"/>
          </w:tcPr>
          <w:p w14:paraId="4A1AB20A">
            <w:pPr>
              <w:pStyle w:val="34"/>
              <w:adjustRightInd w:val="0"/>
            </w:pPr>
            <w:r>
              <w:t>符合</w:t>
            </w:r>
          </w:p>
        </w:tc>
      </w:tr>
      <w:tr w14:paraId="5F2EC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29" w:type="pct"/>
            <w:vMerge w:val="continue"/>
            <w:vAlign w:val="center"/>
          </w:tcPr>
          <w:p w14:paraId="438363C6">
            <w:pPr>
              <w:pStyle w:val="34"/>
              <w:adjustRightInd w:val="0"/>
              <w:ind w:left="-120" w:leftChars="-50" w:right="-120" w:rightChars="-50"/>
            </w:pPr>
          </w:p>
        </w:tc>
        <w:tc>
          <w:tcPr>
            <w:tcW w:w="280" w:type="pct"/>
            <w:vAlign w:val="center"/>
          </w:tcPr>
          <w:p w14:paraId="22978829">
            <w:pPr>
              <w:pStyle w:val="34"/>
              <w:adjustRightInd w:val="0"/>
            </w:pPr>
            <w:r>
              <w:t>污染物排放管控</w:t>
            </w:r>
          </w:p>
        </w:tc>
        <w:tc>
          <w:tcPr>
            <w:tcW w:w="2315" w:type="pct"/>
            <w:vAlign w:val="center"/>
          </w:tcPr>
          <w:p w14:paraId="2A4F4F95">
            <w:pPr>
              <w:pStyle w:val="34"/>
              <w:adjustRightInd w:val="0"/>
              <w:jc w:val="left"/>
            </w:pPr>
            <w:r>
              <w:t>1.严格落实规划环评及其批复文件制定的环保措施。</w:t>
            </w:r>
          </w:p>
          <w:p w14:paraId="3FACD3EE">
            <w:pPr>
              <w:pStyle w:val="34"/>
              <w:adjustRightInd w:val="0"/>
              <w:jc w:val="left"/>
            </w:pPr>
            <w:r>
              <w:t>2. 65蒸吨/小时以上燃煤锅炉全部实施节能和超低排放改造。</w:t>
            </w:r>
          </w:p>
          <w:p w14:paraId="644B3244">
            <w:pPr>
              <w:pStyle w:val="34"/>
              <w:adjustRightInd w:val="0"/>
              <w:jc w:val="left"/>
            </w:pPr>
            <w:r>
              <w:t>3.锅炉污染物排放应达到《锅炉大气污染物排放标准（GB13271-2014）》的相关要求。</w:t>
            </w:r>
          </w:p>
          <w:p w14:paraId="33D44E9E">
            <w:pPr>
              <w:pStyle w:val="34"/>
              <w:adjustRightInd w:val="0"/>
              <w:jc w:val="left"/>
            </w:pPr>
            <w:r>
              <w:t>4.持续推进工业污染源全面达标排放。</w:t>
            </w:r>
          </w:p>
          <w:p w14:paraId="72D8DD29">
            <w:pPr>
              <w:pStyle w:val="34"/>
              <w:adjustRightInd w:val="0"/>
              <w:jc w:val="left"/>
            </w:pPr>
            <w:r>
              <w:t>5.涉气企业二氧化硫、氮氧化物、颗粒物、挥发性有机物（VOCs）全面执行大气污染物特别排放限值。</w:t>
            </w:r>
          </w:p>
          <w:p w14:paraId="04A95EF7">
            <w:pPr>
              <w:pStyle w:val="34"/>
              <w:adjustRightInd w:val="0"/>
              <w:jc w:val="left"/>
            </w:pPr>
            <w:r>
              <w:t>6.加大不达标工业炉窑淘汰力度，开展工业炉窑深度治理。取缔燃煤热风炉，淘汰燃煤加热、烘干炉（窑）；淘汰炉膛直径3米以下燃料类煤气发生炉；禁止掺烧高硫石油焦。</w:t>
            </w:r>
          </w:p>
          <w:p w14:paraId="70ACE0F3">
            <w:pPr>
              <w:pStyle w:val="34"/>
              <w:adjustRightInd w:val="0"/>
              <w:jc w:val="left"/>
            </w:pPr>
            <w:r>
              <w:t>7.化工、纺织等重点行业污染防治需符合《新疆维吾尔自治区重点行业环境准入条件（修订）》及国家、行业相关要求。</w:t>
            </w:r>
          </w:p>
          <w:p w14:paraId="333EC576">
            <w:pPr>
              <w:pStyle w:val="34"/>
              <w:adjustRightInd w:val="0"/>
              <w:jc w:val="left"/>
            </w:pPr>
            <w:r>
              <w:t>8.重点推进化工等重点行业挥发性有机物污染防治。</w:t>
            </w:r>
          </w:p>
          <w:p w14:paraId="0A2A0B06">
            <w:pPr>
              <w:pStyle w:val="34"/>
              <w:adjustRightInd w:val="0"/>
              <w:jc w:val="left"/>
            </w:pPr>
            <w:r>
              <w:t>9.强化重点行业及燃煤锅炉无组织排放监管，重点对物料（含废渣）运输、装卸、储存、转移和工艺过程等无组织排放实施重点监管，确保达标排放。</w:t>
            </w:r>
          </w:p>
          <w:p w14:paraId="09F59FC7">
            <w:pPr>
              <w:pStyle w:val="34"/>
              <w:adjustRightInd w:val="0"/>
              <w:jc w:val="left"/>
            </w:pPr>
            <w:r>
              <w:t>10.园区内工业废水必须经预处理达到集中处理要求，方可进入污水集中处理设施。</w:t>
            </w:r>
          </w:p>
          <w:p w14:paraId="2EFF4A6B">
            <w:pPr>
              <w:pStyle w:val="34"/>
              <w:adjustRightInd w:val="0"/>
              <w:jc w:val="left"/>
            </w:pPr>
            <w:r>
              <w:t>11.园区污水处理率100%。</w:t>
            </w:r>
          </w:p>
          <w:p w14:paraId="12D6BC65">
            <w:pPr>
              <w:pStyle w:val="34"/>
              <w:adjustRightInd w:val="0"/>
              <w:jc w:val="left"/>
            </w:pPr>
            <w:r>
              <w:t>12.完善园区基础设施，逐步建成完整的排水和中水回用体系。</w:t>
            </w:r>
          </w:p>
          <w:p w14:paraId="53063A25">
            <w:pPr>
              <w:pStyle w:val="34"/>
              <w:adjustRightInd w:val="0"/>
              <w:jc w:val="left"/>
            </w:pPr>
            <w:r>
              <w:t>13.对使用有毒有害化学物质或在生产过程中排放新污染物的企业，全面实施强制性 清洁生产审核。</w:t>
            </w:r>
          </w:p>
          <w:p w14:paraId="30F173E9">
            <w:pPr>
              <w:pStyle w:val="34"/>
              <w:adjustRightInd w:val="0"/>
              <w:jc w:val="left"/>
            </w:pPr>
            <w:r>
              <w:t>14.在禁燃区内，禁止销售、燃用高污染燃料；禁止新建、扩建燃用高污染燃料的设施。已建成的，应当在规定期限内改用清洁能源。</w:t>
            </w:r>
          </w:p>
        </w:tc>
        <w:tc>
          <w:tcPr>
            <w:tcW w:w="1843" w:type="pct"/>
            <w:vAlign w:val="center"/>
          </w:tcPr>
          <w:p w14:paraId="39F87CA6">
            <w:pPr>
              <w:pStyle w:val="34"/>
              <w:adjustRightInd w:val="0"/>
            </w:pPr>
            <w:r>
              <w:t>（1）企业实行清污分流和雨污分流设施，治理设施齐备，运行维护记录齐全，污染防治设施与主体生产设施同步运行，各项污染物基本满足行业污染物排放标准，本次技术改造已提出相关整改措施，项目实施后，可满足特别排放限值要求。</w:t>
            </w:r>
          </w:p>
          <w:p w14:paraId="0CD2BF54">
            <w:pPr>
              <w:pStyle w:val="34"/>
              <w:adjustRightInd w:val="0"/>
            </w:pPr>
            <w:r>
              <w:t>（2）本项目不新增废气污染物排放量，满足相关总量控制要求。</w:t>
            </w:r>
          </w:p>
        </w:tc>
        <w:tc>
          <w:tcPr>
            <w:tcW w:w="234" w:type="pct"/>
            <w:vAlign w:val="center"/>
          </w:tcPr>
          <w:p w14:paraId="0C02B6E3">
            <w:pPr>
              <w:pStyle w:val="34"/>
              <w:adjustRightInd w:val="0"/>
            </w:pPr>
            <w:r>
              <w:t>符合</w:t>
            </w:r>
          </w:p>
        </w:tc>
      </w:tr>
      <w:tr w14:paraId="3099E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29" w:type="pct"/>
            <w:vMerge w:val="continue"/>
            <w:vAlign w:val="center"/>
          </w:tcPr>
          <w:p w14:paraId="21767FE0">
            <w:pPr>
              <w:pStyle w:val="34"/>
              <w:adjustRightInd w:val="0"/>
              <w:ind w:left="-120" w:leftChars="-50" w:right="-120" w:rightChars="-50"/>
            </w:pPr>
          </w:p>
        </w:tc>
        <w:tc>
          <w:tcPr>
            <w:tcW w:w="280" w:type="pct"/>
            <w:vAlign w:val="center"/>
          </w:tcPr>
          <w:p w14:paraId="5A146753">
            <w:pPr>
              <w:pStyle w:val="34"/>
              <w:adjustRightInd w:val="0"/>
            </w:pPr>
            <w:r>
              <w:t>环境风险防控</w:t>
            </w:r>
          </w:p>
        </w:tc>
        <w:tc>
          <w:tcPr>
            <w:tcW w:w="2315" w:type="pct"/>
            <w:vAlign w:val="center"/>
          </w:tcPr>
          <w:p w14:paraId="5BCCC8C5">
            <w:pPr>
              <w:pStyle w:val="34"/>
              <w:adjustRightInd w:val="0"/>
              <w:jc w:val="left"/>
            </w:pPr>
            <w:r>
              <w:t>1.严格落实规划环评及其批复文件制定的环境风险防范措施。</w:t>
            </w:r>
          </w:p>
          <w:p w14:paraId="5A3F23CD">
            <w:pPr>
              <w:pStyle w:val="34"/>
              <w:adjustRightInd w:val="0"/>
              <w:jc w:val="left"/>
            </w:pPr>
            <w:r>
              <w:t>2.园区及入园企业需组织编制环境风险应急预案，成立应急组织机构，定期开展应急演练，提高区域环境风险防范能力。</w:t>
            </w:r>
          </w:p>
          <w:p w14:paraId="434D6170">
            <w:pPr>
              <w:pStyle w:val="34"/>
              <w:adjustRightInd w:val="0"/>
              <w:jc w:val="left"/>
            </w:pPr>
            <w:r>
              <w:t>3.建立有效的事故风险防范体系，使园区建设和环境保护协调发展。</w:t>
            </w:r>
          </w:p>
          <w:p w14:paraId="0A9FEA18">
            <w:pPr>
              <w:pStyle w:val="34"/>
              <w:adjustRightInd w:val="0"/>
              <w:jc w:val="left"/>
            </w:pPr>
            <w:r>
              <w:t>4.严格执行相关行业企业布局选址要求。</w:t>
            </w:r>
          </w:p>
          <w:p w14:paraId="33E45D7B">
            <w:pPr>
              <w:pStyle w:val="34"/>
              <w:adjustRightInd w:val="0"/>
              <w:jc w:val="left"/>
            </w:pPr>
            <w:r>
              <w:t>5.制定重污染天气应急预案，细化应急减排措施，落实到企业各工艺环节，实施“一厂一策”清单化管理。</w:t>
            </w:r>
          </w:p>
        </w:tc>
        <w:tc>
          <w:tcPr>
            <w:tcW w:w="1843" w:type="pct"/>
            <w:vAlign w:val="center"/>
          </w:tcPr>
          <w:p w14:paraId="5AE30B74">
            <w:pPr>
              <w:pStyle w:val="34"/>
              <w:adjustRightInd w:val="0"/>
            </w:pPr>
            <w:r>
              <w:t>（1）企业已按照要求制定《新疆艾斯米尔锰合金有限公司2024年“一企一策”大气污染治理方案》；</w:t>
            </w:r>
          </w:p>
          <w:p w14:paraId="533B3DD3">
            <w:pPr>
              <w:pStyle w:val="34"/>
              <w:adjustRightInd w:val="0"/>
            </w:pPr>
            <w:r>
              <w:t>（2）企业已编制应急预案并在伊犁哈萨克自治州生态环境局完成备案。公司成立了事故应急救援指挥部，定期进行事故演练，根据演练情况不断完善事故应急预案。</w:t>
            </w:r>
          </w:p>
        </w:tc>
        <w:tc>
          <w:tcPr>
            <w:tcW w:w="234" w:type="pct"/>
            <w:vAlign w:val="center"/>
          </w:tcPr>
          <w:p w14:paraId="22BFBBF1">
            <w:pPr>
              <w:pStyle w:val="34"/>
              <w:adjustRightInd w:val="0"/>
            </w:pPr>
          </w:p>
        </w:tc>
      </w:tr>
      <w:tr w14:paraId="602FE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29" w:type="pct"/>
            <w:vMerge w:val="continue"/>
            <w:vAlign w:val="center"/>
          </w:tcPr>
          <w:p w14:paraId="1A9E6236">
            <w:pPr>
              <w:pStyle w:val="34"/>
              <w:adjustRightInd w:val="0"/>
              <w:ind w:left="-120" w:leftChars="-50" w:right="-120" w:rightChars="-50"/>
            </w:pPr>
          </w:p>
        </w:tc>
        <w:tc>
          <w:tcPr>
            <w:tcW w:w="280" w:type="pct"/>
            <w:vAlign w:val="center"/>
          </w:tcPr>
          <w:p w14:paraId="492A6AA3">
            <w:pPr>
              <w:pStyle w:val="34"/>
              <w:adjustRightInd w:val="0"/>
            </w:pPr>
            <w:r>
              <w:t>资源利用效率</w:t>
            </w:r>
          </w:p>
        </w:tc>
        <w:tc>
          <w:tcPr>
            <w:tcW w:w="2315" w:type="pct"/>
            <w:vAlign w:val="center"/>
          </w:tcPr>
          <w:p w14:paraId="7B49D1D1">
            <w:pPr>
              <w:pStyle w:val="34"/>
              <w:adjustRightInd w:val="0"/>
              <w:jc w:val="left"/>
            </w:pPr>
            <w:r>
              <w:t>1.依据国家鼓励和淘汰的用水技术、工艺、产品和设备目录，加大工业节水先进技术的推广应用，加快落后技术、设备的淘汰退出。</w:t>
            </w:r>
          </w:p>
          <w:p w14:paraId="5A0340A0">
            <w:pPr>
              <w:pStyle w:val="34"/>
              <w:adjustRightInd w:val="0"/>
              <w:jc w:val="left"/>
            </w:pPr>
            <w:r>
              <w:t>2.严格落实《中华人民共和国清洁生产促进法》《清洁生产审核办法》，结合实际，推进重点行业清洁生产审核，有效节能降耗，减少污染物排放。</w:t>
            </w:r>
          </w:p>
          <w:p w14:paraId="49D32426">
            <w:pPr>
              <w:pStyle w:val="34"/>
              <w:adjustRightInd w:val="0"/>
              <w:jc w:val="left"/>
            </w:pPr>
            <w:r>
              <w:t>3.重点行业按照“清污分流、一水多用、循环使用”的原则，加强节水和统筹用水的管理。鼓励中水利用，严格限制使用地下水，最大限度提高水的复用率。</w:t>
            </w:r>
          </w:p>
          <w:p w14:paraId="441EA078">
            <w:pPr>
              <w:pStyle w:val="34"/>
              <w:adjustRightInd w:val="0"/>
              <w:jc w:val="left"/>
            </w:pPr>
            <w:r>
              <w:t>4.重点行业尽可能采用清洁能源，生产过程中产生的余热、余气、余压须合理利用。</w:t>
            </w:r>
          </w:p>
          <w:p w14:paraId="65FEED30">
            <w:pPr>
              <w:pStyle w:val="34"/>
              <w:adjustRightInd w:val="0"/>
              <w:jc w:val="left"/>
            </w:pPr>
            <w:r>
              <w:t>5.化工、纺织等高耗水行业达到先进定额标准。</w:t>
            </w:r>
          </w:p>
          <w:p w14:paraId="7FDE4338">
            <w:pPr>
              <w:pStyle w:val="34"/>
              <w:adjustRightInd w:val="0"/>
              <w:jc w:val="left"/>
            </w:pPr>
            <w:r>
              <w:t>6.严格控制园区内现有的工业用水量，切实做好水资源综合利用工作，减少新鲜水用量。</w:t>
            </w:r>
          </w:p>
          <w:p w14:paraId="0CC5B40F">
            <w:pPr>
              <w:pStyle w:val="34"/>
              <w:adjustRightInd w:val="0"/>
              <w:jc w:val="left"/>
            </w:pPr>
            <w:r>
              <w:t>7.发展循环经济，提高资源利用效率。</w:t>
            </w:r>
          </w:p>
          <w:p w14:paraId="1799488B">
            <w:pPr>
              <w:pStyle w:val="34"/>
              <w:adjustRightInd w:val="0"/>
              <w:jc w:val="left"/>
            </w:pPr>
            <w:r>
              <w:t>8.严格实行区域用水总量和强度控制，强化用水定额管理。生态用水优先使用非常规水。</w:t>
            </w:r>
          </w:p>
        </w:tc>
        <w:tc>
          <w:tcPr>
            <w:tcW w:w="1843" w:type="pct"/>
            <w:vAlign w:val="center"/>
          </w:tcPr>
          <w:p w14:paraId="6E80AC99">
            <w:pPr>
              <w:pStyle w:val="34"/>
              <w:adjustRightInd w:val="0"/>
            </w:pPr>
            <w:r>
              <w:t>本项目建设生产工艺、装备、生产规模等均处于国内先进水平，项目建设地点位于艾斯米尔厂区内，按照清洁生产、低耗能、少排放的原则，各项目指标均可满足国家相应要求。</w:t>
            </w:r>
          </w:p>
        </w:tc>
        <w:tc>
          <w:tcPr>
            <w:tcW w:w="234" w:type="pct"/>
            <w:vAlign w:val="center"/>
          </w:tcPr>
          <w:p w14:paraId="596A5AF3">
            <w:pPr>
              <w:pStyle w:val="34"/>
              <w:adjustRightInd w:val="0"/>
            </w:pPr>
          </w:p>
        </w:tc>
      </w:tr>
    </w:tbl>
    <w:p w14:paraId="29FEFA36">
      <w:pPr>
        <w:pStyle w:val="3"/>
        <w:ind w:firstLine="480"/>
      </w:pPr>
      <w:r>
        <w:t>根据分析，本项目符合自治区及伊犁哈萨克自治州重点环境管控单元分类管控要求。</w:t>
      </w:r>
    </w:p>
    <w:p w14:paraId="35D1B645">
      <w:pPr>
        <w:pStyle w:val="5"/>
        <w:spacing w:before="156"/>
      </w:pPr>
      <w:r>
        <w:t>选址合理性</w:t>
      </w:r>
    </w:p>
    <w:p w14:paraId="494A47F0">
      <w:pPr>
        <w:pStyle w:val="3"/>
        <w:ind w:firstLine="480"/>
      </w:pPr>
      <w:r>
        <w:t>（1）环境功能区划符合性</w:t>
      </w:r>
    </w:p>
    <w:p w14:paraId="41B697FB">
      <w:pPr>
        <w:pStyle w:val="3"/>
        <w:ind w:firstLine="480"/>
      </w:pPr>
      <w:r>
        <w:t>项目建设所在地不在自然保护区、风景名胜区、饮用水水源地和其它需要特殊保护的地区等环境功能区划级别高的地区，从环境功能区划的角度看对本项目建设制约不大。</w:t>
      </w:r>
    </w:p>
    <w:p w14:paraId="14F15134">
      <w:pPr>
        <w:pStyle w:val="3"/>
        <w:ind w:firstLine="480"/>
      </w:pPr>
      <w:r>
        <w:t>（2）用地符合性</w:t>
      </w:r>
    </w:p>
    <w:p w14:paraId="08C4E347">
      <w:pPr>
        <w:pStyle w:val="3"/>
        <w:ind w:firstLine="480"/>
      </w:pPr>
      <w:r>
        <w:t>根据《奎屯-独山子经济技术开发区总体规划修编（2019-2030）环境影响报告书》，本项目所在用地属于现状工业用地，符合园区用地规划要求。</w:t>
      </w:r>
    </w:p>
    <w:p w14:paraId="044FD4CB">
      <w:pPr>
        <w:pStyle w:val="3"/>
        <w:ind w:firstLine="480"/>
      </w:pPr>
      <w:r>
        <w:t>（3）环境敏感点分布与周边环境相容性</w:t>
      </w:r>
    </w:p>
    <w:p w14:paraId="05A3137E">
      <w:pPr>
        <w:pStyle w:val="3"/>
        <w:ind w:firstLine="480"/>
      </w:pPr>
      <w:r>
        <w:t>本项目位于奎屯-独山子经济技术开发区内，经调查建设项目选址地区不属于特殊保护地区、社会关注区和特殊地貌景观区，也无重点保护生态品种及濒危生物物种，文物古迹等。</w:t>
      </w:r>
    </w:p>
    <w:p w14:paraId="5C2F6E89">
      <w:pPr>
        <w:pStyle w:val="3"/>
        <w:ind w:firstLine="480"/>
      </w:pPr>
      <w:r>
        <w:t>本项目生产废水全部循环利用不外排，对区域地表水基本无影响。</w:t>
      </w:r>
    </w:p>
    <w:p w14:paraId="22B06C97">
      <w:pPr>
        <w:pStyle w:val="3"/>
        <w:ind w:firstLine="480"/>
      </w:pPr>
      <w:r>
        <w:t>本项目在生产过程中会产生含重金属等，处理或贮存不当，会对地下水造成较大的影响，本项目现状工程已建设较规范的贮存设施，对地面均进行了防渗处理，建设废液、废水等导排收集设施，并通过环境保护验收。</w:t>
      </w:r>
    </w:p>
    <w:p w14:paraId="6542A921">
      <w:pPr>
        <w:pStyle w:val="3"/>
        <w:ind w:firstLine="480"/>
      </w:pPr>
      <w:r>
        <w:t>（4）项目周围基础设施依托可行性</w:t>
      </w:r>
    </w:p>
    <w:p w14:paraId="495F53BE">
      <w:pPr>
        <w:pStyle w:val="3"/>
        <w:ind w:firstLine="480"/>
      </w:pPr>
      <w:r>
        <w:t>本项目位于奎屯-独山子经济技术开发区，园区道路、供电、供水、通讯等基础设施条件较好。本项目用水、用电及进厂道路等公用设施可充分利用园区现有水、电、道路等基础设施；项目办公生活垃圾收集后委托环卫部门拉运至生活垃圾填埋场填埋处置；本项目产生的一般固废填埋场处置；危险废物委托具有相应危险废物处置资质的单位安全处置。项目周围环境基础设施较完善，有利于项目的建设。</w:t>
      </w:r>
    </w:p>
    <w:p w14:paraId="691C8A6B">
      <w:pPr>
        <w:pStyle w:val="3"/>
        <w:ind w:firstLine="480"/>
      </w:pPr>
      <w:r>
        <w:t>（5）环境容量</w:t>
      </w:r>
    </w:p>
    <w:p w14:paraId="06F72861">
      <w:pPr>
        <w:pStyle w:val="3"/>
        <w:ind w:firstLine="480"/>
      </w:pPr>
      <w:bookmarkStart w:id="35" w:name="_Hlk172043061"/>
      <w:r>
        <w:t>本次技改前后</w:t>
      </w:r>
      <w:r>
        <w:rPr>
          <w:lang w:bidi="ar"/>
        </w:rPr>
        <w:t>各项污染物排放总量均满足原有排污许可证、环评及批复要求。无需新申请总量控制指标。各项污染物排放总量均满足原有排污许可证、环评及批复要求。</w:t>
      </w:r>
      <w:r>
        <w:t>项目选址从环境容量角度分析是可行的。</w:t>
      </w:r>
      <w:bookmarkEnd w:id="35"/>
    </w:p>
    <w:p w14:paraId="52D4CE3B">
      <w:pPr>
        <w:pStyle w:val="3"/>
        <w:ind w:firstLine="480"/>
      </w:pPr>
      <w:r>
        <w:t>（4）项目选址环境风险可控性</w:t>
      </w:r>
    </w:p>
    <w:p w14:paraId="48F881BA">
      <w:pPr>
        <w:pStyle w:val="3"/>
        <w:ind w:firstLine="480"/>
      </w:pPr>
      <w:r>
        <w:t>企业按照铁合金冶炼行业建设要求建设和落实风险应急措施、制定风险应急预案；项目各项污染防治和风险防范措施明确，按要求设置环境防护距离，防护距离范围内无住宅、办公、学校、医院等敏感建筑，上述范围内也不规划建设敏感建筑以及食品加工等对环境要求较高的企业。综合以上分析，项目选址符合环境风险防范相关要求。</w:t>
      </w:r>
    </w:p>
    <w:p w14:paraId="0095A3AD">
      <w:pPr>
        <w:pStyle w:val="3"/>
        <w:ind w:firstLine="480"/>
      </w:pPr>
      <w:r>
        <w:t>综上所述，项目选址符合园区规划及规划环评要求，符合国家、自治区相关环境保护规划，区域资源赋存情况符合项目建设需求，选址合理。</w:t>
      </w:r>
    </w:p>
    <w:p w14:paraId="07B4D4EE">
      <w:pPr>
        <w:pStyle w:val="4"/>
      </w:pPr>
      <w:bookmarkStart w:id="36" w:name="_Toc207208370"/>
      <w:bookmarkStart w:id="37" w:name="_Toc9799"/>
      <w:bookmarkStart w:id="38" w:name="_Toc29886"/>
      <w:r>
        <w:t>关注的主要环境问题及环境影响</w:t>
      </w:r>
      <w:bookmarkEnd w:id="36"/>
      <w:bookmarkEnd w:id="37"/>
      <w:bookmarkEnd w:id="38"/>
    </w:p>
    <w:p w14:paraId="3F5960F7">
      <w:pPr>
        <w:pStyle w:val="5"/>
        <w:spacing w:before="156"/>
      </w:pPr>
      <w:r>
        <w:t>主要环境问题</w:t>
      </w:r>
    </w:p>
    <w:p w14:paraId="62E9B30A">
      <w:pPr>
        <w:pStyle w:val="3"/>
        <w:ind w:firstLine="480"/>
      </w:pPr>
      <w:r>
        <w:t>本项目工程的环境影响评价工作，结合厂址地区环境特点、工程特点，重点关注以下环境问题：</w:t>
      </w:r>
    </w:p>
    <w:p w14:paraId="3A867DEB">
      <w:pPr>
        <w:pStyle w:val="3"/>
        <w:ind w:firstLine="480"/>
      </w:pPr>
      <w:r>
        <w:t>（1）本项目以废气、固废排放为主要污染特征，其废气达标排放并满足总量控制、固废处理及排放去向是项目减少对环境污染的重点关注问题。</w:t>
      </w:r>
    </w:p>
    <w:p w14:paraId="549980CE">
      <w:pPr>
        <w:pStyle w:val="3"/>
        <w:ind w:firstLine="480"/>
      </w:pPr>
      <w:r>
        <w:t>（2）本项目投产排放一定量的废气及固体废物污染物，项目采取相应的环保措施后是否能确保污染物稳定达标排放、环境风险是否可控也属于重点关注问题。</w:t>
      </w:r>
    </w:p>
    <w:p w14:paraId="1FEF2FE9">
      <w:pPr>
        <w:pStyle w:val="5"/>
        <w:spacing w:before="156"/>
      </w:pPr>
      <w:r>
        <w:t>主要环境影响</w:t>
      </w:r>
    </w:p>
    <w:p w14:paraId="360DC5A7">
      <w:pPr>
        <w:widowControl/>
        <w:ind w:firstLine="480" w:firstLineChars="200"/>
        <w:jc w:val="left"/>
      </w:pPr>
      <w:r>
        <w:rPr>
          <w:kern w:val="0"/>
          <w:lang w:bidi="ar"/>
        </w:rPr>
        <w:t>建设工程完成后各生产工序中环保设施在正常生产条件下，各关心评价点的污染物预测浓度均未超出评价标准浓度限值，在正常生产情况下排放的污染物不</w:t>
      </w:r>
      <w:bookmarkStart w:id="39" w:name="_Toc19475"/>
      <w:r>
        <w:rPr>
          <w:kern w:val="0"/>
          <w:lang w:bidi="ar"/>
        </w:rPr>
        <w:t>会对周围敏感人群居住区环境产生明显影响。</w:t>
      </w:r>
    </w:p>
    <w:p w14:paraId="4964607F">
      <w:pPr>
        <w:widowControl/>
        <w:ind w:firstLine="480" w:firstLineChars="200"/>
        <w:jc w:val="left"/>
      </w:pPr>
      <w:r>
        <w:t>本次技改工程投入使用后生产过程中废气经过现有处理后可实现达标排放，对环境影响较小。</w:t>
      </w:r>
    </w:p>
    <w:p w14:paraId="2AD6D742">
      <w:pPr>
        <w:widowControl/>
        <w:ind w:firstLine="480" w:firstLineChars="200"/>
        <w:jc w:val="left"/>
      </w:pPr>
      <w:r>
        <w:t>本项目生产废水经处理后循环使用，不外排。与地表水体无水力联系。厂址位于奎屯-独山子经济技术开发区，周围没有学校、村庄等声环境敏感点，环境相对简单。本项目对周围声环境影响变化不大，不会对周围声环境产生较大影响。危险废物经单独收集、固体容器贮存后送有危险废物处置资质的单位回收处置。本项目固废均得到了减量化、资源化、无害化处置，符合、</w:t>
      </w:r>
      <w:r>
        <w:fldChar w:fldCharType="begin"/>
      </w:r>
      <w:r>
        <w:instrText xml:space="preserve">HYPERLINK "http://www.mee.gov.cn/ywgz/fgbz/bz/bzwb/gthw/gtfwwrkzbz/202012/t20201218_813927.shtml"</w:instrText>
      </w:r>
      <w:r>
        <w:fldChar w:fldCharType="separate"/>
      </w:r>
      <w:r>
        <w:t>《一般工业固体废物贮存和填埋污染控制标准》（GB18599-2020）</w:t>
      </w:r>
      <w:r>
        <w:fldChar w:fldCharType="end"/>
      </w:r>
      <w:r>
        <w:t>和《危险废物贮存污染控制标准》（GB18597-2023）有关规定，因此固体废物对外环境影响较小。</w:t>
      </w:r>
    </w:p>
    <w:p w14:paraId="0F0CC0C4">
      <w:pPr>
        <w:pStyle w:val="4"/>
      </w:pPr>
      <w:bookmarkStart w:id="40" w:name="_Toc8835"/>
      <w:bookmarkStart w:id="41" w:name="_Toc207208371"/>
      <w:r>
        <w:t>环境影响评价主要结论</w:t>
      </w:r>
      <w:bookmarkEnd w:id="39"/>
      <w:bookmarkEnd w:id="40"/>
      <w:bookmarkEnd w:id="41"/>
    </w:p>
    <w:p w14:paraId="774BE51C">
      <w:pPr>
        <w:widowControl/>
        <w:ind w:firstLine="480" w:firstLineChars="200"/>
        <w:jc w:val="left"/>
      </w:pPr>
      <w:bookmarkStart w:id="42" w:name="_Toc4150"/>
      <w:r>
        <w:t>本次技改工程符合《产业结构调整指导目录（2024年本）》，符合《关于奎屯-独山子经济技术开发区总体规划（2012-2030）环境影响报告书》及其审查意见（新环函〔2014〕4号）相关要求等相关环境管理要求；项目采用国内先进成熟的生产工艺，在能耗、水耗、装备水平及污染物排放等方面达到国内先进水平，符合清洁生产要求。项目配套建设污染防治及环境风险防范设施，污染物可以实现达标排放，满足总量控制要求，环境影响和环境风险可以接受。在严格执行“三同时”制度、严格落实本报告书提出的各项环保措施的条件下，从环境保护角度分析，工程建设可行。</w:t>
      </w:r>
    </w:p>
    <w:p w14:paraId="35A14F12">
      <w:pPr>
        <w:pStyle w:val="2"/>
      </w:pPr>
      <w:bookmarkStart w:id="43" w:name="_Toc207208372"/>
      <w:bookmarkStart w:id="44" w:name="_Toc24282"/>
      <w:r>
        <w:t>总则</w:t>
      </w:r>
      <w:bookmarkEnd w:id="42"/>
      <w:bookmarkEnd w:id="43"/>
      <w:bookmarkEnd w:id="44"/>
    </w:p>
    <w:p w14:paraId="08632E99">
      <w:pPr>
        <w:pStyle w:val="4"/>
      </w:pPr>
      <w:bookmarkStart w:id="45" w:name="_Toc25442"/>
      <w:bookmarkStart w:id="46" w:name="_Toc15960"/>
      <w:bookmarkStart w:id="47" w:name="_Toc207208373"/>
      <w:r>
        <w:t>编制依据</w:t>
      </w:r>
      <w:bookmarkEnd w:id="45"/>
      <w:bookmarkEnd w:id="46"/>
      <w:bookmarkEnd w:id="47"/>
    </w:p>
    <w:p w14:paraId="5FFF5AE1">
      <w:pPr>
        <w:pStyle w:val="5"/>
        <w:spacing w:before="156"/>
      </w:pPr>
      <w:r>
        <w:t>法律依据</w:t>
      </w:r>
    </w:p>
    <w:p w14:paraId="624E4586">
      <w:pPr>
        <w:pStyle w:val="3"/>
        <w:numPr>
          <w:ilvl w:val="0"/>
          <w:numId w:val="3"/>
        </w:numPr>
        <w:tabs>
          <w:tab w:val="left" w:pos="0"/>
        </w:tabs>
        <w:ind w:left="0" w:firstLine="480"/>
      </w:pPr>
      <w:r>
        <w:t>《中华人民共和国环境保护法》（国家主席令第9号，2015年1月1日修订）；</w:t>
      </w:r>
    </w:p>
    <w:p w14:paraId="6FCE1313">
      <w:pPr>
        <w:pStyle w:val="3"/>
        <w:numPr>
          <w:ilvl w:val="0"/>
          <w:numId w:val="3"/>
        </w:numPr>
        <w:tabs>
          <w:tab w:val="left" w:pos="0"/>
        </w:tabs>
        <w:ind w:left="0" w:firstLine="480"/>
      </w:pPr>
      <w:r>
        <w:t>《中华人民共和国环境影响评价法》（国家主席令第48号，2018年12月29日修订）；</w:t>
      </w:r>
    </w:p>
    <w:p w14:paraId="4FBEA13C">
      <w:pPr>
        <w:pStyle w:val="3"/>
        <w:numPr>
          <w:ilvl w:val="0"/>
          <w:numId w:val="3"/>
        </w:numPr>
        <w:tabs>
          <w:tab w:val="left" w:pos="0"/>
        </w:tabs>
        <w:ind w:left="0" w:firstLine="480"/>
      </w:pPr>
      <w:r>
        <w:t>《中华人民共和国水污染防治法》（第8届人大第19次会议，2018年1月1日修正）；</w:t>
      </w:r>
    </w:p>
    <w:p w14:paraId="5F3C52D6">
      <w:pPr>
        <w:pStyle w:val="3"/>
        <w:numPr>
          <w:ilvl w:val="0"/>
          <w:numId w:val="3"/>
        </w:numPr>
        <w:tabs>
          <w:tab w:val="left" w:pos="0"/>
        </w:tabs>
        <w:ind w:left="0" w:firstLine="480"/>
      </w:pPr>
      <w:r>
        <w:t>《中华人民共和国大气污染防治法》（第13届人大第6次会议，2018年10月26日修正）；</w:t>
      </w:r>
    </w:p>
    <w:p w14:paraId="2842C5FE">
      <w:pPr>
        <w:pStyle w:val="3"/>
        <w:numPr>
          <w:ilvl w:val="0"/>
          <w:numId w:val="3"/>
        </w:numPr>
        <w:tabs>
          <w:tab w:val="left" w:pos="0"/>
        </w:tabs>
        <w:ind w:left="0" w:firstLine="480"/>
      </w:pPr>
      <w:r>
        <w:t>《中华人民共和国土壤污染防治法》（第15届人大第5次会议，2019年1月1日）；</w:t>
      </w:r>
    </w:p>
    <w:p w14:paraId="24B26A7B">
      <w:pPr>
        <w:pStyle w:val="3"/>
        <w:numPr>
          <w:ilvl w:val="0"/>
          <w:numId w:val="3"/>
        </w:numPr>
        <w:tabs>
          <w:tab w:val="left" w:pos="0"/>
        </w:tabs>
        <w:ind w:left="0" w:firstLine="480"/>
      </w:pPr>
      <w:r>
        <w:t>《中华人民共和国环境噪声污染防治法》（第13届人大第32次会议，2021年12月24日修正）；</w:t>
      </w:r>
    </w:p>
    <w:p w14:paraId="6BABB5EA">
      <w:pPr>
        <w:pStyle w:val="3"/>
        <w:numPr>
          <w:ilvl w:val="0"/>
          <w:numId w:val="3"/>
        </w:numPr>
        <w:tabs>
          <w:tab w:val="left" w:pos="0"/>
        </w:tabs>
        <w:ind w:left="0" w:firstLine="480"/>
      </w:pPr>
      <w:r>
        <w:t>《中华人民共和国固体废物污染环境防治法》（国家主席令第104号，2020年4月29日修订）；</w:t>
      </w:r>
    </w:p>
    <w:p w14:paraId="356ECBEB">
      <w:pPr>
        <w:pStyle w:val="3"/>
        <w:numPr>
          <w:ilvl w:val="0"/>
          <w:numId w:val="3"/>
        </w:numPr>
        <w:tabs>
          <w:tab w:val="left" w:pos="0"/>
        </w:tabs>
        <w:ind w:left="0" w:firstLine="480"/>
      </w:pPr>
      <w:r>
        <w:t>《中华人民共和国清洁生产促进法》（第11届人大第25次会议，2012年2月29日修正）；</w:t>
      </w:r>
    </w:p>
    <w:p w14:paraId="7691BE39">
      <w:pPr>
        <w:pStyle w:val="3"/>
        <w:numPr>
          <w:ilvl w:val="0"/>
          <w:numId w:val="3"/>
        </w:numPr>
        <w:tabs>
          <w:tab w:val="left" w:pos="0"/>
        </w:tabs>
        <w:ind w:left="0" w:firstLine="480"/>
      </w:pPr>
      <w:r>
        <w:t>《中华人民共和国循环经济促进法》（第13届人大第6次会议，2018年10月26日修订）；</w:t>
      </w:r>
    </w:p>
    <w:p w14:paraId="503B9854">
      <w:pPr>
        <w:pStyle w:val="3"/>
        <w:numPr>
          <w:ilvl w:val="0"/>
          <w:numId w:val="3"/>
        </w:numPr>
        <w:tabs>
          <w:tab w:val="left" w:pos="0"/>
        </w:tabs>
        <w:ind w:left="0" w:firstLine="480"/>
      </w:pPr>
      <w:r>
        <w:t>《中华人民共和国水法》（第12届人大第21次会议，2016年7月2日修正）；</w:t>
      </w:r>
    </w:p>
    <w:p w14:paraId="194F9FAA">
      <w:pPr>
        <w:pStyle w:val="3"/>
        <w:numPr>
          <w:ilvl w:val="0"/>
          <w:numId w:val="3"/>
        </w:numPr>
        <w:tabs>
          <w:tab w:val="left" w:pos="0"/>
        </w:tabs>
        <w:ind w:left="0" w:firstLine="480"/>
      </w:pPr>
      <w:r>
        <w:t>《中华人民共和国节约能源法》（第13届人大第6次会议，2018年10月26日修正）；</w:t>
      </w:r>
    </w:p>
    <w:p w14:paraId="1EAD0BBC">
      <w:pPr>
        <w:pStyle w:val="3"/>
        <w:numPr>
          <w:ilvl w:val="0"/>
          <w:numId w:val="3"/>
        </w:numPr>
        <w:tabs>
          <w:tab w:val="left" w:pos="0"/>
        </w:tabs>
        <w:ind w:left="0" w:firstLine="480"/>
      </w:pPr>
      <w:r>
        <w:t>《中华人民共和国防沙治沙法》（第13届人大第6次会议，2018年10月26日修订）；</w:t>
      </w:r>
    </w:p>
    <w:p w14:paraId="6FA7F001">
      <w:pPr>
        <w:pStyle w:val="3"/>
        <w:numPr>
          <w:ilvl w:val="0"/>
          <w:numId w:val="3"/>
        </w:numPr>
        <w:tabs>
          <w:tab w:val="left" w:pos="0"/>
        </w:tabs>
        <w:ind w:left="0" w:firstLine="480"/>
      </w:pPr>
      <w:r>
        <w:t>《中华人民共和国土地管理法》（国家主席令第28号，2019年8月26日修正）；</w:t>
      </w:r>
    </w:p>
    <w:p w14:paraId="18AF45DC">
      <w:pPr>
        <w:pStyle w:val="3"/>
        <w:numPr>
          <w:ilvl w:val="0"/>
          <w:numId w:val="3"/>
        </w:numPr>
        <w:tabs>
          <w:tab w:val="left" w:pos="0"/>
        </w:tabs>
        <w:ind w:left="0" w:firstLine="480"/>
      </w:pPr>
      <w:r>
        <w:t>《中华人民共和国水土保持法》（国家主席令第39号，2010年12月25日修订）；</w:t>
      </w:r>
    </w:p>
    <w:p w14:paraId="1717C731">
      <w:pPr>
        <w:pStyle w:val="3"/>
        <w:numPr>
          <w:ilvl w:val="0"/>
          <w:numId w:val="3"/>
        </w:numPr>
        <w:tabs>
          <w:tab w:val="left" w:pos="0"/>
        </w:tabs>
        <w:ind w:left="0" w:firstLine="480"/>
      </w:pPr>
      <w:r>
        <w:t>《中华人民共和国突发事件应对法》（14届人大第10次会议，2024年11月1日）；</w:t>
      </w:r>
    </w:p>
    <w:p w14:paraId="0641541C">
      <w:pPr>
        <w:pStyle w:val="3"/>
        <w:numPr>
          <w:ilvl w:val="0"/>
          <w:numId w:val="3"/>
        </w:numPr>
        <w:tabs>
          <w:tab w:val="left" w:pos="0"/>
        </w:tabs>
        <w:ind w:left="0" w:firstLine="480"/>
      </w:pPr>
      <w:r>
        <w:t>《中华人民共和国环境保护税法》（第13届人大第6次会议，2018年10月26日）；</w:t>
      </w:r>
    </w:p>
    <w:p w14:paraId="13445738">
      <w:pPr>
        <w:pStyle w:val="3"/>
        <w:numPr>
          <w:ilvl w:val="0"/>
          <w:numId w:val="3"/>
        </w:numPr>
        <w:tabs>
          <w:tab w:val="left" w:pos="0"/>
        </w:tabs>
        <w:ind w:left="0" w:firstLine="480"/>
      </w:pPr>
      <w:r>
        <w:t>《中华人民共和国城乡规划法》（第13届人大第11次会议，2019年4月23日）。</w:t>
      </w:r>
    </w:p>
    <w:p w14:paraId="3FD2B6CB">
      <w:pPr>
        <w:pStyle w:val="5"/>
        <w:spacing w:before="156"/>
      </w:pPr>
      <w:r>
        <w:t>部门规章</w:t>
      </w:r>
    </w:p>
    <w:p w14:paraId="11BB4D1C">
      <w:pPr>
        <w:pStyle w:val="3"/>
        <w:numPr>
          <w:ilvl w:val="0"/>
          <w:numId w:val="4"/>
        </w:numPr>
        <w:tabs>
          <w:tab w:val="left" w:pos="0"/>
        </w:tabs>
        <w:ind w:left="0" w:firstLine="480"/>
      </w:pPr>
      <w:r>
        <w:t>《建设项目环境保护管理条例》（国务院令第253号，2017年10月1日修改）；</w:t>
      </w:r>
    </w:p>
    <w:p w14:paraId="5989E9F6">
      <w:pPr>
        <w:pStyle w:val="3"/>
        <w:numPr>
          <w:ilvl w:val="0"/>
          <w:numId w:val="4"/>
        </w:numPr>
        <w:tabs>
          <w:tab w:val="left" w:pos="0"/>
        </w:tabs>
        <w:ind w:left="0" w:firstLine="480"/>
      </w:pPr>
      <w:r>
        <w:t>《建设项目环境影响评价分类管理名录（2021版）》（环保部令第16号，2021年1月1日）；</w:t>
      </w:r>
    </w:p>
    <w:p w14:paraId="1AE16473">
      <w:pPr>
        <w:pStyle w:val="3"/>
        <w:numPr>
          <w:ilvl w:val="0"/>
          <w:numId w:val="4"/>
        </w:numPr>
        <w:tabs>
          <w:tab w:val="left" w:pos="0"/>
        </w:tabs>
        <w:ind w:left="0" w:firstLine="480"/>
      </w:pPr>
      <w:r>
        <w:t>《危险化学品安全管理条例》（中华人民共和国国务院令第591号，2013年3月2日）；</w:t>
      </w:r>
    </w:p>
    <w:p w14:paraId="53D760B3">
      <w:pPr>
        <w:pStyle w:val="3"/>
        <w:numPr>
          <w:ilvl w:val="0"/>
          <w:numId w:val="4"/>
        </w:numPr>
        <w:tabs>
          <w:tab w:val="left" w:pos="0"/>
        </w:tabs>
        <w:ind w:left="0" w:firstLine="480"/>
      </w:pPr>
      <w:r>
        <w:t>《污染地块土壤环境管理办法（试行）》（2017年7月1日）；</w:t>
      </w:r>
    </w:p>
    <w:p w14:paraId="08A59377">
      <w:pPr>
        <w:pStyle w:val="3"/>
        <w:numPr>
          <w:ilvl w:val="0"/>
          <w:numId w:val="4"/>
        </w:numPr>
        <w:tabs>
          <w:tab w:val="left" w:pos="0"/>
        </w:tabs>
        <w:ind w:left="0" w:firstLine="480"/>
      </w:pPr>
      <w:r>
        <w:t>《大宗固体废物综合利用实施方案》（国家发展和改革委员会，2011年12月10日）；</w:t>
      </w:r>
    </w:p>
    <w:p w14:paraId="5316E6F0">
      <w:pPr>
        <w:pStyle w:val="3"/>
        <w:numPr>
          <w:ilvl w:val="0"/>
          <w:numId w:val="4"/>
        </w:numPr>
        <w:tabs>
          <w:tab w:val="left" w:pos="0"/>
        </w:tabs>
        <w:ind w:left="0" w:firstLine="480"/>
      </w:pPr>
      <w:r>
        <w:t>《产业结构调整指导目录（2024年本）》（2024年2月1日起施行）；</w:t>
      </w:r>
    </w:p>
    <w:p w14:paraId="30A6738F">
      <w:pPr>
        <w:pStyle w:val="3"/>
        <w:numPr>
          <w:ilvl w:val="0"/>
          <w:numId w:val="4"/>
        </w:numPr>
        <w:tabs>
          <w:tab w:val="left" w:pos="0"/>
        </w:tabs>
        <w:ind w:left="0" w:firstLine="480"/>
      </w:pPr>
      <w:r>
        <w:t>《环境影响评价公众参与办法》（2019年1月1日）；</w:t>
      </w:r>
    </w:p>
    <w:p w14:paraId="7CABFDC7">
      <w:pPr>
        <w:pStyle w:val="3"/>
        <w:numPr>
          <w:ilvl w:val="0"/>
          <w:numId w:val="4"/>
        </w:numPr>
        <w:tabs>
          <w:tab w:val="left" w:pos="0"/>
        </w:tabs>
        <w:ind w:left="0" w:firstLine="480"/>
      </w:pPr>
      <w:r>
        <w:t>《关于印发〈建设项目环境影响评价信息公开机制方案〉的通知》（环发〔2015〕162号）；</w:t>
      </w:r>
    </w:p>
    <w:p w14:paraId="6D33AA69">
      <w:pPr>
        <w:pStyle w:val="3"/>
        <w:numPr>
          <w:ilvl w:val="0"/>
          <w:numId w:val="4"/>
        </w:numPr>
        <w:tabs>
          <w:tab w:val="left" w:pos="0"/>
        </w:tabs>
        <w:ind w:left="0" w:firstLine="480"/>
      </w:pPr>
      <w:r>
        <w:t>《关于进一步加强环境影响评价管理防范环境风险的通知》（环发〔2012〕77号）；</w:t>
      </w:r>
    </w:p>
    <w:p w14:paraId="721D665E">
      <w:pPr>
        <w:pStyle w:val="3"/>
        <w:numPr>
          <w:ilvl w:val="0"/>
          <w:numId w:val="4"/>
        </w:numPr>
        <w:tabs>
          <w:tab w:val="left" w:pos="0"/>
        </w:tabs>
        <w:ind w:left="0" w:firstLine="480"/>
      </w:pPr>
      <w:r>
        <w:t>《突发环境事件应急管理办法》（2015年6月5日）</w:t>
      </w:r>
    </w:p>
    <w:p w14:paraId="6CED1776">
      <w:pPr>
        <w:pStyle w:val="3"/>
        <w:numPr>
          <w:ilvl w:val="0"/>
          <w:numId w:val="4"/>
        </w:numPr>
        <w:tabs>
          <w:tab w:val="left" w:pos="0"/>
        </w:tabs>
        <w:ind w:left="0" w:firstLine="480"/>
      </w:pPr>
      <w:r>
        <w:t>《国家危险废物名录（2025版）》（2025年1月1日）；</w:t>
      </w:r>
    </w:p>
    <w:p w14:paraId="5EA9F8AF">
      <w:pPr>
        <w:pStyle w:val="3"/>
        <w:numPr>
          <w:ilvl w:val="0"/>
          <w:numId w:val="4"/>
        </w:numPr>
        <w:tabs>
          <w:tab w:val="left" w:pos="0"/>
        </w:tabs>
        <w:ind w:left="0" w:firstLine="480"/>
      </w:pPr>
      <w:bookmarkStart w:id="48" w:name="_Hlk172062266"/>
      <w:bookmarkStart w:id="49" w:name="_Hlk170833867"/>
      <w:r>
        <w:t>《危险废物转移管理办法》（2022年1月1日起施行）</w:t>
      </w:r>
      <w:bookmarkEnd w:id="48"/>
      <w:r>
        <w:t>；</w:t>
      </w:r>
    </w:p>
    <w:bookmarkEnd w:id="49"/>
    <w:p w14:paraId="39B6444A">
      <w:pPr>
        <w:pStyle w:val="3"/>
        <w:numPr>
          <w:ilvl w:val="0"/>
          <w:numId w:val="4"/>
        </w:numPr>
        <w:tabs>
          <w:tab w:val="left" w:pos="0"/>
        </w:tabs>
        <w:ind w:left="0" w:firstLine="480"/>
      </w:pPr>
      <w:r>
        <w:t>《关于加强涉重金属行业污染防控的意见》（环土壤〔2018〕22号）；</w:t>
      </w:r>
    </w:p>
    <w:p w14:paraId="2066A83F">
      <w:pPr>
        <w:pStyle w:val="3"/>
        <w:numPr>
          <w:ilvl w:val="0"/>
          <w:numId w:val="4"/>
        </w:numPr>
        <w:tabs>
          <w:tab w:val="left" w:pos="0"/>
        </w:tabs>
        <w:ind w:left="0" w:firstLine="480"/>
      </w:pPr>
      <w:r>
        <w:t>《关于提升危险废物环境监管能力、利用处置能力和环境风险防范能力的指导意见》（环固体〔2019〕92号）；</w:t>
      </w:r>
    </w:p>
    <w:p w14:paraId="1D5138CE">
      <w:pPr>
        <w:pStyle w:val="3"/>
        <w:numPr>
          <w:ilvl w:val="0"/>
          <w:numId w:val="4"/>
        </w:numPr>
        <w:tabs>
          <w:tab w:val="left" w:pos="0"/>
        </w:tabs>
        <w:ind w:left="0" w:firstLine="480"/>
      </w:pPr>
      <w:r>
        <w:t>《关于印发〈建设项目主要污染物排放总量指标审核及管理暂行办法〉的通知》（环发〔2014〕197号）；</w:t>
      </w:r>
    </w:p>
    <w:p w14:paraId="4FFCE7FD">
      <w:pPr>
        <w:pStyle w:val="3"/>
        <w:numPr>
          <w:ilvl w:val="0"/>
          <w:numId w:val="4"/>
        </w:numPr>
        <w:tabs>
          <w:tab w:val="left" w:pos="0"/>
        </w:tabs>
        <w:ind w:left="0" w:firstLine="480"/>
      </w:pPr>
      <w:r>
        <w:t>《关于实施工业污染源全面达标排放计划的通知》（环监〔2016〕172号）</w:t>
      </w:r>
    </w:p>
    <w:p w14:paraId="345CB4BF">
      <w:pPr>
        <w:pStyle w:val="3"/>
        <w:numPr>
          <w:ilvl w:val="0"/>
          <w:numId w:val="4"/>
        </w:numPr>
        <w:tabs>
          <w:tab w:val="left" w:pos="0"/>
        </w:tabs>
        <w:ind w:left="0" w:firstLine="480"/>
      </w:pPr>
      <w:r>
        <w:t>《国务院办公厅关于印发控制污染物排放许可制实施方案的通知》（国办发〔2016〕81号）；</w:t>
      </w:r>
    </w:p>
    <w:p w14:paraId="638EC313">
      <w:pPr>
        <w:pStyle w:val="3"/>
        <w:numPr>
          <w:ilvl w:val="0"/>
          <w:numId w:val="4"/>
        </w:numPr>
        <w:tabs>
          <w:tab w:val="left" w:pos="0"/>
        </w:tabs>
        <w:ind w:left="0" w:firstLine="480"/>
      </w:pPr>
      <w:r>
        <w:t>《关于做好环境影响评价制度与排污许可制衔接相关工作的通知》（环办环评〔2017〕84号）；</w:t>
      </w:r>
    </w:p>
    <w:p w14:paraId="76DE98E0">
      <w:pPr>
        <w:pStyle w:val="3"/>
        <w:numPr>
          <w:ilvl w:val="0"/>
          <w:numId w:val="4"/>
        </w:numPr>
        <w:tabs>
          <w:tab w:val="left" w:pos="0"/>
        </w:tabs>
        <w:ind w:left="0" w:firstLine="480"/>
      </w:pPr>
      <w:r>
        <w:t>《建设项目环境影响报告书（表）编制监督管理办法》（生态环境部令第9号）；</w:t>
      </w:r>
    </w:p>
    <w:p w14:paraId="549BB592">
      <w:pPr>
        <w:pStyle w:val="3"/>
        <w:numPr>
          <w:ilvl w:val="0"/>
          <w:numId w:val="4"/>
        </w:numPr>
        <w:tabs>
          <w:tab w:val="left" w:pos="0"/>
        </w:tabs>
        <w:ind w:left="0" w:firstLine="480"/>
      </w:pPr>
      <w:r>
        <w:t>《“十四五”生态环境保护规划》（2022年7月）；</w:t>
      </w:r>
    </w:p>
    <w:p w14:paraId="749186F7">
      <w:pPr>
        <w:pStyle w:val="3"/>
        <w:numPr>
          <w:ilvl w:val="0"/>
          <w:numId w:val="4"/>
        </w:numPr>
        <w:tabs>
          <w:tab w:val="left" w:pos="0"/>
        </w:tabs>
        <w:ind w:left="0" w:firstLine="480"/>
      </w:pPr>
      <w:r>
        <w:rPr>
          <w:kern w:val="2"/>
        </w:rPr>
        <w:t>《西部地区鼓励类产业目录（2025年本）》（国家发展改革委令第28号，2025年1月1日）；</w:t>
      </w:r>
    </w:p>
    <w:p w14:paraId="0DF3A546">
      <w:pPr>
        <w:pStyle w:val="3"/>
        <w:numPr>
          <w:ilvl w:val="0"/>
          <w:numId w:val="4"/>
        </w:numPr>
        <w:tabs>
          <w:tab w:val="left" w:pos="0"/>
        </w:tabs>
        <w:ind w:left="0" w:firstLine="480"/>
      </w:pPr>
      <w:r>
        <w:rPr>
          <w:kern w:val="2"/>
        </w:rPr>
        <w:t>《国务院关于印发〈2024-2025年节能降碳行动方案〉的通知》（国发〔2024〕12号，2024年5月23日）；</w:t>
      </w:r>
    </w:p>
    <w:p w14:paraId="57182580">
      <w:pPr>
        <w:pStyle w:val="3"/>
        <w:numPr>
          <w:ilvl w:val="0"/>
          <w:numId w:val="4"/>
        </w:numPr>
        <w:tabs>
          <w:tab w:val="left" w:pos="0"/>
        </w:tabs>
        <w:ind w:left="0" w:firstLine="480"/>
      </w:pPr>
      <w:r>
        <w:t>《市场准入负面清单（2025年版）》（发改体改规〔2025〕466号，2025年4月16日）；</w:t>
      </w:r>
    </w:p>
    <w:p w14:paraId="54638CBF">
      <w:pPr>
        <w:pStyle w:val="3"/>
        <w:numPr>
          <w:ilvl w:val="0"/>
          <w:numId w:val="4"/>
        </w:numPr>
        <w:tabs>
          <w:tab w:val="left" w:pos="0"/>
        </w:tabs>
        <w:ind w:left="0" w:firstLine="480"/>
      </w:pPr>
      <w:r>
        <w:t>《固定污染源排污许可分类管理名录（2019年版）》（部令第11号，2019年12月20日）；</w:t>
      </w:r>
    </w:p>
    <w:p w14:paraId="0A1B4EC9">
      <w:pPr>
        <w:pStyle w:val="3"/>
        <w:numPr>
          <w:ilvl w:val="0"/>
          <w:numId w:val="4"/>
        </w:numPr>
        <w:tabs>
          <w:tab w:val="left" w:pos="0"/>
        </w:tabs>
        <w:ind w:left="0" w:firstLine="480"/>
      </w:pPr>
      <w:r>
        <w:t>《国务院关于印发“十四五”节能减排综合性工作方案的通知》（国发〔2021〕33号，2022年01月24日）；</w:t>
      </w:r>
    </w:p>
    <w:p w14:paraId="54AA2EDD">
      <w:pPr>
        <w:pStyle w:val="3"/>
        <w:numPr>
          <w:ilvl w:val="0"/>
          <w:numId w:val="4"/>
        </w:numPr>
        <w:tabs>
          <w:tab w:val="left" w:pos="0"/>
        </w:tabs>
        <w:ind w:left="0" w:firstLine="480"/>
      </w:pPr>
      <w:r>
        <w:rPr>
          <w:snapToGrid w:val="0"/>
          <w:kern w:val="2"/>
          <w:lang w:bidi="ar"/>
        </w:rPr>
        <w:t>《国务院关于印发〈空气质量持续改善行动计划〉的通知》（国发〔2023〕24号）；</w:t>
      </w:r>
    </w:p>
    <w:p w14:paraId="1FD4B6D1">
      <w:pPr>
        <w:pStyle w:val="3"/>
        <w:numPr>
          <w:ilvl w:val="0"/>
          <w:numId w:val="4"/>
        </w:numPr>
        <w:tabs>
          <w:tab w:val="left" w:pos="0"/>
        </w:tabs>
        <w:ind w:left="0" w:firstLine="480"/>
      </w:pPr>
      <w:r>
        <w:rPr>
          <w:shd w:val="clear" w:color="auto" w:fill="FFFFFF"/>
        </w:rPr>
        <w:t>《关于发布〈重点监管单位土壤污染隐患排查指南（试行）〉的公告》（公告 2021年 第1号，2021年1月5日）；</w:t>
      </w:r>
    </w:p>
    <w:p w14:paraId="3E76444C">
      <w:pPr>
        <w:pStyle w:val="3"/>
        <w:numPr>
          <w:ilvl w:val="0"/>
          <w:numId w:val="4"/>
        </w:numPr>
        <w:tabs>
          <w:tab w:val="left" w:pos="0"/>
        </w:tabs>
        <w:ind w:left="0" w:firstLine="480"/>
      </w:pPr>
      <w:r>
        <w:rPr>
          <w:shd w:val="clear" w:color="auto" w:fill="FFFFFF"/>
        </w:rPr>
        <w:t>《国务院关于加快建立健全绿色低碳循环发展经济体系的指导意见》</w:t>
      </w:r>
      <w:r>
        <w:t>（国发〔2021〕4号）；</w:t>
      </w:r>
    </w:p>
    <w:p w14:paraId="5A26DF51">
      <w:pPr>
        <w:pStyle w:val="3"/>
        <w:numPr>
          <w:ilvl w:val="0"/>
          <w:numId w:val="4"/>
        </w:numPr>
        <w:tabs>
          <w:tab w:val="left" w:pos="0"/>
        </w:tabs>
        <w:ind w:left="0" w:firstLine="480"/>
      </w:pPr>
      <w:r>
        <w:t>《“十四五”全国清洁生产推行方案》（发改环资〔2021〕1524号）；</w:t>
      </w:r>
    </w:p>
    <w:p w14:paraId="2051F9C0">
      <w:pPr>
        <w:pStyle w:val="3"/>
        <w:numPr>
          <w:ilvl w:val="0"/>
          <w:numId w:val="4"/>
        </w:numPr>
        <w:tabs>
          <w:tab w:val="left" w:pos="0"/>
        </w:tabs>
        <w:ind w:left="0" w:firstLine="480"/>
      </w:pPr>
      <w:r>
        <w:t>《高耗能行业重点领域节能降碳改造升级实施指南》（2022年版）（发改产业〔2022〕200号）；</w:t>
      </w:r>
    </w:p>
    <w:p w14:paraId="03E6EDA1">
      <w:pPr>
        <w:pStyle w:val="3"/>
        <w:numPr>
          <w:ilvl w:val="0"/>
          <w:numId w:val="4"/>
        </w:numPr>
        <w:tabs>
          <w:tab w:val="left" w:pos="0"/>
        </w:tabs>
        <w:ind w:left="0" w:firstLine="480"/>
      </w:pPr>
      <w:r>
        <w:t>《关于加强高耗能、高排放建设项目生态环境源头防控的指导意见》（环环评〔2021〕45号）；</w:t>
      </w:r>
    </w:p>
    <w:p w14:paraId="4D36F9C7">
      <w:pPr>
        <w:pStyle w:val="3"/>
        <w:numPr>
          <w:ilvl w:val="0"/>
          <w:numId w:val="4"/>
        </w:numPr>
        <w:tabs>
          <w:tab w:val="left" w:pos="0"/>
        </w:tabs>
        <w:ind w:left="0" w:firstLine="480"/>
      </w:pPr>
      <w:r>
        <w:t>《关于深入打好污染防治攻坚战的实施方案》（2022年7月26日）；</w:t>
      </w:r>
    </w:p>
    <w:p w14:paraId="51191B49">
      <w:pPr>
        <w:pStyle w:val="3"/>
        <w:numPr>
          <w:ilvl w:val="0"/>
          <w:numId w:val="4"/>
        </w:numPr>
        <w:tabs>
          <w:tab w:val="left" w:pos="0"/>
        </w:tabs>
        <w:ind w:left="0" w:firstLine="480"/>
      </w:pPr>
      <w:r>
        <w:t>《关于加强重点行业建设项目区域削减措施监督管理的通知》（环办环评〔2020〕36号）；</w:t>
      </w:r>
    </w:p>
    <w:p w14:paraId="4B38B11C">
      <w:pPr>
        <w:pStyle w:val="3"/>
        <w:numPr>
          <w:ilvl w:val="0"/>
          <w:numId w:val="4"/>
        </w:numPr>
        <w:tabs>
          <w:tab w:val="left" w:pos="0"/>
        </w:tabs>
        <w:ind w:left="0" w:firstLine="480"/>
      </w:pPr>
      <w:r>
        <w:t>《关于“十四五”大宗固体废弃物综合利用的指导意见》（发改环资〔2021〕381号）；</w:t>
      </w:r>
    </w:p>
    <w:p w14:paraId="58EF6719">
      <w:pPr>
        <w:pStyle w:val="3"/>
        <w:numPr>
          <w:ilvl w:val="0"/>
          <w:numId w:val="4"/>
        </w:numPr>
        <w:tabs>
          <w:tab w:val="left" w:pos="0"/>
        </w:tabs>
        <w:ind w:left="0" w:firstLine="480"/>
      </w:pPr>
      <w:bookmarkStart w:id="50" w:name="_Hlk170834151"/>
      <w:r>
        <w:t>《国务院关于化解产能严重过剩矛盾的指导意见》（国发〔2013〕41号）；</w:t>
      </w:r>
    </w:p>
    <w:p w14:paraId="73530172">
      <w:pPr>
        <w:pStyle w:val="3"/>
        <w:numPr>
          <w:ilvl w:val="0"/>
          <w:numId w:val="4"/>
        </w:numPr>
        <w:tabs>
          <w:tab w:val="left" w:pos="0"/>
        </w:tabs>
        <w:ind w:left="0" w:firstLine="480"/>
      </w:pPr>
      <w:r>
        <w:t>《关于做好2018年重点领域化解过剩产能工作的通知》（发改运行〔2018〕554号）</w:t>
      </w:r>
    </w:p>
    <w:p w14:paraId="526B6AAC">
      <w:pPr>
        <w:pStyle w:val="3"/>
        <w:numPr>
          <w:ilvl w:val="0"/>
          <w:numId w:val="4"/>
        </w:numPr>
        <w:tabs>
          <w:tab w:val="left" w:pos="0"/>
        </w:tabs>
        <w:ind w:left="0" w:firstLine="480"/>
      </w:pPr>
      <w:r>
        <w:t>《关于进一步加强重金属污染防控的意见》（环固体〔2022〕17号）</w:t>
      </w:r>
      <w:bookmarkEnd w:id="50"/>
      <w:r>
        <w:t>；</w:t>
      </w:r>
    </w:p>
    <w:p w14:paraId="7DE836DA">
      <w:pPr>
        <w:pStyle w:val="3"/>
        <w:numPr>
          <w:ilvl w:val="0"/>
          <w:numId w:val="4"/>
        </w:numPr>
        <w:tabs>
          <w:tab w:val="left" w:pos="0"/>
        </w:tabs>
        <w:ind w:left="0" w:firstLine="480"/>
      </w:pPr>
      <w:r>
        <w:t>《2030年前碳达峰行动方案》（国发〔2021〕23号，2021年10月24日）；</w:t>
      </w:r>
    </w:p>
    <w:p w14:paraId="508D3863">
      <w:pPr>
        <w:pStyle w:val="3"/>
        <w:numPr>
          <w:ilvl w:val="0"/>
          <w:numId w:val="4"/>
        </w:numPr>
        <w:tabs>
          <w:tab w:val="left" w:pos="0"/>
        </w:tabs>
        <w:ind w:left="0" w:firstLine="480"/>
      </w:pPr>
      <w:r>
        <w:t>《环境影响评价与排污许可领域协同推进碳减排工作方案》（环办环评函〔2021〕277号）；</w:t>
      </w:r>
    </w:p>
    <w:p w14:paraId="54B91D15">
      <w:pPr>
        <w:pStyle w:val="3"/>
        <w:numPr>
          <w:ilvl w:val="0"/>
          <w:numId w:val="4"/>
        </w:numPr>
        <w:tabs>
          <w:tab w:val="left" w:pos="0"/>
        </w:tabs>
        <w:ind w:left="0" w:firstLine="480"/>
      </w:pPr>
      <w:r>
        <w:t>《关于推进实施钢铁行业超低排放的意见》（环大气〔2019〕35号）。</w:t>
      </w:r>
    </w:p>
    <w:p w14:paraId="5C9D96C7">
      <w:pPr>
        <w:pStyle w:val="5"/>
        <w:spacing w:before="156"/>
      </w:pPr>
      <w:r>
        <w:t>地方性法规</w:t>
      </w:r>
    </w:p>
    <w:p w14:paraId="24AE3C91">
      <w:pPr>
        <w:pStyle w:val="3"/>
        <w:numPr>
          <w:ilvl w:val="0"/>
          <w:numId w:val="5"/>
        </w:numPr>
        <w:tabs>
          <w:tab w:val="left" w:pos="0"/>
        </w:tabs>
        <w:ind w:left="0" w:firstLine="476" w:firstLineChars="0"/>
      </w:pPr>
      <w:r>
        <w:t>《新疆维吾尔自治区环境保护条例（修订）》（2018年9月21日，新疆维吾尔自治区第十三届人民代表大会常务委员会第六次会议修正）；</w:t>
      </w:r>
    </w:p>
    <w:p w14:paraId="4B564C35">
      <w:pPr>
        <w:pStyle w:val="3"/>
        <w:numPr>
          <w:ilvl w:val="0"/>
          <w:numId w:val="5"/>
        </w:numPr>
        <w:tabs>
          <w:tab w:val="left" w:pos="0"/>
        </w:tabs>
        <w:ind w:left="0" w:firstLine="480"/>
      </w:pPr>
      <w:r>
        <w:t>《新疆维吾尔自治区国民经济和社会发展第十四个五年规划和2035年远景目标纲要》（新疆维吾尔自治区第十三届人民代表大会第四次会议通过，2021年2月5日）；</w:t>
      </w:r>
    </w:p>
    <w:p w14:paraId="48B67CAC">
      <w:pPr>
        <w:pStyle w:val="3"/>
        <w:numPr>
          <w:ilvl w:val="0"/>
          <w:numId w:val="5"/>
        </w:numPr>
        <w:tabs>
          <w:tab w:val="left" w:pos="0"/>
        </w:tabs>
        <w:ind w:left="0" w:firstLine="480"/>
      </w:pPr>
      <w:r>
        <w:t>《新疆生态环境保护“十四五”规划》（2021年12月24日）；</w:t>
      </w:r>
    </w:p>
    <w:p w14:paraId="1BD9B026">
      <w:pPr>
        <w:pStyle w:val="3"/>
        <w:numPr>
          <w:ilvl w:val="0"/>
          <w:numId w:val="5"/>
        </w:numPr>
        <w:tabs>
          <w:tab w:val="left" w:pos="0"/>
        </w:tabs>
        <w:ind w:left="0" w:firstLine="480"/>
      </w:pPr>
      <w:r>
        <w:t>《新疆维吾尔自治区地下水资源管理条例》（新疆维吾尔自治区十二届人大九次会议，2014年7月25日）；</w:t>
      </w:r>
    </w:p>
    <w:p w14:paraId="0947573B">
      <w:pPr>
        <w:pStyle w:val="3"/>
        <w:numPr>
          <w:ilvl w:val="0"/>
          <w:numId w:val="5"/>
        </w:numPr>
        <w:tabs>
          <w:tab w:val="left" w:pos="0"/>
        </w:tabs>
        <w:ind w:left="0" w:firstLine="480"/>
      </w:pPr>
      <w:r>
        <w:t>《新疆生态功能区划》（新政函〔2005〕96号，2005年7月14日）；</w:t>
      </w:r>
    </w:p>
    <w:p w14:paraId="10EA3978">
      <w:pPr>
        <w:pStyle w:val="3"/>
        <w:numPr>
          <w:ilvl w:val="0"/>
          <w:numId w:val="5"/>
        </w:numPr>
        <w:tabs>
          <w:tab w:val="left" w:pos="0"/>
        </w:tabs>
        <w:ind w:left="0" w:firstLine="480"/>
      </w:pPr>
      <w:r>
        <w:t>《新疆维吾尔自治区主体功能区规划》（2012年12月27日）；</w:t>
      </w:r>
    </w:p>
    <w:p w14:paraId="04AB6B91">
      <w:pPr>
        <w:pStyle w:val="3"/>
        <w:numPr>
          <w:ilvl w:val="0"/>
          <w:numId w:val="5"/>
        </w:numPr>
        <w:tabs>
          <w:tab w:val="left" w:pos="0"/>
        </w:tabs>
        <w:ind w:left="0" w:firstLine="480"/>
      </w:pPr>
      <w:r>
        <w:t>《自治区严禁“三高”项目进新疆推动经济高质量发展实施方案》；</w:t>
      </w:r>
    </w:p>
    <w:p w14:paraId="3F4A4B47">
      <w:pPr>
        <w:pStyle w:val="3"/>
        <w:numPr>
          <w:ilvl w:val="0"/>
          <w:numId w:val="5"/>
        </w:numPr>
        <w:tabs>
          <w:tab w:val="left" w:pos="0"/>
        </w:tabs>
        <w:ind w:left="0" w:firstLine="480"/>
      </w:pPr>
      <w:r>
        <w:t>《新疆维吾尔自治区大气污染防治条例》（新疆维吾尔自治区人民代表大会，2018年15号文，2019年1月1日）；</w:t>
      </w:r>
    </w:p>
    <w:p w14:paraId="2036C613">
      <w:pPr>
        <w:pStyle w:val="3"/>
        <w:numPr>
          <w:ilvl w:val="0"/>
          <w:numId w:val="5"/>
        </w:numPr>
        <w:tabs>
          <w:tab w:val="left" w:pos="0"/>
        </w:tabs>
        <w:ind w:left="0" w:firstLine="480"/>
      </w:pPr>
      <w:r>
        <w:t>《关于印发〈工业炉窑大气污染综合治理方案〉的通知》（环大气〔2019〕56号，2019年7月1日）；</w:t>
      </w:r>
    </w:p>
    <w:p w14:paraId="7059943A">
      <w:pPr>
        <w:pStyle w:val="3"/>
        <w:numPr>
          <w:ilvl w:val="0"/>
          <w:numId w:val="5"/>
        </w:numPr>
        <w:tabs>
          <w:tab w:val="left" w:pos="0"/>
        </w:tabs>
        <w:ind w:left="0" w:firstLine="480"/>
      </w:pPr>
      <w:r>
        <w:t>《关于加强环境影响评价管理防范环境风险的通知》（环发〔2005〕152号）；</w:t>
      </w:r>
    </w:p>
    <w:p w14:paraId="3798604B">
      <w:pPr>
        <w:pStyle w:val="3"/>
        <w:numPr>
          <w:ilvl w:val="0"/>
          <w:numId w:val="5"/>
        </w:numPr>
        <w:tabs>
          <w:tab w:val="left" w:pos="0"/>
        </w:tabs>
        <w:ind w:left="0" w:firstLine="480"/>
      </w:pPr>
      <w:r>
        <w:t>《新疆维吾尔自治区“三线一单”生态环境分区管控方案》的通知（新政发〔2021〕18号）；</w:t>
      </w:r>
    </w:p>
    <w:p w14:paraId="6BB2F463">
      <w:pPr>
        <w:pStyle w:val="3"/>
        <w:numPr>
          <w:ilvl w:val="0"/>
          <w:numId w:val="5"/>
        </w:numPr>
        <w:tabs>
          <w:tab w:val="left" w:pos="0"/>
        </w:tabs>
        <w:ind w:left="0" w:firstLine="480"/>
      </w:pPr>
      <w:r>
        <w:t>《新疆维吾尔自治区生态环境分区管控动态更新成果》（新环环评发﹝2024﹞157号）；</w:t>
      </w:r>
    </w:p>
    <w:p w14:paraId="4B565D52">
      <w:pPr>
        <w:pStyle w:val="3"/>
        <w:numPr>
          <w:ilvl w:val="0"/>
          <w:numId w:val="5"/>
        </w:numPr>
        <w:tabs>
          <w:tab w:val="left" w:pos="0"/>
        </w:tabs>
        <w:ind w:left="0" w:firstLine="480"/>
      </w:pPr>
      <w:r>
        <w:t>《新疆维吾尔自治区七大片区“三线一单”生态环境分区管控要求（2021年版）》（2021年8月5日）；</w:t>
      </w:r>
    </w:p>
    <w:p w14:paraId="4B46E73C">
      <w:pPr>
        <w:pStyle w:val="3"/>
        <w:numPr>
          <w:ilvl w:val="0"/>
          <w:numId w:val="5"/>
        </w:numPr>
        <w:tabs>
          <w:tab w:val="left" w:pos="0"/>
        </w:tabs>
        <w:ind w:left="0" w:firstLine="480"/>
      </w:pPr>
      <w:r>
        <w:t>《新疆维吾尔自治区水环境功能区划》（新政函〔2002〕194号，2002.11.16）；</w:t>
      </w:r>
    </w:p>
    <w:p w14:paraId="7A21B778">
      <w:pPr>
        <w:pStyle w:val="3"/>
        <w:numPr>
          <w:ilvl w:val="0"/>
          <w:numId w:val="5"/>
        </w:numPr>
        <w:tabs>
          <w:tab w:val="left" w:pos="0"/>
        </w:tabs>
        <w:ind w:left="0" w:firstLine="480"/>
      </w:pPr>
      <w:r>
        <w:t>《新疆维吾尔自治区水土保持规划（2018-2030年）》；</w:t>
      </w:r>
    </w:p>
    <w:p w14:paraId="7A886C27">
      <w:pPr>
        <w:pStyle w:val="3"/>
        <w:numPr>
          <w:ilvl w:val="0"/>
          <w:numId w:val="5"/>
        </w:numPr>
        <w:tabs>
          <w:tab w:val="left" w:pos="0"/>
        </w:tabs>
        <w:ind w:left="0" w:firstLine="480"/>
      </w:pPr>
      <w:r>
        <w:t>《关于印发〈新疆维吾尔自治区环保厅规划与建设项目环境影响评价管理办法〉的通知》（原新疆维吾尔自治区环境保护厅，新环评价发〔2012〕499号，2012.9.4）；</w:t>
      </w:r>
    </w:p>
    <w:p w14:paraId="5EAA1438">
      <w:pPr>
        <w:pStyle w:val="3"/>
        <w:numPr>
          <w:ilvl w:val="0"/>
          <w:numId w:val="5"/>
        </w:numPr>
        <w:tabs>
          <w:tab w:val="left" w:pos="0"/>
        </w:tabs>
        <w:ind w:left="0" w:firstLine="480"/>
      </w:pPr>
      <w:r>
        <w:t>《关于发布〈新疆维吾尔自治区建设项目环境影响评价公众参与管理规定（试行）〉的通知》（原新疆维吾尔自治区环境保护厅，新环评价发〔2013〕488号，2013.10.23）；</w:t>
      </w:r>
    </w:p>
    <w:p w14:paraId="3DD69285">
      <w:pPr>
        <w:pStyle w:val="3"/>
        <w:numPr>
          <w:ilvl w:val="0"/>
          <w:numId w:val="5"/>
        </w:numPr>
        <w:tabs>
          <w:tab w:val="left" w:pos="0"/>
        </w:tabs>
        <w:ind w:left="0" w:firstLine="480"/>
      </w:pPr>
      <w:r>
        <w:t>《新疆维吾尔自治区重点行业生态环境准入条件（2024年）》（2024年6月）；</w:t>
      </w:r>
    </w:p>
    <w:p w14:paraId="6BBFBA8D">
      <w:pPr>
        <w:pStyle w:val="3"/>
        <w:numPr>
          <w:ilvl w:val="0"/>
          <w:numId w:val="5"/>
        </w:numPr>
        <w:tabs>
          <w:tab w:val="left" w:pos="0"/>
        </w:tabs>
        <w:ind w:left="0" w:firstLine="480"/>
        <w:rPr>
          <w:color w:val="000000" w:themeColor="text1"/>
          <w14:textFill>
            <w14:solidFill>
              <w14:schemeClr w14:val="tx1"/>
            </w14:solidFill>
          </w14:textFill>
        </w:rPr>
      </w:pPr>
      <w:r>
        <w:t>《新疆维吾</w:t>
      </w:r>
      <w:r>
        <w:rPr>
          <w:color w:val="000000" w:themeColor="text1"/>
          <w14:textFill>
            <w14:solidFill>
              <w14:schemeClr w14:val="tx1"/>
            </w14:solidFill>
          </w14:textFill>
        </w:rPr>
        <w:t>尔自治区工业领域碳达峰实施方案》（新工信节能〔2023〕12号）；</w:t>
      </w:r>
    </w:p>
    <w:p w14:paraId="3564A2F1">
      <w:pPr>
        <w:pStyle w:val="3"/>
        <w:numPr>
          <w:ilvl w:val="0"/>
          <w:numId w:val="5"/>
        </w:numPr>
        <w:tabs>
          <w:tab w:val="left" w:pos="0"/>
        </w:tabs>
        <w:ind w:left="0" w:firstLine="480"/>
        <w:rPr>
          <w:color w:val="000000" w:themeColor="text1"/>
          <w14:textFill>
            <w14:solidFill>
              <w14:schemeClr w14:val="tx1"/>
            </w14:solidFill>
          </w14:textFill>
        </w:rPr>
      </w:pPr>
      <w:r>
        <w:rPr>
          <w:color w:val="000000" w:themeColor="text1"/>
          <w14:textFill>
            <w14:solidFill>
              <w14:schemeClr w14:val="tx1"/>
            </w14:solidFill>
          </w14:textFill>
        </w:rPr>
        <w:t>《关于重点区域执行大气污染物特别排放限值的公告》；</w:t>
      </w:r>
    </w:p>
    <w:p w14:paraId="70CBCACB">
      <w:pPr>
        <w:pStyle w:val="3"/>
        <w:numPr>
          <w:ilvl w:val="0"/>
          <w:numId w:val="5"/>
        </w:numPr>
        <w:tabs>
          <w:tab w:val="left" w:pos="0"/>
        </w:tabs>
        <w:ind w:left="0" w:firstLine="480"/>
        <w:rPr>
          <w:color w:val="000000" w:themeColor="text1"/>
          <w14:textFill>
            <w14:solidFill>
              <w14:schemeClr w14:val="tx1"/>
            </w14:solidFill>
          </w14:textFill>
        </w:rPr>
      </w:pPr>
      <w:r>
        <w:rPr>
          <w:color w:val="000000" w:themeColor="text1"/>
          <w14:textFill>
            <w14:solidFill>
              <w14:schemeClr w14:val="tx1"/>
            </w14:solidFill>
          </w14:textFill>
        </w:rPr>
        <w:t>《自治区减污降碳协同增效实施方案》（新环气候发〔2023〕19号）；</w:t>
      </w:r>
    </w:p>
    <w:p w14:paraId="552FC661">
      <w:pPr>
        <w:pStyle w:val="3"/>
        <w:numPr>
          <w:ilvl w:val="0"/>
          <w:numId w:val="5"/>
        </w:numPr>
        <w:tabs>
          <w:tab w:val="left" w:pos="0"/>
        </w:tabs>
        <w:ind w:left="0" w:firstLine="480"/>
        <w:rPr>
          <w:color w:val="000000" w:themeColor="text1"/>
          <w14:textFill>
            <w14:solidFill>
              <w14:schemeClr w14:val="tx1"/>
            </w14:solidFill>
          </w14:textFill>
        </w:rPr>
      </w:pPr>
      <w:r>
        <w:rPr>
          <w:color w:val="000000" w:themeColor="text1"/>
          <w14:textFill>
            <w14:solidFill>
              <w14:schemeClr w14:val="tx1"/>
            </w14:solidFill>
          </w14:textFill>
        </w:rPr>
        <w:t>《关于开展自治区2022年度夏秋季大气污染防治“冬病夏治”工作的通知》（新环大气函〔2022〕483号）；</w:t>
      </w:r>
    </w:p>
    <w:p w14:paraId="24DA622A">
      <w:pPr>
        <w:pStyle w:val="3"/>
        <w:numPr>
          <w:ilvl w:val="0"/>
          <w:numId w:val="5"/>
        </w:numPr>
        <w:tabs>
          <w:tab w:val="left" w:pos="0"/>
        </w:tabs>
        <w:ind w:left="0" w:firstLine="480"/>
        <w:rPr>
          <w:color w:val="000000" w:themeColor="text1"/>
          <w14:textFill>
            <w14:solidFill>
              <w14:schemeClr w14:val="tx1"/>
            </w14:solidFill>
          </w14:textFill>
        </w:rPr>
      </w:pPr>
      <w:r>
        <w:rPr>
          <w:color w:val="000000" w:themeColor="text1"/>
          <w14:textFill>
            <w14:solidFill>
              <w14:schemeClr w14:val="tx1"/>
            </w14:solidFill>
          </w14:textFill>
        </w:rPr>
        <w:t>《自治区严禁“三高”项目进新疆推动经济高质量发展实施方案》（新党厅 字〔2018〕74号）；</w:t>
      </w:r>
    </w:p>
    <w:p w14:paraId="68F4A073">
      <w:pPr>
        <w:pStyle w:val="3"/>
        <w:numPr>
          <w:ilvl w:val="0"/>
          <w:numId w:val="5"/>
        </w:numPr>
        <w:tabs>
          <w:tab w:val="left" w:pos="0"/>
        </w:tabs>
        <w:ind w:left="0" w:firstLine="480"/>
        <w:rPr>
          <w:color w:val="000000" w:themeColor="text1"/>
          <w14:textFill>
            <w14:solidFill>
              <w14:schemeClr w14:val="tx1"/>
            </w14:solidFill>
          </w14:textFill>
        </w:rPr>
      </w:pPr>
      <w:r>
        <w:rPr>
          <w:color w:val="000000" w:themeColor="text1"/>
          <w14:textFill>
            <w14:solidFill>
              <w14:schemeClr w14:val="tx1"/>
            </w14:solidFill>
          </w14:textFill>
        </w:rPr>
        <w:t>《伊犁哈萨克自治州国民经济和社会发展第十四个五年规划和2035年远景目标纲要》</w:t>
      </w:r>
    </w:p>
    <w:p w14:paraId="0BBC48A7">
      <w:pPr>
        <w:pStyle w:val="3"/>
        <w:numPr>
          <w:ilvl w:val="0"/>
          <w:numId w:val="5"/>
        </w:numPr>
        <w:tabs>
          <w:tab w:val="left" w:pos="0"/>
        </w:tabs>
        <w:ind w:left="0" w:firstLine="480"/>
        <w:rPr>
          <w:color w:val="000000" w:themeColor="text1"/>
          <w14:textFill>
            <w14:solidFill>
              <w14:schemeClr w14:val="tx1"/>
            </w14:solidFill>
          </w14:textFill>
        </w:rPr>
      </w:pPr>
      <w:r>
        <w:rPr>
          <w:color w:val="000000" w:themeColor="text1"/>
          <w14:textFill>
            <w14:solidFill>
              <w14:schemeClr w14:val="tx1"/>
            </w14:solidFill>
          </w14:textFill>
        </w:rPr>
        <w:t>《伊犁州生态环境保护“十四五”规划》；</w:t>
      </w:r>
    </w:p>
    <w:p w14:paraId="513BDF39">
      <w:pPr>
        <w:pStyle w:val="3"/>
        <w:numPr>
          <w:ilvl w:val="0"/>
          <w:numId w:val="5"/>
        </w:numPr>
        <w:tabs>
          <w:tab w:val="left" w:pos="0"/>
        </w:tabs>
        <w:ind w:left="0" w:firstLine="480"/>
        <w:rPr>
          <w:color w:val="000000" w:themeColor="text1"/>
          <w14:textFill>
            <w14:solidFill>
              <w14:schemeClr w14:val="tx1"/>
            </w14:solidFill>
          </w14:textFill>
        </w:rPr>
      </w:pPr>
      <w:r>
        <w:rPr>
          <w:color w:val="000000" w:themeColor="text1"/>
          <w14:textFill>
            <w14:solidFill>
              <w14:schemeClr w14:val="tx1"/>
            </w14:solidFill>
          </w14:textFill>
        </w:rPr>
        <w:t>《伊犁州直“三线一单”生态环境分区管控成果动态更新成果（2025年版）》（2025年5月17日）；</w:t>
      </w:r>
    </w:p>
    <w:p w14:paraId="00EF5C29">
      <w:pPr>
        <w:pStyle w:val="3"/>
        <w:numPr>
          <w:ilvl w:val="0"/>
          <w:numId w:val="5"/>
        </w:numPr>
        <w:tabs>
          <w:tab w:val="left" w:pos="0"/>
        </w:tabs>
        <w:ind w:left="0" w:firstLine="480"/>
        <w:rPr>
          <w:color w:val="000000" w:themeColor="text1"/>
          <w14:textFill>
            <w14:solidFill>
              <w14:schemeClr w14:val="tx1"/>
            </w14:solidFill>
          </w14:textFill>
        </w:rPr>
      </w:pPr>
      <w:r>
        <w:rPr>
          <w:color w:val="000000" w:themeColor="text1"/>
          <w14:textFill>
            <w14:solidFill>
              <w14:schemeClr w14:val="tx1"/>
            </w14:solidFill>
          </w14:textFill>
        </w:rPr>
        <w:t>《伊犁州大气环境整治“2024-2025年”行动方案》。</w:t>
      </w:r>
    </w:p>
    <w:p w14:paraId="79AF4B30">
      <w:pPr>
        <w:pStyle w:val="5"/>
        <w:spacing w:before="156"/>
      </w:pPr>
      <w:r>
        <w:t>技术规范</w:t>
      </w:r>
    </w:p>
    <w:p w14:paraId="54E4566A">
      <w:pPr>
        <w:pStyle w:val="3"/>
        <w:numPr>
          <w:ilvl w:val="0"/>
          <w:numId w:val="6"/>
        </w:numPr>
        <w:tabs>
          <w:tab w:val="left" w:pos="0"/>
        </w:tabs>
        <w:ind w:left="0" w:firstLine="480"/>
      </w:pPr>
      <w:r>
        <w:t>《建设项目环境影响评价技术导则 总纲》（HJ2.1-2016）；</w:t>
      </w:r>
    </w:p>
    <w:p w14:paraId="56D40E20">
      <w:pPr>
        <w:pStyle w:val="3"/>
        <w:numPr>
          <w:ilvl w:val="0"/>
          <w:numId w:val="6"/>
        </w:numPr>
        <w:tabs>
          <w:tab w:val="left" w:pos="0"/>
        </w:tabs>
        <w:ind w:left="0" w:firstLine="480"/>
      </w:pPr>
      <w:r>
        <w:t>《环境影响评价技术导则 大气环境》（HJ2.2-2018）；</w:t>
      </w:r>
    </w:p>
    <w:p w14:paraId="202ED7DD">
      <w:pPr>
        <w:pStyle w:val="3"/>
        <w:numPr>
          <w:ilvl w:val="0"/>
          <w:numId w:val="6"/>
        </w:numPr>
        <w:tabs>
          <w:tab w:val="left" w:pos="0"/>
        </w:tabs>
        <w:ind w:left="0" w:firstLine="480"/>
      </w:pPr>
      <w:r>
        <w:t>《环境影响评价技术导则 地表水环境》（HJ2.3-2018）；</w:t>
      </w:r>
    </w:p>
    <w:p w14:paraId="401C04E3">
      <w:pPr>
        <w:pStyle w:val="3"/>
        <w:numPr>
          <w:ilvl w:val="0"/>
          <w:numId w:val="6"/>
        </w:numPr>
        <w:tabs>
          <w:tab w:val="left" w:pos="0"/>
        </w:tabs>
        <w:ind w:left="0" w:firstLine="480"/>
      </w:pPr>
      <w:r>
        <w:t>《环境影响评价技术导则 声环境》（HJ2.4-2021）；</w:t>
      </w:r>
    </w:p>
    <w:p w14:paraId="0DF45CDF">
      <w:pPr>
        <w:pStyle w:val="3"/>
        <w:numPr>
          <w:ilvl w:val="0"/>
          <w:numId w:val="6"/>
        </w:numPr>
        <w:tabs>
          <w:tab w:val="left" w:pos="0"/>
        </w:tabs>
        <w:ind w:left="0" w:firstLine="480"/>
      </w:pPr>
      <w:r>
        <w:t>《环境影响评价技术导则 生态影响》（HJ19-2022）；</w:t>
      </w:r>
    </w:p>
    <w:p w14:paraId="729B99C5">
      <w:pPr>
        <w:pStyle w:val="3"/>
        <w:numPr>
          <w:ilvl w:val="0"/>
          <w:numId w:val="6"/>
        </w:numPr>
        <w:tabs>
          <w:tab w:val="left" w:pos="0"/>
        </w:tabs>
        <w:ind w:left="0" w:firstLine="480"/>
      </w:pPr>
      <w:r>
        <w:t>《环境影响评价技术导则 地下水环境》（HJ610-2016）；</w:t>
      </w:r>
    </w:p>
    <w:p w14:paraId="566714B3">
      <w:pPr>
        <w:pStyle w:val="3"/>
        <w:numPr>
          <w:ilvl w:val="0"/>
          <w:numId w:val="6"/>
        </w:numPr>
        <w:tabs>
          <w:tab w:val="left" w:pos="0"/>
        </w:tabs>
        <w:ind w:left="0" w:firstLine="480"/>
      </w:pPr>
      <w:r>
        <w:t>《环境影响评价技术导则 土壤环境（试行）》（HJ964-2018）；</w:t>
      </w:r>
    </w:p>
    <w:p w14:paraId="4B91F3DD">
      <w:pPr>
        <w:pStyle w:val="3"/>
        <w:numPr>
          <w:ilvl w:val="0"/>
          <w:numId w:val="6"/>
        </w:numPr>
        <w:tabs>
          <w:tab w:val="left" w:pos="0"/>
        </w:tabs>
        <w:ind w:left="0" w:firstLine="480"/>
      </w:pPr>
      <w:r>
        <w:t>《环境空气质量监测点位布设技术规范（试行）》（HJ664-2013）；</w:t>
      </w:r>
    </w:p>
    <w:p w14:paraId="39454126">
      <w:pPr>
        <w:pStyle w:val="3"/>
        <w:numPr>
          <w:ilvl w:val="0"/>
          <w:numId w:val="6"/>
        </w:numPr>
        <w:tabs>
          <w:tab w:val="left" w:pos="0"/>
        </w:tabs>
        <w:ind w:left="0" w:firstLine="480"/>
      </w:pPr>
      <w:r>
        <w:t>《危险废物贮存污染控制标准》（GB18597-2023）；</w:t>
      </w:r>
    </w:p>
    <w:p w14:paraId="30E11CCE">
      <w:pPr>
        <w:pStyle w:val="3"/>
        <w:numPr>
          <w:ilvl w:val="0"/>
          <w:numId w:val="6"/>
        </w:numPr>
        <w:tabs>
          <w:tab w:val="left" w:pos="0"/>
        </w:tabs>
        <w:ind w:left="0" w:firstLine="480"/>
      </w:pPr>
      <w:r>
        <w:t>《危险废物收集 贮存 运输技术规范》（HJ2025-2012）；</w:t>
      </w:r>
    </w:p>
    <w:p w14:paraId="471AE80C">
      <w:pPr>
        <w:pStyle w:val="3"/>
        <w:numPr>
          <w:ilvl w:val="0"/>
          <w:numId w:val="6"/>
        </w:numPr>
        <w:tabs>
          <w:tab w:val="left" w:pos="0"/>
        </w:tabs>
        <w:ind w:left="0" w:firstLine="480"/>
      </w:pPr>
      <w:r>
        <w:t>《建设项目危险废物环境影响评价指南》（2017年10月1日）；</w:t>
      </w:r>
    </w:p>
    <w:p w14:paraId="6E44ECB3">
      <w:pPr>
        <w:pStyle w:val="3"/>
        <w:numPr>
          <w:ilvl w:val="0"/>
          <w:numId w:val="6"/>
        </w:numPr>
        <w:tabs>
          <w:tab w:val="left" w:pos="0"/>
        </w:tabs>
        <w:ind w:left="0" w:firstLine="480"/>
      </w:pPr>
      <w:r>
        <w:t>《建设项目环境风险评价技术导则》（HJ169-2018）；</w:t>
      </w:r>
    </w:p>
    <w:p w14:paraId="65396EC9">
      <w:pPr>
        <w:pStyle w:val="3"/>
        <w:numPr>
          <w:ilvl w:val="0"/>
          <w:numId w:val="6"/>
        </w:numPr>
        <w:tabs>
          <w:tab w:val="left" w:pos="0"/>
        </w:tabs>
        <w:ind w:left="0" w:firstLine="480"/>
      </w:pPr>
      <w:r>
        <w:t>《危险化学品重大危险源辨识》（GB18218-2018）；</w:t>
      </w:r>
    </w:p>
    <w:p w14:paraId="675BF440">
      <w:pPr>
        <w:pStyle w:val="3"/>
        <w:numPr>
          <w:ilvl w:val="0"/>
          <w:numId w:val="6"/>
        </w:numPr>
        <w:tabs>
          <w:tab w:val="left" w:pos="0"/>
        </w:tabs>
        <w:ind w:left="0" w:firstLine="480"/>
      </w:pPr>
      <w:r>
        <w:t>《土壤环境监测技术规范》（HJ/T166-2004）；</w:t>
      </w:r>
    </w:p>
    <w:p w14:paraId="4DB63648">
      <w:pPr>
        <w:pStyle w:val="3"/>
        <w:numPr>
          <w:ilvl w:val="0"/>
          <w:numId w:val="6"/>
        </w:numPr>
        <w:tabs>
          <w:tab w:val="left" w:pos="0"/>
        </w:tabs>
        <w:ind w:left="0" w:firstLine="480"/>
      </w:pPr>
      <w:r>
        <w:t>《地下水环境监测技术规范》（HJ 164-2020）；</w:t>
      </w:r>
    </w:p>
    <w:p w14:paraId="624D4BBC">
      <w:pPr>
        <w:pStyle w:val="3"/>
        <w:numPr>
          <w:ilvl w:val="0"/>
          <w:numId w:val="6"/>
        </w:numPr>
        <w:tabs>
          <w:tab w:val="left" w:pos="0"/>
        </w:tabs>
        <w:ind w:left="0" w:firstLine="480"/>
      </w:pPr>
      <w:r>
        <w:t>《排污许可证申请与核发技术规范 铁合金、电解锰工业》（HJ1117—2020）；</w:t>
      </w:r>
    </w:p>
    <w:p w14:paraId="4A5F547F">
      <w:pPr>
        <w:pStyle w:val="3"/>
        <w:numPr>
          <w:ilvl w:val="0"/>
          <w:numId w:val="6"/>
        </w:numPr>
        <w:tabs>
          <w:tab w:val="left" w:pos="0"/>
        </w:tabs>
        <w:ind w:left="0" w:firstLine="480"/>
      </w:pPr>
      <w:r>
        <w:t>《污染源源强核算技术指南 准则》（HJ884-2018）；</w:t>
      </w:r>
    </w:p>
    <w:p w14:paraId="463966E0">
      <w:pPr>
        <w:pStyle w:val="3"/>
        <w:numPr>
          <w:ilvl w:val="0"/>
          <w:numId w:val="6"/>
        </w:numPr>
        <w:tabs>
          <w:tab w:val="left" w:pos="0"/>
        </w:tabs>
        <w:ind w:left="0" w:firstLine="480"/>
      </w:pPr>
      <w:r>
        <w:t>《排污单位自行监测技术指南 总则》（HJ819-2017）；</w:t>
      </w:r>
    </w:p>
    <w:p w14:paraId="232C77F1">
      <w:pPr>
        <w:pStyle w:val="3"/>
        <w:numPr>
          <w:ilvl w:val="0"/>
          <w:numId w:val="6"/>
        </w:numPr>
        <w:tabs>
          <w:tab w:val="left" w:pos="0"/>
        </w:tabs>
        <w:ind w:left="0" w:firstLine="480"/>
      </w:pPr>
      <w:r>
        <w:t>《重大建设项目新增污染物排放量削减替代监督管理工作指南（试行）（征求意见稿）》（环办便函〔2020〕268号）；</w:t>
      </w:r>
    </w:p>
    <w:p w14:paraId="7C0226D9">
      <w:pPr>
        <w:pStyle w:val="3"/>
        <w:numPr>
          <w:ilvl w:val="0"/>
          <w:numId w:val="6"/>
        </w:numPr>
        <w:tabs>
          <w:tab w:val="left" w:pos="0"/>
        </w:tabs>
        <w:ind w:left="0" w:firstLine="480"/>
      </w:pPr>
      <w:r>
        <w:t>《大气污染治理工程技术导则》（HJ2000-2010）；</w:t>
      </w:r>
    </w:p>
    <w:p w14:paraId="79994BEA">
      <w:pPr>
        <w:pStyle w:val="3"/>
        <w:numPr>
          <w:ilvl w:val="0"/>
          <w:numId w:val="6"/>
        </w:numPr>
        <w:tabs>
          <w:tab w:val="left" w:pos="0"/>
        </w:tabs>
        <w:ind w:left="0" w:firstLine="480"/>
      </w:pPr>
      <w:r>
        <w:t>《水污染治理工程技术导则》（HJ2015-2012）；</w:t>
      </w:r>
    </w:p>
    <w:p w14:paraId="09023E3B">
      <w:pPr>
        <w:pStyle w:val="3"/>
        <w:numPr>
          <w:ilvl w:val="0"/>
          <w:numId w:val="6"/>
        </w:numPr>
        <w:tabs>
          <w:tab w:val="left" w:pos="0"/>
        </w:tabs>
        <w:ind w:left="0" w:firstLine="480"/>
      </w:pPr>
      <w:r>
        <w:t>《环境噪声与振动控制工程技术导则》（HJ2034-2013）；</w:t>
      </w:r>
    </w:p>
    <w:p w14:paraId="361A1867">
      <w:pPr>
        <w:pStyle w:val="3"/>
        <w:numPr>
          <w:ilvl w:val="0"/>
          <w:numId w:val="6"/>
        </w:numPr>
        <w:tabs>
          <w:tab w:val="left" w:pos="0"/>
        </w:tabs>
        <w:ind w:left="0" w:firstLine="480"/>
      </w:pPr>
      <w:r>
        <w:t>《场地环境调查技术导则》（HJ2.1-2016）；</w:t>
      </w:r>
    </w:p>
    <w:p w14:paraId="2226FF63">
      <w:pPr>
        <w:pStyle w:val="3"/>
        <w:numPr>
          <w:ilvl w:val="0"/>
          <w:numId w:val="6"/>
        </w:numPr>
        <w:tabs>
          <w:tab w:val="left" w:pos="0"/>
        </w:tabs>
        <w:ind w:left="0" w:firstLine="480"/>
      </w:pPr>
      <w:r>
        <w:t>《场地环境监测技术导则》（HJ25.2-2014）；</w:t>
      </w:r>
    </w:p>
    <w:p w14:paraId="4D2035E2">
      <w:pPr>
        <w:pStyle w:val="3"/>
        <w:numPr>
          <w:ilvl w:val="0"/>
          <w:numId w:val="6"/>
        </w:numPr>
        <w:tabs>
          <w:tab w:val="left" w:pos="0"/>
        </w:tabs>
        <w:ind w:left="0" w:firstLine="480"/>
      </w:pPr>
      <w:r>
        <w:t>《污染场地环境评估技术导则》（HJ25.3-2014）；</w:t>
      </w:r>
    </w:p>
    <w:p w14:paraId="67BFEC6D">
      <w:pPr>
        <w:pStyle w:val="3"/>
        <w:numPr>
          <w:ilvl w:val="0"/>
          <w:numId w:val="6"/>
        </w:numPr>
        <w:tabs>
          <w:tab w:val="left" w:pos="0"/>
        </w:tabs>
        <w:ind w:left="0" w:firstLine="480"/>
      </w:pPr>
      <w:r>
        <w:t>《污染场地土壤修复技术导则》（HJ25.4-2014）；</w:t>
      </w:r>
    </w:p>
    <w:p w14:paraId="48DDFCD2">
      <w:pPr>
        <w:pStyle w:val="3"/>
        <w:numPr>
          <w:ilvl w:val="0"/>
          <w:numId w:val="6"/>
        </w:numPr>
        <w:tabs>
          <w:tab w:val="left" w:pos="0"/>
        </w:tabs>
        <w:ind w:left="0" w:firstLine="480"/>
      </w:pPr>
      <w:bookmarkStart w:id="51" w:name="_Hlk170834012"/>
      <w:r>
        <w:t>《清洁生产标准 钢铁行业（铁合金）》（HJ 470—2009）；</w:t>
      </w:r>
    </w:p>
    <w:p w14:paraId="0738DB5C">
      <w:pPr>
        <w:pStyle w:val="3"/>
        <w:numPr>
          <w:ilvl w:val="0"/>
          <w:numId w:val="6"/>
        </w:numPr>
        <w:tabs>
          <w:tab w:val="left" w:pos="0"/>
        </w:tabs>
        <w:ind w:left="0" w:firstLine="480"/>
      </w:pPr>
      <w:r>
        <w:t>《固体废物分类与代码目录》（生态环境部公告 2024年 第4号）</w:t>
      </w:r>
      <w:bookmarkEnd w:id="51"/>
      <w:r>
        <w:t>；</w:t>
      </w:r>
    </w:p>
    <w:p w14:paraId="2B440E72">
      <w:pPr>
        <w:pStyle w:val="3"/>
        <w:numPr>
          <w:ilvl w:val="0"/>
          <w:numId w:val="6"/>
        </w:numPr>
        <w:tabs>
          <w:tab w:val="left" w:pos="0"/>
        </w:tabs>
        <w:ind w:left="0" w:firstLine="480"/>
      </w:pPr>
      <w:r>
        <w:t>《钢铁行业规范条件（2025年版）》。</w:t>
      </w:r>
    </w:p>
    <w:p w14:paraId="6CEB03D4">
      <w:pPr>
        <w:pStyle w:val="5"/>
        <w:spacing w:before="156"/>
      </w:pPr>
      <w:r>
        <w:t>项目相关资料</w:t>
      </w:r>
    </w:p>
    <w:p w14:paraId="0EFEC2BF">
      <w:pPr>
        <w:pStyle w:val="3"/>
        <w:numPr>
          <w:ilvl w:val="0"/>
          <w:numId w:val="7"/>
        </w:numPr>
        <w:tabs>
          <w:tab w:val="left" w:pos="0"/>
        </w:tabs>
        <w:ind w:left="0" w:firstLine="480"/>
      </w:pPr>
      <w:r>
        <w:t>《奎屯-独山子经济技术开发区总体规划修编（2019-2030）环境影响报告书》及其审查意见；</w:t>
      </w:r>
    </w:p>
    <w:p w14:paraId="5E81CE0F">
      <w:pPr>
        <w:pStyle w:val="3"/>
        <w:numPr>
          <w:ilvl w:val="0"/>
          <w:numId w:val="7"/>
        </w:numPr>
        <w:tabs>
          <w:tab w:val="left" w:pos="0"/>
        </w:tabs>
        <w:ind w:left="0" w:firstLine="480"/>
      </w:pPr>
      <w:r>
        <w:t>《新疆艾斯米尔锰合金有限公司特种合金冶炼及烧结车间技改项目可行性研究报告》（中裕工程集团有限公司，2024年6月）；</w:t>
      </w:r>
    </w:p>
    <w:p w14:paraId="34CB09E4">
      <w:pPr>
        <w:pStyle w:val="3"/>
        <w:numPr>
          <w:ilvl w:val="0"/>
          <w:numId w:val="7"/>
        </w:numPr>
        <w:tabs>
          <w:tab w:val="left" w:pos="0"/>
        </w:tabs>
        <w:ind w:left="0" w:firstLine="480"/>
      </w:pPr>
      <w:r>
        <w:t>《新疆艾斯米尔钢铁有限公司50000kVA铬铁合金炉节能及综合利用技术改造项目环境影响报告书》及批复，2011.12；</w:t>
      </w:r>
    </w:p>
    <w:p w14:paraId="6C472DA4">
      <w:pPr>
        <w:pStyle w:val="3"/>
        <w:numPr>
          <w:ilvl w:val="0"/>
          <w:numId w:val="7"/>
        </w:numPr>
        <w:tabs>
          <w:tab w:val="left" w:pos="0"/>
        </w:tabs>
        <w:ind w:left="0" w:firstLine="480"/>
      </w:pPr>
      <w:r>
        <w:t>《新疆艾斯米尔钢铁有限公司50000kVA铬铁合金炉节能及综合利用技术改造项目（25000kVA）竣工环境保护验收监测报告》及意见，2017.10；</w:t>
      </w:r>
    </w:p>
    <w:p w14:paraId="01AEE72A">
      <w:pPr>
        <w:pStyle w:val="3"/>
        <w:numPr>
          <w:ilvl w:val="0"/>
          <w:numId w:val="7"/>
        </w:numPr>
        <w:tabs>
          <w:tab w:val="left" w:pos="0"/>
        </w:tabs>
        <w:ind w:left="0" w:firstLine="480"/>
      </w:pPr>
      <w:r>
        <w:t>《新疆艾斯米尔钢铁有限公司工业固废循环 经济综合利用制备矿棉项目环境影响报告书》及批复，2020.4；</w:t>
      </w:r>
    </w:p>
    <w:p w14:paraId="2DE6F007">
      <w:pPr>
        <w:pStyle w:val="3"/>
        <w:numPr>
          <w:ilvl w:val="0"/>
          <w:numId w:val="7"/>
        </w:numPr>
        <w:tabs>
          <w:tab w:val="left" w:pos="0"/>
        </w:tabs>
        <w:ind w:left="0" w:firstLine="480"/>
      </w:pPr>
      <w:r>
        <w:t>《新疆艾斯米尔锰合金有限公司危废库项目环境影响报告表》及批复，2025.3；</w:t>
      </w:r>
    </w:p>
    <w:p w14:paraId="0F93181C">
      <w:pPr>
        <w:pStyle w:val="3"/>
        <w:numPr>
          <w:ilvl w:val="0"/>
          <w:numId w:val="7"/>
        </w:numPr>
        <w:tabs>
          <w:tab w:val="left" w:pos="0"/>
        </w:tabs>
        <w:ind w:left="0" w:firstLine="480"/>
      </w:pPr>
      <w:r>
        <w:t>建设单位提供的与建设项目相关数据、文件及图件等；</w:t>
      </w:r>
    </w:p>
    <w:p w14:paraId="1910B34E">
      <w:pPr>
        <w:pStyle w:val="3"/>
        <w:numPr>
          <w:ilvl w:val="0"/>
          <w:numId w:val="7"/>
        </w:numPr>
        <w:tabs>
          <w:tab w:val="left" w:pos="0"/>
        </w:tabs>
        <w:ind w:left="0" w:firstLine="480"/>
      </w:pPr>
      <w:r>
        <w:t>现状监测报告；</w:t>
      </w:r>
    </w:p>
    <w:p w14:paraId="30BB759A">
      <w:pPr>
        <w:pStyle w:val="3"/>
        <w:numPr>
          <w:ilvl w:val="0"/>
          <w:numId w:val="7"/>
        </w:numPr>
        <w:tabs>
          <w:tab w:val="left" w:pos="0"/>
        </w:tabs>
        <w:ind w:left="0" w:firstLine="480"/>
      </w:pPr>
      <w:r>
        <w:t>环评委托书；</w:t>
      </w:r>
    </w:p>
    <w:p w14:paraId="229B6C9D">
      <w:pPr>
        <w:pStyle w:val="4"/>
      </w:pPr>
      <w:bookmarkStart w:id="52" w:name="_Toc504670352"/>
      <w:bookmarkStart w:id="53" w:name="_Toc20318"/>
      <w:bookmarkStart w:id="54" w:name="_Toc38630572"/>
      <w:bookmarkStart w:id="55" w:name="_Toc31523"/>
      <w:bookmarkStart w:id="56" w:name="_Toc24786"/>
      <w:bookmarkStart w:id="57" w:name="_Toc19860783"/>
      <w:bookmarkStart w:id="58" w:name="_Toc19960"/>
      <w:bookmarkStart w:id="59" w:name="_Toc534138489"/>
      <w:bookmarkStart w:id="60" w:name="_Toc207208374"/>
      <w:r>
        <w:t>评价目的和评价原则</w:t>
      </w:r>
      <w:bookmarkEnd w:id="52"/>
      <w:bookmarkEnd w:id="53"/>
      <w:bookmarkEnd w:id="54"/>
      <w:bookmarkEnd w:id="55"/>
      <w:bookmarkEnd w:id="56"/>
      <w:bookmarkEnd w:id="57"/>
      <w:bookmarkEnd w:id="58"/>
      <w:bookmarkEnd w:id="59"/>
      <w:bookmarkEnd w:id="60"/>
      <w:bookmarkStart w:id="61" w:name="_Toc534138490"/>
    </w:p>
    <w:p w14:paraId="3FA28A71">
      <w:pPr>
        <w:pStyle w:val="5"/>
        <w:spacing w:before="156"/>
      </w:pPr>
      <w:bookmarkStart w:id="62" w:name="_Toc4405"/>
      <w:r>
        <w:t>评价目的</w:t>
      </w:r>
      <w:bookmarkEnd w:id="61"/>
      <w:bookmarkEnd w:id="62"/>
    </w:p>
    <w:p w14:paraId="59A5EEDC">
      <w:pPr>
        <w:pStyle w:val="49"/>
      </w:pPr>
      <w:bookmarkStart w:id="63" w:name="_Toc534138491"/>
      <w:r>
        <w:t>（1）通过现场调查和环境质量现状监测，了解建设项目所在地的自然环境、大气环境、水环境、声环境、土壤环境及生态环境情况，掌握区域的环境质量现状。</w:t>
      </w:r>
    </w:p>
    <w:p w14:paraId="4DC957A5">
      <w:pPr>
        <w:pStyle w:val="49"/>
      </w:pPr>
      <w:r>
        <w:t>（2）通过工程分析，明确施工期、运营期主要污染源、污染物种类、源强、排放强度、排放方式及排放去向，分析环境污染的影响特征，预测和评价施工期、运营期对环境的影响程度，并对污染物达标排放进行分析。</w:t>
      </w:r>
    </w:p>
    <w:p w14:paraId="40343A18">
      <w:pPr>
        <w:pStyle w:val="49"/>
      </w:pPr>
      <w:r>
        <w:t>（3）</w:t>
      </w:r>
      <w:bookmarkStart w:id="64" w:name="_Hlk33042281"/>
      <w:r>
        <w:t>提出预防或者减轻不良环境影响的对策和措施，并论述拟采取的环境保护措施的可行性和合理性。</w:t>
      </w:r>
    </w:p>
    <w:bookmarkEnd w:id="64"/>
    <w:p w14:paraId="2EA58CCD">
      <w:pPr>
        <w:pStyle w:val="49"/>
      </w:pPr>
      <w:r>
        <w:t>（4）分析可能存在的环境风险事故隐患，分析环境风险事故可能产生的环境影响程度，提出环境风险防范措施。</w:t>
      </w:r>
    </w:p>
    <w:p w14:paraId="20176566">
      <w:pPr>
        <w:pStyle w:val="49"/>
      </w:pPr>
      <w:bookmarkStart w:id="65" w:name="_Hlk33042290"/>
      <w:r>
        <w:t>（5）通过上述评价，论证项目在环境方面的可行性，给出环境影响评价结论，为生态环境主管部门提供决策依据。</w:t>
      </w:r>
    </w:p>
    <w:bookmarkEnd w:id="65"/>
    <w:p w14:paraId="3C99B420">
      <w:pPr>
        <w:pStyle w:val="5"/>
        <w:spacing w:before="156"/>
      </w:pPr>
      <w:r>
        <w:t>评价原则</w:t>
      </w:r>
      <w:bookmarkEnd w:id="63"/>
    </w:p>
    <w:p w14:paraId="6FA000B2">
      <w:pPr>
        <w:pStyle w:val="49"/>
      </w:pPr>
      <w:bookmarkStart w:id="66" w:name="_Hlk33042321"/>
      <w:r>
        <w:t>突出环境影响评价的源头预防作用，坚持保护和改善环境质量。</w:t>
      </w:r>
    </w:p>
    <w:bookmarkEnd w:id="66"/>
    <w:p w14:paraId="68479B08">
      <w:pPr>
        <w:pStyle w:val="49"/>
      </w:pPr>
      <w:r>
        <w:t>（1）依法评价</w:t>
      </w:r>
    </w:p>
    <w:p w14:paraId="1E13712D">
      <w:pPr>
        <w:pStyle w:val="49"/>
      </w:pPr>
      <w:r>
        <w:t>贯彻执行国家和地方环境保护相关法律法规、标准、政策和规划等，优化项目建设、服务环境管理。</w:t>
      </w:r>
    </w:p>
    <w:p w14:paraId="6AE99B12">
      <w:pPr>
        <w:pStyle w:val="49"/>
      </w:pPr>
      <w:r>
        <w:t>（2）科学评价</w:t>
      </w:r>
    </w:p>
    <w:p w14:paraId="1EEEE592">
      <w:pPr>
        <w:pStyle w:val="49"/>
      </w:pPr>
      <w:r>
        <w:t>采用规范的环境影响评价方法，科学分析项目建设对环境质量的影响。</w:t>
      </w:r>
    </w:p>
    <w:p w14:paraId="4DE9D865">
      <w:pPr>
        <w:pStyle w:val="49"/>
      </w:pPr>
      <w:r>
        <w:t>（3）突出重点</w:t>
      </w:r>
    </w:p>
    <w:p w14:paraId="1F1F8A0A">
      <w:pPr>
        <w:pStyle w:val="49"/>
      </w:pPr>
      <w:r>
        <w:t>根据建设项目的工程内容及其特点，明确与环境要素间的作用效应关系，充分利用符合时效的数据资料及成果，对主要环境影响予以重点分析和评价。</w:t>
      </w:r>
    </w:p>
    <w:p w14:paraId="17FF51F7">
      <w:pPr>
        <w:pStyle w:val="4"/>
      </w:pPr>
      <w:bookmarkStart w:id="67" w:name="_Toc784"/>
      <w:bookmarkStart w:id="68" w:name="_Toc31104"/>
      <w:bookmarkStart w:id="69" w:name="_Toc207208375"/>
      <w:r>
        <w:t>评价因子与评价标准</w:t>
      </w:r>
      <w:bookmarkEnd w:id="67"/>
      <w:bookmarkEnd w:id="68"/>
      <w:bookmarkEnd w:id="69"/>
    </w:p>
    <w:p w14:paraId="38F82A47">
      <w:pPr>
        <w:pStyle w:val="5"/>
        <w:spacing w:before="156"/>
      </w:pPr>
      <w:r>
        <w:t>环境影响因素识别</w:t>
      </w:r>
    </w:p>
    <w:p w14:paraId="237AAC74">
      <w:pPr>
        <w:ind w:firstLine="480"/>
      </w:pPr>
      <w:r>
        <w:t>根据本项目主要污染物排放特征及区域环境特征，采用矩阵法，对本项目实施后的主要环境影响要素进行识别，结果见表2.3-1。</w:t>
      </w:r>
    </w:p>
    <w:p w14:paraId="34369CA2">
      <w:pPr>
        <w:pStyle w:val="40"/>
        <w:spacing w:before="156"/>
        <w:rPr>
          <w:snapToGrid w:val="0"/>
        </w:rPr>
      </w:pPr>
      <w:r>
        <w:rPr>
          <w:snapToGrid w:val="0"/>
        </w:rPr>
        <w:t>表2.3-1     环境影响要素识别结果一览表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3"/>
        <w:gridCol w:w="1473"/>
        <w:gridCol w:w="935"/>
        <w:gridCol w:w="950"/>
        <w:gridCol w:w="904"/>
        <w:gridCol w:w="650"/>
        <w:gridCol w:w="731"/>
        <w:gridCol w:w="747"/>
        <w:gridCol w:w="721"/>
        <w:gridCol w:w="705"/>
      </w:tblGrid>
      <w:tr w14:paraId="56936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206" w:type="pct"/>
            <w:gridSpan w:val="2"/>
            <w:vMerge w:val="restart"/>
            <w:vAlign w:val="center"/>
          </w:tcPr>
          <w:p w14:paraId="2E23B910">
            <w:pPr>
              <w:pStyle w:val="34"/>
            </w:pPr>
            <w:r>
              <w:t>类别</w:t>
            </w:r>
          </w:p>
        </w:tc>
        <w:tc>
          <w:tcPr>
            <w:tcW w:w="2494" w:type="pct"/>
            <w:gridSpan w:val="5"/>
            <w:vAlign w:val="center"/>
          </w:tcPr>
          <w:p w14:paraId="2B7F55DC">
            <w:pPr>
              <w:pStyle w:val="34"/>
            </w:pPr>
            <w:r>
              <w:t>环境要素</w:t>
            </w:r>
          </w:p>
        </w:tc>
        <w:tc>
          <w:tcPr>
            <w:tcW w:w="1299" w:type="pct"/>
            <w:gridSpan w:val="3"/>
            <w:vAlign w:val="center"/>
          </w:tcPr>
          <w:p w14:paraId="4F0D917E">
            <w:pPr>
              <w:pStyle w:val="34"/>
            </w:pPr>
            <w:r>
              <w:t>生态环境</w:t>
            </w:r>
          </w:p>
        </w:tc>
      </w:tr>
      <w:tr w14:paraId="71225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206" w:type="pct"/>
            <w:gridSpan w:val="2"/>
            <w:vMerge w:val="continue"/>
            <w:vAlign w:val="center"/>
          </w:tcPr>
          <w:p w14:paraId="70ED3786">
            <w:pPr>
              <w:pStyle w:val="34"/>
            </w:pPr>
          </w:p>
        </w:tc>
        <w:tc>
          <w:tcPr>
            <w:tcW w:w="559" w:type="pct"/>
            <w:vAlign w:val="center"/>
          </w:tcPr>
          <w:p w14:paraId="5777F761">
            <w:pPr>
              <w:pStyle w:val="34"/>
            </w:pPr>
            <w:r>
              <w:t>空气</w:t>
            </w:r>
          </w:p>
        </w:tc>
        <w:tc>
          <w:tcPr>
            <w:tcW w:w="568" w:type="pct"/>
            <w:vAlign w:val="center"/>
          </w:tcPr>
          <w:p w14:paraId="305A2D10">
            <w:pPr>
              <w:pStyle w:val="34"/>
            </w:pPr>
            <w:r>
              <w:t>地表水</w:t>
            </w:r>
          </w:p>
        </w:tc>
        <w:tc>
          <w:tcPr>
            <w:tcW w:w="541" w:type="pct"/>
            <w:vAlign w:val="center"/>
          </w:tcPr>
          <w:p w14:paraId="0E7F9D13">
            <w:pPr>
              <w:pStyle w:val="34"/>
            </w:pPr>
            <w:r>
              <w:t>地下水</w:t>
            </w:r>
          </w:p>
        </w:tc>
        <w:tc>
          <w:tcPr>
            <w:tcW w:w="389" w:type="pct"/>
            <w:vAlign w:val="center"/>
          </w:tcPr>
          <w:p w14:paraId="50B9A8B5">
            <w:pPr>
              <w:pStyle w:val="34"/>
            </w:pPr>
            <w:r>
              <w:t>声</w:t>
            </w:r>
          </w:p>
        </w:tc>
        <w:tc>
          <w:tcPr>
            <w:tcW w:w="435" w:type="pct"/>
            <w:vAlign w:val="center"/>
          </w:tcPr>
          <w:p w14:paraId="7D8A1A8A">
            <w:pPr>
              <w:pStyle w:val="34"/>
            </w:pPr>
            <w:r>
              <w:t>土壤</w:t>
            </w:r>
          </w:p>
        </w:tc>
        <w:tc>
          <w:tcPr>
            <w:tcW w:w="447" w:type="pct"/>
            <w:vAlign w:val="center"/>
          </w:tcPr>
          <w:p w14:paraId="36292AD3">
            <w:pPr>
              <w:pStyle w:val="34"/>
            </w:pPr>
            <w:r>
              <w:t>植被</w:t>
            </w:r>
          </w:p>
        </w:tc>
        <w:tc>
          <w:tcPr>
            <w:tcW w:w="431" w:type="pct"/>
            <w:vAlign w:val="center"/>
          </w:tcPr>
          <w:p w14:paraId="645CC2E2">
            <w:pPr>
              <w:pStyle w:val="34"/>
            </w:pPr>
            <w:r>
              <w:t>动物</w:t>
            </w:r>
          </w:p>
        </w:tc>
        <w:tc>
          <w:tcPr>
            <w:tcW w:w="420" w:type="pct"/>
            <w:vAlign w:val="center"/>
          </w:tcPr>
          <w:p w14:paraId="55AD36F6">
            <w:pPr>
              <w:pStyle w:val="34"/>
            </w:pPr>
            <w:r>
              <w:t>景观</w:t>
            </w:r>
          </w:p>
        </w:tc>
      </w:tr>
      <w:tr w14:paraId="15191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5" w:type="pct"/>
            <w:vMerge w:val="restart"/>
            <w:vAlign w:val="center"/>
          </w:tcPr>
          <w:p w14:paraId="4CEC66C5">
            <w:pPr>
              <w:pStyle w:val="34"/>
            </w:pPr>
            <w:r>
              <w:t>施</w:t>
            </w:r>
          </w:p>
          <w:p w14:paraId="242F7AE5">
            <w:pPr>
              <w:pStyle w:val="34"/>
            </w:pPr>
            <w:r>
              <w:t>工</w:t>
            </w:r>
          </w:p>
          <w:p w14:paraId="4C8A692D">
            <w:pPr>
              <w:pStyle w:val="34"/>
            </w:pPr>
            <w:r>
              <w:t>期</w:t>
            </w:r>
          </w:p>
        </w:tc>
        <w:tc>
          <w:tcPr>
            <w:tcW w:w="881" w:type="pct"/>
            <w:vAlign w:val="center"/>
          </w:tcPr>
          <w:p w14:paraId="74F1AFD9">
            <w:pPr>
              <w:pStyle w:val="34"/>
            </w:pPr>
            <w:r>
              <w:t>施工废水</w:t>
            </w:r>
          </w:p>
        </w:tc>
        <w:tc>
          <w:tcPr>
            <w:tcW w:w="559" w:type="pct"/>
            <w:vAlign w:val="center"/>
          </w:tcPr>
          <w:p w14:paraId="76F40320">
            <w:pPr>
              <w:pStyle w:val="34"/>
            </w:pPr>
            <w:r>
              <w:t>--</w:t>
            </w:r>
          </w:p>
        </w:tc>
        <w:tc>
          <w:tcPr>
            <w:tcW w:w="568" w:type="pct"/>
            <w:vAlign w:val="center"/>
          </w:tcPr>
          <w:p w14:paraId="0A28E707">
            <w:pPr>
              <w:pStyle w:val="34"/>
            </w:pPr>
            <w:r>
              <w:t>--</w:t>
            </w:r>
          </w:p>
        </w:tc>
        <w:tc>
          <w:tcPr>
            <w:tcW w:w="541" w:type="pct"/>
            <w:vAlign w:val="center"/>
          </w:tcPr>
          <w:p w14:paraId="5E33A985">
            <w:pPr>
              <w:pStyle w:val="34"/>
            </w:pPr>
            <w:r>
              <w:t>-1D</w:t>
            </w:r>
          </w:p>
        </w:tc>
        <w:tc>
          <w:tcPr>
            <w:tcW w:w="389" w:type="pct"/>
            <w:vAlign w:val="center"/>
          </w:tcPr>
          <w:p w14:paraId="7EFB3312">
            <w:pPr>
              <w:pStyle w:val="34"/>
            </w:pPr>
            <w:r>
              <w:t>--</w:t>
            </w:r>
          </w:p>
        </w:tc>
        <w:tc>
          <w:tcPr>
            <w:tcW w:w="435" w:type="pct"/>
            <w:vAlign w:val="center"/>
          </w:tcPr>
          <w:p w14:paraId="05E33EFD">
            <w:pPr>
              <w:pStyle w:val="34"/>
            </w:pPr>
            <w:r>
              <w:t>-1D</w:t>
            </w:r>
          </w:p>
        </w:tc>
        <w:tc>
          <w:tcPr>
            <w:tcW w:w="447" w:type="pct"/>
            <w:vAlign w:val="center"/>
          </w:tcPr>
          <w:p w14:paraId="79F436B7">
            <w:pPr>
              <w:pStyle w:val="34"/>
            </w:pPr>
            <w:r>
              <w:t>--</w:t>
            </w:r>
          </w:p>
        </w:tc>
        <w:tc>
          <w:tcPr>
            <w:tcW w:w="431" w:type="pct"/>
            <w:vAlign w:val="center"/>
          </w:tcPr>
          <w:p w14:paraId="28E3FD46">
            <w:pPr>
              <w:pStyle w:val="34"/>
            </w:pPr>
            <w:r>
              <w:t>--</w:t>
            </w:r>
          </w:p>
        </w:tc>
        <w:tc>
          <w:tcPr>
            <w:tcW w:w="420" w:type="pct"/>
            <w:vAlign w:val="center"/>
          </w:tcPr>
          <w:p w14:paraId="4D782465">
            <w:pPr>
              <w:pStyle w:val="34"/>
            </w:pPr>
            <w:r>
              <w:t>--</w:t>
            </w:r>
          </w:p>
        </w:tc>
      </w:tr>
      <w:tr w14:paraId="4D3A2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5" w:type="pct"/>
            <w:vMerge w:val="continue"/>
            <w:vAlign w:val="center"/>
          </w:tcPr>
          <w:p w14:paraId="7EDB14B8">
            <w:pPr>
              <w:pStyle w:val="34"/>
            </w:pPr>
          </w:p>
        </w:tc>
        <w:tc>
          <w:tcPr>
            <w:tcW w:w="881" w:type="pct"/>
            <w:vAlign w:val="center"/>
          </w:tcPr>
          <w:p w14:paraId="35B6D985">
            <w:pPr>
              <w:pStyle w:val="34"/>
            </w:pPr>
            <w:r>
              <w:t>施工扬尘</w:t>
            </w:r>
          </w:p>
        </w:tc>
        <w:tc>
          <w:tcPr>
            <w:tcW w:w="559" w:type="pct"/>
            <w:vAlign w:val="center"/>
          </w:tcPr>
          <w:p w14:paraId="42C394C3">
            <w:pPr>
              <w:pStyle w:val="34"/>
            </w:pPr>
            <w:r>
              <w:t>-1D</w:t>
            </w:r>
          </w:p>
        </w:tc>
        <w:tc>
          <w:tcPr>
            <w:tcW w:w="568" w:type="pct"/>
            <w:vAlign w:val="center"/>
          </w:tcPr>
          <w:p w14:paraId="642EE7B0">
            <w:pPr>
              <w:pStyle w:val="34"/>
            </w:pPr>
            <w:r>
              <w:t>--</w:t>
            </w:r>
          </w:p>
        </w:tc>
        <w:tc>
          <w:tcPr>
            <w:tcW w:w="541" w:type="pct"/>
            <w:vAlign w:val="center"/>
          </w:tcPr>
          <w:p w14:paraId="767B2586">
            <w:pPr>
              <w:pStyle w:val="34"/>
            </w:pPr>
            <w:r>
              <w:t>--</w:t>
            </w:r>
          </w:p>
        </w:tc>
        <w:tc>
          <w:tcPr>
            <w:tcW w:w="389" w:type="pct"/>
            <w:vAlign w:val="center"/>
          </w:tcPr>
          <w:p w14:paraId="6D5B76AB">
            <w:pPr>
              <w:pStyle w:val="34"/>
            </w:pPr>
            <w:r>
              <w:t>--</w:t>
            </w:r>
          </w:p>
        </w:tc>
        <w:tc>
          <w:tcPr>
            <w:tcW w:w="435" w:type="pct"/>
            <w:vAlign w:val="center"/>
          </w:tcPr>
          <w:p w14:paraId="68E47B06">
            <w:pPr>
              <w:pStyle w:val="34"/>
            </w:pPr>
            <w:r>
              <w:t>--</w:t>
            </w:r>
          </w:p>
        </w:tc>
        <w:tc>
          <w:tcPr>
            <w:tcW w:w="447" w:type="pct"/>
            <w:vAlign w:val="center"/>
          </w:tcPr>
          <w:p w14:paraId="20508D97">
            <w:pPr>
              <w:pStyle w:val="34"/>
            </w:pPr>
            <w:r>
              <w:t>-1D</w:t>
            </w:r>
          </w:p>
        </w:tc>
        <w:tc>
          <w:tcPr>
            <w:tcW w:w="431" w:type="pct"/>
            <w:vAlign w:val="center"/>
          </w:tcPr>
          <w:p w14:paraId="4D54AFB9">
            <w:pPr>
              <w:pStyle w:val="34"/>
            </w:pPr>
            <w:r>
              <w:t>--</w:t>
            </w:r>
          </w:p>
        </w:tc>
        <w:tc>
          <w:tcPr>
            <w:tcW w:w="420" w:type="pct"/>
            <w:vAlign w:val="center"/>
          </w:tcPr>
          <w:p w14:paraId="44E62C31">
            <w:pPr>
              <w:pStyle w:val="34"/>
            </w:pPr>
            <w:r>
              <w:t>--</w:t>
            </w:r>
          </w:p>
        </w:tc>
      </w:tr>
      <w:tr w14:paraId="4C213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5" w:type="pct"/>
            <w:vMerge w:val="continue"/>
            <w:vAlign w:val="center"/>
          </w:tcPr>
          <w:p w14:paraId="4A213354">
            <w:pPr>
              <w:pStyle w:val="34"/>
            </w:pPr>
          </w:p>
        </w:tc>
        <w:tc>
          <w:tcPr>
            <w:tcW w:w="881" w:type="pct"/>
            <w:vAlign w:val="center"/>
          </w:tcPr>
          <w:p w14:paraId="76BB0A75">
            <w:pPr>
              <w:pStyle w:val="34"/>
            </w:pPr>
            <w:r>
              <w:t>施工噪声</w:t>
            </w:r>
          </w:p>
        </w:tc>
        <w:tc>
          <w:tcPr>
            <w:tcW w:w="559" w:type="pct"/>
            <w:vAlign w:val="center"/>
          </w:tcPr>
          <w:p w14:paraId="008D2EC2">
            <w:pPr>
              <w:pStyle w:val="34"/>
            </w:pPr>
            <w:r>
              <w:t>--</w:t>
            </w:r>
          </w:p>
        </w:tc>
        <w:tc>
          <w:tcPr>
            <w:tcW w:w="568" w:type="pct"/>
            <w:vAlign w:val="center"/>
          </w:tcPr>
          <w:p w14:paraId="43476C84">
            <w:pPr>
              <w:pStyle w:val="34"/>
            </w:pPr>
            <w:r>
              <w:t>--</w:t>
            </w:r>
          </w:p>
        </w:tc>
        <w:tc>
          <w:tcPr>
            <w:tcW w:w="541" w:type="pct"/>
            <w:vAlign w:val="center"/>
          </w:tcPr>
          <w:p w14:paraId="261AEBF5">
            <w:pPr>
              <w:pStyle w:val="34"/>
            </w:pPr>
            <w:r>
              <w:t>--</w:t>
            </w:r>
          </w:p>
        </w:tc>
        <w:tc>
          <w:tcPr>
            <w:tcW w:w="389" w:type="pct"/>
            <w:vAlign w:val="center"/>
          </w:tcPr>
          <w:p w14:paraId="71DAD970">
            <w:pPr>
              <w:pStyle w:val="34"/>
            </w:pPr>
            <w:r>
              <w:t>-2D</w:t>
            </w:r>
          </w:p>
        </w:tc>
        <w:tc>
          <w:tcPr>
            <w:tcW w:w="435" w:type="pct"/>
            <w:vAlign w:val="center"/>
          </w:tcPr>
          <w:p w14:paraId="73D489CE">
            <w:pPr>
              <w:pStyle w:val="34"/>
            </w:pPr>
            <w:r>
              <w:t>--</w:t>
            </w:r>
          </w:p>
        </w:tc>
        <w:tc>
          <w:tcPr>
            <w:tcW w:w="447" w:type="pct"/>
            <w:vAlign w:val="center"/>
          </w:tcPr>
          <w:p w14:paraId="3BB7A83C">
            <w:pPr>
              <w:pStyle w:val="34"/>
            </w:pPr>
            <w:r>
              <w:t>--</w:t>
            </w:r>
          </w:p>
        </w:tc>
        <w:tc>
          <w:tcPr>
            <w:tcW w:w="431" w:type="pct"/>
            <w:vAlign w:val="center"/>
          </w:tcPr>
          <w:p w14:paraId="0FBDDE24">
            <w:pPr>
              <w:pStyle w:val="34"/>
            </w:pPr>
            <w:r>
              <w:t>-1D</w:t>
            </w:r>
          </w:p>
        </w:tc>
        <w:tc>
          <w:tcPr>
            <w:tcW w:w="420" w:type="pct"/>
            <w:vAlign w:val="center"/>
          </w:tcPr>
          <w:p w14:paraId="01FFC47A">
            <w:pPr>
              <w:pStyle w:val="34"/>
            </w:pPr>
            <w:r>
              <w:t>--</w:t>
            </w:r>
          </w:p>
        </w:tc>
      </w:tr>
      <w:tr w14:paraId="4CDA1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5" w:type="pct"/>
            <w:vMerge w:val="continue"/>
            <w:vAlign w:val="center"/>
          </w:tcPr>
          <w:p w14:paraId="30FCADBB">
            <w:pPr>
              <w:pStyle w:val="34"/>
            </w:pPr>
          </w:p>
        </w:tc>
        <w:tc>
          <w:tcPr>
            <w:tcW w:w="881" w:type="pct"/>
            <w:vAlign w:val="center"/>
          </w:tcPr>
          <w:p w14:paraId="68A1BB65">
            <w:pPr>
              <w:pStyle w:val="34"/>
            </w:pPr>
            <w:r>
              <w:t>渣土垃圾</w:t>
            </w:r>
          </w:p>
        </w:tc>
        <w:tc>
          <w:tcPr>
            <w:tcW w:w="559" w:type="pct"/>
            <w:vAlign w:val="center"/>
          </w:tcPr>
          <w:p w14:paraId="1F9EF114">
            <w:pPr>
              <w:pStyle w:val="34"/>
            </w:pPr>
            <w:r>
              <w:t>-1D</w:t>
            </w:r>
          </w:p>
        </w:tc>
        <w:tc>
          <w:tcPr>
            <w:tcW w:w="568" w:type="pct"/>
            <w:vAlign w:val="center"/>
          </w:tcPr>
          <w:p w14:paraId="2F934882">
            <w:pPr>
              <w:pStyle w:val="34"/>
            </w:pPr>
            <w:r>
              <w:t>--</w:t>
            </w:r>
          </w:p>
        </w:tc>
        <w:tc>
          <w:tcPr>
            <w:tcW w:w="541" w:type="pct"/>
            <w:vAlign w:val="center"/>
          </w:tcPr>
          <w:p w14:paraId="40517E91">
            <w:pPr>
              <w:pStyle w:val="34"/>
            </w:pPr>
            <w:r>
              <w:t>-1D</w:t>
            </w:r>
          </w:p>
        </w:tc>
        <w:tc>
          <w:tcPr>
            <w:tcW w:w="389" w:type="pct"/>
            <w:vAlign w:val="center"/>
          </w:tcPr>
          <w:p w14:paraId="11714444">
            <w:pPr>
              <w:pStyle w:val="34"/>
            </w:pPr>
            <w:r>
              <w:t>--</w:t>
            </w:r>
          </w:p>
        </w:tc>
        <w:tc>
          <w:tcPr>
            <w:tcW w:w="435" w:type="pct"/>
            <w:vAlign w:val="center"/>
          </w:tcPr>
          <w:p w14:paraId="41549209">
            <w:pPr>
              <w:pStyle w:val="34"/>
            </w:pPr>
            <w:r>
              <w:t>-1D</w:t>
            </w:r>
          </w:p>
        </w:tc>
        <w:tc>
          <w:tcPr>
            <w:tcW w:w="447" w:type="pct"/>
            <w:vAlign w:val="center"/>
          </w:tcPr>
          <w:p w14:paraId="647338FC">
            <w:pPr>
              <w:pStyle w:val="34"/>
            </w:pPr>
            <w:r>
              <w:t>-1D</w:t>
            </w:r>
          </w:p>
        </w:tc>
        <w:tc>
          <w:tcPr>
            <w:tcW w:w="431" w:type="pct"/>
            <w:vAlign w:val="center"/>
          </w:tcPr>
          <w:p w14:paraId="335E13F5">
            <w:pPr>
              <w:pStyle w:val="34"/>
            </w:pPr>
            <w:r>
              <w:t>--</w:t>
            </w:r>
          </w:p>
        </w:tc>
        <w:tc>
          <w:tcPr>
            <w:tcW w:w="420" w:type="pct"/>
            <w:vAlign w:val="center"/>
          </w:tcPr>
          <w:p w14:paraId="3B3073DF">
            <w:pPr>
              <w:pStyle w:val="34"/>
            </w:pPr>
            <w:r>
              <w:t>-1D</w:t>
            </w:r>
          </w:p>
        </w:tc>
      </w:tr>
      <w:tr w14:paraId="3B8B3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5" w:type="pct"/>
            <w:vMerge w:val="restart"/>
            <w:vAlign w:val="center"/>
          </w:tcPr>
          <w:p w14:paraId="64F13143">
            <w:pPr>
              <w:pStyle w:val="34"/>
            </w:pPr>
            <w:r>
              <w:t>运</w:t>
            </w:r>
          </w:p>
          <w:p w14:paraId="13FBB813">
            <w:pPr>
              <w:pStyle w:val="34"/>
            </w:pPr>
            <w:r>
              <w:t>行</w:t>
            </w:r>
          </w:p>
          <w:p w14:paraId="3AD1777C">
            <w:pPr>
              <w:pStyle w:val="34"/>
            </w:pPr>
            <w:r>
              <w:t>期</w:t>
            </w:r>
          </w:p>
        </w:tc>
        <w:tc>
          <w:tcPr>
            <w:tcW w:w="881" w:type="pct"/>
            <w:vAlign w:val="center"/>
          </w:tcPr>
          <w:p w14:paraId="10E1ADEF">
            <w:pPr>
              <w:pStyle w:val="34"/>
            </w:pPr>
            <w:r>
              <w:t>生产</w:t>
            </w:r>
          </w:p>
        </w:tc>
        <w:tc>
          <w:tcPr>
            <w:tcW w:w="559" w:type="pct"/>
            <w:vAlign w:val="center"/>
          </w:tcPr>
          <w:p w14:paraId="3CDA7427">
            <w:pPr>
              <w:pStyle w:val="34"/>
            </w:pPr>
            <w:r>
              <w:t>-1D</w:t>
            </w:r>
          </w:p>
        </w:tc>
        <w:tc>
          <w:tcPr>
            <w:tcW w:w="568" w:type="pct"/>
            <w:vAlign w:val="center"/>
          </w:tcPr>
          <w:p w14:paraId="23A6DD34">
            <w:pPr>
              <w:pStyle w:val="34"/>
            </w:pPr>
            <w:r>
              <w:t>--</w:t>
            </w:r>
          </w:p>
        </w:tc>
        <w:tc>
          <w:tcPr>
            <w:tcW w:w="541" w:type="pct"/>
            <w:vAlign w:val="center"/>
          </w:tcPr>
          <w:p w14:paraId="5380CFFB">
            <w:pPr>
              <w:pStyle w:val="34"/>
            </w:pPr>
            <w:r>
              <w:t>-1C</w:t>
            </w:r>
          </w:p>
        </w:tc>
        <w:tc>
          <w:tcPr>
            <w:tcW w:w="389" w:type="pct"/>
            <w:vAlign w:val="center"/>
          </w:tcPr>
          <w:p w14:paraId="0FB7C3F3">
            <w:pPr>
              <w:pStyle w:val="34"/>
            </w:pPr>
            <w:r>
              <w:t>-1D</w:t>
            </w:r>
          </w:p>
        </w:tc>
        <w:tc>
          <w:tcPr>
            <w:tcW w:w="435" w:type="pct"/>
            <w:vAlign w:val="center"/>
          </w:tcPr>
          <w:p w14:paraId="17E50D1C">
            <w:pPr>
              <w:pStyle w:val="34"/>
            </w:pPr>
            <w:r>
              <w:t>-1C</w:t>
            </w:r>
          </w:p>
        </w:tc>
        <w:tc>
          <w:tcPr>
            <w:tcW w:w="447" w:type="pct"/>
            <w:vAlign w:val="center"/>
          </w:tcPr>
          <w:p w14:paraId="493497C1">
            <w:pPr>
              <w:pStyle w:val="34"/>
            </w:pPr>
            <w:r>
              <w:t>--</w:t>
            </w:r>
          </w:p>
        </w:tc>
        <w:tc>
          <w:tcPr>
            <w:tcW w:w="431" w:type="pct"/>
            <w:vAlign w:val="center"/>
          </w:tcPr>
          <w:p w14:paraId="01AEA3E1">
            <w:pPr>
              <w:pStyle w:val="34"/>
            </w:pPr>
            <w:r>
              <w:t>--</w:t>
            </w:r>
          </w:p>
        </w:tc>
        <w:tc>
          <w:tcPr>
            <w:tcW w:w="420" w:type="pct"/>
            <w:vAlign w:val="center"/>
          </w:tcPr>
          <w:p w14:paraId="23D19D45">
            <w:pPr>
              <w:pStyle w:val="34"/>
            </w:pPr>
            <w:r>
              <w:t>--</w:t>
            </w:r>
          </w:p>
        </w:tc>
      </w:tr>
      <w:tr w14:paraId="25D2B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5" w:type="pct"/>
            <w:vMerge w:val="continue"/>
            <w:vAlign w:val="center"/>
          </w:tcPr>
          <w:p w14:paraId="66114F46">
            <w:pPr>
              <w:pStyle w:val="34"/>
            </w:pPr>
          </w:p>
        </w:tc>
        <w:tc>
          <w:tcPr>
            <w:tcW w:w="881" w:type="pct"/>
            <w:vAlign w:val="center"/>
          </w:tcPr>
          <w:p w14:paraId="411B2997">
            <w:pPr>
              <w:pStyle w:val="34"/>
            </w:pPr>
            <w:r>
              <w:t>储存</w:t>
            </w:r>
          </w:p>
        </w:tc>
        <w:tc>
          <w:tcPr>
            <w:tcW w:w="559" w:type="pct"/>
            <w:vAlign w:val="center"/>
          </w:tcPr>
          <w:p w14:paraId="4A1754AE">
            <w:pPr>
              <w:pStyle w:val="34"/>
            </w:pPr>
            <w:r>
              <w:t>-1D</w:t>
            </w:r>
          </w:p>
        </w:tc>
        <w:tc>
          <w:tcPr>
            <w:tcW w:w="568" w:type="pct"/>
            <w:vAlign w:val="center"/>
          </w:tcPr>
          <w:p w14:paraId="7C187458">
            <w:pPr>
              <w:pStyle w:val="34"/>
            </w:pPr>
            <w:r>
              <w:t>--</w:t>
            </w:r>
          </w:p>
        </w:tc>
        <w:tc>
          <w:tcPr>
            <w:tcW w:w="541" w:type="pct"/>
            <w:vAlign w:val="center"/>
          </w:tcPr>
          <w:p w14:paraId="51344BB4">
            <w:pPr>
              <w:pStyle w:val="34"/>
            </w:pPr>
            <w:r>
              <w:t>-1C</w:t>
            </w:r>
          </w:p>
        </w:tc>
        <w:tc>
          <w:tcPr>
            <w:tcW w:w="389" w:type="pct"/>
            <w:vAlign w:val="center"/>
          </w:tcPr>
          <w:p w14:paraId="5E491C6B">
            <w:pPr>
              <w:pStyle w:val="34"/>
            </w:pPr>
            <w:r>
              <w:t>-1D</w:t>
            </w:r>
          </w:p>
        </w:tc>
        <w:tc>
          <w:tcPr>
            <w:tcW w:w="435" w:type="pct"/>
            <w:vAlign w:val="center"/>
          </w:tcPr>
          <w:p w14:paraId="35D42185">
            <w:pPr>
              <w:pStyle w:val="34"/>
            </w:pPr>
            <w:r>
              <w:t>-1C</w:t>
            </w:r>
          </w:p>
        </w:tc>
        <w:tc>
          <w:tcPr>
            <w:tcW w:w="447" w:type="pct"/>
            <w:vAlign w:val="center"/>
          </w:tcPr>
          <w:p w14:paraId="2616AD55">
            <w:pPr>
              <w:pStyle w:val="34"/>
            </w:pPr>
            <w:r>
              <w:t>--</w:t>
            </w:r>
          </w:p>
        </w:tc>
        <w:tc>
          <w:tcPr>
            <w:tcW w:w="431" w:type="pct"/>
            <w:vAlign w:val="center"/>
          </w:tcPr>
          <w:p w14:paraId="4F044A54">
            <w:pPr>
              <w:pStyle w:val="34"/>
            </w:pPr>
            <w:r>
              <w:t>--</w:t>
            </w:r>
          </w:p>
        </w:tc>
        <w:tc>
          <w:tcPr>
            <w:tcW w:w="420" w:type="pct"/>
            <w:vAlign w:val="center"/>
          </w:tcPr>
          <w:p w14:paraId="72A4580C">
            <w:pPr>
              <w:pStyle w:val="34"/>
            </w:pPr>
            <w:r>
              <w:t>--</w:t>
            </w:r>
          </w:p>
        </w:tc>
      </w:tr>
      <w:tr w14:paraId="78E1F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5" w:type="pct"/>
            <w:vMerge w:val="continue"/>
            <w:vAlign w:val="center"/>
          </w:tcPr>
          <w:p w14:paraId="1F72D52A">
            <w:pPr>
              <w:pStyle w:val="34"/>
            </w:pPr>
          </w:p>
        </w:tc>
        <w:tc>
          <w:tcPr>
            <w:tcW w:w="881" w:type="pct"/>
            <w:vAlign w:val="center"/>
          </w:tcPr>
          <w:p w14:paraId="13687E88">
            <w:pPr>
              <w:pStyle w:val="34"/>
            </w:pPr>
            <w:r>
              <w:t>转运</w:t>
            </w:r>
          </w:p>
        </w:tc>
        <w:tc>
          <w:tcPr>
            <w:tcW w:w="559" w:type="pct"/>
            <w:vAlign w:val="center"/>
          </w:tcPr>
          <w:p w14:paraId="2ACAEBD1">
            <w:pPr>
              <w:pStyle w:val="34"/>
            </w:pPr>
            <w:r>
              <w:t>-1D</w:t>
            </w:r>
          </w:p>
        </w:tc>
        <w:tc>
          <w:tcPr>
            <w:tcW w:w="568" w:type="pct"/>
            <w:vAlign w:val="center"/>
          </w:tcPr>
          <w:p w14:paraId="45C5848C">
            <w:pPr>
              <w:pStyle w:val="34"/>
            </w:pPr>
            <w:r>
              <w:t>--</w:t>
            </w:r>
          </w:p>
        </w:tc>
        <w:tc>
          <w:tcPr>
            <w:tcW w:w="541" w:type="pct"/>
            <w:vAlign w:val="center"/>
          </w:tcPr>
          <w:p w14:paraId="457ABD9C">
            <w:pPr>
              <w:pStyle w:val="34"/>
            </w:pPr>
            <w:r>
              <w:t>--</w:t>
            </w:r>
          </w:p>
        </w:tc>
        <w:tc>
          <w:tcPr>
            <w:tcW w:w="389" w:type="pct"/>
            <w:vAlign w:val="center"/>
          </w:tcPr>
          <w:p w14:paraId="10C8DFD8">
            <w:pPr>
              <w:pStyle w:val="34"/>
            </w:pPr>
            <w:r>
              <w:t>-1D</w:t>
            </w:r>
          </w:p>
        </w:tc>
        <w:tc>
          <w:tcPr>
            <w:tcW w:w="435" w:type="pct"/>
            <w:vAlign w:val="center"/>
          </w:tcPr>
          <w:p w14:paraId="0540109A">
            <w:pPr>
              <w:pStyle w:val="34"/>
            </w:pPr>
            <w:r>
              <w:t>--</w:t>
            </w:r>
          </w:p>
        </w:tc>
        <w:tc>
          <w:tcPr>
            <w:tcW w:w="447" w:type="pct"/>
            <w:vAlign w:val="center"/>
          </w:tcPr>
          <w:p w14:paraId="05C9A117">
            <w:pPr>
              <w:pStyle w:val="34"/>
            </w:pPr>
            <w:r>
              <w:t>--</w:t>
            </w:r>
          </w:p>
        </w:tc>
        <w:tc>
          <w:tcPr>
            <w:tcW w:w="431" w:type="pct"/>
            <w:vAlign w:val="center"/>
          </w:tcPr>
          <w:p w14:paraId="2335AB3A">
            <w:pPr>
              <w:pStyle w:val="34"/>
            </w:pPr>
            <w:r>
              <w:t>--</w:t>
            </w:r>
          </w:p>
        </w:tc>
        <w:tc>
          <w:tcPr>
            <w:tcW w:w="420" w:type="pct"/>
            <w:vAlign w:val="center"/>
          </w:tcPr>
          <w:p w14:paraId="5CF68891">
            <w:pPr>
              <w:pStyle w:val="34"/>
            </w:pPr>
            <w:r>
              <w:t>--</w:t>
            </w:r>
          </w:p>
        </w:tc>
      </w:tr>
      <w:tr w14:paraId="3D1DC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5" w:type="pct"/>
            <w:vMerge w:val="continue"/>
            <w:vAlign w:val="center"/>
          </w:tcPr>
          <w:p w14:paraId="1061E879">
            <w:pPr>
              <w:pStyle w:val="34"/>
            </w:pPr>
          </w:p>
        </w:tc>
        <w:tc>
          <w:tcPr>
            <w:tcW w:w="881" w:type="pct"/>
            <w:vAlign w:val="center"/>
          </w:tcPr>
          <w:p w14:paraId="17202AEC">
            <w:pPr>
              <w:pStyle w:val="34"/>
            </w:pPr>
            <w:r>
              <w:t>事故风险</w:t>
            </w:r>
          </w:p>
        </w:tc>
        <w:tc>
          <w:tcPr>
            <w:tcW w:w="559" w:type="pct"/>
            <w:vAlign w:val="center"/>
          </w:tcPr>
          <w:p w14:paraId="481B65B8">
            <w:pPr>
              <w:pStyle w:val="34"/>
            </w:pPr>
            <w:r>
              <w:t>-2D</w:t>
            </w:r>
          </w:p>
        </w:tc>
        <w:tc>
          <w:tcPr>
            <w:tcW w:w="568" w:type="pct"/>
            <w:vAlign w:val="center"/>
          </w:tcPr>
          <w:p w14:paraId="5E1A1058">
            <w:pPr>
              <w:pStyle w:val="34"/>
            </w:pPr>
            <w:r>
              <w:t>--</w:t>
            </w:r>
          </w:p>
        </w:tc>
        <w:tc>
          <w:tcPr>
            <w:tcW w:w="541" w:type="pct"/>
            <w:vAlign w:val="center"/>
          </w:tcPr>
          <w:p w14:paraId="28F1EB45">
            <w:pPr>
              <w:pStyle w:val="34"/>
            </w:pPr>
            <w:r>
              <w:t>-2D</w:t>
            </w:r>
          </w:p>
        </w:tc>
        <w:tc>
          <w:tcPr>
            <w:tcW w:w="389" w:type="pct"/>
            <w:vAlign w:val="center"/>
          </w:tcPr>
          <w:p w14:paraId="63DB6DBC">
            <w:pPr>
              <w:pStyle w:val="34"/>
            </w:pPr>
            <w:r>
              <w:t>-2D</w:t>
            </w:r>
          </w:p>
        </w:tc>
        <w:tc>
          <w:tcPr>
            <w:tcW w:w="435" w:type="pct"/>
            <w:vAlign w:val="center"/>
          </w:tcPr>
          <w:p w14:paraId="740DC3EC">
            <w:pPr>
              <w:pStyle w:val="34"/>
            </w:pPr>
            <w:r>
              <w:t>-2D</w:t>
            </w:r>
          </w:p>
        </w:tc>
        <w:tc>
          <w:tcPr>
            <w:tcW w:w="447" w:type="pct"/>
            <w:vAlign w:val="center"/>
          </w:tcPr>
          <w:p w14:paraId="4F2233E3">
            <w:pPr>
              <w:pStyle w:val="34"/>
            </w:pPr>
            <w:r>
              <w:t>-2D</w:t>
            </w:r>
          </w:p>
        </w:tc>
        <w:tc>
          <w:tcPr>
            <w:tcW w:w="431" w:type="pct"/>
            <w:vAlign w:val="center"/>
          </w:tcPr>
          <w:p w14:paraId="6E2D6EBE">
            <w:pPr>
              <w:pStyle w:val="34"/>
            </w:pPr>
            <w:r>
              <w:t>-2D</w:t>
            </w:r>
          </w:p>
        </w:tc>
        <w:tc>
          <w:tcPr>
            <w:tcW w:w="420" w:type="pct"/>
            <w:vAlign w:val="center"/>
          </w:tcPr>
          <w:p w14:paraId="5FFE62B6">
            <w:pPr>
              <w:pStyle w:val="34"/>
            </w:pPr>
            <w:r>
              <w:t>-2D</w:t>
            </w:r>
          </w:p>
        </w:tc>
      </w:tr>
      <w:tr w14:paraId="3B106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10"/>
            <w:vAlign w:val="center"/>
          </w:tcPr>
          <w:p w14:paraId="3B0E9FAC">
            <w:pPr>
              <w:pStyle w:val="34"/>
              <w:jc w:val="left"/>
            </w:pPr>
            <w:r>
              <w:rPr>
                <w:sz w:val="20"/>
                <w:szCs w:val="20"/>
              </w:rPr>
              <w:t>注：1、表中“+”表示正效益，“-”表示负效益；2、表中数字表示影响的相对程度，“1”表示影响较小，“2”表示影响中等，“3”表示影响较大；3、表中“D”表示短期影响，“C”表示长期影响。</w:t>
            </w:r>
          </w:p>
        </w:tc>
      </w:tr>
    </w:tbl>
    <w:p w14:paraId="7F20F46C">
      <w:pPr>
        <w:pStyle w:val="3"/>
        <w:ind w:firstLine="480"/>
      </w:pPr>
      <w:r>
        <w:t>由表2.3-1可知，本项目对环境的影响是多方面的。施工期主要表现在对环境空气、声环境和生态环境要素中的植被、景观等产生一定程度的负面影响；营运期对环境的影响是长期的，最主要的是对自然环境中的环境空气、声环境等产生不同程度的直接的负面影响。</w:t>
      </w:r>
    </w:p>
    <w:p w14:paraId="2E4DE053">
      <w:pPr>
        <w:pStyle w:val="5"/>
        <w:spacing w:before="156"/>
      </w:pPr>
      <w:r>
        <w:t>评价因子</w:t>
      </w:r>
    </w:p>
    <w:p w14:paraId="7CA3AB30">
      <w:pPr>
        <w:pStyle w:val="40"/>
        <w:spacing w:before="156"/>
      </w:pPr>
      <w:bookmarkStart w:id="70" w:name="_Hlk171871170"/>
      <w:r>
        <w:t>表2.3-2    评价因子筛选结果一览表</w:t>
      </w:r>
    </w:p>
    <w:tbl>
      <w:tblPr>
        <w:tblStyle w:val="28"/>
        <w:tblW w:w="512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17"/>
        <w:gridCol w:w="5283"/>
        <w:gridCol w:w="2320"/>
        <w:gridCol w:w="7"/>
      </w:tblGrid>
      <w:tr w14:paraId="10B192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 w:type="pct"/>
          <w:tblHeader/>
          <w:jc w:val="center"/>
        </w:trPr>
        <w:tc>
          <w:tcPr>
            <w:tcW w:w="640" w:type="pct"/>
            <w:vAlign w:val="center"/>
          </w:tcPr>
          <w:p w14:paraId="2DEB44E1">
            <w:pPr>
              <w:pStyle w:val="41"/>
              <w:adjustRightInd w:val="0"/>
              <w:snapToGrid w:val="0"/>
              <w:ind w:left="-72" w:leftChars="-30" w:right="-72" w:rightChars="-30"/>
            </w:pPr>
            <w:r>
              <w:t>环境要素</w:t>
            </w:r>
          </w:p>
        </w:tc>
        <w:tc>
          <w:tcPr>
            <w:tcW w:w="3027" w:type="pct"/>
            <w:vAlign w:val="center"/>
          </w:tcPr>
          <w:p w14:paraId="35BE29B4">
            <w:pPr>
              <w:pStyle w:val="41"/>
              <w:adjustRightInd w:val="0"/>
              <w:snapToGrid w:val="0"/>
              <w:ind w:left="-72" w:leftChars="-30" w:right="-72" w:rightChars="-30"/>
            </w:pPr>
            <w:r>
              <w:t>现状评价（调查）因子</w:t>
            </w:r>
          </w:p>
        </w:tc>
        <w:tc>
          <w:tcPr>
            <w:tcW w:w="1329" w:type="pct"/>
            <w:vAlign w:val="center"/>
          </w:tcPr>
          <w:p w14:paraId="5B52C08C">
            <w:pPr>
              <w:pStyle w:val="41"/>
              <w:adjustRightInd w:val="0"/>
              <w:snapToGrid w:val="0"/>
              <w:ind w:left="-72" w:leftChars="-30" w:right="-72" w:rightChars="-30"/>
            </w:pPr>
            <w:r>
              <w:t>影响预测（分析）因子</w:t>
            </w:r>
          </w:p>
        </w:tc>
      </w:tr>
      <w:tr w14:paraId="653D47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 w:type="pct"/>
          <w:jc w:val="center"/>
        </w:trPr>
        <w:tc>
          <w:tcPr>
            <w:tcW w:w="640" w:type="pct"/>
            <w:vAlign w:val="center"/>
          </w:tcPr>
          <w:p w14:paraId="0757AC11">
            <w:pPr>
              <w:pStyle w:val="41"/>
              <w:adjustRightInd w:val="0"/>
              <w:snapToGrid w:val="0"/>
              <w:ind w:left="-72" w:leftChars="-30" w:right="-72" w:rightChars="-30"/>
            </w:pPr>
            <w:r>
              <w:t>环境空气</w:t>
            </w:r>
          </w:p>
        </w:tc>
        <w:tc>
          <w:tcPr>
            <w:tcW w:w="3027" w:type="pct"/>
            <w:vAlign w:val="center"/>
          </w:tcPr>
          <w:p w14:paraId="4970B342">
            <w:pPr>
              <w:pStyle w:val="41"/>
              <w:adjustRightInd w:val="0"/>
              <w:snapToGrid w:val="0"/>
              <w:ind w:left="-72" w:leftChars="-30" w:right="-72" w:rightChars="-30"/>
            </w:pPr>
            <w:r>
              <w:t>基本因子：SO</w:t>
            </w:r>
            <w:r>
              <w:rPr>
                <w:vertAlign w:val="subscript"/>
              </w:rPr>
              <w:t>2</w:t>
            </w:r>
            <w:r>
              <w:t>、NO</w:t>
            </w:r>
            <w:r>
              <w:rPr>
                <w:vertAlign w:val="subscript"/>
              </w:rPr>
              <w:t>2</w:t>
            </w:r>
            <w:r>
              <w:t>、CO、O</w:t>
            </w:r>
            <w:r>
              <w:rPr>
                <w:vertAlign w:val="subscript"/>
              </w:rPr>
              <w:t>3</w:t>
            </w:r>
            <w:r>
              <w:t>、PM</w:t>
            </w:r>
            <w:r>
              <w:rPr>
                <w:vertAlign w:val="subscript"/>
              </w:rPr>
              <w:t>2.5</w:t>
            </w:r>
            <w:r>
              <w:t>、PM</w:t>
            </w:r>
            <w:r>
              <w:rPr>
                <w:vertAlign w:val="subscript"/>
              </w:rPr>
              <w:t>10</w:t>
            </w:r>
            <w:r>
              <w:t>；</w:t>
            </w:r>
          </w:p>
          <w:p w14:paraId="0399D5D4">
            <w:pPr>
              <w:pStyle w:val="41"/>
              <w:adjustRightInd w:val="0"/>
              <w:snapToGrid w:val="0"/>
              <w:ind w:left="-72" w:leftChars="-30" w:right="-72" w:rightChars="-30"/>
            </w:pPr>
            <w:r>
              <w:t>其他因子：TSP、氟化物、二噁英类、锰及其化合物；</w:t>
            </w:r>
          </w:p>
        </w:tc>
        <w:tc>
          <w:tcPr>
            <w:tcW w:w="1329" w:type="pct"/>
            <w:vAlign w:val="center"/>
          </w:tcPr>
          <w:p w14:paraId="3FACDA3E">
            <w:pPr>
              <w:pStyle w:val="41"/>
              <w:adjustRightInd w:val="0"/>
              <w:snapToGrid w:val="0"/>
              <w:ind w:left="-72" w:leftChars="-30" w:right="-72" w:rightChars="-30"/>
            </w:pPr>
            <w:r>
              <w:t>SO</w:t>
            </w:r>
            <w:r>
              <w:rPr>
                <w:vertAlign w:val="subscript"/>
              </w:rPr>
              <w:t>2</w:t>
            </w:r>
            <w:r>
              <w:t>、NOx、PM</w:t>
            </w:r>
            <w:r>
              <w:rPr>
                <w:vertAlign w:val="subscript"/>
              </w:rPr>
              <w:t>10</w:t>
            </w:r>
            <w:r>
              <w:t>、TSP、氟化物、二噁英类</w:t>
            </w:r>
          </w:p>
        </w:tc>
      </w:tr>
      <w:tr w14:paraId="65C233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 w:type="pct"/>
          <w:jc w:val="center"/>
        </w:trPr>
        <w:tc>
          <w:tcPr>
            <w:tcW w:w="640" w:type="pct"/>
            <w:vAlign w:val="center"/>
          </w:tcPr>
          <w:p w14:paraId="7ADF79B5">
            <w:pPr>
              <w:pStyle w:val="41"/>
              <w:adjustRightInd w:val="0"/>
              <w:snapToGrid w:val="0"/>
              <w:ind w:left="-72" w:leftChars="-30" w:right="-72" w:rightChars="-30"/>
            </w:pPr>
            <w:r>
              <w:t>地下水</w:t>
            </w:r>
          </w:p>
        </w:tc>
        <w:tc>
          <w:tcPr>
            <w:tcW w:w="3027" w:type="pct"/>
            <w:vAlign w:val="center"/>
          </w:tcPr>
          <w:p w14:paraId="6A4D0D16">
            <w:pPr>
              <w:pStyle w:val="41"/>
              <w:adjustRightInd w:val="0"/>
              <w:snapToGrid w:val="0"/>
              <w:ind w:left="-72" w:leftChars="-30" w:right="-72" w:rightChars="-30"/>
            </w:pPr>
            <w:r>
              <w:t>pH值、氨氮、</w:t>
            </w:r>
            <w:r>
              <w:rPr>
                <w:kern w:val="0"/>
              </w:rPr>
              <w:t>钙和镁总量（总硬度）、</w:t>
            </w:r>
            <w:r>
              <w:t>K</w:t>
            </w:r>
            <w:r>
              <w:rPr>
                <w:vertAlign w:val="superscript"/>
              </w:rPr>
              <w:t>+</w:t>
            </w:r>
            <w:r>
              <w:rPr>
                <w:kern w:val="0"/>
              </w:rPr>
              <w:t>、</w:t>
            </w:r>
            <w:r>
              <w:t>Na</w:t>
            </w:r>
            <w:r>
              <w:rPr>
                <w:vertAlign w:val="superscript"/>
              </w:rPr>
              <w:t>+</w:t>
            </w:r>
            <w:r>
              <w:rPr>
                <w:kern w:val="0"/>
              </w:rPr>
              <w:t>、</w:t>
            </w:r>
            <w:r>
              <w:t>Ca</w:t>
            </w:r>
            <w:r>
              <w:rPr>
                <w:vertAlign w:val="superscript"/>
              </w:rPr>
              <w:t>2+</w:t>
            </w:r>
            <w:r>
              <w:rPr>
                <w:kern w:val="0"/>
              </w:rPr>
              <w:t>、</w:t>
            </w:r>
            <w:r>
              <w:t>Mg</w:t>
            </w:r>
            <w:r>
              <w:rPr>
                <w:vertAlign w:val="superscript"/>
              </w:rPr>
              <w:t>2、</w:t>
            </w:r>
            <w:r>
              <w:t>Cl、SO</w:t>
            </w:r>
            <w:r>
              <w:rPr>
                <w:vertAlign w:val="subscript"/>
              </w:rPr>
              <w:t>4</w:t>
            </w:r>
            <w:r>
              <w:rPr>
                <w:vertAlign w:val="superscript"/>
              </w:rPr>
              <w:t>2--、</w:t>
            </w:r>
            <w:r>
              <w:t>NO</w:t>
            </w:r>
            <w:r>
              <w:rPr>
                <w:vertAlign w:val="subscript"/>
              </w:rPr>
              <w:t>3</w:t>
            </w:r>
            <w:r>
              <w:rPr>
                <w:vertAlign w:val="superscript"/>
              </w:rPr>
              <w:t>-、</w:t>
            </w:r>
            <w:r>
              <w:t>NO</w:t>
            </w:r>
            <w:r>
              <w:rPr>
                <w:vertAlign w:val="subscript"/>
              </w:rPr>
              <w:t>2</w:t>
            </w:r>
            <w:r>
              <w:rPr>
                <w:vertAlign w:val="superscript"/>
              </w:rPr>
              <w:t>-、</w:t>
            </w:r>
            <w:r>
              <w:rPr>
                <w:bCs/>
              </w:rPr>
              <w:t>碳酸根、重碳酸根、</w:t>
            </w:r>
            <w:r>
              <w:t>硝酸盐氮、</w:t>
            </w:r>
            <w:r>
              <w:rPr>
                <w:kern w:val="0"/>
              </w:rPr>
              <w:t>挥发酚、高锰酸盐指数、</w:t>
            </w:r>
            <w:r>
              <w:t>氰化物、砷、汞、六价铬、溶解性总固体、</w:t>
            </w:r>
            <w:r>
              <w:rPr>
                <w:kern w:val="0"/>
              </w:rPr>
              <w:t>硒、铜、铁、镉、锌、镍、锰、铝、总大肠菌群、细菌总数</w:t>
            </w:r>
            <w:r>
              <w:t>共31项。</w:t>
            </w:r>
          </w:p>
        </w:tc>
        <w:tc>
          <w:tcPr>
            <w:tcW w:w="1329" w:type="pct"/>
            <w:vAlign w:val="center"/>
          </w:tcPr>
          <w:p w14:paraId="28FBFA68">
            <w:pPr>
              <w:pStyle w:val="41"/>
              <w:adjustRightInd w:val="0"/>
              <w:snapToGrid w:val="0"/>
              <w:ind w:left="-72" w:leftChars="-30" w:right="-72" w:rightChars="-30"/>
            </w:pPr>
            <w:r>
              <w:t>锰</w:t>
            </w:r>
          </w:p>
        </w:tc>
      </w:tr>
      <w:tr w14:paraId="62F3D9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 w:type="pct"/>
          <w:trHeight w:val="282" w:hRule="atLeast"/>
          <w:jc w:val="center"/>
        </w:trPr>
        <w:tc>
          <w:tcPr>
            <w:tcW w:w="640" w:type="pct"/>
            <w:vAlign w:val="center"/>
          </w:tcPr>
          <w:p w14:paraId="663CFAE0">
            <w:pPr>
              <w:pStyle w:val="41"/>
              <w:adjustRightInd w:val="0"/>
              <w:snapToGrid w:val="0"/>
              <w:ind w:left="-72" w:leftChars="-30" w:right="-72" w:rightChars="-30"/>
            </w:pPr>
            <w:r>
              <w:t>声环境</w:t>
            </w:r>
          </w:p>
        </w:tc>
        <w:tc>
          <w:tcPr>
            <w:tcW w:w="3027" w:type="pct"/>
            <w:vAlign w:val="center"/>
          </w:tcPr>
          <w:p w14:paraId="4C714861">
            <w:pPr>
              <w:pStyle w:val="41"/>
              <w:adjustRightInd w:val="0"/>
              <w:snapToGrid w:val="0"/>
              <w:ind w:left="-72" w:leftChars="-30" w:right="-72" w:rightChars="-30"/>
            </w:pPr>
            <w:r>
              <w:rPr>
                <w:bCs/>
              </w:rPr>
              <w:t>dB(A)</w:t>
            </w:r>
          </w:p>
        </w:tc>
        <w:tc>
          <w:tcPr>
            <w:tcW w:w="1329" w:type="pct"/>
            <w:vAlign w:val="center"/>
          </w:tcPr>
          <w:p w14:paraId="30F28562">
            <w:pPr>
              <w:pStyle w:val="41"/>
              <w:adjustRightInd w:val="0"/>
              <w:snapToGrid w:val="0"/>
              <w:ind w:left="-72" w:leftChars="-30" w:right="-72" w:rightChars="-30"/>
            </w:pPr>
            <w:r>
              <w:rPr>
                <w:bCs/>
              </w:rPr>
              <w:t>dB(A)</w:t>
            </w:r>
          </w:p>
        </w:tc>
      </w:tr>
      <w:tr w14:paraId="2BBDD1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 w:type="pct"/>
          <w:jc w:val="center"/>
        </w:trPr>
        <w:tc>
          <w:tcPr>
            <w:tcW w:w="640" w:type="pct"/>
            <w:vAlign w:val="center"/>
          </w:tcPr>
          <w:p w14:paraId="3FF613E3">
            <w:pPr>
              <w:pStyle w:val="41"/>
              <w:adjustRightInd w:val="0"/>
              <w:snapToGrid w:val="0"/>
              <w:ind w:left="-72" w:leftChars="-30" w:right="-72" w:rightChars="-30"/>
            </w:pPr>
            <w:r>
              <w:t>土壤环境</w:t>
            </w:r>
          </w:p>
        </w:tc>
        <w:tc>
          <w:tcPr>
            <w:tcW w:w="3027" w:type="pct"/>
            <w:vAlign w:val="center"/>
          </w:tcPr>
          <w:p w14:paraId="5E65C394">
            <w:pPr>
              <w:pStyle w:val="41"/>
              <w:adjustRightInd w:val="0"/>
              <w:snapToGrid w:val="0"/>
              <w:ind w:left="-72" w:leftChars="-30" w:right="-72" w:rightChars="-30"/>
            </w:pPr>
            <w:r>
              <w:rPr>
                <w:kern w:val="0"/>
              </w:rPr>
              <w:t>pH值、2-氯酚、汞、</w:t>
            </w:r>
            <w:r>
              <w:t>六价铬、</w:t>
            </w:r>
            <w:r>
              <w:rPr>
                <w:bCs/>
              </w:rPr>
              <w:t>铜、铅、镍、镉、砷、</w:t>
            </w:r>
            <w:r>
              <w:rPr>
                <w:kern w:val="0"/>
              </w:rPr>
              <w:t>锑、</w:t>
            </w:r>
            <w:r>
              <w:t>萘、苯并〔a〕蒽、苯并〔a〕芘、苯并〔b〕荧蒽、苯并〔k〕荧蒽、䓛、二苯并〔a，h〕蒽、茚并〔1，2，3-c，d〕芘、</w:t>
            </w:r>
            <w:r>
              <w:rPr>
                <w:kern w:val="0"/>
              </w:rPr>
              <w:t>四氯化碳、</w:t>
            </w:r>
            <w:r>
              <w:t>氯仿（三氯甲烷）、</w:t>
            </w:r>
            <w:r>
              <w:rPr>
                <w:kern w:val="0"/>
              </w:rPr>
              <w:t>氯甲烷、1，1-二氯乙烷、1，2-二氯乙烷、1-二氯乙烯、顺-1，2-二氯乙烯、反-1，2-二氯乙烯、二氯甲烷、1，2-二氯丙烷、1，1，1，2-四氯乙烷、1，1，2，2-四氯乙烷、四氯乙烯、1，1，1-三氯乙烷、1，1，2-三氯乙烷、三氯乙烯、1，2，3-三氯丙烷、氯乙烯、苯、氯苯、1，2-二氯苯、1，4-二氯苯、乙苯、苯乙烯、甲苯、间二甲苯+对二甲苯、硝基苯、石油烃（C</w:t>
            </w:r>
            <w:r>
              <w:rPr>
                <w:kern w:val="0"/>
                <w:vertAlign w:val="subscript"/>
              </w:rPr>
              <w:t>10</w:t>
            </w:r>
            <w:r>
              <w:rPr>
                <w:kern w:val="0"/>
              </w:rPr>
              <w:t>-C</w:t>
            </w:r>
            <w:r>
              <w:rPr>
                <w:kern w:val="0"/>
                <w:vertAlign w:val="subscript"/>
              </w:rPr>
              <w:t>40</w:t>
            </w:r>
            <w:r>
              <w:rPr>
                <w:kern w:val="0"/>
              </w:rPr>
              <w:t>）、</w:t>
            </w:r>
            <w:r>
              <w:rPr>
                <w:bCs/>
              </w:rPr>
              <w:t>水溶性盐总量、氰化物、</w:t>
            </w:r>
            <w:r>
              <w:rPr>
                <w:kern w:val="0"/>
              </w:rPr>
              <w:t>苯胺</w:t>
            </w:r>
            <w:r>
              <w:t>共50项。</w:t>
            </w:r>
          </w:p>
        </w:tc>
        <w:tc>
          <w:tcPr>
            <w:tcW w:w="1329" w:type="pct"/>
            <w:vAlign w:val="center"/>
          </w:tcPr>
          <w:p w14:paraId="010CF5FD">
            <w:pPr>
              <w:pStyle w:val="34"/>
            </w:pPr>
            <w:r>
              <w:t>大气沉降：二噁英类；</w:t>
            </w:r>
          </w:p>
          <w:p w14:paraId="694589A1">
            <w:pPr>
              <w:pStyle w:val="34"/>
            </w:pPr>
            <w:r>
              <w:t>地面漫流：无地面漫流，未定评价因子，进行截排水措施可行性分析；</w:t>
            </w:r>
          </w:p>
        </w:tc>
      </w:tr>
      <w:tr w14:paraId="5F5FD4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Align w:val="center"/>
          </w:tcPr>
          <w:p w14:paraId="2C19775B">
            <w:pPr>
              <w:pStyle w:val="41"/>
              <w:adjustRightInd w:val="0"/>
              <w:snapToGrid w:val="0"/>
              <w:ind w:left="-72" w:leftChars="-30" w:right="-72" w:rightChars="-30"/>
            </w:pPr>
            <w:r>
              <w:t>固体废物</w:t>
            </w:r>
          </w:p>
        </w:tc>
        <w:tc>
          <w:tcPr>
            <w:tcW w:w="4360" w:type="pct"/>
            <w:gridSpan w:val="3"/>
            <w:vAlign w:val="center"/>
          </w:tcPr>
          <w:p w14:paraId="6804AF94">
            <w:pPr>
              <w:pStyle w:val="41"/>
              <w:adjustRightInd w:val="0"/>
              <w:snapToGrid w:val="0"/>
              <w:ind w:left="-72" w:leftChars="-30" w:right="-72" w:rightChars="-30"/>
              <w:jc w:val="left"/>
            </w:pPr>
            <w:r>
              <w:t>一般工业固体废物：冶炼渣、除尘器收集的粉尘、脱硫石膏。</w:t>
            </w:r>
          </w:p>
          <w:p w14:paraId="16D0B296">
            <w:pPr>
              <w:pStyle w:val="41"/>
              <w:adjustRightInd w:val="0"/>
              <w:snapToGrid w:val="0"/>
              <w:ind w:left="-72" w:leftChars="-30" w:right="-72" w:rightChars="-30"/>
              <w:jc w:val="left"/>
            </w:pPr>
            <w:r>
              <w:t>危险废物：废矿物油。</w:t>
            </w:r>
          </w:p>
        </w:tc>
      </w:tr>
      <w:tr w14:paraId="20C41A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Align w:val="center"/>
          </w:tcPr>
          <w:p w14:paraId="7A6BBC95">
            <w:pPr>
              <w:pStyle w:val="41"/>
              <w:adjustRightInd w:val="0"/>
              <w:snapToGrid w:val="0"/>
              <w:ind w:left="-72" w:leftChars="-30" w:right="-72" w:rightChars="-30"/>
            </w:pPr>
            <w:r>
              <w:t>环境风险</w:t>
            </w:r>
          </w:p>
        </w:tc>
        <w:tc>
          <w:tcPr>
            <w:tcW w:w="4360" w:type="pct"/>
            <w:gridSpan w:val="3"/>
            <w:vAlign w:val="center"/>
          </w:tcPr>
          <w:p w14:paraId="122E9984">
            <w:pPr>
              <w:pStyle w:val="41"/>
              <w:adjustRightInd w:val="0"/>
              <w:snapToGrid w:val="0"/>
              <w:ind w:left="-72" w:leftChars="-30" w:right="-72" w:rightChars="-30"/>
              <w:jc w:val="left"/>
            </w:pPr>
            <w:r>
              <w:t>火灾、爆炸等引发的伴生/次生污染物排放</w:t>
            </w:r>
          </w:p>
        </w:tc>
      </w:tr>
      <w:bookmarkEnd w:id="70"/>
    </w:tbl>
    <w:p w14:paraId="1E328C90">
      <w:pPr>
        <w:pStyle w:val="5"/>
        <w:spacing w:before="156"/>
      </w:pPr>
      <w:r>
        <w:t>评价标准</w:t>
      </w:r>
    </w:p>
    <w:p w14:paraId="144742D0">
      <w:pPr>
        <w:pStyle w:val="6"/>
      </w:pPr>
      <w:r>
        <w:t>环境质量标准</w:t>
      </w:r>
    </w:p>
    <w:p w14:paraId="0CDAD884">
      <w:pPr>
        <w:pStyle w:val="40"/>
        <w:spacing w:before="156"/>
      </w:pPr>
      <w:r>
        <w:t>表2.3-3    大气环境质量标准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49"/>
        <w:gridCol w:w="1288"/>
        <w:gridCol w:w="1581"/>
        <w:gridCol w:w="1484"/>
        <w:gridCol w:w="2817"/>
      </w:tblGrid>
      <w:tr w14:paraId="1A2B19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92" w:type="pct"/>
            <w:vAlign w:val="center"/>
          </w:tcPr>
          <w:p w14:paraId="42B10736">
            <w:pPr>
              <w:pStyle w:val="41"/>
              <w:adjustRightInd w:val="0"/>
              <w:snapToGrid w:val="0"/>
              <w:ind w:left="-72" w:leftChars="-30" w:right="-72" w:rightChars="-30"/>
            </w:pPr>
            <w:r>
              <w:t>污染物名称</w:t>
            </w:r>
          </w:p>
        </w:tc>
        <w:tc>
          <w:tcPr>
            <w:tcW w:w="756" w:type="pct"/>
            <w:vAlign w:val="center"/>
          </w:tcPr>
          <w:p w14:paraId="1C6E727E">
            <w:pPr>
              <w:pStyle w:val="41"/>
              <w:adjustRightInd w:val="0"/>
              <w:snapToGrid w:val="0"/>
              <w:ind w:left="-72" w:leftChars="-30" w:right="-72" w:rightChars="-30"/>
            </w:pPr>
            <w:r>
              <w:t>单位</w:t>
            </w:r>
          </w:p>
        </w:tc>
        <w:tc>
          <w:tcPr>
            <w:tcW w:w="928" w:type="pct"/>
            <w:vAlign w:val="center"/>
          </w:tcPr>
          <w:p w14:paraId="542B1760">
            <w:pPr>
              <w:pStyle w:val="41"/>
              <w:adjustRightInd w:val="0"/>
              <w:snapToGrid w:val="0"/>
              <w:ind w:left="-72" w:leftChars="-30" w:right="-72" w:rightChars="-30"/>
            </w:pPr>
            <w:r>
              <w:t>取值时间</w:t>
            </w:r>
          </w:p>
        </w:tc>
        <w:tc>
          <w:tcPr>
            <w:tcW w:w="871" w:type="pct"/>
            <w:vAlign w:val="center"/>
          </w:tcPr>
          <w:p w14:paraId="142CA248">
            <w:pPr>
              <w:pStyle w:val="41"/>
              <w:adjustRightInd w:val="0"/>
              <w:snapToGrid w:val="0"/>
              <w:ind w:left="-72" w:leftChars="-30" w:right="-72" w:rightChars="-30"/>
            </w:pPr>
            <w:r>
              <w:t>标准值</w:t>
            </w:r>
          </w:p>
        </w:tc>
        <w:tc>
          <w:tcPr>
            <w:tcW w:w="1653" w:type="pct"/>
            <w:vAlign w:val="center"/>
          </w:tcPr>
          <w:p w14:paraId="0F5A66EC">
            <w:pPr>
              <w:pStyle w:val="41"/>
              <w:adjustRightInd w:val="0"/>
              <w:snapToGrid w:val="0"/>
              <w:ind w:left="-72" w:leftChars="-30" w:right="-72" w:rightChars="-30"/>
            </w:pPr>
            <w:r>
              <w:t>标准来源</w:t>
            </w:r>
          </w:p>
        </w:tc>
      </w:tr>
      <w:tr w14:paraId="4F5324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027056C5">
            <w:pPr>
              <w:pStyle w:val="41"/>
              <w:adjustRightInd w:val="0"/>
              <w:snapToGrid w:val="0"/>
              <w:ind w:left="-72" w:leftChars="-30" w:right="-72" w:rightChars="-30"/>
            </w:pPr>
            <w:r>
              <w:t>SO</w:t>
            </w:r>
            <w:r>
              <w:rPr>
                <w:vertAlign w:val="subscript"/>
              </w:rPr>
              <w:t>2</w:t>
            </w:r>
          </w:p>
        </w:tc>
        <w:tc>
          <w:tcPr>
            <w:tcW w:w="756" w:type="pct"/>
            <w:vMerge w:val="restart"/>
            <w:vAlign w:val="center"/>
          </w:tcPr>
          <w:p w14:paraId="2ABD6B21">
            <w:pPr>
              <w:pStyle w:val="41"/>
              <w:adjustRightInd w:val="0"/>
              <w:snapToGrid w:val="0"/>
              <w:ind w:left="-72" w:leftChars="-30" w:right="-72" w:rightChars="-30"/>
            </w:pPr>
            <w:r>
              <w:t>μg/m</w:t>
            </w:r>
            <w:r>
              <w:rPr>
                <w:vertAlign w:val="superscript"/>
              </w:rPr>
              <w:t>3</w:t>
            </w:r>
          </w:p>
        </w:tc>
        <w:tc>
          <w:tcPr>
            <w:tcW w:w="928" w:type="pct"/>
            <w:vAlign w:val="center"/>
          </w:tcPr>
          <w:p w14:paraId="3FC3A73C">
            <w:pPr>
              <w:pStyle w:val="41"/>
              <w:adjustRightInd w:val="0"/>
              <w:snapToGrid w:val="0"/>
              <w:ind w:left="-72" w:leftChars="-30" w:right="-72" w:rightChars="-30"/>
            </w:pPr>
            <w:r>
              <w:t>年平均</w:t>
            </w:r>
          </w:p>
        </w:tc>
        <w:tc>
          <w:tcPr>
            <w:tcW w:w="871" w:type="pct"/>
            <w:vAlign w:val="center"/>
          </w:tcPr>
          <w:p w14:paraId="4FF375E6">
            <w:pPr>
              <w:pStyle w:val="41"/>
              <w:adjustRightInd w:val="0"/>
              <w:snapToGrid w:val="0"/>
              <w:ind w:left="-72" w:leftChars="-30" w:right="-72" w:rightChars="-30"/>
            </w:pPr>
            <w:r>
              <w:t>60</w:t>
            </w:r>
          </w:p>
        </w:tc>
        <w:tc>
          <w:tcPr>
            <w:tcW w:w="1653" w:type="pct"/>
            <w:vMerge w:val="restart"/>
            <w:vAlign w:val="center"/>
          </w:tcPr>
          <w:p w14:paraId="49FECEDF">
            <w:pPr>
              <w:pStyle w:val="41"/>
              <w:adjustRightInd w:val="0"/>
              <w:snapToGrid w:val="0"/>
              <w:ind w:left="-72" w:leftChars="-30" w:right="-72" w:rightChars="-30"/>
            </w:pPr>
            <w:r>
              <w:t>《环境空气质量标准》（GB3095-2012）及其修改单二级标准</w:t>
            </w:r>
          </w:p>
        </w:tc>
      </w:tr>
      <w:tr w14:paraId="2663DB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43A9DE50">
            <w:pPr>
              <w:pStyle w:val="41"/>
              <w:adjustRightInd w:val="0"/>
              <w:snapToGrid w:val="0"/>
              <w:ind w:left="-72" w:leftChars="-30" w:right="-72" w:rightChars="-30"/>
            </w:pPr>
          </w:p>
        </w:tc>
        <w:tc>
          <w:tcPr>
            <w:tcW w:w="756" w:type="pct"/>
            <w:vMerge w:val="continue"/>
            <w:vAlign w:val="center"/>
          </w:tcPr>
          <w:p w14:paraId="66C2860A">
            <w:pPr>
              <w:pStyle w:val="41"/>
              <w:adjustRightInd w:val="0"/>
              <w:snapToGrid w:val="0"/>
              <w:ind w:left="-72" w:leftChars="-30" w:right="-72" w:rightChars="-30"/>
            </w:pPr>
          </w:p>
        </w:tc>
        <w:tc>
          <w:tcPr>
            <w:tcW w:w="928" w:type="pct"/>
            <w:vAlign w:val="center"/>
          </w:tcPr>
          <w:p w14:paraId="4F9D2BD0">
            <w:pPr>
              <w:pStyle w:val="41"/>
              <w:adjustRightInd w:val="0"/>
              <w:snapToGrid w:val="0"/>
              <w:ind w:left="-72" w:leftChars="-30" w:right="-72" w:rightChars="-30"/>
            </w:pPr>
            <w:r>
              <w:t>24h平均</w:t>
            </w:r>
          </w:p>
        </w:tc>
        <w:tc>
          <w:tcPr>
            <w:tcW w:w="871" w:type="pct"/>
            <w:vAlign w:val="center"/>
          </w:tcPr>
          <w:p w14:paraId="5BA69FE8">
            <w:pPr>
              <w:pStyle w:val="41"/>
              <w:adjustRightInd w:val="0"/>
              <w:snapToGrid w:val="0"/>
              <w:ind w:left="-72" w:leftChars="-30" w:right="-72" w:rightChars="-30"/>
            </w:pPr>
            <w:r>
              <w:t>150</w:t>
            </w:r>
          </w:p>
        </w:tc>
        <w:tc>
          <w:tcPr>
            <w:tcW w:w="1653" w:type="pct"/>
            <w:vMerge w:val="continue"/>
            <w:vAlign w:val="center"/>
          </w:tcPr>
          <w:p w14:paraId="22515CDA">
            <w:pPr>
              <w:pStyle w:val="41"/>
              <w:adjustRightInd w:val="0"/>
              <w:snapToGrid w:val="0"/>
              <w:ind w:left="-72" w:leftChars="-30" w:right="-72" w:rightChars="-30"/>
            </w:pPr>
          </w:p>
        </w:tc>
      </w:tr>
      <w:tr w14:paraId="179835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5FE11D72">
            <w:pPr>
              <w:pStyle w:val="41"/>
              <w:adjustRightInd w:val="0"/>
              <w:snapToGrid w:val="0"/>
              <w:ind w:left="-72" w:leftChars="-30" w:right="-72" w:rightChars="-30"/>
            </w:pPr>
          </w:p>
        </w:tc>
        <w:tc>
          <w:tcPr>
            <w:tcW w:w="756" w:type="pct"/>
            <w:vMerge w:val="continue"/>
            <w:vAlign w:val="center"/>
          </w:tcPr>
          <w:p w14:paraId="5A337DA6">
            <w:pPr>
              <w:pStyle w:val="41"/>
              <w:adjustRightInd w:val="0"/>
              <w:snapToGrid w:val="0"/>
              <w:ind w:left="-72" w:leftChars="-30" w:right="-72" w:rightChars="-30"/>
            </w:pPr>
          </w:p>
        </w:tc>
        <w:tc>
          <w:tcPr>
            <w:tcW w:w="928" w:type="pct"/>
            <w:vAlign w:val="center"/>
          </w:tcPr>
          <w:p w14:paraId="04681DFA">
            <w:pPr>
              <w:pStyle w:val="41"/>
              <w:adjustRightInd w:val="0"/>
              <w:snapToGrid w:val="0"/>
              <w:ind w:left="-72" w:leftChars="-30" w:right="-72" w:rightChars="-30"/>
            </w:pPr>
            <w:r>
              <w:t>1h平均</w:t>
            </w:r>
          </w:p>
        </w:tc>
        <w:tc>
          <w:tcPr>
            <w:tcW w:w="871" w:type="pct"/>
            <w:vAlign w:val="center"/>
          </w:tcPr>
          <w:p w14:paraId="2952BD0A">
            <w:pPr>
              <w:pStyle w:val="41"/>
              <w:adjustRightInd w:val="0"/>
              <w:snapToGrid w:val="0"/>
              <w:ind w:left="-72" w:leftChars="-30" w:right="-72" w:rightChars="-30"/>
            </w:pPr>
            <w:r>
              <w:t>500</w:t>
            </w:r>
          </w:p>
        </w:tc>
        <w:tc>
          <w:tcPr>
            <w:tcW w:w="1653" w:type="pct"/>
            <w:vMerge w:val="continue"/>
            <w:vAlign w:val="center"/>
          </w:tcPr>
          <w:p w14:paraId="662AEB78">
            <w:pPr>
              <w:pStyle w:val="41"/>
              <w:adjustRightInd w:val="0"/>
              <w:snapToGrid w:val="0"/>
              <w:ind w:left="-72" w:leftChars="-30" w:right="-72" w:rightChars="-30"/>
            </w:pPr>
          </w:p>
        </w:tc>
      </w:tr>
      <w:tr w14:paraId="1AEE58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4542D672">
            <w:pPr>
              <w:pStyle w:val="41"/>
              <w:adjustRightInd w:val="0"/>
              <w:snapToGrid w:val="0"/>
              <w:ind w:left="-72" w:leftChars="-30" w:right="-72" w:rightChars="-30"/>
            </w:pPr>
            <w:r>
              <w:t>NO</w:t>
            </w:r>
            <w:r>
              <w:rPr>
                <w:vertAlign w:val="subscript"/>
              </w:rPr>
              <w:t>2</w:t>
            </w:r>
          </w:p>
        </w:tc>
        <w:tc>
          <w:tcPr>
            <w:tcW w:w="756" w:type="pct"/>
            <w:vMerge w:val="restart"/>
            <w:vAlign w:val="center"/>
          </w:tcPr>
          <w:p w14:paraId="3029A1B7">
            <w:pPr>
              <w:pStyle w:val="41"/>
              <w:adjustRightInd w:val="0"/>
              <w:snapToGrid w:val="0"/>
              <w:ind w:left="-72" w:leftChars="-30" w:right="-72" w:rightChars="-30"/>
            </w:pPr>
            <w:r>
              <w:t>μg/m</w:t>
            </w:r>
            <w:r>
              <w:rPr>
                <w:vertAlign w:val="superscript"/>
              </w:rPr>
              <w:t>3</w:t>
            </w:r>
          </w:p>
        </w:tc>
        <w:tc>
          <w:tcPr>
            <w:tcW w:w="928" w:type="pct"/>
            <w:vAlign w:val="center"/>
          </w:tcPr>
          <w:p w14:paraId="482DBC33">
            <w:pPr>
              <w:pStyle w:val="41"/>
              <w:adjustRightInd w:val="0"/>
              <w:snapToGrid w:val="0"/>
              <w:ind w:left="-72" w:leftChars="-30" w:right="-72" w:rightChars="-30"/>
            </w:pPr>
            <w:r>
              <w:t>年平均</w:t>
            </w:r>
          </w:p>
        </w:tc>
        <w:tc>
          <w:tcPr>
            <w:tcW w:w="871" w:type="pct"/>
            <w:vAlign w:val="center"/>
          </w:tcPr>
          <w:p w14:paraId="1D99DEC0">
            <w:pPr>
              <w:pStyle w:val="41"/>
              <w:adjustRightInd w:val="0"/>
              <w:snapToGrid w:val="0"/>
              <w:ind w:left="-72" w:leftChars="-30" w:right="-72" w:rightChars="-30"/>
            </w:pPr>
            <w:r>
              <w:t>40</w:t>
            </w:r>
          </w:p>
        </w:tc>
        <w:tc>
          <w:tcPr>
            <w:tcW w:w="1653" w:type="pct"/>
            <w:vMerge w:val="continue"/>
            <w:vAlign w:val="center"/>
          </w:tcPr>
          <w:p w14:paraId="330326A5">
            <w:pPr>
              <w:pStyle w:val="41"/>
              <w:adjustRightInd w:val="0"/>
              <w:snapToGrid w:val="0"/>
              <w:ind w:left="-72" w:leftChars="-30" w:right="-72" w:rightChars="-30"/>
            </w:pPr>
          </w:p>
        </w:tc>
      </w:tr>
      <w:tr w14:paraId="6F9DBE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44D6D697">
            <w:pPr>
              <w:pStyle w:val="41"/>
              <w:adjustRightInd w:val="0"/>
              <w:snapToGrid w:val="0"/>
              <w:ind w:left="-72" w:leftChars="-30" w:right="-72" w:rightChars="-30"/>
            </w:pPr>
          </w:p>
        </w:tc>
        <w:tc>
          <w:tcPr>
            <w:tcW w:w="756" w:type="pct"/>
            <w:vMerge w:val="continue"/>
            <w:vAlign w:val="center"/>
          </w:tcPr>
          <w:p w14:paraId="00F32BD0">
            <w:pPr>
              <w:pStyle w:val="41"/>
              <w:adjustRightInd w:val="0"/>
              <w:snapToGrid w:val="0"/>
              <w:ind w:left="-72" w:leftChars="-30" w:right="-72" w:rightChars="-30"/>
            </w:pPr>
          </w:p>
        </w:tc>
        <w:tc>
          <w:tcPr>
            <w:tcW w:w="928" w:type="pct"/>
            <w:vAlign w:val="center"/>
          </w:tcPr>
          <w:p w14:paraId="0BE46C95">
            <w:pPr>
              <w:pStyle w:val="41"/>
              <w:adjustRightInd w:val="0"/>
              <w:snapToGrid w:val="0"/>
              <w:ind w:left="-72" w:leftChars="-30" w:right="-72" w:rightChars="-30"/>
            </w:pPr>
            <w:r>
              <w:t>24h平均</w:t>
            </w:r>
          </w:p>
        </w:tc>
        <w:tc>
          <w:tcPr>
            <w:tcW w:w="871" w:type="pct"/>
            <w:vAlign w:val="center"/>
          </w:tcPr>
          <w:p w14:paraId="55265570">
            <w:pPr>
              <w:pStyle w:val="41"/>
              <w:adjustRightInd w:val="0"/>
              <w:snapToGrid w:val="0"/>
              <w:ind w:left="-72" w:leftChars="-30" w:right="-72" w:rightChars="-30"/>
            </w:pPr>
            <w:r>
              <w:t>80</w:t>
            </w:r>
          </w:p>
        </w:tc>
        <w:tc>
          <w:tcPr>
            <w:tcW w:w="1653" w:type="pct"/>
            <w:vMerge w:val="continue"/>
            <w:vAlign w:val="center"/>
          </w:tcPr>
          <w:p w14:paraId="3AA88FB4">
            <w:pPr>
              <w:pStyle w:val="41"/>
              <w:adjustRightInd w:val="0"/>
              <w:snapToGrid w:val="0"/>
              <w:ind w:left="-72" w:leftChars="-30" w:right="-72" w:rightChars="-30"/>
            </w:pPr>
          </w:p>
        </w:tc>
      </w:tr>
      <w:tr w14:paraId="3B635B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11A8442C">
            <w:pPr>
              <w:pStyle w:val="41"/>
              <w:adjustRightInd w:val="0"/>
              <w:snapToGrid w:val="0"/>
              <w:ind w:left="-72" w:leftChars="-30" w:right="-72" w:rightChars="-30"/>
            </w:pPr>
          </w:p>
        </w:tc>
        <w:tc>
          <w:tcPr>
            <w:tcW w:w="756" w:type="pct"/>
            <w:vMerge w:val="continue"/>
            <w:vAlign w:val="center"/>
          </w:tcPr>
          <w:p w14:paraId="7F4BF950">
            <w:pPr>
              <w:pStyle w:val="41"/>
              <w:adjustRightInd w:val="0"/>
              <w:snapToGrid w:val="0"/>
              <w:ind w:left="-72" w:leftChars="-30" w:right="-72" w:rightChars="-30"/>
            </w:pPr>
          </w:p>
        </w:tc>
        <w:tc>
          <w:tcPr>
            <w:tcW w:w="928" w:type="pct"/>
            <w:vAlign w:val="center"/>
          </w:tcPr>
          <w:p w14:paraId="20A86E25">
            <w:pPr>
              <w:pStyle w:val="41"/>
              <w:adjustRightInd w:val="0"/>
              <w:snapToGrid w:val="0"/>
              <w:ind w:left="-72" w:leftChars="-30" w:right="-72" w:rightChars="-30"/>
            </w:pPr>
            <w:r>
              <w:t>1h平均</w:t>
            </w:r>
          </w:p>
        </w:tc>
        <w:tc>
          <w:tcPr>
            <w:tcW w:w="871" w:type="pct"/>
            <w:vAlign w:val="center"/>
          </w:tcPr>
          <w:p w14:paraId="7896537C">
            <w:pPr>
              <w:pStyle w:val="41"/>
              <w:adjustRightInd w:val="0"/>
              <w:snapToGrid w:val="0"/>
              <w:ind w:left="-72" w:leftChars="-30" w:right="-72" w:rightChars="-30"/>
            </w:pPr>
            <w:r>
              <w:t>200</w:t>
            </w:r>
          </w:p>
        </w:tc>
        <w:tc>
          <w:tcPr>
            <w:tcW w:w="1653" w:type="pct"/>
            <w:vMerge w:val="continue"/>
            <w:vAlign w:val="center"/>
          </w:tcPr>
          <w:p w14:paraId="3A0DB847">
            <w:pPr>
              <w:pStyle w:val="41"/>
              <w:adjustRightInd w:val="0"/>
              <w:snapToGrid w:val="0"/>
              <w:ind w:left="-72" w:leftChars="-30" w:right="-72" w:rightChars="-30"/>
            </w:pPr>
          </w:p>
        </w:tc>
      </w:tr>
      <w:tr w14:paraId="295F62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6DCA6EA8">
            <w:pPr>
              <w:pStyle w:val="41"/>
              <w:adjustRightInd w:val="0"/>
              <w:snapToGrid w:val="0"/>
              <w:ind w:left="-72" w:leftChars="-30" w:right="-72" w:rightChars="-30"/>
            </w:pPr>
            <w:r>
              <w:t>CO</w:t>
            </w:r>
          </w:p>
        </w:tc>
        <w:tc>
          <w:tcPr>
            <w:tcW w:w="756" w:type="pct"/>
            <w:vMerge w:val="restart"/>
            <w:vAlign w:val="center"/>
          </w:tcPr>
          <w:p w14:paraId="0A0421E3">
            <w:pPr>
              <w:pStyle w:val="41"/>
              <w:adjustRightInd w:val="0"/>
              <w:snapToGrid w:val="0"/>
              <w:ind w:left="-72" w:leftChars="-30" w:right="-72" w:rightChars="-30"/>
            </w:pPr>
            <w:r>
              <w:t>mg/m³</w:t>
            </w:r>
          </w:p>
        </w:tc>
        <w:tc>
          <w:tcPr>
            <w:tcW w:w="928" w:type="pct"/>
            <w:vAlign w:val="center"/>
          </w:tcPr>
          <w:p w14:paraId="5B94C8DF">
            <w:pPr>
              <w:pStyle w:val="41"/>
              <w:adjustRightInd w:val="0"/>
              <w:snapToGrid w:val="0"/>
              <w:ind w:left="-72" w:leftChars="-30" w:right="-72" w:rightChars="-30"/>
            </w:pPr>
            <w:r>
              <w:t>24h平均</w:t>
            </w:r>
          </w:p>
        </w:tc>
        <w:tc>
          <w:tcPr>
            <w:tcW w:w="871" w:type="pct"/>
            <w:vAlign w:val="center"/>
          </w:tcPr>
          <w:p w14:paraId="75EAF0D2">
            <w:pPr>
              <w:pStyle w:val="41"/>
              <w:adjustRightInd w:val="0"/>
              <w:snapToGrid w:val="0"/>
              <w:ind w:left="-72" w:leftChars="-30" w:right="-72" w:rightChars="-30"/>
            </w:pPr>
            <w:r>
              <w:t>4</w:t>
            </w:r>
          </w:p>
        </w:tc>
        <w:tc>
          <w:tcPr>
            <w:tcW w:w="1653" w:type="pct"/>
            <w:vMerge w:val="continue"/>
            <w:vAlign w:val="center"/>
          </w:tcPr>
          <w:p w14:paraId="51259203">
            <w:pPr>
              <w:pStyle w:val="41"/>
              <w:adjustRightInd w:val="0"/>
              <w:snapToGrid w:val="0"/>
              <w:ind w:left="-72" w:leftChars="-30" w:right="-72" w:rightChars="-30"/>
            </w:pPr>
          </w:p>
        </w:tc>
      </w:tr>
      <w:tr w14:paraId="12BBF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4B4BA67A">
            <w:pPr>
              <w:pStyle w:val="41"/>
              <w:adjustRightInd w:val="0"/>
              <w:snapToGrid w:val="0"/>
              <w:ind w:left="-72" w:leftChars="-30" w:right="-72" w:rightChars="-30"/>
            </w:pPr>
          </w:p>
        </w:tc>
        <w:tc>
          <w:tcPr>
            <w:tcW w:w="756" w:type="pct"/>
            <w:vMerge w:val="continue"/>
            <w:vAlign w:val="center"/>
          </w:tcPr>
          <w:p w14:paraId="303E6320">
            <w:pPr>
              <w:pStyle w:val="41"/>
              <w:adjustRightInd w:val="0"/>
              <w:snapToGrid w:val="0"/>
              <w:ind w:left="-72" w:leftChars="-30" w:right="-72" w:rightChars="-30"/>
            </w:pPr>
          </w:p>
        </w:tc>
        <w:tc>
          <w:tcPr>
            <w:tcW w:w="928" w:type="pct"/>
            <w:vAlign w:val="center"/>
          </w:tcPr>
          <w:p w14:paraId="646D7D11">
            <w:pPr>
              <w:pStyle w:val="41"/>
              <w:adjustRightInd w:val="0"/>
              <w:snapToGrid w:val="0"/>
              <w:ind w:left="-72" w:leftChars="-30" w:right="-72" w:rightChars="-30"/>
            </w:pPr>
            <w:r>
              <w:t>1h平均</w:t>
            </w:r>
          </w:p>
        </w:tc>
        <w:tc>
          <w:tcPr>
            <w:tcW w:w="871" w:type="pct"/>
            <w:vAlign w:val="center"/>
          </w:tcPr>
          <w:p w14:paraId="5763E917">
            <w:pPr>
              <w:pStyle w:val="41"/>
              <w:adjustRightInd w:val="0"/>
              <w:snapToGrid w:val="0"/>
              <w:ind w:left="-72" w:leftChars="-30" w:right="-72" w:rightChars="-30"/>
            </w:pPr>
            <w:r>
              <w:t>10</w:t>
            </w:r>
          </w:p>
        </w:tc>
        <w:tc>
          <w:tcPr>
            <w:tcW w:w="1653" w:type="pct"/>
            <w:vMerge w:val="continue"/>
            <w:vAlign w:val="center"/>
          </w:tcPr>
          <w:p w14:paraId="2EF1F11F">
            <w:pPr>
              <w:pStyle w:val="41"/>
              <w:adjustRightInd w:val="0"/>
              <w:snapToGrid w:val="0"/>
              <w:ind w:left="-72" w:leftChars="-30" w:right="-72" w:rightChars="-30"/>
            </w:pPr>
          </w:p>
        </w:tc>
      </w:tr>
      <w:tr w14:paraId="2D27B7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50E46D3E">
            <w:pPr>
              <w:pStyle w:val="41"/>
              <w:adjustRightInd w:val="0"/>
              <w:snapToGrid w:val="0"/>
              <w:ind w:left="-72" w:leftChars="-30" w:right="-72" w:rightChars="-30"/>
            </w:pPr>
            <w:r>
              <w:t>O</w:t>
            </w:r>
            <w:r>
              <w:rPr>
                <w:vertAlign w:val="subscript"/>
              </w:rPr>
              <w:t>3</w:t>
            </w:r>
          </w:p>
        </w:tc>
        <w:tc>
          <w:tcPr>
            <w:tcW w:w="756" w:type="pct"/>
            <w:vMerge w:val="restart"/>
            <w:vAlign w:val="center"/>
          </w:tcPr>
          <w:p w14:paraId="663FB15F">
            <w:pPr>
              <w:pStyle w:val="41"/>
              <w:adjustRightInd w:val="0"/>
              <w:snapToGrid w:val="0"/>
              <w:ind w:left="-72" w:leftChars="-30" w:right="-72" w:rightChars="-30"/>
            </w:pPr>
            <w:r>
              <w:t>μg/m</w:t>
            </w:r>
            <w:r>
              <w:rPr>
                <w:vertAlign w:val="superscript"/>
              </w:rPr>
              <w:t>3</w:t>
            </w:r>
          </w:p>
        </w:tc>
        <w:tc>
          <w:tcPr>
            <w:tcW w:w="928" w:type="pct"/>
            <w:vAlign w:val="center"/>
          </w:tcPr>
          <w:p w14:paraId="34847F26">
            <w:pPr>
              <w:pStyle w:val="41"/>
              <w:adjustRightInd w:val="0"/>
              <w:snapToGrid w:val="0"/>
              <w:ind w:left="-72" w:leftChars="-30" w:right="-72" w:rightChars="-30"/>
            </w:pPr>
            <w:r>
              <w:t>日最大8h平均</w:t>
            </w:r>
          </w:p>
        </w:tc>
        <w:tc>
          <w:tcPr>
            <w:tcW w:w="871" w:type="pct"/>
            <w:vAlign w:val="center"/>
          </w:tcPr>
          <w:p w14:paraId="5A0EB563">
            <w:pPr>
              <w:pStyle w:val="41"/>
              <w:adjustRightInd w:val="0"/>
              <w:snapToGrid w:val="0"/>
              <w:ind w:left="-72" w:leftChars="-30" w:right="-72" w:rightChars="-30"/>
            </w:pPr>
            <w:r>
              <w:t>160</w:t>
            </w:r>
          </w:p>
        </w:tc>
        <w:tc>
          <w:tcPr>
            <w:tcW w:w="1653" w:type="pct"/>
            <w:vMerge w:val="continue"/>
            <w:vAlign w:val="center"/>
          </w:tcPr>
          <w:p w14:paraId="015175FA">
            <w:pPr>
              <w:pStyle w:val="41"/>
              <w:adjustRightInd w:val="0"/>
              <w:snapToGrid w:val="0"/>
              <w:ind w:left="-72" w:leftChars="-30" w:right="-72" w:rightChars="-30"/>
            </w:pPr>
          </w:p>
        </w:tc>
      </w:tr>
      <w:tr w14:paraId="76315F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67BABF12">
            <w:pPr>
              <w:pStyle w:val="41"/>
              <w:adjustRightInd w:val="0"/>
              <w:snapToGrid w:val="0"/>
              <w:ind w:left="-72" w:leftChars="-30" w:right="-72" w:rightChars="-30"/>
            </w:pPr>
          </w:p>
        </w:tc>
        <w:tc>
          <w:tcPr>
            <w:tcW w:w="756" w:type="pct"/>
            <w:vMerge w:val="continue"/>
            <w:vAlign w:val="center"/>
          </w:tcPr>
          <w:p w14:paraId="0241091F">
            <w:pPr>
              <w:pStyle w:val="41"/>
              <w:adjustRightInd w:val="0"/>
              <w:snapToGrid w:val="0"/>
              <w:ind w:left="-72" w:leftChars="-30" w:right="-72" w:rightChars="-30"/>
            </w:pPr>
          </w:p>
        </w:tc>
        <w:tc>
          <w:tcPr>
            <w:tcW w:w="928" w:type="pct"/>
            <w:vAlign w:val="center"/>
          </w:tcPr>
          <w:p w14:paraId="14079187">
            <w:pPr>
              <w:pStyle w:val="41"/>
              <w:adjustRightInd w:val="0"/>
              <w:snapToGrid w:val="0"/>
              <w:ind w:left="-72" w:leftChars="-30" w:right="-72" w:rightChars="-30"/>
            </w:pPr>
            <w:r>
              <w:t>1h平均</w:t>
            </w:r>
          </w:p>
        </w:tc>
        <w:tc>
          <w:tcPr>
            <w:tcW w:w="871" w:type="pct"/>
            <w:vAlign w:val="center"/>
          </w:tcPr>
          <w:p w14:paraId="0166A26B">
            <w:pPr>
              <w:pStyle w:val="41"/>
              <w:adjustRightInd w:val="0"/>
              <w:snapToGrid w:val="0"/>
              <w:ind w:left="-72" w:leftChars="-30" w:right="-72" w:rightChars="-30"/>
            </w:pPr>
            <w:r>
              <w:t>200</w:t>
            </w:r>
          </w:p>
        </w:tc>
        <w:tc>
          <w:tcPr>
            <w:tcW w:w="1653" w:type="pct"/>
            <w:vMerge w:val="continue"/>
            <w:vAlign w:val="center"/>
          </w:tcPr>
          <w:p w14:paraId="59719A18">
            <w:pPr>
              <w:pStyle w:val="41"/>
              <w:adjustRightInd w:val="0"/>
              <w:snapToGrid w:val="0"/>
              <w:ind w:left="-72" w:leftChars="-30" w:right="-72" w:rightChars="-30"/>
            </w:pPr>
          </w:p>
        </w:tc>
      </w:tr>
      <w:tr w14:paraId="1954BC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5F2B07C0">
            <w:pPr>
              <w:pStyle w:val="41"/>
              <w:adjustRightInd w:val="0"/>
              <w:snapToGrid w:val="0"/>
              <w:ind w:left="-72" w:leftChars="-30" w:right="-72" w:rightChars="-30"/>
            </w:pPr>
            <w:r>
              <w:t>PM</w:t>
            </w:r>
            <w:r>
              <w:rPr>
                <w:vertAlign w:val="subscript"/>
              </w:rPr>
              <w:t>10</w:t>
            </w:r>
          </w:p>
        </w:tc>
        <w:tc>
          <w:tcPr>
            <w:tcW w:w="756" w:type="pct"/>
            <w:vMerge w:val="restart"/>
            <w:vAlign w:val="center"/>
          </w:tcPr>
          <w:p w14:paraId="10D529B1">
            <w:pPr>
              <w:pStyle w:val="41"/>
              <w:adjustRightInd w:val="0"/>
              <w:snapToGrid w:val="0"/>
              <w:ind w:left="-72" w:leftChars="-30" w:right="-72" w:rightChars="-30"/>
            </w:pPr>
            <w:r>
              <w:t>μg/m</w:t>
            </w:r>
            <w:r>
              <w:rPr>
                <w:vertAlign w:val="superscript"/>
              </w:rPr>
              <w:t>3</w:t>
            </w:r>
          </w:p>
        </w:tc>
        <w:tc>
          <w:tcPr>
            <w:tcW w:w="928" w:type="pct"/>
            <w:vAlign w:val="center"/>
          </w:tcPr>
          <w:p w14:paraId="5CAD3614">
            <w:pPr>
              <w:pStyle w:val="41"/>
              <w:adjustRightInd w:val="0"/>
              <w:snapToGrid w:val="0"/>
              <w:ind w:left="-72" w:leftChars="-30" w:right="-72" w:rightChars="-30"/>
            </w:pPr>
            <w:r>
              <w:t>年平均</w:t>
            </w:r>
          </w:p>
        </w:tc>
        <w:tc>
          <w:tcPr>
            <w:tcW w:w="871" w:type="pct"/>
            <w:vAlign w:val="center"/>
          </w:tcPr>
          <w:p w14:paraId="7C0081BE">
            <w:pPr>
              <w:pStyle w:val="41"/>
              <w:adjustRightInd w:val="0"/>
              <w:snapToGrid w:val="0"/>
              <w:ind w:left="-72" w:leftChars="-30" w:right="-72" w:rightChars="-30"/>
            </w:pPr>
            <w:r>
              <w:t>70</w:t>
            </w:r>
          </w:p>
        </w:tc>
        <w:tc>
          <w:tcPr>
            <w:tcW w:w="1653" w:type="pct"/>
            <w:vMerge w:val="continue"/>
            <w:vAlign w:val="center"/>
          </w:tcPr>
          <w:p w14:paraId="3A7E461E">
            <w:pPr>
              <w:pStyle w:val="41"/>
              <w:adjustRightInd w:val="0"/>
              <w:snapToGrid w:val="0"/>
              <w:ind w:left="-72" w:leftChars="-30" w:right="-72" w:rightChars="-30"/>
            </w:pPr>
          </w:p>
        </w:tc>
      </w:tr>
      <w:tr w14:paraId="7FC1CB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62D223EB">
            <w:pPr>
              <w:pStyle w:val="41"/>
              <w:adjustRightInd w:val="0"/>
              <w:snapToGrid w:val="0"/>
              <w:ind w:left="-72" w:leftChars="-30" w:right="-72" w:rightChars="-30"/>
            </w:pPr>
          </w:p>
        </w:tc>
        <w:tc>
          <w:tcPr>
            <w:tcW w:w="756" w:type="pct"/>
            <w:vMerge w:val="continue"/>
            <w:vAlign w:val="center"/>
          </w:tcPr>
          <w:p w14:paraId="32B8DF24">
            <w:pPr>
              <w:pStyle w:val="41"/>
              <w:adjustRightInd w:val="0"/>
              <w:snapToGrid w:val="0"/>
              <w:ind w:left="-72" w:leftChars="-30" w:right="-72" w:rightChars="-30"/>
            </w:pPr>
          </w:p>
        </w:tc>
        <w:tc>
          <w:tcPr>
            <w:tcW w:w="928" w:type="pct"/>
            <w:vAlign w:val="center"/>
          </w:tcPr>
          <w:p w14:paraId="795529B6">
            <w:pPr>
              <w:pStyle w:val="41"/>
              <w:adjustRightInd w:val="0"/>
              <w:snapToGrid w:val="0"/>
              <w:ind w:left="-72" w:leftChars="-30" w:right="-72" w:rightChars="-30"/>
            </w:pPr>
            <w:r>
              <w:t>24h平均</w:t>
            </w:r>
          </w:p>
        </w:tc>
        <w:tc>
          <w:tcPr>
            <w:tcW w:w="871" w:type="pct"/>
            <w:vAlign w:val="center"/>
          </w:tcPr>
          <w:p w14:paraId="532E2FD0">
            <w:pPr>
              <w:pStyle w:val="41"/>
              <w:adjustRightInd w:val="0"/>
              <w:snapToGrid w:val="0"/>
              <w:ind w:left="-72" w:leftChars="-30" w:right="-72" w:rightChars="-30"/>
            </w:pPr>
            <w:r>
              <w:t>150</w:t>
            </w:r>
          </w:p>
        </w:tc>
        <w:tc>
          <w:tcPr>
            <w:tcW w:w="1653" w:type="pct"/>
            <w:vMerge w:val="continue"/>
            <w:vAlign w:val="center"/>
          </w:tcPr>
          <w:p w14:paraId="2DED32C7">
            <w:pPr>
              <w:pStyle w:val="41"/>
              <w:adjustRightInd w:val="0"/>
              <w:snapToGrid w:val="0"/>
              <w:ind w:left="-72" w:leftChars="-30" w:right="-72" w:rightChars="-30"/>
            </w:pPr>
          </w:p>
        </w:tc>
      </w:tr>
      <w:tr w14:paraId="379993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48AB5A42">
            <w:pPr>
              <w:pStyle w:val="41"/>
              <w:adjustRightInd w:val="0"/>
              <w:snapToGrid w:val="0"/>
              <w:ind w:left="-72" w:leftChars="-30" w:right="-72" w:rightChars="-30"/>
            </w:pPr>
            <w:r>
              <w:t>PM</w:t>
            </w:r>
            <w:r>
              <w:rPr>
                <w:vertAlign w:val="subscript"/>
              </w:rPr>
              <w:t>2.5</w:t>
            </w:r>
          </w:p>
        </w:tc>
        <w:tc>
          <w:tcPr>
            <w:tcW w:w="756" w:type="pct"/>
            <w:vMerge w:val="restart"/>
            <w:vAlign w:val="center"/>
          </w:tcPr>
          <w:p w14:paraId="70B2750F">
            <w:pPr>
              <w:pStyle w:val="41"/>
              <w:adjustRightInd w:val="0"/>
              <w:snapToGrid w:val="0"/>
              <w:ind w:left="-72" w:leftChars="-30" w:right="-72" w:rightChars="-30"/>
            </w:pPr>
            <w:r>
              <w:t>μg/m</w:t>
            </w:r>
            <w:r>
              <w:rPr>
                <w:vertAlign w:val="superscript"/>
              </w:rPr>
              <w:t>3</w:t>
            </w:r>
          </w:p>
        </w:tc>
        <w:tc>
          <w:tcPr>
            <w:tcW w:w="928" w:type="pct"/>
            <w:vAlign w:val="center"/>
          </w:tcPr>
          <w:p w14:paraId="0941AD8C">
            <w:pPr>
              <w:pStyle w:val="41"/>
              <w:adjustRightInd w:val="0"/>
              <w:snapToGrid w:val="0"/>
              <w:ind w:left="-72" w:leftChars="-30" w:right="-72" w:rightChars="-30"/>
            </w:pPr>
            <w:r>
              <w:t>年平均</w:t>
            </w:r>
          </w:p>
        </w:tc>
        <w:tc>
          <w:tcPr>
            <w:tcW w:w="871" w:type="pct"/>
            <w:vAlign w:val="center"/>
          </w:tcPr>
          <w:p w14:paraId="37AB9952">
            <w:pPr>
              <w:pStyle w:val="41"/>
              <w:adjustRightInd w:val="0"/>
              <w:snapToGrid w:val="0"/>
              <w:ind w:left="-72" w:leftChars="-30" w:right="-72" w:rightChars="-30"/>
            </w:pPr>
            <w:r>
              <w:t>35</w:t>
            </w:r>
          </w:p>
        </w:tc>
        <w:tc>
          <w:tcPr>
            <w:tcW w:w="1653" w:type="pct"/>
            <w:vMerge w:val="continue"/>
            <w:vAlign w:val="center"/>
          </w:tcPr>
          <w:p w14:paraId="4D25A0E0">
            <w:pPr>
              <w:pStyle w:val="41"/>
              <w:adjustRightInd w:val="0"/>
              <w:snapToGrid w:val="0"/>
              <w:ind w:left="-72" w:leftChars="-30" w:right="-72" w:rightChars="-30"/>
            </w:pPr>
          </w:p>
        </w:tc>
      </w:tr>
      <w:tr w14:paraId="55A5B4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19AF40F2">
            <w:pPr>
              <w:pStyle w:val="41"/>
              <w:adjustRightInd w:val="0"/>
              <w:snapToGrid w:val="0"/>
              <w:ind w:left="-72" w:leftChars="-30" w:right="-72" w:rightChars="-30"/>
            </w:pPr>
          </w:p>
        </w:tc>
        <w:tc>
          <w:tcPr>
            <w:tcW w:w="756" w:type="pct"/>
            <w:vMerge w:val="continue"/>
            <w:vAlign w:val="center"/>
          </w:tcPr>
          <w:p w14:paraId="735B4E77">
            <w:pPr>
              <w:pStyle w:val="41"/>
              <w:adjustRightInd w:val="0"/>
              <w:snapToGrid w:val="0"/>
              <w:ind w:left="-72" w:leftChars="-30" w:right="-72" w:rightChars="-30"/>
            </w:pPr>
          </w:p>
        </w:tc>
        <w:tc>
          <w:tcPr>
            <w:tcW w:w="928" w:type="pct"/>
            <w:vAlign w:val="center"/>
          </w:tcPr>
          <w:p w14:paraId="10DE212C">
            <w:pPr>
              <w:pStyle w:val="41"/>
              <w:adjustRightInd w:val="0"/>
              <w:snapToGrid w:val="0"/>
              <w:ind w:left="-72" w:leftChars="-30" w:right="-72" w:rightChars="-30"/>
            </w:pPr>
            <w:r>
              <w:t>24h平均</w:t>
            </w:r>
          </w:p>
        </w:tc>
        <w:tc>
          <w:tcPr>
            <w:tcW w:w="871" w:type="pct"/>
            <w:vAlign w:val="center"/>
          </w:tcPr>
          <w:p w14:paraId="34AB44DD">
            <w:pPr>
              <w:pStyle w:val="41"/>
              <w:adjustRightInd w:val="0"/>
              <w:snapToGrid w:val="0"/>
              <w:ind w:left="-72" w:leftChars="-30" w:right="-72" w:rightChars="-30"/>
            </w:pPr>
            <w:r>
              <w:t>75</w:t>
            </w:r>
          </w:p>
        </w:tc>
        <w:tc>
          <w:tcPr>
            <w:tcW w:w="1653" w:type="pct"/>
            <w:vMerge w:val="continue"/>
            <w:vAlign w:val="center"/>
          </w:tcPr>
          <w:p w14:paraId="297DAEC0">
            <w:pPr>
              <w:pStyle w:val="41"/>
              <w:adjustRightInd w:val="0"/>
              <w:snapToGrid w:val="0"/>
              <w:ind w:left="-72" w:leftChars="-30" w:right="-72" w:rightChars="-30"/>
            </w:pPr>
          </w:p>
        </w:tc>
      </w:tr>
      <w:tr w14:paraId="7C81D0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5114CC2C">
            <w:pPr>
              <w:pStyle w:val="41"/>
              <w:adjustRightInd w:val="0"/>
              <w:snapToGrid w:val="0"/>
              <w:ind w:left="-72" w:leftChars="-30" w:right="-72" w:rightChars="-30"/>
            </w:pPr>
            <w:r>
              <w:t>TSP</w:t>
            </w:r>
          </w:p>
        </w:tc>
        <w:tc>
          <w:tcPr>
            <w:tcW w:w="756" w:type="pct"/>
            <w:vMerge w:val="restart"/>
            <w:vAlign w:val="center"/>
          </w:tcPr>
          <w:p w14:paraId="25E98F53">
            <w:pPr>
              <w:pStyle w:val="41"/>
              <w:adjustRightInd w:val="0"/>
              <w:snapToGrid w:val="0"/>
              <w:ind w:left="-72" w:leftChars="-30" w:right="-72" w:rightChars="-30"/>
            </w:pPr>
            <w:r>
              <w:t>μg/m</w:t>
            </w:r>
            <w:r>
              <w:rPr>
                <w:vertAlign w:val="superscript"/>
              </w:rPr>
              <w:t>3</w:t>
            </w:r>
          </w:p>
        </w:tc>
        <w:tc>
          <w:tcPr>
            <w:tcW w:w="928" w:type="pct"/>
            <w:vAlign w:val="center"/>
          </w:tcPr>
          <w:p w14:paraId="0C2C26BE">
            <w:pPr>
              <w:pStyle w:val="41"/>
              <w:adjustRightInd w:val="0"/>
              <w:snapToGrid w:val="0"/>
              <w:ind w:left="-72" w:leftChars="-30" w:right="-72" w:rightChars="-30"/>
            </w:pPr>
            <w:r>
              <w:t>年平均</w:t>
            </w:r>
          </w:p>
        </w:tc>
        <w:tc>
          <w:tcPr>
            <w:tcW w:w="871" w:type="pct"/>
            <w:vAlign w:val="center"/>
          </w:tcPr>
          <w:p w14:paraId="14D6F45C">
            <w:pPr>
              <w:pStyle w:val="41"/>
              <w:adjustRightInd w:val="0"/>
              <w:snapToGrid w:val="0"/>
              <w:ind w:left="-72" w:leftChars="-30" w:right="-72" w:rightChars="-30"/>
            </w:pPr>
            <w:r>
              <w:t>200</w:t>
            </w:r>
          </w:p>
        </w:tc>
        <w:tc>
          <w:tcPr>
            <w:tcW w:w="1653" w:type="pct"/>
            <w:vMerge w:val="continue"/>
            <w:vAlign w:val="center"/>
          </w:tcPr>
          <w:p w14:paraId="15691CC8">
            <w:pPr>
              <w:pStyle w:val="41"/>
              <w:adjustRightInd w:val="0"/>
              <w:snapToGrid w:val="0"/>
              <w:ind w:left="-72" w:leftChars="-30" w:right="-72" w:rightChars="-30"/>
            </w:pPr>
          </w:p>
        </w:tc>
      </w:tr>
      <w:tr w14:paraId="429A62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1B226F7A">
            <w:pPr>
              <w:pStyle w:val="41"/>
              <w:adjustRightInd w:val="0"/>
              <w:snapToGrid w:val="0"/>
              <w:ind w:left="-72" w:leftChars="-30" w:right="-72" w:rightChars="-30"/>
            </w:pPr>
          </w:p>
        </w:tc>
        <w:tc>
          <w:tcPr>
            <w:tcW w:w="756" w:type="pct"/>
            <w:vMerge w:val="continue"/>
            <w:vAlign w:val="center"/>
          </w:tcPr>
          <w:p w14:paraId="131B5518">
            <w:pPr>
              <w:pStyle w:val="41"/>
              <w:adjustRightInd w:val="0"/>
              <w:snapToGrid w:val="0"/>
              <w:ind w:left="-72" w:leftChars="-30" w:right="-72" w:rightChars="-30"/>
            </w:pPr>
          </w:p>
        </w:tc>
        <w:tc>
          <w:tcPr>
            <w:tcW w:w="928" w:type="pct"/>
            <w:vAlign w:val="center"/>
          </w:tcPr>
          <w:p w14:paraId="1A9C2EEC">
            <w:pPr>
              <w:pStyle w:val="41"/>
              <w:adjustRightInd w:val="0"/>
              <w:snapToGrid w:val="0"/>
              <w:ind w:left="-72" w:leftChars="-30" w:right="-72" w:rightChars="-30"/>
            </w:pPr>
            <w:r>
              <w:t>24h平均</w:t>
            </w:r>
          </w:p>
        </w:tc>
        <w:tc>
          <w:tcPr>
            <w:tcW w:w="871" w:type="pct"/>
            <w:vAlign w:val="center"/>
          </w:tcPr>
          <w:p w14:paraId="74C0C5DC">
            <w:pPr>
              <w:pStyle w:val="41"/>
              <w:adjustRightInd w:val="0"/>
              <w:snapToGrid w:val="0"/>
              <w:ind w:left="-72" w:leftChars="-30" w:right="-72" w:rightChars="-30"/>
            </w:pPr>
            <w:r>
              <w:t>300</w:t>
            </w:r>
          </w:p>
        </w:tc>
        <w:tc>
          <w:tcPr>
            <w:tcW w:w="1653" w:type="pct"/>
            <w:vMerge w:val="continue"/>
            <w:vAlign w:val="center"/>
          </w:tcPr>
          <w:p w14:paraId="2273769E">
            <w:pPr>
              <w:pStyle w:val="41"/>
              <w:adjustRightInd w:val="0"/>
              <w:snapToGrid w:val="0"/>
              <w:ind w:left="-72" w:leftChars="-30" w:right="-72" w:rightChars="-30"/>
            </w:pPr>
          </w:p>
        </w:tc>
      </w:tr>
      <w:tr w14:paraId="189B75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37B7AC02">
            <w:pPr>
              <w:pStyle w:val="41"/>
              <w:adjustRightInd w:val="0"/>
              <w:snapToGrid w:val="0"/>
              <w:ind w:left="-72" w:leftChars="-30" w:right="-72" w:rightChars="-30"/>
            </w:pPr>
            <w:r>
              <w:t>氟化物</w:t>
            </w:r>
          </w:p>
        </w:tc>
        <w:tc>
          <w:tcPr>
            <w:tcW w:w="756" w:type="pct"/>
            <w:vMerge w:val="restart"/>
            <w:vAlign w:val="center"/>
          </w:tcPr>
          <w:p w14:paraId="1C4E8725">
            <w:pPr>
              <w:pStyle w:val="41"/>
              <w:adjustRightInd w:val="0"/>
              <w:snapToGrid w:val="0"/>
              <w:ind w:left="-72" w:leftChars="-30" w:right="-72" w:rightChars="-30"/>
            </w:pPr>
            <w:r>
              <w:t>μg/m</w:t>
            </w:r>
            <w:r>
              <w:rPr>
                <w:vertAlign w:val="superscript"/>
              </w:rPr>
              <w:t>3</w:t>
            </w:r>
          </w:p>
        </w:tc>
        <w:tc>
          <w:tcPr>
            <w:tcW w:w="928" w:type="pct"/>
            <w:vAlign w:val="center"/>
          </w:tcPr>
          <w:p w14:paraId="0BA355AF">
            <w:pPr>
              <w:pStyle w:val="41"/>
              <w:adjustRightInd w:val="0"/>
              <w:snapToGrid w:val="0"/>
              <w:ind w:left="-72" w:leftChars="-30" w:right="-72" w:rightChars="-30"/>
            </w:pPr>
            <w:r>
              <w:t>24h平均</w:t>
            </w:r>
          </w:p>
        </w:tc>
        <w:tc>
          <w:tcPr>
            <w:tcW w:w="871" w:type="pct"/>
            <w:vAlign w:val="center"/>
          </w:tcPr>
          <w:p w14:paraId="141AD9BE">
            <w:pPr>
              <w:pStyle w:val="41"/>
              <w:adjustRightInd w:val="0"/>
              <w:snapToGrid w:val="0"/>
              <w:ind w:left="-72" w:leftChars="-30" w:right="-72" w:rightChars="-30"/>
            </w:pPr>
            <w:r>
              <w:t>7</w:t>
            </w:r>
          </w:p>
        </w:tc>
        <w:tc>
          <w:tcPr>
            <w:tcW w:w="1653" w:type="pct"/>
            <w:vMerge w:val="continue"/>
            <w:vAlign w:val="center"/>
          </w:tcPr>
          <w:p w14:paraId="65200638">
            <w:pPr>
              <w:pStyle w:val="41"/>
              <w:adjustRightInd w:val="0"/>
              <w:snapToGrid w:val="0"/>
              <w:ind w:left="-72" w:leftChars="-30" w:right="-72" w:rightChars="-30"/>
            </w:pPr>
          </w:p>
        </w:tc>
      </w:tr>
      <w:tr w14:paraId="3EE25B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1EE5497D">
            <w:pPr>
              <w:pStyle w:val="41"/>
              <w:adjustRightInd w:val="0"/>
              <w:snapToGrid w:val="0"/>
              <w:ind w:left="-72" w:leftChars="-30" w:right="-72" w:rightChars="-30"/>
            </w:pPr>
          </w:p>
        </w:tc>
        <w:tc>
          <w:tcPr>
            <w:tcW w:w="756" w:type="pct"/>
            <w:vMerge w:val="continue"/>
            <w:vAlign w:val="center"/>
          </w:tcPr>
          <w:p w14:paraId="5D40FFDF">
            <w:pPr>
              <w:pStyle w:val="41"/>
              <w:adjustRightInd w:val="0"/>
              <w:snapToGrid w:val="0"/>
              <w:ind w:left="-72" w:leftChars="-30" w:right="-72" w:rightChars="-30"/>
            </w:pPr>
          </w:p>
        </w:tc>
        <w:tc>
          <w:tcPr>
            <w:tcW w:w="928" w:type="pct"/>
            <w:vAlign w:val="center"/>
          </w:tcPr>
          <w:p w14:paraId="21A50872">
            <w:pPr>
              <w:pStyle w:val="41"/>
              <w:adjustRightInd w:val="0"/>
              <w:snapToGrid w:val="0"/>
              <w:ind w:left="-72" w:leftChars="-30" w:right="-72" w:rightChars="-30"/>
            </w:pPr>
            <w:r>
              <w:t>1h平均</w:t>
            </w:r>
          </w:p>
        </w:tc>
        <w:tc>
          <w:tcPr>
            <w:tcW w:w="871" w:type="pct"/>
            <w:vAlign w:val="center"/>
          </w:tcPr>
          <w:p w14:paraId="5341CF9C">
            <w:pPr>
              <w:pStyle w:val="41"/>
              <w:adjustRightInd w:val="0"/>
              <w:snapToGrid w:val="0"/>
              <w:ind w:left="-72" w:leftChars="-30" w:right="-72" w:rightChars="-30"/>
            </w:pPr>
            <w:r>
              <w:t>20</w:t>
            </w:r>
          </w:p>
        </w:tc>
        <w:tc>
          <w:tcPr>
            <w:tcW w:w="1653" w:type="pct"/>
            <w:vMerge w:val="continue"/>
            <w:vAlign w:val="center"/>
          </w:tcPr>
          <w:p w14:paraId="1EC6777B">
            <w:pPr>
              <w:pStyle w:val="41"/>
              <w:adjustRightInd w:val="0"/>
              <w:snapToGrid w:val="0"/>
              <w:ind w:left="-72" w:leftChars="-30" w:right="-72" w:rightChars="-30"/>
            </w:pPr>
          </w:p>
        </w:tc>
      </w:tr>
      <w:tr w14:paraId="57A76C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restart"/>
            <w:vAlign w:val="center"/>
          </w:tcPr>
          <w:p w14:paraId="0CCC4331">
            <w:pPr>
              <w:pStyle w:val="41"/>
              <w:adjustRightInd w:val="0"/>
              <w:snapToGrid w:val="0"/>
              <w:ind w:left="-72" w:leftChars="-30" w:right="-72" w:rightChars="-30"/>
            </w:pPr>
            <w:r>
              <w:t>二噁英类</w:t>
            </w:r>
          </w:p>
        </w:tc>
        <w:tc>
          <w:tcPr>
            <w:tcW w:w="756" w:type="pct"/>
            <w:vMerge w:val="restart"/>
            <w:vAlign w:val="center"/>
          </w:tcPr>
          <w:p w14:paraId="133A6221">
            <w:pPr>
              <w:widowControl/>
              <w:adjustRightInd w:val="0"/>
              <w:snapToGrid w:val="0"/>
              <w:spacing w:line="240" w:lineRule="auto"/>
              <w:ind w:left="-72" w:leftChars="-30" w:right="-72" w:rightChars="-30" w:firstLine="200" w:firstLineChars="100"/>
              <w:jc w:val="left"/>
            </w:pPr>
            <w:r>
              <w:rPr>
                <w:kern w:val="0"/>
                <w:sz w:val="20"/>
                <w:szCs w:val="20"/>
                <w:lang w:bidi="ar"/>
              </w:rPr>
              <w:t>pgTEQ/</w:t>
            </w:r>
            <w:r>
              <w:t>m</w:t>
            </w:r>
            <w:r>
              <w:rPr>
                <w:vertAlign w:val="superscript"/>
              </w:rPr>
              <w:t>3</w:t>
            </w:r>
          </w:p>
        </w:tc>
        <w:tc>
          <w:tcPr>
            <w:tcW w:w="928" w:type="pct"/>
            <w:vAlign w:val="center"/>
          </w:tcPr>
          <w:p w14:paraId="41D34FB9">
            <w:pPr>
              <w:pStyle w:val="41"/>
              <w:adjustRightInd w:val="0"/>
              <w:snapToGrid w:val="0"/>
              <w:ind w:left="-72" w:leftChars="-30" w:right="-72" w:rightChars="-30"/>
            </w:pPr>
            <w:r>
              <w:t>年平均</w:t>
            </w:r>
          </w:p>
        </w:tc>
        <w:tc>
          <w:tcPr>
            <w:tcW w:w="871" w:type="pct"/>
            <w:vAlign w:val="center"/>
          </w:tcPr>
          <w:p w14:paraId="62A64DD6">
            <w:pPr>
              <w:pStyle w:val="41"/>
              <w:adjustRightInd w:val="0"/>
              <w:snapToGrid w:val="0"/>
              <w:ind w:left="-72" w:leftChars="-30" w:right="-72" w:rightChars="-30"/>
            </w:pPr>
            <w:r>
              <w:t>0.6</w:t>
            </w:r>
          </w:p>
        </w:tc>
        <w:tc>
          <w:tcPr>
            <w:tcW w:w="1653" w:type="pct"/>
            <w:vAlign w:val="center"/>
          </w:tcPr>
          <w:p w14:paraId="2104FE95">
            <w:pPr>
              <w:pStyle w:val="41"/>
              <w:adjustRightInd w:val="0"/>
              <w:snapToGrid w:val="0"/>
              <w:ind w:left="-72" w:leftChars="-30" w:right="-72" w:rightChars="-30"/>
            </w:pPr>
            <w:r>
              <w:t>日本环境质量标准</w:t>
            </w:r>
          </w:p>
        </w:tc>
      </w:tr>
      <w:tr w14:paraId="77A04C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4D0A8EEC">
            <w:pPr>
              <w:pStyle w:val="41"/>
              <w:adjustRightInd w:val="0"/>
              <w:snapToGrid w:val="0"/>
              <w:ind w:left="-72" w:leftChars="-30" w:right="-72" w:rightChars="-30"/>
            </w:pPr>
          </w:p>
        </w:tc>
        <w:tc>
          <w:tcPr>
            <w:tcW w:w="756" w:type="pct"/>
            <w:vMerge w:val="continue"/>
            <w:vAlign w:val="center"/>
          </w:tcPr>
          <w:p w14:paraId="2919D0DF">
            <w:pPr>
              <w:widowControl/>
              <w:adjustRightInd w:val="0"/>
              <w:snapToGrid w:val="0"/>
              <w:spacing w:line="240" w:lineRule="auto"/>
              <w:ind w:left="-72" w:leftChars="-30" w:right="-72" w:rightChars="-30" w:firstLine="200" w:firstLineChars="100"/>
              <w:jc w:val="left"/>
              <w:rPr>
                <w:kern w:val="0"/>
                <w:sz w:val="20"/>
                <w:szCs w:val="20"/>
                <w:lang w:bidi="ar"/>
              </w:rPr>
            </w:pPr>
          </w:p>
        </w:tc>
        <w:tc>
          <w:tcPr>
            <w:tcW w:w="928" w:type="pct"/>
            <w:vAlign w:val="center"/>
          </w:tcPr>
          <w:p w14:paraId="5E6ECC62">
            <w:pPr>
              <w:pStyle w:val="41"/>
              <w:adjustRightInd w:val="0"/>
              <w:snapToGrid w:val="0"/>
              <w:ind w:left="-72" w:leftChars="-30" w:right="-72" w:rightChars="-30"/>
            </w:pPr>
            <w:r>
              <w:t>日平均</w:t>
            </w:r>
          </w:p>
        </w:tc>
        <w:tc>
          <w:tcPr>
            <w:tcW w:w="871" w:type="pct"/>
            <w:vAlign w:val="center"/>
          </w:tcPr>
          <w:p w14:paraId="5BA3AF7B">
            <w:pPr>
              <w:pStyle w:val="41"/>
              <w:adjustRightInd w:val="0"/>
              <w:snapToGrid w:val="0"/>
              <w:ind w:left="-72" w:leftChars="-30" w:right="-72" w:rightChars="-30"/>
            </w:pPr>
            <w:r>
              <w:t>1.8</w:t>
            </w:r>
          </w:p>
        </w:tc>
        <w:tc>
          <w:tcPr>
            <w:tcW w:w="1653" w:type="pct"/>
            <w:vMerge w:val="restart"/>
            <w:vAlign w:val="center"/>
          </w:tcPr>
          <w:p w14:paraId="318FE065">
            <w:pPr>
              <w:pStyle w:val="41"/>
              <w:adjustRightInd w:val="0"/>
              <w:snapToGrid w:val="0"/>
              <w:ind w:left="-72" w:leftChars="-30" w:right="-72" w:rightChars="-30"/>
            </w:pPr>
            <w:r>
              <w:t>《环境影响评价技术导则 大气环境》（HJ2.2-2018）进行折算</w:t>
            </w:r>
          </w:p>
        </w:tc>
      </w:tr>
      <w:tr w14:paraId="24B820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Merge w:val="continue"/>
            <w:vAlign w:val="center"/>
          </w:tcPr>
          <w:p w14:paraId="5BB4B9FA">
            <w:pPr>
              <w:pStyle w:val="41"/>
              <w:adjustRightInd w:val="0"/>
              <w:snapToGrid w:val="0"/>
              <w:ind w:left="-72" w:leftChars="-30" w:right="-72" w:rightChars="-30"/>
            </w:pPr>
          </w:p>
        </w:tc>
        <w:tc>
          <w:tcPr>
            <w:tcW w:w="756" w:type="pct"/>
            <w:vMerge w:val="continue"/>
            <w:vAlign w:val="center"/>
          </w:tcPr>
          <w:p w14:paraId="3F4F928C">
            <w:pPr>
              <w:widowControl/>
              <w:adjustRightInd w:val="0"/>
              <w:snapToGrid w:val="0"/>
              <w:spacing w:line="240" w:lineRule="auto"/>
              <w:ind w:left="-72" w:leftChars="-30" w:right="-72" w:rightChars="-30" w:firstLine="200" w:firstLineChars="100"/>
              <w:jc w:val="left"/>
              <w:rPr>
                <w:kern w:val="0"/>
                <w:sz w:val="20"/>
                <w:szCs w:val="20"/>
                <w:lang w:bidi="ar"/>
              </w:rPr>
            </w:pPr>
          </w:p>
        </w:tc>
        <w:tc>
          <w:tcPr>
            <w:tcW w:w="928" w:type="pct"/>
            <w:vAlign w:val="center"/>
          </w:tcPr>
          <w:p w14:paraId="6AB5DFD2">
            <w:pPr>
              <w:pStyle w:val="41"/>
              <w:adjustRightInd w:val="0"/>
              <w:snapToGrid w:val="0"/>
              <w:ind w:left="-72" w:leftChars="-30" w:right="-72" w:rightChars="-30"/>
            </w:pPr>
            <w:r>
              <w:t>1h平均</w:t>
            </w:r>
          </w:p>
        </w:tc>
        <w:tc>
          <w:tcPr>
            <w:tcW w:w="871" w:type="pct"/>
            <w:vAlign w:val="center"/>
          </w:tcPr>
          <w:p w14:paraId="5E5868C2">
            <w:pPr>
              <w:pStyle w:val="41"/>
              <w:adjustRightInd w:val="0"/>
              <w:snapToGrid w:val="0"/>
              <w:ind w:left="-72" w:leftChars="-30" w:right="-72" w:rightChars="-30"/>
            </w:pPr>
            <w:r>
              <w:t>3.6</w:t>
            </w:r>
          </w:p>
        </w:tc>
        <w:tc>
          <w:tcPr>
            <w:tcW w:w="1653" w:type="pct"/>
            <w:vMerge w:val="continue"/>
            <w:vAlign w:val="center"/>
          </w:tcPr>
          <w:p w14:paraId="00B7C2C8">
            <w:pPr>
              <w:pStyle w:val="41"/>
              <w:adjustRightInd w:val="0"/>
              <w:snapToGrid w:val="0"/>
              <w:ind w:left="-72" w:leftChars="-30" w:right="-72" w:rightChars="-30"/>
            </w:pPr>
          </w:p>
        </w:tc>
      </w:tr>
      <w:tr w14:paraId="0D1280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92" w:type="pct"/>
            <w:vAlign w:val="center"/>
          </w:tcPr>
          <w:p w14:paraId="46B5C25F">
            <w:pPr>
              <w:pStyle w:val="41"/>
              <w:adjustRightInd w:val="0"/>
              <w:snapToGrid w:val="0"/>
              <w:ind w:left="-72" w:leftChars="-30" w:right="-72" w:rightChars="-30"/>
            </w:pPr>
            <w:r>
              <w:t>氨</w:t>
            </w:r>
          </w:p>
        </w:tc>
        <w:tc>
          <w:tcPr>
            <w:tcW w:w="756" w:type="pct"/>
            <w:vAlign w:val="center"/>
          </w:tcPr>
          <w:p w14:paraId="45EE8BD1">
            <w:pPr>
              <w:widowControl/>
              <w:adjustRightInd w:val="0"/>
              <w:snapToGrid w:val="0"/>
              <w:spacing w:line="240" w:lineRule="auto"/>
              <w:ind w:left="-72" w:leftChars="-30" w:right="-72" w:rightChars="-30" w:firstLine="240" w:firstLineChars="100"/>
              <w:jc w:val="left"/>
              <w:rPr>
                <w:kern w:val="0"/>
                <w:sz w:val="20"/>
                <w:szCs w:val="20"/>
                <w:lang w:bidi="ar"/>
              </w:rPr>
            </w:pPr>
            <w:r>
              <w:t>μg/m</w:t>
            </w:r>
            <w:r>
              <w:rPr>
                <w:vertAlign w:val="superscript"/>
              </w:rPr>
              <w:t>3</w:t>
            </w:r>
          </w:p>
        </w:tc>
        <w:tc>
          <w:tcPr>
            <w:tcW w:w="928" w:type="pct"/>
            <w:vAlign w:val="center"/>
          </w:tcPr>
          <w:p w14:paraId="6B76B63A">
            <w:pPr>
              <w:pStyle w:val="41"/>
              <w:adjustRightInd w:val="0"/>
              <w:snapToGrid w:val="0"/>
              <w:ind w:left="-72" w:leftChars="-30" w:right="-72" w:rightChars="-30"/>
            </w:pPr>
            <w:r>
              <w:t>1h平均</w:t>
            </w:r>
          </w:p>
        </w:tc>
        <w:tc>
          <w:tcPr>
            <w:tcW w:w="871" w:type="pct"/>
            <w:vAlign w:val="center"/>
          </w:tcPr>
          <w:p w14:paraId="4439BF17">
            <w:pPr>
              <w:pStyle w:val="41"/>
              <w:adjustRightInd w:val="0"/>
              <w:snapToGrid w:val="0"/>
              <w:ind w:left="-72" w:leftChars="-30" w:right="-72" w:rightChars="-30"/>
            </w:pPr>
            <w:r>
              <w:t>200</w:t>
            </w:r>
          </w:p>
        </w:tc>
        <w:tc>
          <w:tcPr>
            <w:tcW w:w="1653" w:type="pct"/>
            <w:vAlign w:val="center"/>
          </w:tcPr>
          <w:p w14:paraId="76649E1C">
            <w:pPr>
              <w:pStyle w:val="41"/>
              <w:adjustRightInd w:val="0"/>
              <w:snapToGrid w:val="0"/>
              <w:ind w:left="-72" w:leftChars="-30" w:right="-72" w:rightChars="-30"/>
            </w:pPr>
            <w:r>
              <w:t>《环境影响评价技术导则 大气环境》（HJ2.2-2018）附录D</w:t>
            </w:r>
          </w:p>
        </w:tc>
      </w:tr>
    </w:tbl>
    <w:p w14:paraId="19D1B637">
      <w:pPr>
        <w:pStyle w:val="40"/>
        <w:spacing w:before="156"/>
      </w:pPr>
      <w:r>
        <w:t>表2.3-4    地下水环境质量标准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48"/>
        <w:gridCol w:w="1745"/>
        <w:gridCol w:w="1692"/>
        <w:gridCol w:w="2634"/>
      </w:tblGrid>
      <w:tr w14:paraId="74197D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437" w:type="pct"/>
            <w:vAlign w:val="center"/>
          </w:tcPr>
          <w:p w14:paraId="1D480917">
            <w:pPr>
              <w:pStyle w:val="41"/>
            </w:pPr>
            <w:r>
              <w:t>污染物名称</w:t>
            </w:r>
          </w:p>
        </w:tc>
        <w:tc>
          <w:tcPr>
            <w:tcW w:w="1024" w:type="pct"/>
            <w:vAlign w:val="center"/>
          </w:tcPr>
          <w:p w14:paraId="6F91782A">
            <w:pPr>
              <w:pStyle w:val="41"/>
            </w:pPr>
            <w:r>
              <w:t>单位</w:t>
            </w:r>
          </w:p>
        </w:tc>
        <w:tc>
          <w:tcPr>
            <w:tcW w:w="993" w:type="pct"/>
            <w:vAlign w:val="center"/>
          </w:tcPr>
          <w:p w14:paraId="3ABBE808">
            <w:pPr>
              <w:pStyle w:val="41"/>
            </w:pPr>
            <w:r>
              <w:t>标准值</w:t>
            </w:r>
          </w:p>
        </w:tc>
        <w:tc>
          <w:tcPr>
            <w:tcW w:w="1546" w:type="pct"/>
            <w:vAlign w:val="center"/>
          </w:tcPr>
          <w:p w14:paraId="55C14FA6">
            <w:pPr>
              <w:pStyle w:val="41"/>
            </w:pPr>
            <w:r>
              <w:t>标准来源</w:t>
            </w:r>
          </w:p>
        </w:tc>
      </w:tr>
      <w:tr w14:paraId="2D93C4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10FDF947">
            <w:pPr>
              <w:pStyle w:val="41"/>
            </w:pPr>
            <w:r>
              <w:t>pH</w:t>
            </w:r>
          </w:p>
        </w:tc>
        <w:tc>
          <w:tcPr>
            <w:tcW w:w="1024" w:type="pct"/>
            <w:vAlign w:val="center"/>
          </w:tcPr>
          <w:p w14:paraId="7A50CD9D">
            <w:pPr>
              <w:pStyle w:val="41"/>
            </w:pPr>
            <w:r>
              <w:t>无量纲</w:t>
            </w:r>
          </w:p>
        </w:tc>
        <w:tc>
          <w:tcPr>
            <w:tcW w:w="993" w:type="pct"/>
            <w:vAlign w:val="center"/>
          </w:tcPr>
          <w:p w14:paraId="08ED026A">
            <w:pPr>
              <w:pStyle w:val="41"/>
            </w:pPr>
            <w:r>
              <w:t>6.5～8.5</w:t>
            </w:r>
          </w:p>
        </w:tc>
        <w:tc>
          <w:tcPr>
            <w:tcW w:w="1546" w:type="pct"/>
            <w:vMerge w:val="restart"/>
            <w:vAlign w:val="center"/>
          </w:tcPr>
          <w:p w14:paraId="07825216">
            <w:pPr>
              <w:pStyle w:val="41"/>
            </w:pPr>
            <w:r>
              <w:t>《地下水质量标准》（GB/T14848-2017）Ⅲ类标准</w:t>
            </w:r>
          </w:p>
        </w:tc>
      </w:tr>
      <w:tr w14:paraId="1CBA9C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18E9FAAD">
            <w:pPr>
              <w:pStyle w:val="41"/>
            </w:pPr>
            <w:r>
              <w:t>氨氮</w:t>
            </w:r>
          </w:p>
        </w:tc>
        <w:tc>
          <w:tcPr>
            <w:tcW w:w="1024" w:type="pct"/>
            <w:vAlign w:val="center"/>
          </w:tcPr>
          <w:p w14:paraId="63427133">
            <w:pPr>
              <w:pStyle w:val="41"/>
            </w:pPr>
            <w:r>
              <w:t>mg/L</w:t>
            </w:r>
          </w:p>
        </w:tc>
        <w:tc>
          <w:tcPr>
            <w:tcW w:w="993" w:type="pct"/>
            <w:vAlign w:val="center"/>
          </w:tcPr>
          <w:p w14:paraId="06FD8DC5">
            <w:pPr>
              <w:pStyle w:val="41"/>
            </w:pPr>
            <w:r>
              <w:t>≤0.50</w:t>
            </w:r>
          </w:p>
        </w:tc>
        <w:tc>
          <w:tcPr>
            <w:tcW w:w="1546" w:type="pct"/>
            <w:vMerge w:val="continue"/>
            <w:vAlign w:val="center"/>
          </w:tcPr>
          <w:p w14:paraId="483462AF">
            <w:pPr>
              <w:pStyle w:val="41"/>
            </w:pPr>
          </w:p>
        </w:tc>
      </w:tr>
      <w:tr w14:paraId="49B43B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3E066AED">
            <w:pPr>
              <w:pStyle w:val="41"/>
            </w:pPr>
            <w:r>
              <w:rPr>
                <w:kern w:val="0"/>
              </w:rPr>
              <w:t>溶解性总固体</w:t>
            </w:r>
          </w:p>
        </w:tc>
        <w:tc>
          <w:tcPr>
            <w:tcW w:w="1024" w:type="pct"/>
            <w:vAlign w:val="center"/>
          </w:tcPr>
          <w:p w14:paraId="1740D440">
            <w:pPr>
              <w:pStyle w:val="41"/>
            </w:pPr>
            <w:r>
              <w:t>mg/L</w:t>
            </w:r>
          </w:p>
        </w:tc>
        <w:tc>
          <w:tcPr>
            <w:tcW w:w="993" w:type="pct"/>
            <w:vAlign w:val="center"/>
          </w:tcPr>
          <w:p w14:paraId="2D1B6009">
            <w:pPr>
              <w:pStyle w:val="41"/>
              <w:ind w:firstLine="420" w:firstLineChars="200"/>
              <w:jc w:val="both"/>
            </w:pPr>
            <w:r>
              <w:t>≤1000</w:t>
            </w:r>
          </w:p>
        </w:tc>
        <w:tc>
          <w:tcPr>
            <w:tcW w:w="1546" w:type="pct"/>
            <w:vMerge w:val="continue"/>
            <w:vAlign w:val="center"/>
          </w:tcPr>
          <w:p w14:paraId="0E40095F">
            <w:pPr>
              <w:pStyle w:val="41"/>
            </w:pPr>
          </w:p>
        </w:tc>
      </w:tr>
      <w:tr w14:paraId="5C9E11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22617413">
            <w:pPr>
              <w:pStyle w:val="41"/>
            </w:pPr>
            <w:r>
              <w:t>K</w:t>
            </w:r>
            <w:r>
              <w:rPr>
                <w:vertAlign w:val="superscript"/>
              </w:rPr>
              <w:t>+</w:t>
            </w:r>
          </w:p>
        </w:tc>
        <w:tc>
          <w:tcPr>
            <w:tcW w:w="1024" w:type="pct"/>
            <w:vAlign w:val="center"/>
          </w:tcPr>
          <w:p w14:paraId="0FAEC0CA">
            <w:pPr>
              <w:pStyle w:val="41"/>
            </w:pPr>
            <w:r>
              <w:t>mg/L</w:t>
            </w:r>
          </w:p>
        </w:tc>
        <w:tc>
          <w:tcPr>
            <w:tcW w:w="993" w:type="pct"/>
            <w:vAlign w:val="center"/>
          </w:tcPr>
          <w:p w14:paraId="3E26CE97">
            <w:pPr>
              <w:pStyle w:val="41"/>
            </w:pPr>
            <w:r>
              <w:t>/</w:t>
            </w:r>
          </w:p>
        </w:tc>
        <w:tc>
          <w:tcPr>
            <w:tcW w:w="1546" w:type="pct"/>
            <w:vMerge w:val="continue"/>
            <w:vAlign w:val="center"/>
          </w:tcPr>
          <w:p w14:paraId="71D03C16">
            <w:pPr>
              <w:pStyle w:val="41"/>
            </w:pPr>
          </w:p>
        </w:tc>
      </w:tr>
      <w:tr w14:paraId="1E8BF6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372192C6">
            <w:pPr>
              <w:pStyle w:val="41"/>
            </w:pPr>
            <w:r>
              <w:t>氰化物</w:t>
            </w:r>
          </w:p>
        </w:tc>
        <w:tc>
          <w:tcPr>
            <w:tcW w:w="1024" w:type="pct"/>
            <w:vAlign w:val="center"/>
          </w:tcPr>
          <w:p w14:paraId="1E089730">
            <w:pPr>
              <w:pStyle w:val="41"/>
            </w:pPr>
            <w:r>
              <w:t>mg/L</w:t>
            </w:r>
          </w:p>
        </w:tc>
        <w:tc>
          <w:tcPr>
            <w:tcW w:w="993" w:type="pct"/>
            <w:vAlign w:val="center"/>
          </w:tcPr>
          <w:p w14:paraId="4A9CDD6F">
            <w:pPr>
              <w:pStyle w:val="41"/>
            </w:pPr>
            <w:r>
              <w:t>≤0.05</w:t>
            </w:r>
          </w:p>
        </w:tc>
        <w:tc>
          <w:tcPr>
            <w:tcW w:w="1546" w:type="pct"/>
            <w:vMerge w:val="continue"/>
            <w:vAlign w:val="center"/>
          </w:tcPr>
          <w:p w14:paraId="7EE7D2B9">
            <w:pPr>
              <w:pStyle w:val="41"/>
            </w:pPr>
          </w:p>
        </w:tc>
      </w:tr>
      <w:tr w14:paraId="3052F0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7A7D3B22">
            <w:pPr>
              <w:pStyle w:val="41"/>
            </w:pPr>
            <w:r>
              <w:t>砷</w:t>
            </w:r>
          </w:p>
        </w:tc>
        <w:tc>
          <w:tcPr>
            <w:tcW w:w="1024" w:type="pct"/>
            <w:vAlign w:val="center"/>
          </w:tcPr>
          <w:p w14:paraId="315279FE">
            <w:pPr>
              <w:pStyle w:val="41"/>
            </w:pPr>
            <w:r>
              <w:t>mg/L</w:t>
            </w:r>
          </w:p>
        </w:tc>
        <w:tc>
          <w:tcPr>
            <w:tcW w:w="993" w:type="pct"/>
            <w:vAlign w:val="center"/>
          </w:tcPr>
          <w:p w14:paraId="441EDBD1">
            <w:pPr>
              <w:pStyle w:val="41"/>
            </w:pPr>
            <w:r>
              <w:t>≤0.01</w:t>
            </w:r>
          </w:p>
        </w:tc>
        <w:tc>
          <w:tcPr>
            <w:tcW w:w="1546" w:type="pct"/>
            <w:vMerge w:val="continue"/>
            <w:vAlign w:val="center"/>
          </w:tcPr>
          <w:p w14:paraId="6EE3B2E5">
            <w:pPr>
              <w:pStyle w:val="41"/>
            </w:pPr>
          </w:p>
        </w:tc>
      </w:tr>
      <w:tr w14:paraId="4AC18C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78DF7651">
            <w:pPr>
              <w:pStyle w:val="41"/>
            </w:pPr>
            <w:r>
              <w:t>汞</w:t>
            </w:r>
          </w:p>
        </w:tc>
        <w:tc>
          <w:tcPr>
            <w:tcW w:w="1024" w:type="pct"/>
            <w:vAlign w:val="center"/>
          </w:tcPr>
          <w:p w14:paraId="2FCAFC03">
            <w:pPr>
              <w:pStyle w:val="41"/>
            </w:pPr>
            <w:r>
              <w:t>mg/L</w:t>
            </w:r>
          </w:p>
        </w:tc>
        <w:tc>
          <w:tcPr>
            <w:tcW w:w="993" w:type="pct"/>
            <w:vAlign w:val="center"/>
          </w:tcPr>
          <w:p w14:paraId="1932B8DD">
            <w:pPr>
              <w:pStyle w:val="41"/>
            </w:pPr>
            <w:r>
              <w:t>≤0.001</w:t>
            </w:r>
          </w:p>
        </w:tc>
        <w:tc>
          <w:tcPr>
            <w:tcW w:w="1546" w:type="pct"/>
            <w:vMerge w:val="continue"/>
            <w:vAlign w:val="center"/>
          </w:tcPr>
          <w:p w14:paraId="49EAAB7C">
            <w:pPr>
              <w:pStyle w:val="41"/>
            </w:pPr>
          </w:p>
        </w:tc>
      </w:tr>
      <w:tr w14:paraId="212199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7E395176">
            <w:pPr>
              <w:pStyle w:val="41"/>
            </w:pPr>
            <w:r>
              <w:t>铬（六价）</w:t>
            </w:r>
          </w:p>
        </w:tc>
        <w:tc>
          <w:tcPr>
            <w:tcW w:w="1024" w:type="pct"/>
            <w:vAlign w:val="center"/>
          </w:tcPr>
          <w:p w14:paraId="77F71912">
            <w:pPr>
              <w:pStyle w:val="41"/>
            </w:pPr>
            <w:r>
              <w:t>mg/L</w:t>
            </w:r>
          </w:p>
        </w:tc>
        <w:tc>
          <w:tcPr>
            <w:tcW w:w="993" w:type="pct"/>
            <w:vAlign w:val="center"/>
          </w:tcPr>
          <w:p w14:paraId="5D89B575">
            <w:pPr>
              <w:pStyle w:val="41"/>
            </w:pPr>
            <w:r>
              <w:t>≤0.05</w:t>
            </w:r>
          </w:p>
        </w:tc>
        <w:tc>
          <w:tcPr>
            <w:tcW w:w="1546" w:type="pct"/>
            <w:vMerge w:val="continue"/>
            <w:vAlign w:val="center"/>
          </w:tcPr>
          <w:p w14:paraId="07033554">
            <w:pPr>
              <w:pStyle w:val="41"/>
            </w:pPr>
          </w:p>
        </w:tc>
      </w:tr>
      <w:tr w14:paraId="480520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210E8ABB">
            <w:pPr>
              <w:pStyle w:val="41"/>
            </w:pPr>
            <w:r>
              <w:t>总硬度</w:t>
            </w:r>
          </w:p>
        </w:tc>
        <w:tc>
          <w:tcPr>
            <w:tcW w:w="1024" w:type="pct"/>
            <w:vAlign w:val="center"/>
          </w:tcPr>
          <w:p w14:paraId="45ECDCFC">
            <w:pPr>
              <w:pStyle w:val="41"/>
            </w:pPr>
            <w:r>
              <w:t>mg/L</w:t>
            </w:r>
          </w:p>
        </w:tc>
        <w:tc>
          <w:tcPr>
            <w:tcW w:w="993" w:type="pct"/>
            <w:vAlign w:val="center"/>
          </w:tcPr>
          <w:p w14:paraId="2AE67A1A">
            <w:pPr>
              <w:pStyle w:val="41"/>
            </w:pPr>
            <w:r>
              <w:t>≤450</w:t>
            </w:r>
          </w:p>
        </w:tc>
        <w:tc>
          <w:tcPr>
            <w:tcW w:w="1546" w:type="pct"/>
            <w:vMerge w:val="continue"/>
            <w:vAlign w:val="center"/>
          </w:tcPr>
          <w:p w14:paraId="66E70704">
            <w:pPr>
              <w:pStyle w:val="41"/>
            </w:pPr>
          </w:p>
        </w:tc>
      </w:tr>
      <w:tr w14:paraId="3F4133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07CC592C">
            <w:pPr>
              <w:pStyle w:val="41"/>
            </w:pPr>
            <w:r>
              <w:t>铅</w:t>
            </w:r>
          </w:p>
        </w:tc>
        <w:tc>
          <w:tcPr>
            <w:tcW w:w="1024" w:type="pct"/>
            <w:vAlign w:val="center"/>
          </w:tcPr>
          <w:p w14:paraId="4585AE3F">
            <w:pPr>
              <w:pStyle w:val="41"/>
            </w:pPr>
            <w:r>
              <w:t>mg/L</w:t>
            </w:r>
          </w:p>
        </w:tc>
        <w:tc>
          <w:tcPr>
            <w:tcW w:w="993" w:type="pct"/>
            <w:vAlign w:val="center"/>
          </w:tcPr>
          <w:p w14:paraId="347A88BE">
            <w:pPr>
              <w:pStyle w:val="41"/>
            </w:pPr>
            <w:r>
              <w:t>≤0.01</w:t>
            </w:r>
          </w:p>
        </w:tc>
        <w:tc>
          <w:tcPr>
            <w:tcW w:w="1546" w:type="pct"/>
            <w:vMerge w:val="continue"/>
            <w:vAlign w:val="center"/>
          </w:tcPr>
          <w:p w14:paraId="5BDCC367">
            <w:pPr>
              <w:pStyle w:val="41"/>
            </w:pPr>
          </w:p>
        </w:tc>
      </w:tr>
      <w:tr w14:paraId="7C4649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435694EE">
            <w:pPr>
              <w:pStyle w:val="41"/>
            </w:pPr>
            <w:r>
              <w:t>Ca</w:t>
            </w:r>
            <w:r>
              <w:rPr>
                <w:vertAlign w:val="superscript"/>
              </w:rPr>
              <w:t>2+</w:t>
            </w:r>
          </w:p>
        </w:tc>
        <w:tc>
          <w:tcPr>
            <w:tcW w:w="1024" w:type="pct"/>
            <w:vAlign w:val="center"/>
          </w:tcPr>
          <w:p w14:paraId="6B9C4108">
            <w:pPr>
              <w:pStyle w:val="41"/>
            </w:pPr>
            <w:r>
              <w:t>mg/L</w:t>
            </w:r>
          </w:p>
        </w:tc>
        <w:tc>
          <w:tcPr>
            <w:tcW w:w="993" w:type="pct"/>
            <w:vAlign w:val="center"/>
          </w:tcPr>
          <w:p w14:paraId="6477B030">
            <w:pPr>
              <w:pStyle w:val="41"/>
            </w:pPr>
            <w:r>
              <w:t>/</w:t>
            </w:r>
          </w:p>
        </w:tc>
        <w:tc>
          <w:tcPr>
            <w:tcW w:w="1546" w:type="pct"/>
            <w:vMerge w:val="continue"/>
            <w:vAlign w:val="center"/>
          </w:tcPr>
          <w:p w14:paraId="5EAF0B03">
            <w:pPr>
              <w:pStyle w:val="41"/>
            </w:pPr>
          </w:p>
        </w:tc>
      </w:tr>
      <w:tr w14:paraId="314832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2F771FA9">
            <w:pPr>
              <w:pStyle w:val="41"/>
            </w:pPr>
            <w:r>
              <w:t>镉</w:t>
            </w:r>
          </w:p>
        </w:tc>
        <w:tc>
          <w:tcPr>
            <w:tcW w:w="1024" w:type="pct"/>
            <w:vAlign w:val="center"/>
          </w:tcPr>
          <w:p w14:paraId="080666A5">
            <w:pPr>
              <w:pStyle w:val="41"/>
            </w:pPr>
            <w:r>
              <w:t>mg/L</w:t>
            </w:r>
          </w:p>
        </w:tc>
        <w:tc>
          <w:tcPr>
            <w:tcW w:w="993" w:type="pct"/>
            <w:vAlign w:val="center"/>
          </w:tcPr>
          <w:p w14:paraId="789C9005">
            <w:pPr>
              <w:pStyle w:val="41"/>
            </w:pPr>
            <w:r>
              <w:t>≤0.005</w:t>
            </w:r>
          </w:p>
        </w:tc>
        <w:tc>
          <w:tcPr>
            <w:tcW w:w="1546" w:type="pct"/>
            <w:vMerge w:val="continue"/>
            <w:vAlign w:val="center"/>
          </w:tcPr>
          <w:p w14:paraId="294E05FB">
            <w:pPr>
              <w:pStyle w:val="41"/>
            </w:pPr>
          </w:p>
        </w:tc>
      </w:tr>
      <w:tr w14:paraId="4B9956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39D54452">
            <w:pPr>
              <w:pStyle w:val="41"/>
            </w:pPr>
            <w:r>
              <w:t>铁</w:t>
            </w:r>
          </w:p>
        </w:tc>
        <w:tc>
          <w:tcPr>
            <w:tcW w:w="1024" w:type="pct"/>
            <w:vAlign w:val="center"/>
          </w:tcPr>
          <w:p w14:paraId="45AAE26B">
            <w:pPr>
              <w:pStyle w:val="41"/>
            </w:pPr>
            <w:r>
              <w:t>mg/L</w:t>
            </w:r>
          </w:p>
        </w:tc>
        <w:tc>
          <w:tcPr>
            <w:tcW w:w="993" w:type="pct"/>
            <w:vAlign w:val="center"/>
          </w:tcPr>
          <w:p w14:paraId="47BCFA89">
            <w:pPr>
              <w:pStyle w:val="41"/>
            </w:pPr>
            <w:r>
              <w:t>≤0.3</w:t>
            </w:r>
          </w:p>
        </w:tc>
        <w:tc>
          <w:tcPr>
            <w:tcW w:w="1546" w:type="pct"/>
            <w:vMerge w:val="continue"/>
            <w:vAlign w:val="center"/>
          </w:tcPr>
          <w:p w14:paraId="37E4478A">
            <w:pPr>
              <w:pStyle w:val="41"/>
            </w:pPr>
          </w:p>
        </w:tc>
      </w:tr>
      <w:tr w14:paraId="0EA95B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54A94546">
            <w:pPr>
              <w:pStyle w:val="41"/>
            </w:pPr>
            <w:r>
              <w:t>锰</w:t>
            </w:r>
          </w:p>
        </w:tc>
        <w:tc>
          <w:tcPr>
            <w:tcW w:w="1024" w:type="pct"/>
            <w:vAlign w:val="center"/>
          </w:tcPr>
          <w:p w14:paraId="7CD37394">
            <w:pPr>
              <w:pStyle w:val="41"/>
            </w:pPr>
            <w:r>
              <w:t>mg/L</w:t>
            </w:r>
          </w:p>
        </w:tc>
        <w:tc>
          <w:tcPr>
            <w:tcW w:w="993" w:type="pct"/>
            <w:vAlign w:val="center"/>
          </w:tcPr>
          <w:p w14:paraId="5705FD35">
            <w:pPr>
              <w:pStyle w:val="41"/>
            </w:pPr>
            <w:r>
              <w:t>≤0.10</w:t>
            </w:r>
          </w:p>
        </w:tc>
        <w:tc>
          <w:tcPr>
            <w:tcW w:w="1546" w:type="pct"/>
            <w:vMerge w:val="continue"/>
            <w:vAlign w:val="center"/>
          </w:tcPr>
          <w:p w14:paraId="1BCFD19E">
            <w:pPr>
              <w:pStyle w:val="41"/>
            </w:pPr>
          </w:p>
        </w:tc>
      </w:tr>
      <w:tr w14:paraId="43D6DB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1225A4A4">
            <w:pPr>
              <w:pStyle w:val="41"/>
            </w:pPr>
            <w:r>
              <w:t>Mg</w:t>
            </w:r>
            <w:r>
              <w:rPr>
                <w:vertAlign w:val="superscript"/>
              </w:rPr>
              <w:t>2+</w:t>
            </w:r>
          </w:p>
        </w:tc>
        <w:tc>
          <w:tcPr>
            <w:tcW w:w="1024" w:type="pct"/>
            <w:vAlign w:val="center"/>
          </w:tcPr>
          <w:p w14:paraId="4929EFF5">
            <w:pPr>
              <w:pStyle w:val="41"/>
            </w:pPr>
            <w:r>
              <w:t>mg/L</w:t>
            </w:r>
          </w:p>
        </w:tc>
        <w:tc>
          <w:tcPr>
            <w:tcW w:w="993" w:type="pct"/>
            <w:vAlign w:val="center"/>
          </w:tcPr>
          <w:p w14:paraId="68E775AC">
            <w:pPr>
              <w:pStyle w:val="41"/>
            </w:pPr>
            <w:r>
              <w:t>/</w:t>
            </w:r>
          </w:p>
        </w:tc>
        <w:tc>
          <w:tcPr>
            <w:tcW w:w="1546" w:type="pct"/>
            <w:vMerge w:val="continue"/>
            <w:vAlign w:val="center"/>
          </w:tcPr>
          <w:p w14:paraId="129A485D">
            <w:pPr>
              <w:pStyle w:val="41"/>
            </w:pPr>
          </w:p>
        </w:tc>
      </w:tr>
      <w:tr w14:paraId="294DC9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24AD7F14">
            <w:pPr>
              <w:pStyle w:val="41"/>
            </w:pPr>
            <w:r>
              <w:t>Cl</w:t>
            </w:r>
            <w:r>
              <w:rPr>
                <w:vertAlign w:val="superscript"/>
              </w:rPr>
              <w:t>-</w:t>
            </w:r>
          </w:p>
        </w:tc>
        <w:tc>
          <w:tcPr>
            <w:tcW w:w="1024" w:type="pct"/>
            <w:vAlign w:val="center"/>
          </w:tcPr>
          <w:p w14:paraId="2EF0F3DD">
            <w:pPr>
              <w:pStyle w:val="41"/>
            </w:pPr>
            <w:r>
              <w:t>mg/L</w:t>
            </w:r>
          </w:p>
        </w:tc>
        <w:tc>
          <w:tcPr>
            <w:tcW w:w="993" w:type="pct"/>
            <w:vAlign w:val="center"/>
          </w:tcPr>
          <w:p w14:paraId="6CC837B4">
            <w:pPr>
              <w:pStyle w:val="41"/>
            </w:pPr>
            <w:r>
              <w:t>/</w:t>
            </w:r>
          </w:p>
        </w:tc>
        <w:tc>
          <w:tcPr>
            <w:tcW w:w="1546" w:type="pct"/>
            <w:vMerge w:val="continue"/>
            <w:vAlign w:val="center"/>
          </w:tcPr>
          <w:p w14:paraId="580DED19">
            <w:pPr>
              <w:pStyle w:val="41"/>
            </w:pPr>
          </w:p>
        </w:tc>
      </w:tr>
      <w:tr w14:paraId="032E9E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28475306">
            <w:pPr>
              <w:pStyle w:val="41"/>
            </w:pPr>
            <w:r>
              <w:t>SO</w:t>
            </w:r>
            <w:r>
              <w:rPr>
                <w:vertAlign w:val="subscript"/>
              </w:rPr>
              <w:t>4</w:t>
            </w:r>
            <w:r>
              <w:rPr>
                <w:vertAlign w:val="superscript"/>
              </w:rPr>
              <w:t>2</w:t>
            </w:r>
          </w:p>
        </w:tc>
        <w:tc>
          <w:tcPr>
            <w:tcW w:w="1024" w:type="pct"/>
            <w:vAlign w:val="center"/>
          </w:tcPr>
          <w:p w14:paraId="5348D82F">
            <w:pPr>
              <w:pStyle w:val="41"/>
            </w:pPr>
            <w:r>
              <w:t>mg/L</w:t>
            </w:r>
          </w:p>
        </w:tc>
        <w:tc>
          <w:tcPr>
            <w:tcW w:w="993" w:type="pct"/>
            <w:vAlign w:val="center"/>
          </w:tcPr>
          <w:p w14:paraId="2C9A5619">
            <w:pPr>
              <w:pStyle w:val="41"/>
            </w:pPr>
            <w:r>
              <w:t>/</w:t>
            </w:r>
          </w:p>
        </w:tc>
        <w:tc>
          <w:tcPr>
            <w:tcW w:w="1546" w:type="pct"/>
            <w:vMerge w:val="continue"/>
            <w:vAlign w:val="center"/>
          </w:tcPr>
          <w:p w14:paraId="37E5BA73">
            <w:pPr>
              <w:pStyle w:val="41"/>
            </w:pPr>
          </w:p>
        </w:tc>
      </w:tr>
      <w:tr w14:paraId="242487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2E8559B8">
            <w:pPr>
              <w:pStyle w:val="41"/>
            </w:pPr>
            <w:r>
              <w:t>总大肠菌群</w:t>
            </w:r>
          </w:p>
        </w:tc>
        <w:tc>
          <w:tcPr>
            <w:tcW w:w="1024" w:type="pct"/>
            <w:vAlign w:val="center"/>
          </w:tcPr>
          <w:p w14:paraId="4CCFC129">
            <w:pPr>
              <w:pStyle w:val="41"/>
            </w:pPr>
            <w:r>
              <w:t>MPN</w:t>
            </w:r>
            <w:r>
              <w:rPr>
                <w:vertAlign w:val="superscript"/>
              </w:rPr>
              <w:t>b</w:t>
            </w:r>
            <w:r>
              <w:t>/100mL或CFU</w:t>
            </w:r>
            <w:r>
              <w:rPr>
                <w:vertAlign w:val="superscript"/>
              </w:rPr>
              <w:t>c</w:t>
            </w:r>
            <w:r>
              <w:t>/100mL</w:t>
            </w:r>
          </w:p>
        </w:tc>
        <w:tc>
          <w:tcPr>
            <w:tcW w:w="993" w:type="pct"/>
            <w:vAlign w:val="center"/>
          </w:tcPr>
          <w:p w14:paraId="59322027">
            <w:pPr>
              <w:pStyle w:val="41"/>
            </w:pPr>
            <w:r>
              <w:t>≤3.0</w:t>
            </w:r>
          </w:p>
        </w:tc>
        <w:tc>
          <w:tcPr>
            <w:tcW w:w="1546" w:type="pct"/>
            <w:vMerge w:val="continue"/>
            <w:vAlign w:val="center"/>
          </w:tcPr>
          <w:p w14:paraId="73086556">
            <w:pPr>
              <w:pStyle w:val="41"/>
            </w:pPr>
          </w:p>
        </w:tc>
      </w:tr>
      <w:tr w14:paraId="683852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285D223D">
            <w:pPr>
              <w:pStyle w:val="41"/>
            </w:pPr>
            <w:r>
              <w:t>细菌总数/菌落总数</w:t>
            </w:r>
          </w:p>
        </w:tc>
        <w:tc>
          <w:tcPr>
            <w:tcW w:w="1024" w:type="pct"/>
            <w:vAlign w:val="center"/>
          </w:tcPr>
          <w:p w14:paraId="17F739F5">
            <w:pPr>
              <w:pStyle w:val="41"/>
            </w:pPr>
            <w:r>
              <w:t>CFU/mL</w:t>
            </w:r>
          </w:p>
        </w:tc>
        <w:tc>
          <w:tcPr>
            <w:tcW w:w="993" w:type="pct"/>
            <w:vAlign w:val="center"/>
          </w:tcPr>
          <w:p w14:paraId="02771D89">
            <w:pPr>
              <w:pStyle w:val="41"/>
            </w:pPr>
            <w:r>
              <w:t>≤100</w:t>
            </w:r>
          </w:p>
        </w:tc>
        <w:tc>
          <w:tcPr>
            <w:tcW w:w="1546" w:type="pct"/>
            <w:vMerge w:val="continue"/>
            <w:vAlign w:val="center"/>
          </w:tcPr>
          <w:p w14:paraId="2EB4C6B8">
            <w:pPr>
              <w:pStyle w:val="41"/>
            </w:pPr>
          </w:p>
        </w:tc>
      </w:tr>
      <w:tr w14:paraId="14376D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53B9E2BC">
            <w:pPr>
              <w:pStyle w:val="41"/>
            </w:pPr>
            <w:r>
              <w:t>铜</w:t>
            </w:r>
          </w:p>
        </w:tc>
        <w:tc>
          <w:tcPr>
            <w:tcW w:w="1024" w:type="pct"/>
            <w:vAlign w:val="center"/>
          </w:tcPr>
          <w:p w14:paraId="1D3C17D2">
            <w:pPr>
              <w:pStyle w:val="41"/>
            </w:pPr>
            <w:r>
              <w:t>mg/L</w:t>
            </w:r>
          </w:p>
        </w:tc>
        <w:tc>
          <w:tcPr>
            <w:tcW w:w="993" w:type="pct"/>
            <w:vAlign w:val="center"/>
          </w:tcPr>
          <w:p w14:paraId="256A9EBE">
            <w:pPr>
              <w:pStyle w:val="41"/>
            </w:pPr>
            <w:r>
              <w:t>≤1.00</w:t>
            </w:r>
          </w:p>
        </w:tc>
        <w:tc>
          <w:tcPr>
            <w:tcW w:w="1546" w:type="pct"/>
            <w:vMerge w:val="continue"/>
            <w:vAlign w:val="center"/>
          </w:tcPr>
          <w:p w14:paraId="0658B57F">
            <w:pPr>
              <w:pStyle w:val="41"/>
            </w:pPr>
          </w:p>
        </w:tc>
      </w:tr>
      <w:tr w14:paraId="64E19E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2D7B3E51">
            <w:pPr>
              <w:pStyle w:val="41"/>
            </w:pPr>
            <w:r>
              <w:t>铝</w:t>
            </w:r>
          </w:p>
        </w:tc>
        <w:tc>
          <w:tcPr>
            <w:tcW w:w="1024" w:type="pct"/>
            <w:vAlign w:val="center"/>
          </w:tcPr>
          <w:p w14:paraId="6C1266CA">
            <w:pPr>
              <w:pStyle w:val="41"/>
            </w:pPr>
            <w:r>
              <w:t>mg/L</w:t>
            </w:r>
          </w:p>
        </w:tc>
        <w:tc>
          <w:tcPr>
            <w:tcW w:w="993" w:type="pct"/>
            <w:vAlign w:val="center"/>
          </w:tcPr>
          <w:p w14:paraId="18FE4A86">
            <w:pPr>
              <w:pStyle w:val="41"/>
            </w:pPr>
            <w:r>
              <w:t>≤0.20</w:t>
            </w:r>
          </w:p>
        </w:tc>
        <w:tc>
          <w:tcPr>
            <w:tcW w:w="1546" w:type="pct"/>
            <w:vMerge w:val="continue"/>
            <w:vAlign w:val="center"/>
          </w:tcPr>
          <w:p w14:paraId="6E7DA2F6">
            <w:pPr>
              <w:pStyle w:val="41"/>
            </w:pPr>
          </w:p>
        </w:tc>
      </w:tr>
      <w:tr w14:paraId="3C9AC6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3E8EF8ED">
            <w:pPr>
              <w:pStyle w:val="41"/>
            </w:pPr>
            <w:r>
              <w:t>锌</w:t>
            </w:r>
          </w:p>
        </w:tc>
        <w:tc>
          <w:tcPr>
            <w:tcW w:w="1024" w:type="pct"/>
            <w:vAlign w:val="center"/>
          </w:tcPr>
          <w:p w14:paraId="0DF07AA9">
            <w:pPr>
              <w:pStyle w:val="41"/>
            </w:pPr>
            <w:r>
              <w:t>mg/L</w:t>
            </w:r>
          </w:p>
        </w:tc>
        <w:tc>
          <w:tcPr>
            <w:tcW w:w="993" w:type="pct"/>
            <w:vAlign w:val="center"/>
          </w:tcPr>
          <w:p w14:paraId="5D9E61B6">
            <w:pPr>
              <w:pStyle w:val="41"/>
            </w:pPr>
            <w:r>
              <w:t>≤1.00</w:t>
            </w:r>
          </w:p>
        </w:tc>
        <w:tc>
          <w:tcPr>
            <w:tcW w:w="1546" w:type="pct"/>
            <w:vMerge w:val="continue"/>
            <w:vAlign w:val="center"/>
          </w:tcPr>
          <w:p w14:paraId="2017656D">
            <w:pPr>
              <w:pStyle w:val="41"/>
            </w:pPr>
          </w:p>
        </w:tc>
      </w:tr>
      <w:tr w14:paraId="2513FD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18AD27E3">
            <w:pPr>
              <w:pStyle w:val="41"/>
            </w:pPr>
            <w:r>
              <w:t>镍</w:t>
            </w:r>
          </w:p>
        </w:tc>
        <w:tc>
          <w:tcPr>
            <w:tcW w:w="1024" w:type="pct"/>
            <w:vAlign w:val="center"/>
          </w:tcPr>
          <w:p w14:paraId="45DFDB4C">
            <w:pPr>
              <w:pStyle w:val="41"/>
            </w:pPr>
            <w:r>
              <w:t>mg/L</w:t>
            </w:r>
          </w:p>
        </w:tc>
        <w:tc>
          <w:tcPr>
            <w:tcW w:w="993" w:type="pct"/>
            <w:vAlign w:val="center"/>
          </w:tcPr>
          <w:p w14:paraId="37ECD66A">
            <w:pPr>
              <w:pStyle w:val="41"/>
            </w:pPr>
            <w:r>
              <w:t>≤0.02</w:t>
            </w:r>
          </w:p>
        </w:tc>
        <w:tc>
          <w:tcPr>
            <w:tcW w:w="1546" w:type="pct"/>
            <w:vMerge w:val="continue"/>
            <w:vAlign w:val="center"/>
          </w:tcPr>
          <w:p w14:paraId="13EA7840">
            <w:pPr>
              <w:pStyle w:val="41"/>
            </w:pPr>
          </w:p>
        </w:tc>
      </w:tr>
      <w:tr w14:paraId="271946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0AF5BCD1">
            <w:pPr>
              <w:pStyle w:val="41"/>
            </w:pPr>
            <w:r>
              <w:rPr>
                <w:kern w:val="0"/>
              </w:rPr>
              <w:t>硒</w:t>
            </w:r>
          </w:p>
        </w:tc>
        <w:tc>
          <w:tcPr>
            <w:tcW w:w="1024" w:type="pct"/>
            <w:vAlign w:val="center"/>
          </w:tcPr>
          <w:p w14:paraId="105961AA">
            <w:pPr>
              <w:pStyle w:val="41"/>
            </w:pPr>
            <w:r>
              <w:t>mg/L</w:t>
            </w:r>
          </w:p>
        </w:tc>
        <w:tc>
          <w:tcPr>
            <w:tcW w:w="993" w:type="pct"/>
            <w:vAlign w:val="center"/>
          </w:tcPr>
          <w:p w14:paraId="50047207">
            <w:pPr>
              <w:pStyle w:val="41"/>
            </w:pPr>
            <w:r>
              <w:t>≤0.01</w:t>
            </w:r>
          </w:p>
        </w:tc>
        <w:tc>
          <w:tcPr>
            <w:tcW w:w="1546" w:type="pct"/>
            <w:vMerge w:val="continue"/>
            <w:vAlign w:val="center"/>
          </w:tcPr>
          <w:p w14:paraId="55974405">
            <w:pPr>
              <w:pStyle w:val="41"/>
            </w:pPr>
          </w:p>
        </w:tc>
      </w:tr>
      <w:tr w14:paraId="7F7968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0FB6C3DD">
            <w:pPr>
              <w:pStyle w:val="41"/>
            </w:pPr>
            <w:r>
              <w:t>NO</w:t>
            </w:r>
            <w:r>
              <w:rPr>
                <w:vertAlign w:val="subscript"/>
              </w:rPr>
              <w:t>3</w:t>
            </w:r>
            <w:r>
              <w:rPr>
                <w:vertAlign w:val="superscript"/>
              </w:rPr>
              <w:t>-</w:t>
            </w:r>
          </w:p>
        </w:tc>
        <w:tc>
          <w:tcPr>
            <w:tcW w:w="1024" w:type="pct"/>
            <w:vAlign w:val="center"/>
          </w:tcPr>
          <w:p w14:paraId="7184AC0E">
            <w:pPr>
              <w:pStyle w:val="41"/>
            </w:pPr>
            <w:r>
              <w:t>mg/L</w:t>
            </w:r>
          </w:p>
        </w:tc>
        <w:tc>
          <w:tcPr>
            <w:tcW w:w="993" w:type="pct"/>
            <w:vAlign w:val="center"/>
          </w:tcPr>
          <w:p w14:paraId="09C98CD3">
            <w:pPr>
              <w:pStyle w:val="41"/>
            </w:pPr>
            <w:r>
              <w:t>/</w:t>
            </w:r>
          </w:p>
        </w:tc>
        <w:tc>
          <w:tcPr>
            <w:tcW w:w="1546" w:type="pct"/>
            <w:vMerge w:val="continue"/>
            <w:vAlign w:val="center"/>
          </w:tcPr>
          <w:p w14:paraId="142C3852">
            <w:pPr>
              <w:pStyle w:val="41"/>
            </w:pPr>
          </w:p>
        </w:tc>
      </w:tr>
      <w:tr w14:paraId="215C28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6F9A62E9">
            <w:pPr>
              <w:pStyle w:val="41"/>
            </w:pPr>
            <w:r>
              <w:t>NO</w:t>
            </w:r>
            <w:r>
              <w:rPr>
                <w:vertAlign w:val="subscript"/>
              </w:rPr>
              <w:t>2</w:t>
            </w:r>
            <w:r>
              <w:rPr>
                <w:vertAlign w:val="superscript"/>
              </w:rPr>
              <w:t>-</w:t>
            </w:r>
          </w:p>
        </w:tc>
        <w:tc>
          <w:tcPr>
            <w:tcW w:w="1024" w:type="pct"/>
            <w:vAlign w:val="center"/>
          </w:tcPr>
          <w:p w14:paraId="10D185E6">
            <w:pPr>
              <w:pStyle w:val="41"/>
            </w:pPr>
            <w:r>
              <w:t>mg/L</w:t>
            </w:r>
          </w:p>
        </w:tc>
        <w:tc>
          <w:tcPr>
            <w:tcW w:w="993" w:type="pct"/>
            <w:vAlign w:val="center"/>
          </w:tcPr>
          <w:p w14:paraId="510A88C4">
            <w:pPr>
              <w:pStyle w:val="41"/>
            </w:pPr>
            <w:r>
              <w:t>/</w:t>
            </w:r>
          </w:p>
        </w:tc>
        <w:tc>
          <w:tcPr>
            <w:tcW w:w="1546" w:type="pct"/>
            <w:vMerge w:val="continue"/>
            <w:vAlign w:val="center"/>
          </w:tcPr>
          <w:p w14:paraId="1C2DBA98">
            <w:pPr>
              <w:pStyle w:val="41"/>
            </w:pPr>
          </w:p>
        </w:tc>
      </w:tr>
      <w:tr w14:paraId="607BA6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678D2A39">
            <w:pPr>
              <w:pStyle w:val="41"/>
            </w:pPr>
            <w:r>
              <w:rPr>
                <w:bCs/>
              </w:rPr>
              <w:t>碳酸根</w:t>
            </w:r>
          </w:p>
        </w:tc>
        <w:tc>
          <w:tcPr>
            <w:tcW w:w="1024" w:type="pct"/>
            <w:vAlign w:val="center"/>
          </w:tcPr>
          <w:p w14:paraId="2D99CDF6">
            <w:pPr>
              <w:pStyle w:val="41"/>
            </w:pPr>
            <w:r>
              <w:t>mg/L</w:t>
            </w:r>
          </w:p>
        </w:tc>
        <w:tc>
          <w:tcPr>
            <w:tcW w:w="993" w:type="pct"/>
            <w:vAlign w:val="center"/>
          </w:tcPr>
          <w:p w14:paraId="007F1683">
            <w:pPr>
              <w:pStyle w:val="41"/>
            </w:pPr>
            <w:r>
              <w:t>≤0.05</w:t>
            </w:r>
          </w:p>
        </w:tc>
        <w:tc>
          <w:tcPr>
            <w:tcW w:w="1546" w:type="pct"/>
            <w:vMerge w:val="continue"/>
            <w:vAlign w:val="center"/>
          </w:tcPr>
          <w:p w14:paraId="268F3F49">
            <w:pPr>
              <w:pStyle w:val="41"/>
            </w:pPr>
          </w:p>
        </w:tc>
      </w:tr>
      <w:tr w14:paraId="68488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02C22A98">
            <w:pPr>
              <w:pStyle w:val="41"/>
              <w:rPr>
                <w:bCs/>
              </w:rPr>
            </w:pPr>
            <w:r>
              <w:rPr>
                <w:bCs/>
              </w:rPr>
              <w:t>重碳酸根</w:t>
            </w:r>
          </w:p>
        </w:tc>
        <w:tc>
          <w:tcPr>
            <w:tcW w:w="1024" w:type="pct"/>
            <w:vAlign w:val="center"/>
          </w:tcPr>
          <w:p w14:paraId="6DE8A996">
            <w:pPr>
              <w:pStyle w:val="41"/>
            </w:pPr>
            <w:r>
              <w:t>mg/L</w:t>
            </w:r>
          </w:p>
        </w:tc>
        <w:tc>
          <w:tcPr>
            <w:tcW w:w="993" w:type="pct"/>
            <w:vAlign w:val="center"/>
          </w:tcPr>
          <w:p w14:paraId="11BECB52">
            <w:pPr>
              <w:pStyle w:val="41"/>
            </w:pPr>
            <w:r>
              <w:t>/</w:t>
            </w:r>
          </w:p>
        </w:tc>
        <w:tc>
          <w:tcPr>
            <w:tcW w:w="1546" w:type="pct"/>
            <w:vMerge w:val="continue"/>
            <w:vAlign w:val="center"/>
          </w:tcPr>
          <w:p w14:paraId="5F8ABB84">
            <w:pPr>
              <w:pStyle w:val="41"/>
            </w:pPr>
          </w:p>
        </w:tc>
      </w:tr>
      <w:tr w14:paraId="69DB29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437" w:type="pct"/>
            <w:vAlign w:val="center"/>
          </w:tcPr>
          <w:p w14:paraId="42BC6F5C">
            <w:pPr>
              <w:pStyle w:val="41"/>
              <w:rPr>
                <w:bCs/>
              </w:rPr>
            </w:pPr>
            <w:r>
              <w:rPr>
                <w:kern w:val="0"/>
              </w:rPr>
              <w:t>挥发酚</w:t>
            </w:r>
          </w:p>
        </w:tc>
        <w:tc>
          <w:tcPr>
            <w:tcW w:w="1024" w:type="pct"/>
            <w:vAlign w:val="center"/>
          </w:tcPr>
          <w:p w14:paraId="5208E6E6">
            <w:pPr>
              <w:pStyle w:val="41"/>
            </w:pPr>
            <w:r>
              <w:rPr>
                <w:kern w:val="0"/>
              </w:rPr>
              <w:t>mg/L</w:t>
            </w:r>
          </w:p>
        </w:tc>
        <w:tc>
          <w:tcPr>
            <w:tcW w:w="993" w:type="pct"/>
            <w:vAlign w:val="center"/>
          </w:tcPr>
          <w:p w14:paraId="3A8EF486">
            <w:pPr>
              <w:pStyle w:val="41"/>
            </w:pPr>
            <w:r>
              <w:t>≤0.002</w:t>
            </w:r>
          </w:p>
        </w:tc>
        <w:tc>
          <w:tcPr>
            <w:tcW w:w="1546" w:type="pct"/>
            <w:vMerge w:val="continue"/>
            <w:vAlign w:val="center"/>
          </w:tcPr>
          <w:p w14:paraId="194792E5">
            <w:pPr>
              <w:pStyle w:val="41"/>
            </w:pPr>
          </w:p>
        </w:tc>
      </w:tr>
      <w:tr w14:paraId="4D5D28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17CDD9C1">
            <w:pPr>
              <w:pStyle w:val="41"/>
              <w:rPr>
                <w:kern w:val="0"/>
              </w:rPr>
            </w:pPr>
            <w:r>
              <w:rPr>
                <w:kern w:val="0"/>
              </w:rPr>
              <w:t>高锰酸盐指数</w:t>
            </w:r>
          </w:p>
        </w:tc>
        <w:tc>
          <w:tcPr>
            <w:tcW w:w="1024" w:type="pct"/>
            <w:vAlign w:val="center"/>
          </w:tcPr>
          <w:p w14:paraId="4F279136">
            <w:pPr>
              <w:pStyle w:val="41"/>
              <w:rPr>
                <w:kern w:val="0"/>
              </w:rPr>
            </w:pPr>
            <w:r>
              <w:rPr>
                <w:kern w:val="0"/>
              </w:rPr>
              <w:t>mg/L</w:t>
            </w:r>
          </w:p>
        </w:tc>
        <w:tc>
          <w:tcPr>
            <w:tcW w:w="993" w:type="pct"/>
            <w:vAlign w:val="center"/>
          </w:tcPr>
          <w:p w14:paraId="3BFAA520">
            <w:pPr>
              <w:pStyle w:val="41"/>
            </w:pPr>
            <w:r>
              <w:t>≤3.0</w:t>
            </w:r>
          </w:p>
        </w:tc>
        <w:tc>
          <w:tcPr>
            <w:tcW w:w="1546" w:type="pct"/>
            <w:vMerge w:val="continue"/>
            <w:vAlign w:val="center"/>
          </w:tcPr>
          <w:p w14:paraId="199D94AB">
            <w:pPr>
              <w:pStyle w:val="41"/>
            </w:pPr>
          </w:p>
        </w:tc>
      </w:tr>
      <w:tr w14:paraId="2C5866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7" w:type="pct"/>
            <w:vAlign w:val="center"/>
          </w:tcPr>
          <w:p w14:paraId="09D49DEF">
            <w:pPr>
              <w:pStyle w:val="41"/>
              <w:rPr>
                <w:kern w:val="0"/>
              </w:rPr>
            </w:pPr>
            <w:r>
              <w:t>Na</w:t>
            </w:r>
            <w:r>
              <w:rPr>
                <w:vertAlign w:val="superscript"/>
              </w:rPr>
              <w:t>+</w:t>
            </w:r>
          </w:p>
        </w:tc>
        <w:tc>
          <w:tcPr>
            <w:tcW w:w="1024" w:type="pct"/>
            <w:vAlign w:val="center"/>
          </w:tcPr>
          <w:p w14:paraId="3CBB9F0F">
            <w:pPr>
              <w:pStyle w:val="41"/>
              <w:rPr>
                <w:kern w:val="0"/>
              </w:rPr>
            </w:pPr>
            <w:r>
              <w:rPr>
                <w:kern w:val="0"/>
              </w:rPr>
              <w:t>mg/L</w:t>
            </w:r>
          </w:p>
        </w:tc>
        <w:tc>
          <w:tcPr>
            <w:tcW w:w="993" w:type="pct"/>
            <w:vAlign w:val="center"/>
          </w:tcPr>
          <w:p w14:paraId="04D1D600">
            <w:pPr>
              <w:pStyle w:val="41"/>
            </w:pPr>
            <w:r>
              <w:t>/</w:t>
            </w:r>
          </w:p>
        </w:tc>
        <w:tc>
          <w:tcPr>
            <w:tcW w:w="1546" w:type="pct"/>
            <w:vMerge w:val="continue"/>
            <w:vAlign w:val="center"/>
          </w:tcPr>
          <w:p w14:paraId="010B5F6C">
            <w:pPr>
              <w:pStyle w:val="41"/>
            </w:pPr>
          </w:p>
        </w:tc>
      </w:tr>
    </w:tbl>
    <w:p w14:paraId="56540803">
      <w:pPr>
        <w:pStyle w:val="3"/>
        <w:ind w:firstLine="480"/>
      </w:pPr>
      <w:r>
        <w:t>项目厂区土壤环境执行《土壤环境质量标准 建设用地土壤污染风险管控标准》（GB36600-2018）第二类用地筛选值标准</w:t>
      </w:r>
    </w:p>
    <w:p w14:paraId="70C44D9D">
      <w:pPr>
        <w:pStyle w:val="40"/>
        <w:spacing w:before="156"/>
      </w:pPr>
      <w:r>
        <w:t>表2.3-5    土壤环境质量标准             单位：mg/kg</w:t>
      </w:r>
    </w:p>
    <w:tbl>
      <w:tblPr>
        <w:tblStyle w:val="28"/>
        <w:tblW w:w="4963"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6"/>
        <w:gridCol w:w="2330"/>
        <w:gridCol w:w="1197"/>
        <w:gridCol w:w="621"/>
        <w:gridCol w:w="2504"/>
        <w:gridCol w:w="1191"/>
      </w:tblGrid>
      <w:tr w14:paraId="6661EF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364" w:type="pct"/>
            <w:vAlign w:val="center"/>
          </w:tcPr>
          <w:p w14:paraId="35E2858F">
            <w:pPr>
              <w:pStyle w:val="41"/>
            </w:pPr>
            <w:r>
              <w:t>序号</w:t>
            </w:r>
          </w:p>
        </w:tc>
        <w:tc>
          <w:tcPr>
            <w:tcW w:w="1377" w:type="pct"/>
            <w:vAlign w:val="center"/>
          </w:tcPr>
          <w:p w14:paraId="4E2A8CCD">
            <w:pPr>
              <w:pStyle w:val="41"/>
            </w:pPr>
            <w:r>
              <w:t>污染物项目</w:t>
            </w:r>
          </w:p>
        </w:tc>
        <w:tc>
          <w:tcPr>
            <w:tcW w:w="708" w:type="pct"/>
            <w:vAlign w:val="center"/>
          </w:tcPr>
          <w:p w14:paraId="516863BF">
            <w:pPr>
              <w:pStyle w:val="41"/>
            </w:pPr>
            <w:r>
              <w:t>第二类用地筛选值</w:t>
            </w:r>
          </w:p>
        </w:tc>
        <w:tc>
          <w:tcPr>
            <w:tcW w:w="367" w:type="pct"/>
            <w:vAlign w:val="center"/>
          </w:tcPr>
          <w:p w14:paraId="2CC776F9">
            <w:pPr>
              <w:pStyle w:val="41"/>
            </w:pPr>
            <w:r>
              <w:t>序号</w:t>
            </w:r>
          </w:p>
        </w:tc>
        <w:tc>
          <w:tcPr>
            <w:tcW w:w="1480" w:type="pct"/>
            <w:vAlign w:val="center"/>
          </w:tcPr>
          <w:p w14:paraId="7B2BE719">
            <w:pPr>
              <w:pStyle w:val="41"/>
            </w:pPr>
            <w:r>
              <w:t>污染物项目</w:t>
            </w:r>
          </w:p>
        </w:tc>
        <w:tc>
          <w:tcPr>
            <w:tcW w:w="704" w:type="pct"/>
            <w:vAlign w:val="center"/>
          </w:tcPr>
          <w:p w14:paraId="5E4DB692">
            <w:pPr>
              <w:pStyle w:val="41"/>
            </w:pPr>
            <w:r>
              <w:t>第二类用地筛选值</w:t>
            </w:r>
          </w:p>
        </w:tc>
      </w:tr>
      <w:tr w14:paraId="2C0F62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561CDB21">
            <w:pPr>
              <w:pStyle w:val="41"/>
            </w:pPr>
            <w:r>
              <w:t>重金属和无机物</w:t>
            </w:r>
          </w:p>
        </w:tc>
      </w:tr>
      <w:tr w14:paraId="4E3A3F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6535FC03">
            <w:pPr>
              <w:pStyle w:val="41"/>
            </w:pPr>
            <w:r>
              <w:t>1</w:t>
            </w:r>
          </w:p>
        </w:tc>
        <w:tc>
          <w:tcPr>
            <w:tcW w:w="1377" w:type="pct"/>
            <w:vAlign w:val="center"/>
          </w:tcPr>
          <w:p w14:paraId="6311EA9C">
            <w:pPr>
              <w:pStyle w:val="41"/>
            </w:pPr>
            <w:r>
              <w:t>砷</w:t>
            </w:r>
          </w:p>
        </w:tc>
        <w:tc>
          <w:tcPr>
            <w:tcW w:w="708" w:type="pct"/>
            <w:vAlign w:val="center"/>
          </w:tcPr>
          <w:p w14:paraId="4162559D">
            <w:pPr>
              <w:pStyle w:val="41"/>
            </w:pPr>
            <w:r>
              <w:t>≤60</w:t>
            </w:r>
          </w:p>
        </w:tc>
        <w:tc>
          <w:tcPr>
            <w:tcW w:w="367" w:type="pct"/>
            <w:vAlign w:val="center"/>
          </w:tcPr>
          <w:p w14:paraId="747B33EF">
            <w:pPr>
              <w:pStyle w:val="41"/>
            </w:pPr>
            <w:r>
              <w:t>5</w:t>
            </w:r>
          </w:p>
        </w:tc>
        <w:tc>
          <w:tcPr>
            <w:tcW w:w="1480" w:type="pct"/>
            <w:vAlign w:val="center"/>
          </w:tcPr>
          <w:p w14:paraId="3584581A">
            <w:pPr>
              <w:pStyle w:val="41"/>
            </w:pPr>
            <w:r>
              <w:t>铅</w:t>
            </w:r>
          </w:p>
        </w:tc>
        <w:tc>
          <w:tcPr>
            <w:tcW w:w="704" w:type="pct"/>
            <w:vAlign w:val="center"/>
          </w:tcPr>
          <w:p w14:paraId="3134B616">
            <w:pPr>
              <w:pStyle w:val="41"/>
            </w:pPr>
            <w:r>
              <w:t>≤800</w:t>
            </w:r>
          </w:p>
        </w:tc>
      </w:tr>
      <w:tr w14:paraId="40F718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2B99BBF1">
            <w:pPr>
              <w:pStyle w:val="41"/>
            </w:pPr>
            <w:r>
              <w:t>2</w:t>
            </w:r>
          </w:p>
        </w:tc>
        <w:tc>
          <w:tcPr>
            <w:tcW w:w="1377" w:type="pct"/>
            <w:vAlign w:val="center"/>
          </w:tcPr>
          <w:p w14:paraId="43CBD4C8">
            <w:pPr>
              <w:pStyle w:val="41"/>
            </w:pPr>
            <w:r>
              <w:t>镉</w:t>
            </w:r>
          </w:p>
        </w:tc>
        <w:tc>
          <w:tcPr>
            <w:tcW w:w="708" w:type="pct"/>
            <w:vAlign w:val="center"/>
          </w:tcPr>
          <w:p w14:paraId="7DAEDA63">
            <w:pPr>
              <w:pStyle w:val="41"/>
            </w:pPr>
            <w:r>
              <w:t>≤65</w:t>
            </w:r>
          </w:p>
        </w:tc>
        <w:tc>
          <w:tcPr>
            <w:tcW w:w="367" w:type="pct"/>
            <w:vAlign w:val="center"/>
          </w:tcPr>
          <w:p w14:paraId="37FD1116">
            <w:pPr>
              <w:pStyle w:val="41"/>
            </w:pPr>
            <w:r>
              <w:t>6</w:t>
            </w:r>
          </w:p>
        </w:tc>
        <w:tc>
          <w:tcPr>
            <w:tcW w:w="1480" w:type="pct"/>
            <w:vAlign w:val="center"/>
          </w:tcPr>
          <w:p w14:paraId="02853C0F">
            <w:pPr>
              <w:pStyle w:val="41"/>
            </w:pPr>
            <w:r>
              <w:t>汞</w:t>
            </w:r>
          </w:p>
        </w:tc>
        <w:tc>
          <w:tcPr>
            <w:tcW w:w="704" w:type="pct"/>
            <w:vAlign w:val="center"/>
          </w:tcPr>
          <w:p w14:paraId="4C5DAE5E">
            <w:pPr>
              <w:pStyle w:val="41"/>
            </w:pPr>
            <w:r>
              <w:t>≤38</w:t>
            </w:r>
          </w:p>
        </w:tc>
      </w:tr>
      <w:tr w14:paraId="332CDD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626E1B1F">
            <w:pPr>
              <w:pStyle w:val="41"/>
            </w:pPr>
            <w:r>
              <w:t>3</w:t>
            </w:r>
          </w:p>
        </w:tc>
        <w:tc>
          <w:tcPr>
            <w:tcW w:w="1377" w:type="pct"/>
            <w:vAlign w:val="center"/>
          </w:tcPr>
          <w:p w14:paraId="351359B7">
            <w:pPr>
              <w:pStyle w:val="41"/>
            </w:pPr>
            <w:r>
              <w:t>铬（六价）</w:t>
            </w:r>
          </w:p>
        </w:tc>
        <w:tc>
          <w:tcPr>
            <w:tcW w:w="708" w:type="pct"/>
            <w:vAlign w:val="center"/>
          </w:tcPr>
          <w:p w14:paraId="42659912">
            <w:pPr>
              <w:pStyle w:val="41"/>
            </w:pPr>
            <w:r>
              <w:t>≤5.7</w:t>
            </w:r>
          </w:p>
        </w:tc>
        <w:tc>
          <w:tcPr>
            <w:tcW w:w="367" w:type="pct"/>
            <w:vAlign w:val="center"/>
          </w:tcPr>
          <w:p w14:paraId="4EAE2E57">
            <w:pPr>
              <w:pStyle w:val="41"/>
            </w:pPr>
            <w:r>
              <w:t>7</w:t>
            </w:r>
          </w:p>
        </w:tc>
        <w:tc>
          <w:tcPr>
            <w:tcW w:w="1480" w:type="pct"/>
            <w:vAlign w:val="center"/>
          </w:tcPr>
          <w:p w14:paraId="0B34A18A">
            <w:pPr>
              <w:pStyle w:val="41"/>
            </w:pPr>
            <w:r>
              <w:t>镍</w:t>
            </w:r>
          </w:p>
        </w:tc>
        <w:tc>
          <w:tcPr>
            <w:tcW w:w="704" w:type="pct"/>
          </w:tcPr>
          <w:p w14:paraId="7D25EE1E">
            <w:pPr>
              <w:pStyle w:val="41"/>
            </w:pPr>
            <w:r>
              <w:t>≤900</w:t>
            </w:r>
          </w:p>
        </w:tc>
      </w:tr>
      <w:tr w14:paraId="0D1E00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5B3D20CD">
            <w:pPr>
              <w:pStyle w:val="41"/>
            </w:pPr>
            <w:r>
              <w:t>4</w:t>
            </w:r>
          </w:p>
        </w:tc>
        <w:tc>
          <w:tcPr>
            <w:tcW w:w="1377" w:type="pct"/>
            <w:vAlign w:val="center"/>
          </w:tcPr>
          <w:p w14:paraId="53202E7D">
            <w:pPr>
              <w:pStyle w:val="41"/>
            </w:pPr>
            <w:r>
              <w:t>铜</w:t>
            </w:r>
          </w:p>
        </w:tc>
        <w:tc>
          <w:tcPr>
            <w:tcW w:w="708" w:type="pct"/>
            <w:vAlign w:val="center"/>
          </w:tcPr>
          <w:p w14:paraId="14A45F55">
            <w:pPr>
              <w:pStyle w:val="41"/>
            </w:pPr>
            <w:r>
              <w:t>≤18000</w:t>
            </w:r>
          </w:p>
        </w:tc>
        <w:tc>
          <w:tcPr>
            <w:tcW w:w="367" w:type="pct"/>
            <w:vAlign w:val="center"/>
          </w:tcPr>
          <w:p w14:paraId="00EA0544">
            <w:pPr>
              <w:pStyle w:val="41"/>
            </w:pPr>
          </w:p>
        </w:tc>
        <w:tc>
          <w:tcPr>
            <w:tcW w:w="1480" w:type="pct"/>
            <w:vAlign w:val="center"/>
          </w:tcPr>
          <w:p w14:paraId="2CD8BCD3">
            <w:pPr>
              <w:pStyle w:val="41"/>
            </w:pPr>
          </w:p>
        </w:tc>
        <w:tc>
          <w:tcPr>
            <w:tcW w:w="704" w:type="pct"/>
            <w:vAlign w:val="center"/>
          </w:tcPr>
          <w:p w14:paraId="11D0AA32">
            <w:pPr>
              <w:pStyle w:val="41"/>
            </w:pPr>
          </w:p>
        </w:tc>
      </w:tr>
      <w:tr w14:paraId="3E3409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52FFE654">
            <w:pPr>
              <w:pStyle w:val="41"/>
            </w:pPr>
            <w:r>
              <w:t>挥发性有机物</w:t>
            </w:r>
          </w:p>
        </w:tc>
      </w:tr>
      <w:tr w14:paraId="5AF315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6D4E3835">
            <w:pPr>
              <w:pStyle w:val="41"/>
            </w:pPr>
            <w:r>
              <w:t>8</w:t>
            </w:r>
          </w:p>
        </w:tc>
        <w:tc>
          <w:tcPr>
            <w:tcW w:w="1377" w:type="pct"/>
            <w:vAlign w:val="center"/>
          </w:tcPr>
          <w:p w14:paraId="6CCF3C91">
            <w:pPr>
              <w:pStyle w:val="41"/>
            </w:pPr>
            <w:r>
              <w:t>四氯化碳</w:t>
            </w:r>
          </w:p>
        </w:tc>
        <w:tc>
          <w:tcPr>
            <w:tcW w:w="708" w:type="pct"/>
          </w:tcPr>
          <w:p w14:paraId="6553757E">
            <w:pPr>
              <w:pStyle w:val="41"/>
            </w:pPr>
            <w:r>
              <w:t>≤2.8</w:t>
            </w:r>
          </w:p>
        </w:tc>
        <w:tc>
          <w:tcPr>
            <w:tcW w:w="367" w:type="pct"/>
            <w:vAlign w:val="center"/>
          </w:tcPr>
          <w:p w14:paraId="4DCF557D">
            <w:pPr>
              <w:pStyle w:val="41"/>
            </w:pPr>
            <w:r>
              <w:t>22</w:t>
            </w:r>
          </w:p>
        </w:tc>
        <w:tc>
          <w:tcPr>
            <w:tcW w:w="1480" w:type="pct"/>
            <w:vAlign w:val="center"/>
          </w:tcPr>
          <w:p w14:paraId="260F79C6">
            <w:pPr>
              <w:pStyle w:val="41"/>
            </w:pPr>
            <w:r>
              <w:t>1，1，2-三氯乙烷</w:t>
            </w:r>
          </w:p>
        </w:tc>
        <w:tc>
          <w:tcPr>
            <w:tcW w:w="704" w:type="pct"/>
          </w:tcPr>
          <w:p w14:paraId="3ABF60D8">
            <w:pPr>
              <w:pStyle w:val="41"/>
            </w:pPr>
            <w:r>
              <w:t>≤2.8</w:t>
            </w:r>
          </w:p>
        </w:tc>
      </w:tr>
      <w:tr w14:paraId="0BFE7C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3A9F4461">
            <w:pPr>
              <w:pStyle w:val="41"/>
            </w:pPr>
            <w:r>
              <w:t>9</w:t>
            </w:r>
          </w:p>
        </w:tc>
        <w:tc>
          <w:tcPr>
            <w:tcW w:w="1377" w:type="pct"/>
            <w:vAlign w:val="center"/>
          </w:tcPr>
          <w:p w14:paraId="0B0F234B">
            <w:pPr>
              <w:pStyle w:val="41"/>
            </w:pPr>
            <w:r>
              <w:t>氯仿</w:t>
            </w:r>
          </w:p>
        </w:tc>
        <w:tc>
          <w:tcPr>
            <w:tcW w:w="708" w:type="pct"/>
          </w:tcPr>
          <w:p w14:paraId="5EC9B6DB">
            <w:pPr>
              <w:pStyle w:val="41"/>
            </w:pPr>
            <w:r>
              <w:t>≤0.9</w:t>
            </w:r>
          </w:p>
        </w:tc>
        <w:tc>
          <w:tcPr>
            <w:tcW w:w="367" w:type="pct"/>
            <w:vAlign w:val="center"/>
          </w:tcPr>
          <w:p w14:paraId="7B78DBC0">
            <w:pPr>
              <w:pStyle w:val="41"/>
            </w:pPr>
            <w:r>
              <w:t>23</w:t>
            </w:r>
          </w:p>
        </w:tc>
        <w:tc>
          <w:tcPr>
            <w:tcW w:w="1480" w:type="pct"/>
            <w:vAlign w:val="center"/>
          </w:tcPr>
          <w:p w14:paraId="6693600A">
            <w:pPr>
              <w:pStyle w:val="41"/>
            </w:pPr>
            <w:r>
              <w:t>三氯乙烯</w:t>
            </w:r>
          </w:p>
        </w:tc>
        <w:tc>
          <w:tcPr>
            <w:tcW w:w="704" w:type="pct"/>
          </w:tcPr>
          <w:p w14:paraId="3ED8533F">
            <w:pPr>
              <w:pStyle w:val="41"/>
            </w:pPr>
            <w:r>
              <w:t>≤2.8</w:t>
            </w:r>
          </w:p>
        </w:tc>
      </w:tr>
      <w:tr w14:paraId="46B71C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3CED4C44">
            <w:pPr>
              <w:pStyle w:val="41"/>
            </w:pPr>
            <w:r>
              <w:t>10</w:t>
            </w:r>
          </w:p>
        </w:tc>
        <w:tc>
          <w:tcPr>
            <w:tcW w:w="1377" w:type="pct"/>
            <w:vAlign w:val="center"/>
          </w:tcPr>
          <w:p w14:paraId="7693A8B6">
            <w:pPr>
              <w:pStyle w:val="41"/>
            </w:pPr>
            <w:r>
              <w:t>氯甲烷</w:t>
            </w:r>
          </w:p>
        </w:tc>
        <w:tc>
          <w:tcPr>
            <w:tcW w:w="708" w:type="pct"/>
          </w:tcPr>
          <w:p w14:paraId="19BC506C">
            <w:pPr>
              <w:pStyle w:val="41"/>
            </w:pPr>
            <w:r>
              <w:t>≤37</w:t>
            </w:r>
          </w:p>
        </w:tc>
        <w:tc>
          <w:tcPr>
            <w:tcW w:w="367" w:type="pct"/>
            <w:vAlign w:val="center"/>
          </w:tcPr>
          <w:p w14:paraId="6865EDEA">
            <w:pPr>
              <w:pStyle w:val="41"/>
            </w:pPr>
            <w:r>
              <w:t>24</w:t>
            </w:r>
          </w:p>
        </w:tc>
        <w:tc>
          <w:tcPr>
            <w:tcW w:w="1480" w:type="pct"/>
            <w:vAlign w:val="center"/>
          </w:tcPr>
          <w:p w14:paraId="29650A11">
            <w:pPr>
              <w:pStyle w:val="41"/>
            </w:pPr>
            <w:r>
              <w:t>1，2，3-三氯丙烷</w:t>
            </w:r>
          </w:p>
        </w:tc>
        <w:tc>
          <w:tcPr>
            <w:tcW w:w="704" w:type="pct"/>
          </w:tcPr>
          <w:p w14:paraId="244002C6">
            <w:pPr>
              <w:pStyle w:val="41"/>
            </w:pPr>
            <w:r>
              <w:t>≤0.5</w:t>
            </w:r>
          </w:p>
        </w:tc>
      </w:tr>
      <w:tr w14:paraId="6D9E58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79C0D7AA">
            <w:pPr>
              <w:pStyle w:val="41"/>
            </w:pPr>
            <w:r>
              <w:t>11</w:t>
            </w:r>
          </w:p>
        </w:tc>
        <w:tc>
          <w:tcPr>
            <w:tcW w:w="1377" w:type="pct"/>
            <w:vAlign w:val="center"/>
          </w:tcPr>
          <w:p w14:paraId="761E957B">
            <w:pPr>
              <w:pStyle w:val="41"/>
            </w:pPr>
            <w:r>
              <w:t>1，1-二氯乙烷</w:t>
            </w:r>
          </w:p>
        </w:tc>
        <w:tc>
          <w:tcPr>
            <w:tcW w:w="708" w:type="pct"/>
          </w:tcPr>
          <w:p w14:paraId="0E599249">
            <w:pPr>
              <w:pStyle w:val="41"/>
            </w:pPr>
            <w:r>
              <w:t>≤9</w:t>
            </w:r>
          </w:p>
        </w:tc>
        <w:tc>
          <w:tcPr>
            <w:tcW w:w="367" w:type="pct"/>
            <w:vAlign w:val="center"/>
          </w:tcPr>
          <w:p w14:paraId="1D4DC513">
            <w:pPr>
              <w:pStyle w:val="41"/>
            </w:pPr>
            <w:r>
              <w:t>25</w:t>
            </w:r>
          </w:p>
        </w:tc>
        <w:tc>
          <w:tcPr>
            <w:tcW w:w="1480" w:type="pct"/>
            <w:vAlign w:val="center"/>
          </w:tcPr>
          <w:p w14:paraId="4B8E397A">
            <w:pPr>
              <w:pStyle w:val="41"/>
            </w:pPr>
            <w:r>
              <w:t>氯乙烯</w:t>
            </w:r>
          </w:p>
        </w:tc>
        <w:tc>
          <w:tcPr>
            <w:tcW w:w="704" w:type="pct"/>
          </w:tcPr>
          <w:p w14:paraId="2A3FD36A">
            <w:pPr>
              <w:pStyle w:val="41"/>
            </w:pPr>
            <w:r>
              <w:t>≤0.43</w:t>
            </w:r>
          </w:p>
        </w:tc>
      </w:tr>
      <w:tr w14:paraId="2EDEE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6EA41288">
            <w:pPr>
              <w:pStyle w:val="41"/>
            </w:pPr>
            <w:r>
              <w:t>12</w:t>
            </w:r>
          </w:p>
        </w:tc>
        <w:tc>
          <w:tcPr>
            <w:tcW w:w="1377" w:type="pct"/>
            <w:vAlign w:val="center"/>
          </w:tcPr>
          <w:p w14:paraId="2767CD57">
            <w:pPr>
              <w:pStyle w:val="41"/>
            </w:pPr>
            <w:r>
              <w:t>1，2-二氯乙烷</w:t>
            </w:r>
          </w:p>
        </w:tc>
        <w:tc>
          <w:tcPr>
            <w:tcW w:w="708" w:type="pct"/>
          </w:tcPr>
          <w:p w14:paraId="543D45AA">
            <w:pPr>
              <w:pStyle w:val="41"/>
            </w:pPr>
            <w:r>
              <w:t>≤5</w:t>
            </w:r>
          </w:p>
        </w:tc>
        <w:tc>
          <w:tcPr>
            <w:tcW w:w="367" w:type="pct"/>
            <w:vAlign w:val="center"/>
          </w:tcPr>
          <w:p w14:paraId="4DA67A67">
            <w:pPr>
              <w:pStyle w:val="41"/>
            </w:pPr>
            <w:r>
              <w:t>26</w:t>
            </w:r>
          </w:p>
        </w:tc>
        <w:tc>
          <w:tcPr>
            <w:tcW w:w="1480" w:type="pct"/>
            <w:vAlign w:val="center"/>
          </w:tcPr>
          <w:p w14:paraId="06B28DA0">
            <w:pPr>
              <w:pStyle w:val="41"/>
            </w:pPr>
            <w:r>
              <w:t>苯</w:t>
            </w:r>
          </w:p>
        </w:tc>
        <w:tc>
          <w:tcPr>
            <w:tcW w:w="704" w:type="pct"/>
          </w:tcPr>
          <w:p w14:paraId="0AEFDC30">
            <w:pPr>
              <w:pStyle w:val="41"/>
            </w:pPr>
            <w:r>
              <w:t>≤4</w:t>
            </w:r>
          </w:p>
        </w:tc>
      </w:tr>
      <w:tr w14:paraId="5095F5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381ACEFD">
            <w:pPr>
              <w:pStyle w:val="41"/>
            </w:pPr>
            <w:r>
              <w:t>13</w:t>
            </w:r>
          </w:p>
        </w:tc>
        <w:tc>
          <w:tcPr>
            <w:tcW w:w="1377" w:type="pct"/>
            <w:vAlign w:val="center"/>
          </w:tcPr>
          <w:p w14:paraId="7783806C">
            <w:pPr>
              <w:pStyle w:val="41"/>
            </w:pPr>
            <w:r>
              <w:t>1，1-二氯乙烯</w:t>
            </w:r>
          </w:p>
        </w:tc>
        <w:tc>
          <w:tcPr>
            <w:tcW w:w="708" w:type="pct"/>
          </w:tcPr>
          <w:p w14:paraId="0AE29823">
            <w:pPr>
              <w:pStyle w:val="41"/>
            </w:pPr>
            <w:r>
              <w:t>≤66</w:t>
            </w:r>
          </w:p>
        </w:tc>
        <w:tc>
          <w:tcPr>
            <w:tcW w:w="367" w:type="pct"/>
            <w:vAlign w:val="center"/>
          </w:tcPr>
          <w:p w14:paraId="31F33595">
            <w:pPr>
              <w:pStyle w:val="41"/>
            </w:pPr>
            <w:r>
              <w:t>27</w:t>
            </w:r>
          </w:p>
        </w:tc>
        <w:tc>
          <w:tcPr>
            <w:tcW w:w="1480" w:type="pct"/>
            <w:vAlign w:val="center"/>
          </w:tcPr>
          <w:p w14:paraId="5A5B57D0">
            <w:pPr>
              <w:pStyle w:val="41"/>
            </w:pPr>
            <w:r>
              <w:t>氯苯</w:t>
            </w:r>
          </w:p>
        </w:tc>
        <w:tc>
          <w:tcPr>
            <w:tcW w:w="704" w:type="pct"/>
          </w:tcPr>
          <w:p w14:paraId="7D44B9B9">
            <w:pPr>
              <w:pStyle w:val="41"/>
            </w:pPr>
            <w:r>
              <w:t>≤270</w:t>
            </w:r>
          </w:p>
        </w:tc>
      </w:tr>
      <w:tr w14:paraId="0503D4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23F357CB">
            <w:pPr>
              <w:pStyle w:val="41"/>
            </w:pPr>
            <w:r>
              <w:t>14</w:t>
            </w:r>
          </w:p>
        </w:tc>
        <w:tc>
          <w:tcPr>
            <w:tcW w:w="1377" w:type="pct"/>
            <w:vAlign w:val="center"/>
          </w:tcPr>
          <w:p w14:paraId="497BBA26">
            <w:pPr>
              <w:pStyle w:val="41"/>
            </w:pPr>
            <w:r>
              <w:t>顺-1，2-二氯乙烯</w:t>
            </w:r>
          </w:p>
        </w:tc>
        <w:tc>
          <w:tcPr>
            <w:tcW w:w="708" w:type="pct"/>
          </w:tcPr>
          <w:p w14:paraId="2AA10E83">
            <w:pPr>
              <w:pStyle w:val="41"/>
            </w:pPr>
            <w:r>
              <w:t>≤596</w:t>
            </w:r>
          </w:p>
        </w:tc>
        <w:tc>
          <w:tcPr>
            <w:tcW w:w="367" w:type="pct"/>
            <w:vAlign w:val="center"/>
          </w:tcPr>
          <w:p w14:paraId="7FB66EBC">
            <w:pPr>
              <w:pStyle w:val="41"/>
            </w:pPr>
            <w:r>
              <w:t>28</w:t>
            </w:r>
          </w:p>
        </w:tc>
        <w:tc>
          <w:tcPr>
            <w:tcW w:w="1480" w:type="pct"/>
            <w:vAlign w:val="center"/>
          </w:tcPr>
          <w:p w14:paraId="14C31683">
            <w:pPr>
              <w:pStyle w:val="41"/>
            </w:pPr>
            <w:r>
              <w:t>1，2-二氯苯</w:t>
            </w:r>
          </w:p>
        </w:tc>
        <w:tc>
          <w:tcPr>
            <w:tcW w:w="704" w:type="pct"/>
          </w:tcPr>
          <w:p w14:paraId="1B436EF1">
            <w:pPr>
              <w:pStyle w:val="41"/>
            </w:pPr>
            <w:r>
              <w:t>≤560</w:t>
            </w:r>
          </w:p>
        </w:tc>
      </w:tr>
      <w:tr w14:paraId="385F46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7F05318B">
            <w:pPr>
              <w:pStyle w:val="41"/>
            </w:pPr>
            <w:r>
              <w:t>15</w:t>
            </w:r>
          </w:p>
        </w:tc>
        <w:tc>
          <w:tcPr>
            <w:tcW w:w="1377" w:type="pct"/>
            <w:vAlign w:val="center"/>
          </w:tcPr>
          <w:p w14:paraId="054AAE5D">
            <w:pPr>
              <w:pStyle w:val="41"/>
            </w:pPr>
            <w:r>
              <w:t>反-1，2-二氯乙烯</w:t>
            </w:r>
          </w:p>
        </w:tc>
        <w:tc>
          <w:tcPr>
            <w:tcW w:w="708" w:type="pct"/>
          </w:tcPr>
          <w:p w14:paraId="1D0FEBD8">
            <w:pPr>
              <w:pStyle w:val="41"/>
            </w:pPr>
            <w:r>
              <w:t>≤54</w:t>
            </w:r>
          </w:p>
        </w:tc>
        <w:tc>
          <w:tcPr>
            <w:tcW w:w="367" w:type="pct"/>
            <w:vAlign w:val="center"/>
          </w:tcPr>
          <w:p w14:paraId="06D790F1">
            <w:pPr>
              <w:pStyle w:val="41"/>
            </w:pPr>
            <w:r>
              <w:t>29</w:t>
            </w:r>
          </w:p>
        </w:tc>
        <w:tc>
          <w:tcPr>
            <w:tcW w:w="1480" w:type="pct"/>
            <w:vAlign w:val="center"/>
          </w:tcPr>
          <w:p w14:paraId="16E02E5E">
            <w:pPr>
              <w:pStyle w:val="41"/>
            </w:pPr>
            <w:r>
              <w:t>1，4-二氯苯</w:t>
            </w:r>
          </w:p>
        </w:tc>
        <w:tc>
          <w:tcPr>
            <w:tcW w:w="704" w:type="pct"/>
          </w:tcPr>
          <w:p w14:paraId="315F8432">
            <w:pPr>
              <w:pStyle w:val="41"/>
            </w:pPr>
            <w:r>
              <w:t>≤20</w:t>
            </w:r>
          </w:p>
        </w:tc>
      </w:tr>
      <w:tr w14:paraId="1B8BC9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3A301CD4">
            <w:pPr>
              <w:pStyle w:val="41"/>
            </w:pPr>
            <w:r>
              <w:t>16</w:t>
            </w:r>
          </w:p>
        </w:tc>
        <w:tc>
          <w:tcPr>
            <w:tcW w:w="1377" w:type="pct"/>
            <w:vAlign w:val="center"/>
          </w:tcPr>
          <w:p w14:paraId="62CED618">
            <w:pPr>
              <w:pStyle w:val="41"/>
            </w:pPr>
            <w:r>
              <w:t>二氯甲烷</w:t>
            </w:r>
          </w:p>
        </w:tc>
        <w:tc>
          <w:tcPr>
            <w:tcW w:w="708" w:type="pct"/>
          </w:tcPr>
          <w:p w14:paraId="33F831D5">
            <w:pPr>
              <w:pStyle w:val="41"/>
            </w:pPr>
            <w:r>
              <w:t>≤616</w:t>
            </w:r>
          </w:p>
        </w:tc>
        <w:tc>
          <w:tcPr>
            <w:tcW w:w="367" w:type="pct"/>
            <w:vAlign w:val="center"/>
          </w:tcPr>
          <w:p w14:paraId="539C8D6C">
            <w:pPr>
              <w:pStyle w:val="41"/>
            </w:pPr>
            <w:r>
              <w:t>30</w:t>
            </w:r>
          </w:p>
        </w:tc>
        <w:tc>
          <w:tcPr>
            <w:tcW w:w="1480" w:type="pct"/>
            <w:vAlign w:val="center"/>
          </w:tcPr>
          <w:p w14:paraId="37EA484B">
            <w:pPr>
              <w:pStyle w:val="41"/>
            </w:pPr>
            <w:r>
              <w:t>乙苯</w:t>
            </w:r>
          </w:p>
        </w:tc>
        <w:tc>
          <w:tcPr>
            <w:tcW w:w="704" w:type="pct"/>
          </w:tcPr>
          <w:p w14:paraId="31E439D7">
            <w:pPr>
              <w:pStyle w:val="41"/>
            </w:pPr>
            <w:r>
              <w:t>≤28</w:t>
            </w:r>
          </w:p>
        </w:tc>
      </w:tr>
      <w:tr w14:paraId="53102B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5CC65ECD">
            <w:pPr>
              <w:pStyle w:val="41"/>
            </w:pPr>
            <w:r>
              <w:t>17</w:t>
            </w:r>
          </w:p>
        </w:tc>
        <w:tc>
          <w:tcPr>
            <w:tcW w:w="1377" w:type="pct"/>
            <w:vAlign w:val="center"/>
          </w:tcPr>
          <w:p w14:paraId="412FB8D6">
            <w:pPr>
              <w:pStyle w:val="41"/>
            </w:pPr>
            <w:r>
              <w:t>1，2-二氯丙烷</w:t>
            </w:r>
          </w:p>
        </w:tc>
        <w:tc>
          <w:tcPr>
            <w:tcW w:w="708" w:type="pct"/>
          </w:tcPr>
          <w:p w14:paraId="5ED2C5D4">
            <w:pPr>
              <w:pStyle w:val="41"/>
            </w:pPr>
            <w:r>
              <w:t>≤5</w:t>
            </w:r>
          </w:p>
        </w:tc>
        <w:tc>
          <w:tcPr>
            <w:tcW w:w="367" w:type="pct"/>
            <w:vAlign w:val="center"/>
          </w:tcPr>
          <w:p w14:paraId="56FC38EB">
            <w:pPr>
              <w:pStyle w:val="41"/>
            </w:pPr>
            <w:r>
              <w:t>31</w:t>
            </w:r>
          </w:p>
        </w:tc>
        <w:tc>
          <w:tcPr>
            <w:tcW w:w="1480" w:type="pct"/>
            <w:vAlign w:val="center"/>
          </w:tcPr>
          <w:p w14:paraId="25208695">
            <w:pPr>
              <w:pStyle w:val="41"/>
            </w:pPr>
            <w:r>
              <w:t>苯乙烯</w:t>
            </w:r>
          </w:p>
        </w:tc>
        <w:tc>
          <w:tcPr>
            <w:tcW w:w="704" w:type="pct"/>
            <w:vAlign w:val="center"/>
          </w:tcPr>
          <w:p w14:paraId="6BD7DB97">
            <w:pPr>
              <w:pStyle w:val="41"/>
            </w:pPr>
            <w:r>
              <w:t>≤1290</w:t>
            </w:r>
          </w:p>
        </w:tc>
      </w:tr>
      <w:tr w14:paraId="682DEE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2E5E4937">
            <w:pPr>
              <w:pStyle w:val="41"/>
            </w:pPr>
            <w:r>
              <w:t>18</w:t>
            </w:r>
          </w:p>
        </w:tc>
        <w:tc>
          <w:tcPr>
            <w:tcW w:w="1377" w:type="pct"/>
            <w:vAlign w:val="center"/>
          </w:tcPr>
          <w:p w14:paraId="722B964C">
            <w:pPr>
              <w:pStyle w:val="41"/>
            </w:pPr>
            <w:r>
              <w:t>1，1，1，2-四氯乙烷</w:t>
            </w:r>
          </w:p>
        </w:tc>
        <w:tc>
          <w:tcPr>
            <w:tcW w:w="708" w:type="pct"/>
          </w:tcPr>
          <w:p w14:paraId="0D31E137">
            <w:pPr>
              <w:pStyle w:val="41"/>
            </w:pPr>
            <w:r>
              <w:t>≤10</w:t>
            </w:r>
          </w:p>
        </w:tc>
        <w:tc>
          <w:tcPr>
            <w:tcW w:w="367" w:type="pct"/>
            <w:vAlign w:val="center"/>
          </w:tcPr>
          <w:p w14:paraId="4D99BB58">
            <w:pPr>
              <w:pStyle w:val="41"/>
            </w:pPr>
            <w:r>
              <w:t>32</w:t>
            </w:r>
          </w:p>
        </w:tc>
        <w:tc>
          <w:tcPr>
            <w:tcW w:w="1480" w:type="pct"/>
            <w:vAlign w:val="center"/>
          </w:tcPr>
          <w:p w14:paraId="1DB4F9EF">
            <w:pPr>
              <w:pStyle w:val="41"/>
            </w:pPr>
            <w:r>
              <w:t>甲苯</w:t>
            </w:r>
          </w:p>
        </w:tc>
        <w:tc>
          <w:tcPr>
            <w:tcW w:w="704" w:type="pct"/>
          </w:tcPr>
          <w:p w14:paraId="42E50CEE">
            <w:pPr>
              <w:pStyle w:val="41"/>
            </w:pPr>
            <w:r>
              <w:t>≤1200</w:t>
            </w:r>
          </w:p>
        </w:tc>
      </w:tr>
      <w:tr w14:paraId="238905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452D82AF">
            <w:pPr>
              <w:pStyle w:val="41"/>
            </w:pPr>
            <w:r>
              <w:t>19</w:t>
            </w:r>
          </w:p>
        </w:tc>
        <w:tc>
          <w:tcPr>
            <w:tcW w:w="1377" w:type="pct"/>
            <w:vAlign w:val="center"/>
          </w:tcPr>
          <w:p w14:paraId="7DFB573A">
            <w:pPr>
              <w:pStyle w:val="41"/>
            </w:pPr>
            <w:r>
              <w:t>1，1，2，2-四氯乙烷</w:t>
            </w:r>
          </w:p>
        </w:tc>
        <w:tc>
          <w:tcPr>
            <w:tcW w:w="708" w:type="pct"/>
          </w:tcPr>
          <w:p w14:paraId="2E4E3C3D">
            <w:pPr>
              <w:pStyle w:val="41"/>
            </w:pPr>
            <w:r>
              <w:t>≤6.8</w:t>
            </w:r>
          </w:p>
        </w:tc>
        <w:tc>
          <w:tcPr>
            <w:tcW w:w="367" w:type="pct"/>
            <w:vAlign w:val="center"/>
          </w:tcPr>
          <w:p w14:paraId="0A69C6DB">
            <w:pPr>
              <w:pStyle w:val="41"/>
            </w:pPr>
            <w:r>
              <w:t>33</w:t>
            </w:r>
          </w:p>
        </w:tc>
        <w:tc>
          <w:tcPr>
            <w:tcW w:w="1480" w:type="pct"/>
            <w:vAlign w:val="center"/>
          </w:tcPr>
          <w:p w14:paraId="16FE791B">
            <w:pPr>
              <w:pStyle w:val="41"/>
            </w:pPr>
            <w:r>
              <w:t>间二甲苯+对二甲苯</w:t>
            </w:r>
          </w:p>
        </w:tc>
        <w:tc>
          <w:tcPr>
            <w:tcW w:w="704" w:type="pct"/>
          </w:tcPr>
          <w:p w14:paraId="3B78C777">
            <w:pPr>
              <w:pStyle w:val="41"/>
            </w:pPr>
            <w:r>
              <w:t>≤570</w:t>
            </w:r>
          </w:p>
        </w:tc>
      </w:tr>
      <w:tr w14:paraId="0E588A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5A94E333">
            <w:pPr>
              <w:pStyle w:val="41"/>
            </w:pPr>
            <w:r>
              <w:t>20</w:t>
            </w:r>
          </w:p>
        </w:tc>
        <w:tc>
          <w:tcPr>
            <w:tcW w:w="1377" w:type="pct"/>
            <w:vAlign w:val="center"/>
          </w:tcPr>
          <w:p w14:paraId="1CDCFCF0">
            <w:pPr>
              <w:pStyle w:val="41"/>
            </w:pPr>
            <w:r>
              <w:t>四氯乙烯</w:t>
            </w:r>
          </w:p>
        </w:tc>
        <w:tc>
          <w:tcPr>
            <w:tcW w:w="708" w:type="pct"/>
          </w:tcPr>
          <w:p w14:paraId="64E03BC2">
            <w:pPr>
              <w:pStyle w:val="41"/>
            </w:pPr>
            <w:r>
              <w:t>≤53</w:t>
            </w:r>
          </w:p>
        </w:tc>
        <w:tc>
          <w:tcPr>
            <w:tcW w:w="367" w:type="pct"/>
            <w:vAlign w:val="center"/>
          </w:tcPr>
          <w:p w14:paraId="096160A4">
            <w:pPr>
              <w:pStyle w:val="41"/>
            </w:pPr>
            <w:r>
              <w:t>34</w:t>
            </w:r>
          </w:p>
        </w:tc>
        <w:tc>
          <w:tcPr>
            <w:tcW w:w="1480" w:type="pct"/>
            <w:vAlign w:val="center"/>
          </w:tcPr>
          <w:p w14:paraId="77C51AEA">
            <w:pPr>
              <w:pStyle w:val="41"/>
            </w:pPr>
            <w:r>
              <w:t>邻二甲苯</w:t>
            </w:r>
          </w:p>
        </w:tc>
        <w:tc>
          <w:tcPr>
            <w:tcW w:w="704" w:type="pct"/>
          </w:tcPr>
          <w:p w14:paraId="5FA66AB5">
            <w:pPr>
              <w:pStyle w:val="41"/>
            </w:pPr>
            <w:r>
              <w:t>≤640</w:t>
            </w:r>
          </w:p>
        </w:tc>
      </w:tr>
      <w:tr w14:paraId="243628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75C92E06">
            <w:pPr>
              <w:pStyle w:val="41"/>
            </w:pPr>
            <w:r>
              <w:t>21</w:t>
            </w:r>
          </w:p>
        </w:tc>
        <w:tc>
          <w:tcPr>
            <w:tcW w:w="1377" w:type="pct"/>
            <w:vAlign w:val="center"/>
          </w:tcPr>
          <w:p w14:paraId="41F7895A">
            <w:pPr>
              <w:pStyle w:val="41"/>
            </w:pPr>
            <w:r>
              <w:t>1，1，1-三氯乙烷</w:t>
            </w:r>
          </w:p>
        </w:tc>
        <w:tc>
          <w:tcPr>
            <w:tcW w:w="708" w:type="pct"/>
          </w:tcPr>
          <w:p w14:paraId="505D0E32">
            <w:pPr>
              <w:pStyle w:val="41"/>
            </w:pPr>
            <w:r>
              <w:t>≤840</w:t>
            </w:r>
          </w:p>
        </w:tc>
        <w:tc>
          <w:tcPr>
            <w:tcW w:w="367" w:type="pct"/>
            <w:vAlign w:val="center"/>
          </w:tcPr>
          <w:p w14:paraId="1CF67F77">
            <w:pPr>
              <w:pStyle w:val="41"/>
            </w:pPr>
          </w:p>
        </w:tc>
        <w:tc>
          <w:tcPr>
            <w:tcW w:w="1480" w:type="pct"/>
            <w:vAlign w:val="center"/>
          </w:tcPr>
          <w:p w14:paraId="3784AFE7">
            <w:pPr>
              <w:pStyle w:val="41"/>
            </w:pPr>
          </w:p>
        </w:tc>
        <w:tc>
          <w:tcPr>
            <w:tcW w:w="704" w:type="pct"/>
            <w:vAlign w:val="center"/>
          </w:tcPr>
          <w:p w14:paraId="785D092E">
            <w:pPr>
              <w:pStyle w:val="41"/>
            </w:pPr>
          </w:p>
        </w:tc>
      </w:tr>
      <w:tr w14:paraId="110C4D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4CCA8991">
            <w:pPr>
              <w:pStyle w:val="41"/>
            </w:pPr>
            <w:r>
              <w:t>半挥发性有机物</w:t>
            </w:r>
          </w:p>
        </w:tc>
      </w:tr>
      <w:tr w14:paraId="7E598A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1FF2E43A">
            <w:pPr>
              <w:pStyle w:val="41"/>
            </w:pPr>
            <w:r>
              <w:t>35</w:t>
            </w:r>
          </w:p>
        </w:tc>
        <w:tc>
          <w:tcPr>
            <w:tcW w:w="1377" w:type="pct"/>
            <w:vAlign w:val="center"/>
          </w:tcPr>
          <w:p w14:paraId="442A35C6">
            <w:pPr>
              <w:pStyle w:val="41"/>
            </w:pPr>
            <w:r>
              <w:t>硝基苯</w:t>
            </w:r>
          </w:p>
        </w:tc>
        <w:tc>
          <w:tcPr>
            <w:tcW w:w="708" w:type="pct"/>
          </w:tcPr>
          <w:p w14:paraId="225DC952">
            <w:pPr>
              <w:pStyle w:val="41"/>
            </w:pPr>
            <w:r>
              <w:t>≤76</w:t>
            </w:r>
          </w:p>
        </w:tc>
        <w:tc>
          <w:tcPr>
            <w:tcW w:w="367" w:type="pct"/>
            <w:vAlign w:val="center"/>
          </w:tcPr>
          <w:p w14:paraId="030100D8">
            <w:pPr>
              <w:pStyle w:val="41"/>
            </w:pPr>
            <w:r>
              <w:t>41</w:t>
            </w:r>
          </w:p>
        </w:tc>
        <w:tc>
          <w:tcPr>
            <w:tcW w:w="1480" w:type="pct"/>
            <w:vAlign w:val="center"/>
          </w:tcPr>
          <w:p w14:paraId="588A1ED5">
            <w:pPr>
              <w:pStyle w:val="41"/>
            </w:pPr>
            <w:r>
              <w:t>苯并〔k〕荧蒽</w:t>
            </w:r>
          </w:p>
        </w:tc>
        <w:tc>
          <w:tcPr>
            <w:tcW w:w="704" w:type="pct"/>
          </w:tcPr>
          <w:p w14:paraId="45CDAC58">
            <w:pPr>
              <w:pStyle w:val="41"/>
            </w:pPr>
            <w:r>
              <w:t>≤151</w:t>
            </w:r>
          </w:p>
        </w:tc>
      </w:tr>
      <w:tr w14:paraId="533D35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4C130080">
            <w:pPr>
              <w:pStyle w:val="41"/>
            </w:pPr>
            <w:r>
              <w:t>36</w:t>
            </w:r>
          </w:p>
        </w:tc>
        <w:tc>
          <w:tcPr>
            <w:tcW w:w="1377" w:type="pct"/>
            <w:vAlign w:val="center"/>
          </w:tcPr>
          <w:p w14:paraId="1007033F">
            <w:pPr>
              <w:pStyle w:val="41"/>
            </w:pPr>
            <w:r>
              <w:t>苯胺</w:t>
            </w:r>
          </w:p>
        </w:tc>
        <w:tc>
          <w:tcPr>
            <w:tcW w:w="708" w:type="pct"/>
          </w:tcPr>
          <w:p w14:paraId="78144C12">
            <w:pPr>
              <w:pStyle w:val="41"/>
            </w:pPr>
            <w:r>
              <w:t>≤260</w:t>
            </w:r>
          </w:p>
        </w:tc>
        <w:tc>
          <w:tcPr>
            <w:tcW w:w="367" w:type="pct"/>
            <w:vAlign w:val="center"/>
          </w:tcPr>
          <w:p w14:paraId="3DB7339E">
            <w:pPr>
              <w:pStyle w:val="41"/>
            </w:pPr>
            <w:r>
              <w:t>41</w:t>
            </w:r>
          </w:p>
        </w:tc>
        <w:tc>
          <w:tcPr>
            <w:tcW w:w="1480" w:type="pct"/>
            <w:vAlign w:val="center"/>
          </w:tcPr>
          <w:p w14:paraId="38440F96">
            <w:pPr>
              <w:pStyle w:val="41"/>
            </w:pPr>
            <w:r>
              <w:t>䓛</w:t>
            </w:r>
          </w:p>
        </w:tc>
        <w:tc>
          <w:tcPr>
            <w:tcW w:w="704" w:type="pct"/>
          </w:tcPr>
          <w:p w14:paraId="2616C982">
            <w:pPr>
              <w:pStyle w:val="41"/>
            </w:pPr>
            <w:r>
              <w:t>≤1293</w:t>
            </w:r>
          </w:p>
        </w:tc>
      </w:tr>
      <w:tr w14:paraId="7B41B8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6E45CE70">
            <w:pPr>
              <w:pStyle w:val="41"/>
            </w:pPr>
            <w:r>
              <w:t>37</w:t>
            </w:r>
          </w:p>
        </w:tc>
        <w:tc>
          <w:tcPr>
            <w:tcW w:w="1377" w:type="pct"/>
            <w:vAlign w:val="center"/>
          </w:tcPr>
          <w:p w14:paraId="070D9E25">
            <w:pPr>
              <w:pStyle w:val="41"/>
            </w:pPr>
            <w:r>
              <w:t>2-氯酚</w:t>
            </w:r>
          </w:p>
        </w:tc>
        <w:tc>
          <w:tcPr>
            <w:tcW w:w="708" w:type="pct"/>
          </w:tcPr>
          <w:p w14:paraId="3078A3DF">
            <w:pPr>
              <w:pStyle w:val="41"/>
            </w:pPr>
            <w:r>
              <w:t>≤2256</w:t>
            </w:r>
          </w:p>
        </w:tc>
        <w:tc>
          <w:tcPr>
            <w:tcW w:w="367" w:type="pct"/>
            <w:vAlign w:val="center"/>
          </w:tcPr>
          <w:p w14:paraId="1F335EDB">
            <w:pPr>
              <w:pStyle w:val="41"/>
            </w:pPr>
            <w:r>
              <w:t>42</w:t>
            </w:r>
          </w:p>
        </w:tc>
        <w:tc>
          <w:tcPr>
            <w:tcW w:w="1480" w:type="pct"/>
            <w:vAlign w:val="center"/>
          </w:tcPr>
          <w:p w14:paraId="10CABDEB">
            <w:pPr>
              <w:pStyle w:val="41"/>
            </w:pPr>
            <w:r>
              <w:t>二苯并〔a，h〕蒽</w:t>
            </w:r>
          </w:p>
        </w:tc>
        <w:tc>
          <w:tcPr>
            <w:tcW w:w="704" w:type="pct"/>
          </w:tcPr>
          <w:p w14:paraId="4CE4A95A">
            <w:pPr>
              <w:pStyle w:val="41"/>
            </w:pPr>
            <w:r>
              <w:t>≤1.5</w:t>
            </w:r>
          </w:p>
        </w:tc>
      </w:tr>
      <w:tr w14:paraId="242177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234B8DE0">
            <w:pPr>
              <w:pStyle w:val="41"/>
            </w:pPr>
            <w:r>
              <w:t>38</w:t>
            </w:r>
          </w:p>
        </w:tc>
        <w:tc>
          <w:tcPr>
            <w:tcW w:w="1377" w:type="pct"/>
            <w:vAlign w:val="center"/>
          </w:tcPr>
          <w:p w14:paraId="248E9109">
            <w:pPr>
              <w:pStyle w:val="41"/>
            </w:pPr>
            <w:r>
              <w:t>苯并〔a〕蒽</w:t>
            </w:r>
          </w:p>
        </w:tc>
        <w:tc>
          <w:tcPr>
            <w:tcW w:w="708" w:type="pct"/>
          </w:tcPr>
          <w:p w14:paraId="0C5EC4C3">
            <w:pPr>
              <w:pStyle w:val="41"/>
            </w:pPr>
            <w:r>
              <w:t>≤15</w:t>
            </w:r>
          </w:p>
        </w:tc>
        <w:tc>
          <w:tcPr>
            <w:tcW w:w="367" w:type="pct"/>
            <w:vAlign w:val="center"/>
          </w:tcPr>
          <w:p w14:paraId="2AAF330D">
            <w:pPr>
              <w:pStyle w:val="41"/>
            </w:pPr>
            <w:r>
              <w:t>43</w:t>
            </w:r>
          </w:p>
        </w:tc>
        <w:tc>
          <w:tcPr>
            <w:tcW w:w="1480" w:type="pct"/>
            <w:vAlign w:val="center"/>
          </w:tcPr>
          <w:p w14:paraId="1E4634C5">
            <w:pPr>
              <w:pStyle w:val="41"/>
            </w:pPr>
            <w:r>
              <w:t>茚并〔1，2，3，-cd〕芘</w:t>
            </w:r>
          </w:p>
        </w:tc>
        <w:tc>
          <w:tcPr>
            <w:tcW w:w="704" w:type="pct"/>
          </w:tcPr>
          <w:p w14:paraId="06632224">
            <w:pPr>
              <w:pStyle w:val="41"/>
            </w:pPr>
            <w:r>
              <w:t>≤15</w:t>
            </w:r>
          </w:p>
        </w:tc>
      </w:tr>
      <w:tr w14:paraId="79615A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33009A14">
            <w:pPr>
              <w:pStyle w:val="41"/>
            </w:pPr>
            <w:r>
              <w:t>39</w:t>
            </w:r>
          </w:p>
        </w:tc>
        <w:tc>
          <w:tcPr>
            <w:tcW w:w="1377" w:type="pct"/>
            <w:vAlign w:val="center"/>
          </w:tcPr>
          <w:p w14:paraId="3923B29B">
            <w:pPr>
              <w:pStyle w:val="41"/>
            </w:pPr>
            <w:r>
              <w:t>苯并〔a〕芘</w:t>
            </w:r>
          </w:p>
        </w:tc>
        <w:tc>
          <w:tcPr>
            <w:tcW w:w="708" w:type="pct"/>
          </w:tcPr>
          <w:p w14:paraId="2987A6C6">
            <w:pPr>
              <w:pStyle w:val="41"/>
            </w:pPr>
            <w:r>
              <w:t>≤1.5</w:t>
            </w:r>
          </w:p>
        </w:tc>
        <w:tc>
          <w:tcPr>
            <w:tcW w:w="367" w:type="pct"/>
            <w:vAlign w:val="center"/>
          </w:tcPr>
          <w:p w14:paraId="5415B1D3">
            <w:pPr>
              <w:pStyle w:val="41"/>
            </w:pPr>
            <w:r>
              <w:t>44</w:t>
            </w:r>
          </w:p>
        </w:tc>
        <w:tc>
          <w:tcPr>
            <w:tcW w:w="1480" w:type="pct"/>
            <w:vAlign w:val="center"/>
          </w:tcPr>
          <w:p w14:paraId="5F53D8D2">
            <w:pPr>
              <w:pStyle w:val="41"/>
            </w:pPr>
            <w:r>
              <w:t>萘</w:t>
            </w:r>
          </w:p>
        </w:tc>
        <w:tc>
          <w:tcPr>
            <w:tcW w:w="704" w:type="pct"/>
          </w:tcPr>
          <w:p w14:paraId="2EB1E315">
            <w:pPr>
              <w:pStyle w:val="41"/>
            </w:pPr>
            <w:r>
              <w:t>≤70</w:t>
            </w:r>
          </w:p>
        </w:tc>
      </w:tr>
      <w:tr w14:paraId="54832B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26DD5B60">
            <w:pPr>
              <w:pStyle w:val="41"/>
            </w:pPr>
            <w:r>
              <w:t>40</w:t>
            </w:r>
          </w:p>
        </w:tc>
        <w:tc>
          <w:tcPr>
            <w:tcW w:w="1377" w:type="pct"/>
            <w:vAlign w:val="center"/>
          </w:tcPr>
          <w:p w14:paraId="150749EB">
            <w:pPr>
              <w:pStyle w:val="41"/>
            </w:pPr>
            <w:r>
              <w:t>苯并〔b〕荧蒽</w:t>
            </w:r>
          </w:p>
        </w:tc>
        <w:tc>
          <w:tcPr>
            <w:tcW w:w="708" w:type="pct"/>
          </w:tcPr>
          <w:p w14:paraId="53AB8041">
            <w:pPr>
              <w:pStyle w:val="41"/>
            </w:pPr>
            <w:r>
              <w:t>≤15</w:t>
            </w:r>
          </w:p>
        </w:tc>
        <w:tc>
          <w:tcPr>
            <w:tcW w:w="367" w:type="pct"/>
            <w:vAlign w:val="center"/>
          </w:tcPr>
          <w:p w14:paraId="75642D2E">
            <w:pPr>
              <w:pStyle w:val="41"/>
            </w:pPr>
          </w:p>
        </w:tc>
        <w:tc>
          <w:tcPr>
            <w:tcW w:w="1480" w:type="pct"/>
            <w:vAlign w:val="center"/>
          </w:tcPr>
          <w:p w14:paraId="1F26294F">
            <w:pPr>
              <w:pStyle w:val="41"/>
            </w:pPr>
          </w:p>
        </w:tc>
        <w:tc>
          <w:tcPr>
            <w:tcW w:w="704" w:type="pct"/>
            <w:vAlign w:val="center"/>
          </w:tcPr>
          <w:p w14:paraId="160B8F3F">
            <w:pPr>
              <w:pStyle w:val="41"/>
            </w:pPr>
          </w:p>
        </w:tc>
      </w:tr>
      <w:tr w14:paraId="74EEA6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472F1969">
            <w:pPr>
              <w:pStyle w:val="41"/>
            </w:pPr>
            <w:r>
              <w:t>特征因子</w:t>
            </w:r>
          </w:p>
        </w:tc>
      </w:tr>
      <w:tr w14:paraId="39C953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026D3F5F">
            <w:pPr>
              <w:pStyle w:val="41"/>
            </w:pPr>
            <w:r>
              <w:t>1</w:t>
            </w:r>
          </w:p>
        </w:tc>
        <w:tc>
          <w:tcPr>
            <w:tcW w:w="1377" w:type="pct"/>
            <w:vAlign w:val="center"/>
          </w:tcPr>
          <w:p w14:paraId="3424C9B3">
            <w:pPr>
              <w:pStyle w:val="41"/>
            </w:pPr>
            <w:r>
              <w:rPr>
                <w:bCs/>
              </w:rPr>
              <w:t>砷</w:t>
            </w:r>
          </w:p>
        </w:tc>
        <w:tc>
          <w:tcPr>
            <w:tcW w:w="708" w:type="pct"/>
          </w:tcPr>
          <w:p w14:paraId="025A95A0">
            <w:pPr>
              <w:pStyle w:val="41"/>
            </w:pPr>
            <w:r>
              <w:t>≤60</w:t>
            </w:r>
          </w:p>
        </w:tc>
        <w:tc>
          <w:tcPr>
            <w:tcW w:w="367" w:type="pct"/>
            <w:vAlign w:val="center"/>
          </w:tcPr>
          <w:p w14:paraId="682ACB14">
            <w:pPr>
              <w:pStyle w:val="41"/>
            </w:pPr>
            <w:r>
              <w:t>6</w:t>
            </w:r>
          </w:p>
        </w:tc>
        <w:tc>
          <w:tcPr>
            <w:tcW w:w="1480" w:type="pct"/>
            <w:vAlign w:val="center"/>
          </w:tcPr>
          <w:p w14:paraId="4CBDA1B3">
            <w:pPr>
              <w:pStyle w:val="41"/>
            </w:pPr>
            <w:r>
              <w:rPr>
                <w:kern w:val="0"/>
              </w:rPr>
              <w:t>锑</w:t>
            </w:r>
          </w:p>
        </w:tc>
        <w:tc>
          <w:tcPr>
            <w:tcW w:w="704" w:type="pct"/>
          </w:tcPr>
          <w:p w14:paraId="21F11BEF">
            <w:pPr>
              <w:pStyle w:val="41"/>
            </w:pPr>
            <w:r>
              <w:t>≤180</w:t>
            </w:r>
          </w:p>
        </w:tc>
      </w:tr>
      <w:tr w14:paraId="0F4671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7B906283">
            <w:pPr>
              <w:pStyle w:val="41"/>
            </w:pPr>
            <w:r>
              <w:t>2</w:t>
            </w:r>
          </w:p>
        </w:tc>
        <w:tc>
          <w:tcPr>
            <w:tcW w:w="1377" w:type="pct"/>
            <w:vAlign w:val="center"/>
          </w:tcPr>
          <w:p w14:paraId="6D203738">
            <w:pPr>
              <w:pStyle w:val="41"/>
            </w:pPr>
            <w:r>
              <w:rPr>
                <w:bCs/>
              </w:rPr>
              <w:t>镉</w:t>
            </w:r>
          </w:p>
        </w:tc>
        <w:tc>
          <w:tcPr>
            <w:tcW w:w="708" w:type="pct"/>
          </w:tcPr>
          <w:p w14:paraId="07F35476">
            <w:pPr>
              <w:pStyle w:val="41"/>
            </w:pPr>
            <w:r>
              <w:t>≤65</w:t>
            </w:r>
          </w:p>
        </w:tc>
        <w:tc>
          <w:tcPr>
            <w:tcW w:w="367" w:type="pct"/>
            <w:vAlign w:val="center"/>
          </w:tcPr>
          <w:p w14:paraId="1CFBE2C0">
            <w:pPr>
              <w:pStyle w:val="41"/>
            </w:pPr>
            <w:r>
              <w:t>7</w:t>
            </w:r>
          </w:p>
        </w:tc>
        <w:tc>
          <w:tcPr>
            <w:tcW w:w="1480" w:type="pct"/>
            <w:vAlign w:val="center"/>
          </w:tcPr>
          <w:p w14:paraId="063695DA">
            <w:pPr>
              <w:pStyle w:val="41"/>
            </w:pPr>
            <w:r>
              <w:rPr>
                <w:bCs/>
              </w:rPr>
              <w:t>石油烃</w:t>
            </w:r>
          </w:p>
        </w:tc>
        <w:tc>
          <w:tcPr>
            <w:tcW w:w="704" w:type="pct"/>
            <w:vAlign w:val="center"/>
          </w:tcPr>
          <w:p w14:paraId="771F8536">
            <w:pPr>
              <w:pStyle w:val="41"/>
            </w:pPr>
            <w:r>
              <w:t>≤4500</w:t>
            </w:r>
          </w:p>
        </w:tc>
      </w:tr>
      <w:tr w14:paraId="2E399C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1C8062D5">
            <w:pPr>
              <w:pStyle w:val="41"/>
            </w:pPr>
            <w:r>
              <w:t>3</w:t>
            </w:r>
          </w:p>
        </w:tc>
        <w:tc>
          <w:tcPr>
            <w:tcW w:w="1377" w:type="pct"/>
            <w:vAlign w:val="center"/>
          </w:tcPr>
          <w:p w14:paraId="045C48F8">
            <w:pPr>
              <w:pStyle w:val="41"/>
            </w:pPr>
            <w:r>
              <w:t>贡</w:t>
            </w:r>
          </w:p>
        </w:tc>
        <w:tc>
          <w:tcPr>
            <w:tcW w:w="708" w:type="pct"/>
          </w:tcPr>
          <w:p w14:paraId="6367FF6C">
            <w:pPr>
              <w:pStyle w:val="41"/>
            </w:pPr>
            <w:r>
              <w:t>≤38</w:t>
            </w:r>
          </w:p>
        </w:tc>
        <w:tc>
          <w:tcPr>
            <w:tcW w:w="367" w:type="pct"/>
            <w:vAlign w:val="center"/>
          </w:tcPr>
          <w:p w14:paraId="27BECE51">
            <w:pPr>
              <w:pStyle w:val="41"/>
            </w:pPr>
            <w:r>
              <w:t>8</w:t>
            </w:r>
          </w:p>
        </w:tc>
        <w:tc>
          <w:tcPr>
            <w:tcW w:w="1480" w:type="pct"/>
            <w:vAlign w:val="center"/>
          </w:tcPr>
          <w:p w14:paraId="5DFDCB79">
            <w:pPr>
              <w:pStyle w:val="41"/>
            </w:pPr>
            <w:r>
              <w:rPr>
                <w:bCs/>
              </w:rPr>
              <w:t>二噁英</w:t>
            </w:r>
          </w:p>
        </w:tc>
        <w:tc>
          <w:tcPr>
            <w:tcW w:w="704" w:type="pct"/>
            <w:vAlign w:val="center"/>
          </w:tcPr>
          <w:p w14:paraId="6C73B6D3">
            <w:pPr>
              <w:pStyle w:val="41"/>
            </w:pPr>
            <w:r>
              <w:t>≤4×10</w:t>
            </w:r>
            <w:r>
              <w:rPr>
                <w:vertAlign w:val="superscript"/>
              </w:rPr>
              <w:t>-5</w:t>
            </w:r>
          </w:p>
        </w:tc>
      </w:tr>
      <w:tr w14:paraId="5D348B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733AE6EA">
            <w:pPr>
              <w:pStyle w:val="41"/>
            </w:pPr>
            <w:r>
              <w:t>4</w:t>
            </w:r>
          </w:p>
        </w:tc>
        <w:tc>
          <w:tcPr>
            <w:tcW w:w="1377" w:type="pct"/>
            <w:vAlign w:val="center"/>
          </w:tcPr>
          <w:p w14:paraId="35B986B6">
            <w:pPr>
              <w:pStyle w:val="41"/>
              <w:rPr>
                <w:bCs/>
              </w:rPr>
            </w:pPr>
            <w:r>
              <w:rPr>
                <w:bCs/>
              </w:rPr>
              <w:t>铜</w:t>
            </w:r>
          </w:p>
        </w:tc>
        <w:tc>
          <w:tcPr>
            <w:tcW w:w="708" w:type="pct"/>
          </w:tcPr>
          <w:p w14:paraId="2971B695">
            <w:pPr>
              <w:pStyle w:val="41"/>
            </w:pPr>
            <w:r>
              <w:t>≤18000</w:t>
            </w:r>
          </w:p>
        </w:tc>
        <w:tc>
          <w:tcPr>
            <w:tcW w:w="367" w:type="pct"/>
            <w:vAlign w:val="center"/>
          </w:tcPr>
          <w:p w14:paraId="0A762A07">
            <w:pPr>
              <w:pStyle w:val="41"/>
            </w:pPr>
            <w:r>
              <w:t>9</w:t>
            </w:r>
          </w:p>
        </w:tc>
        <w:tc>
          <w:tcPr>
            <w:tcW w:w="1480" w:type="pct"/>
            <w:vAlign w:val="center"/>
          </w:tcPr>
          <w:p w14:paraId="72371559">
            <w:pPr>
              <w:pStyle w:val="41"/>
            </w:pPr>
            <w:r>
              <w:t>氰化物</w:t>
            </w:r>
          </w:p>
        </w:tc>
        <w:tc>
          <w:tcPr>
            <w:tcW w:w="704" w:type="pct"/>
            <w:vAlign w:val="center"/>
          </w:tcPr>
          <w:p w14:paraId="463AEA1F">
            <w:pPr>
              <w:pStyle w:val="41"/>
            </w:pPr>
            <w:r>
              <w:t>≤135</w:t>
            </w:r>
          </w:p>
        </w:tc>
      </w:tr>
      <w:tr w14:paraId="76A85B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43DC0203">
            <w:pPr>
              <w:pStyle w:val="41"/>
            </w:pPr>
            <w:r>
              <w:t>5</w:t>
            </w:r>
          </w:p>
        </w:tc>
        <w:tc>
          <w:tcPr>
            <w:tcW w:w="1377" w:type="pct"/>
            <w:vAlign w:val="center"/>
          </w:tcPr>
          <w:p w14:paraId="6A4604FA">
            <w:pPr>
              <w:pStyle w:val="41"/>
            </w:pPr>
            <w:r>
              <w:rPr>
                <w:bCs/>
              </w:rPr>
              <w:t>铅</w:t>
            </w:r>
          </w:p>
        </w:tc>
        <w:tc>
          <w:tcPr>
            <w:tcW w:w="708" w:type="pct"/>
          </w:tcPr>
          <w:p w14:paraId="1B39ED7F">
            <w:pPr>
              <w:pStyle w:val="41"/>
            </w:pPr>
            <w:r>
              <w:t>≤800</w:t>
            </w:r>
          </w:p>
        </w:tc>
        <w:tc>
          <w:tcPr>
            <w:tcW w:w="367" w:type="pct"/>
            <w:vAlign w:val="center"/>
          </w:tcPr>
          <w:p w14:paraId="1858F296">
            <w:pPr>
              <w:pStyle w:val="41"/>
            </w:pPr>
            <w:r>
              <w:t>7</w:t>
            </w:r>
          </w:p>
        </w:tc>
        <w:tc>
          <w:tcPr>
            <w:tcW w:w="1480" w:type="pct"/>
            <w:vAlign w:val="center"/>
          </w:tcPr>
          <w:p w14:paraId="275F28FA">
            <w:pPr>
              <w:pStyle w:val="41"/>
            </w:pPr>
            <w:r>
              <w:rPr>
                <w:bCs/>
              </w:rPr>
              <w:t>石油烃</w:t>
            </w:r>
          </w:p>
        </w:tc>
        <w:tc>
          <w:tcPr>
            <w:tcW w:w="704" w:type="pct"/>
            <w:vAlign w:val="center"/>
          </w:tcPr>
          <w:p w14:paraId="08B3D96A">
            <w:pPr>
              <w:pStyle w:val="41"/>
              <w:rPr>
                <w:vertAlign w:val="superscript"/>
              </w:rPr>
            </w:pPr>
            <w:r>
              <w:t>≤4500</w:t>
            </w:r>
          </w:p>
        </w:tc>
      </w:tr>
      <w:tr w14:paraId="233AA1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33D59179">
            <w:pPr>
              <w:pStyle w:val="41"/>
            </w:pPr>
            <w:r>
              <w:t>其它项目</w:t>
            </w:r>
          </w:p>
        </w:tc>
      </w:tr>
      <w:tr w14:paraId="6B7E79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4" w:type="pct"/>
            <w:vAlign w:val="center"/>
          </w:tcPr>
          <w:p w14:paraId="1B3F793C">
            <w:pPr>
              <w:pStyle w:val="41"/>
            </w:pPr>
            <w:r>
              <w:t>1</w:t>
            </w:r>
          </w:p>
        </w:tc>
        <w:tc>
          <w:tcPr>
            <w:tcW w:w="1377" w:type="pct"/>
            <w:vAlign w:val="center"/>
          </w:tcPr>
          <w:p w14:paraId="6D1AAC6A">
            <w:pPr>
              <w:pStyle w:val="41"/>
              <w:rPr>
                <w:bCs/>
              </w:rPr>
            </w:pPr>
            <w:r>
              <w:rPr>
                <w:color w:val="000000"/>
              </w:rPr>
              <w:t>二噁英类（总毒性当量）</w:t>
            </w:r>
          </w:p>
        </w:tc>
        <w:tc>
          <w:tcPr>
            <w:tcW w:w="708" w:type="pct"/>
            <w:vAlign w:val="center"/>
          </w:tcPr>
          <w:p w14:paraId="3355527F">
            <w:pPr>
              <w:pStyle w:val="41"/>
            </w:pPr>
            <w:r>
              <w:rPr>
                <w:color w:val="000000"/>
              </w:rPr>
              <w:t>4×10</w:t>
            </w:r>
            <w:r>
              <w:rPr>
                <w:color w:val="000000"/>
                <w:vertAlign w:val="superscript"/>
              </w:rPr>
              <w:t>-5</w:t>
            </w:r>
          </w:p>
        </w:tc>
        <w:tc>
          <w:tcPr>
            <w:tcW w:w="367" w:type="pct"/>
            <w:vAlign w:val="center"/>
          </w:tcPr>
          <w:p w14:paraId="6B4AB2DE">
            <w:pPr>
              <w:pStyle w:val="41"/>
            </w:pPr>
          </w:p>
        </w:tc>
        <w:tc>
          <w:tcPr>
            <w:tcW w:w="1480" w:type="pct"/>
            <w:vAlign w:val="center"/>
          </w:tcPr>
          <w:p w14:paraId="2BBCDB99">
            <w:pPr>
              <w:pStyle w:val="41"/>
              <w:rPr>
                <w:bCs/>
              </w:rPr>
            </w:pPr>
          </w:p>
        </w:tc>
        <w:tc>
          <w:tcPr>
            <w:tcW w:w="704" w:type="pct"/>
            <w:vAlign w:val="center"/>
          </w:tcPr>
          <w:p w14:paraId="07413442">
            <w:pPr>
              <w:pStyle w:val="41"/>
            </w:pPr>
          </w:p>
        </w:tc>
      </w:tr>
    </w:tbl>
    <w:p w14:paraId="6E168587">
      <w:pPr>
        <w:pStyle w:val="3"/>
        <w:ind w:firstLine="480"/>
      </w:pPr>
      <w:r>
        <w:t>周边农田执行</w:t>
      </w:r>
      <w:bookmarkStart w:id="71" w:name="_Hlk172062639"/>
      <w:r>
        <w:t>《土壤环境质量农用地土壤污染风险管控标准（试行）》（GB15618-2018）中表1农用地土壤污染风险筛选值。</w:t>
      </w:r>
      <w:bookmarkEnd w:id="71"/>
    </w:p>
    <w:p w14:paraId="710D6F52">
      <w:pPr>
        <w:pStyle w:val="40"/>
        <w:spacing w:before="156"/>
      </w:pPr>
      <w:bookmarkStart w:id="72" w:name="_Hlk172024594"/>
      <w:r>
        <w:t>表2.3-6    本次调查农用地土壤筛选标准 单位：mg/kg</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635"/>
        <w:gridCol w:w="1057"/>
        <w:gridCol w:w="1207"/>
        <w:gridCol w:w="1589"/>
        <w:gridCol w:w="2066"/>
        <w:gridCol w:w="1333"/>
      </w:tblGrid>
      <w:tr w14:paraId="623F2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373" w:type="pct"/>
            <w:vMerge w:val="restart"/>
            <w:vAlign w:val="center"/>
          </w:tcPr>
          <w:p w14:paraId="2B74908E">
            <w:pPr>
              <w:widowControl/>
              <w:spacing w:line="240" w:lineRule="auto"/>
              <w:jc w:val="center"/>
              <w:textAlignment w:val="center"/>
              <w:rPr>
                <w:rFonts w:ascii="Calibri" w:hAnsi="Calibri"/>
                <w:b/>
                <w:bCs/>
                <w:kern w:val="0"/>
                <w:sz w:val="21"/>
                <w:szCs w:val="21"/>
              </w:rPr>
            </w:pPr>
            <w:r>
              <w:rPr>
                <w:rFonts w:ascii="Calibri" w:hAnsi="Calibri"/>
                <w:b/>
                <w:bCs/>
                <w:kern w:val="0"/>
                <w:sz w:val="21"/>
                <w:szCs w:val="21"/>
              </w:rPr>
              <w:t>序号</w:t>
            </w:r>
          </w:p>
        </w:tc>
        <w:tc>
          <w:tcPr>
            <w:tcW w:w="993" w:type="pct"/>
            <w:gridSpan w:val="2"/>
            <w:vMerge w:val="restart"/>
            <w:vAlign w:val="center"/>
          </w:tcPr>
          <w:p w14:paraId="31DA637D">
            <w:pPr>
              <w:widowControl/>
              <w:spacing w:line="240" w:lineRule="auto"/>
              <w:jc w:val="center"/>
              <w:textAlignment w:val="center"/>
              <w:rPr>
                <w:rFonts w:ascii="Calibri" w:hAnsi="Calibri"/>
                <w:b/>
                <w:bCs/>
                <w:kern w:val="0"/>
                <w:sz w:val="21"/>
                <w:szCs w:val="21"/>
              </w:rPr>
            </w:pPr>
            <w:r>
              <w:rPr>
                <w:rFonts w:ascii="Calibri" w:hAnsi="Calibri"/>
                <w:b/>
                <w:bCs/>
                <w:kern w:val="0"/>
                <w:sz w:val="21"/>
                <w:szCs w:val="21"/>
              </w:rPr>
              <w:t>污染物项目</w:t>
            </w:r>
            <w:r>
              <w:rPr>
                <w:rFonts w:ascii="Cambria Math" w:hAnsi="Cambria Math" w:cs="Cambria Math"/>
                <w:b/>
                <w:bCs/>
                <w:kern w:val="0"/>
                <w:sz w:val="21"/>
                <w:szCs w:val="21"/>
                <w:vertAlign w:val="superscript"/>
              </w:rPr>
              <w:t>①②</w:t>
            </w:r>
          </w:p>
        </w:tc>
        <w:tc>
          <w:tcPr>
            <w:tcW w:w="3634" w:type="pct"/>
            <w:gridSpan w:val="4"/>
            <w:vAlign w:val="center"/>
          </w:tcPr>
          <w:p w14:paraId="22278C54">
            <w:pPr>
              <w:widowControl/>
              <w:spacing w:line="240" w:lineRule="auto"/>
              <w:jc w:val="center"/>
              <w:textAlignment w:val="center"/>
              <w:rPr>
                <w:rFonts w:ascii="Calibri" w:hAnsi="Calibri"/>
                <w:b/>
                <w:bCs/>
                <w:kern w:val="0"/>
                <w:sz w:val="21"/>
                <w:szCs w:val="21"/>
              </w:rPr>
            </w:pPr>
            <w:r>
              <w:rPr>
                <w:rFonts w:ascii="Calibri" w:hAnsi="Calibri"/>
                <w:b/>
                <w:bCs/>
                <w:kern w:val="0"/>
                <w:sz w:val="21"/>
                <w:szCs w:val="21"/>
              </w:rPr>
              <w:t>风险筛选值</w:t>
            </w:r>
          </w:p>
        </w:tc>
      </w:tr>
      <w:tr w14:paraId="204DD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2B735504">
            <w:pPr>
              <w:widowControl/>
              <w:spacing w:line="240" w:lineRule="auto"/>
              <w:jc w:val="center"/>
              <w:textAlignment w:val="center"/>
              <w:rPr>
                <w:rFonts w:ascii="Calibri" w:hAnsi="Calibri"/>
                <w:b/>
                <w:bCs/>
                <w:kern w:val="0"/>
                <w:sz w:val="21"/>
                <w:szCs w:val="21"/>
              </w:rPr>
            </w:pPr>
          </w:p>
        </w:tc>
        <w:tc>
          <w:tcPr>
            <w:tcW w:w="993" w:type="pct"/>
            <w:gridSpan w:val="2"/>
            <w:vMerge w:val="continue"/>
            <w:vAlign w:val="center"/>
          </w:tcPr>
          <w:p w14:paraId="0291490F">
            <w:pPr>
              <w:widowControl/>
              <w:spacing w:line="240" w:lineRule="auto"/>
              <w:jc w:val="center"/>
              <w:textAlignment w:val="center"/>
              <w:rPr>
                <w:rFonts w:ascii="Calibri" w:hAnsi="Calibri"/>
                <w:b/>
                <w:bCs/>
                <w:kern w:val="0"/>
                <w:sz w:val="21"/>
                <w:szCs w:val="21"/>
              </w:rPr>
            </w:pPr>
          </w:p>
        </w:tc>
        <w:tc>
          <w:tcPr>
            <w:tcW w:w="708" w:type="pct"/>
            <w:vAlign w:val="center"/>
          </w:tcPr>
          <w:p w14:paraId="1AAC6652">
            <w:pPr>
              <w:widowControl/>
              <w:spacing w:line="240" w:lineRule="auto"/>
              <w:jc w:val="center"/>
              <w:textAlignment w:val="center"/>
              <w:rPr>
                <w:rFonts w:ascii="Calibri" w:hAnsi="Calibri"/>
                <w:b/>
                <w:bCs/>
                <w:kern w:val="0"/>
                <w:sz w:val="21"/>
                <w:szCs w:val="21"/>
              </w:rPr>
            </w:pPr>
            <w:r>
              <w:rPr>
                <w:rFonts w:ascii="Calibri" w:hAnsi="Calibri"/>
                <w:b/>
                <w:bCs/>
                <w:kern w:val="0"/>
                <w:sz w:val="21"/>
                <w:szCs w:val="21"/>
              </w:rPr>
              <w:t>pH≤5.5</w:t>
            </w:r>
          </w:p>
        </w:tc>
        <w:tc>
          <w:tcPr>
            <w:tcW w:w="932" w:type="pct"/>
            <w:vAlign w:val="center"/>
          </w:tcPr>
          <w:p w14:paraId="62DE0F29">
            <w:pPr>
              <w:widowControl/>
              <w:spacing w:line="240" w:lineRule="auto"/>
              <w:jc w:val="center"/>
              <w:textAlignment w:val="center"/>
              <w:rPr>
                <w:rFonts w:ascii="Calibri" w:hAnsi="Calibri"/>
                <w:b/>
                <w:bCs/>
                <w:kern w:val="0"/>
                <w:sz w:val="21"/>
                <w:szCs w:val="21"/>
              </w:rPr>
            </w:pPr>
            <w:r>
              <w:rPr>
                <w:rFonts w:ascii="Calibri" w:hAnsi="Calibri"/>
                <w:b/>
                <w:bCs/>
                <w:kern w:val="0"/>
                <w:sz w:val="21"/>
                <w:szCs w:val="21"/>
              </w:rPr>
              <w:t>5.5&lt;pH≤6.5</w:t>
            </w:r>
          </w:p>
        </w:tc>
        <w:tc>
          <w:tcPr>
            <w:tcW w:w="1212" w:type="pct"/>
            <w:vAlign w:val="center"/>
          </w:tcPr>
          <w:p w14:paraId="7BF891A6">
            <w:pPr>
              <w:widowControl/>
              <w:spacing w:line="240" w:lineRule="auto"/>
              <w:jc w:val="center"/>
              <w:textAlignment w:val="center"/>
              <w:rPr>
                <w:rFonts w:ascii="Calibri" w:hAnsi="Calibri"/>
                <w:b/>
                <w:bCs/>
                <w:kern w:val="0"/>
                <w:sz w:val="21"/>
                <w:szCs w:val="21"/>
              </w:rPr>
            </w:pPr>
            <w:r>
              <w:rPr>
                <w:rFonts w:ascii="Calibri" w:hAnsi="Calibri"/>
                <w:b/>
                <w:bCs/>
                <w:kern w:val="0"/>
                <w:sz w:val="21"/>
                <w:szCs w:val="21"/>
              </w:rPr>
              <w:t>6.5&lt;pH≤7.5</w:t>
            </w:r>
          </w:p>
        </w:tc>
        <w:tc>
          <w:tcPr>
            <w:tcW w:w="782" w:type="pct"/>
            <w:vAlign w:val="center"/>
          </w:tcPr>
          <w:p w14:paraId="09F893E1">
            <w:pPr>
              <w:widowControl/>
              <w:spacing w:line="240" w:lineRule="auto"/>
              <w:jc w:val="center"/>
              <w:textAlignment w:val="center"/>
              <w:rPr>
                <w:rFonts w:ascii="Calibri" w:hAnsi="Calibri"/>
                <w:b/>
                <w:bCs/>
                <w:kern w:val="0"/>
                <w:sz w:val="21"/>
                <w:szCs w:val="21"/>
              </w:rPr>
            </w:pPr>
            <w:r>
              <w:rPr>
                <w:rFonts w:ascii="Calibri" w:hAnsi="Calibri"/>
                <w:b/>
                <w:bCs/>
                <w:kern w:val="0"/>
                <w:sz w:val="21"/>
                <w:szCs w:val="21"/>
              </w:rPr>
              <w:t>pH&gt;7.5</w:t>
            </w:r>
          </w:p>
        </w:tc>
      </w:tr>
      <w:tr w14:paraId="30918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65D3CAA6">
            <w:pPr>
              <w:widowControl/>
              <w:spacing w:line="240" w:lineRule="auto"/>
              <w:jc w:val="center"/>
              <w:textAlignment w:val="center"/>
              <w:rPr>
                <w:rFonts w:ascii="Calibri" w:hAnsi="Calibri"/>
                <w:kern w:val="0"/>
                <w:sz w:val="21"/>
                <w:szCs w:val="21"/>
              </w:rPr>
            </w:pPr>
            <w:r>
              <w:rPr>
                <w:rFonts w:ascii="Calibri" w:hAnsi="Calibri"/>
                <w:kern w:val="0"/>
                <w:sz w:val="21"/>
                <w:szCs w:val="21"/>
              </w:rPr>
              <w:t>1</w:t>
            </w:r>
          </w:p>
        </w:tc>
        <w:tc>
          <w:tcPr>
            <w:tcW w:w="373" w:type="pct"/>
            <w:vMerge w:val="restart"/>
            <w:vAlign w:val="center"/>
          </w:tcPr>
          <w:p w14:paraId="09123061">
            <w:pPr>
              <w:widowControl/>
              <w:spacing w:line="240" w:lineRule="auto"/>
              <w:jc w:val="center"/>
              <w:textAlignment w:val="center"/>
              <w:rPr>
                <w:rFonts w:ascii="Calibri" w:hAnsi="Calibri"/>
                <w:kern w:val="0"/>
                <w:sz w:val="21"/>
                <w:szCs w:val="21"/>
              </w:rPr>
            </w:pPr>
            <w:r>
              <w:rPr>
                <w:rFonts w:ascii="Calibri" w:hAnsi="Calibri"/>
                <w:kern w:val="0"/>
                <w:sz w:val="21"/>
                <w:szCs w:val="21"/>
              </w:rPr>
              <w:t>镉</w:t>
            </w:r>
          </w:p>
        </w:tc>
        <w:tc>
          <w:tcPr>
            <w:tcW w:w="620" w:type="pct"/>
            <w:vAlign w:val="center"/>
          </w:tcPr>
          <w:p w14:paraId="19D6A633">
            <w:pPr>
              <w:widowControl/>
              <w:spacing w:line="240" w:lineRule="auto"/>
              <w:jc w:val="center"/>
              <w:textAlignment w:val="center"/>
              <w:rPr>
                <w:rFonts w:ascii="Calibri" w:hAnsi="Calibri"/>
                <w:kern w:val="0"/>
                <w:sz w:val="21"/>
                <w:szCs w:val="21"/>
              </w:rPr>
            </w:pPr>
            <w:r>
              <w:rPr>
                <w:rFonts w:ascii="Calibri" w:hAnsi="Calibri"/>
                <w:kern w:val="0"/>
                <w:sz w:val="21"/>
                <w:szCs w:val="21"/>
              </w:rPr>
              <w:t>水田</w:t>
            </w:r>
          </w:p>
        </w:tc>
        <w:tc>
          <w:tcPr>
            <w:tcW w:w="708" w:type="pct"/>
            <w:vAlign w:val="center"/>
          </w:tcPr>
          <w:p w14:paraId="5AB2A567">
            <w:pPr>
              <w:widowControl/>
              <w:spacing w:line="240" w:lineRule="auto"/>
              <w:jc w:val="center"/>
              <w:textAlignment w:val="center"/>
              <w:rPr>
                <w:rFonts w:ascii="Calibri" w:hAnsi="Calibri"/>
                <w:kern w:val="0"/>
                <w:sz w:val="21"/>
                <w:szCs w:val="21"/>
              </w:rPr>
            </w:pPr>
            <w:r>
              <w:rPr>
                <w:rFonts w:ascii="Calibri" w:hAnsi="Calibri"/>
                <w:kern w:val="0"/>
                <w:sz w:val="21"/>
                <w:szCs w:val="21"/>
              </w:rPr>
              <w:t>0.3</w:t>
            </w:r>
          </w:p>
        </w:tc>
        <w:tc>
          <w:tcPr>
            <w:tcW w:w="932" w:type="pct"/>
            <w:vAlign w:val="center"/>
          </w:tcPr>
          <w:p w14:paraId="12804713">
            <w:pPr>
              <w:widowControl/>
              <w:spacing w:line="240" w:lineRule="auto"/>
              <w:jc w:val="center"/>
              <w:textAlignment w:val="center"/>
              <w:rPr>
                <w:rFonts w:ascii="Calibri" w:hAnsi="Calibri"/>
                <w:kern w:val="0"/>
                <w:sz w:val="21"/>
                <w:szCs w:val="21"/>
              </w:rPr>
            </w:pPr>
            <w:r>
              <w:rPr>
                <w:rFonts w:ascii="Calibri" w:hAnsi="Calibri"/>
                <w:kern w:val="0"/>
                <w:sz w:val="21"/>
                <w:szCs w:val="21"/>
              </w:rPr>
              <w:t>0.4</w:t>
            </w:r>
          </w:p>
        </w:tc>
        <w:tc>
          <w:tcPr>
            <w:tcW w:w="1212" w:type="pct"/>
            <w:vAlign w:val="center"/>
          </w:tcPr>
          <w:p w14:paraId="5E335188">
            <w:pPr>
              <w:widowControl/>
              <w:spacing w:line="240" w:lineRule="auto"/>
              <w:jc w:val="center"/>
              <w:textAlignment w:val="center"/>
              <w:rPr>
                <w:rFonts w:ascii="Calibri" w:hAnsi="Calibri"/>
                <w:kern w:val="0"/>
                <w:sz w:val="21"/>
                <w:szCs w:val="21"/>
              </w:rPr>
            </w:pPr>
            <w:r>
              <w:rPr>
                <w:rFonts w:ascii="Calibri" w:hAnsi="Calibri"/>
                <w:kern w:val="0"/>
                <w:sz w:val="21"/>
                <w:szCs w:val="21"/>
              </w:rPr>
              <w:t>0.6</w:t>
            </w:r>
          </w:p>
        </w:tc>
        <w:tc>
          <w:tcPr>
            <w:tcW w:w="782" w:type="pct"/>
            <w:vAlign w:val="center"/>
          </w:tcPr>
          <w:p w14:paraId="71CBBFFF">
            <w:pPr>
              <w:widowControl/>
              <w:spacing w:line="240" w:lineRule="auto"/>
              <w:jc w:val="center"/>
              <w:textAlignment w:val="center"/>
              <w:rPr>
                <w:rFonts w:ascii="Calibri" w:hAnsi="Calibri"/>
                <w:kern w:val="0"/>
                <w:sz w:val="21"/>
                <w:szCs w:val="21"/>
              </w:rPr>
            </w:pPr>
            <w:r>
              <w:rPr>
                <w:rFonts w:ascii="Calibri" w:hAnsi="Calibri"/>
                <w:kern w:val="0"/>
                <w:sz w:val="21"/>
                <w:szCs w:val="21"/>
              </w:rPr>
              <w:t>0.8</w:t>
            </w:r>
          </w:p>
        </w:tc>
      </w:tr>
      <w:tr w14:paraId="4DA5C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592448C1">
            <w:pPr>
              <w:widowControl/>
              <w:spacing w:line="240" w:lineRule="auto"/>
              <w:jc w:val="center"/>
              <w:textAlignment w:val="center"/>
              <w:rPr>
                <w:rFonts w:ascii="Calibri" w:hAnsi="Calibri"/>
                <w:kern w:val="0"/>
                <w:sz w:val="21"/>
                <w:szCs w:val="21"/>
              </w:rPr>
            </w:pPr>
          </w:p>
        </w:tc>
        <w:tc>
          <w:tcPr>
            <w:tcW w:w="373" w:type="pct"/>
            <w:vMerge w:val="continue"/>
            <w:vAlign w:val="center"/>
          </w:tcPr>
          <w:p w14:paraId="6007ECFA">
            <w:pPr>
              <w:widowControl/>
              <w:spacing w:line="240" w:lineRule="auto"/>
              <w:jc w:val="center"/>
              <w:textAlignment w:val="center"/>
              <w:rPr>
                <w:rFonts w:ascii="Calibri" w:hAnsi="Calibri"/>
                <w:kern w:val="0"/>
                <w:sz w:val="21"/>
                <w:szCs w:val="21"/>
              </w:rPr>
            </w:pPr>
          </w:p>
        </w:tc>
        <w:tc>
          <w:tcPr>
            <w:tcW w:w="620" w:type="pct"/>
            <w:vAlign w:val="center"/>
          </w:tcPr>
          <w:p w14:paraId="2B1B1CFF">
            <w:pPr>
              <w:widowControl/>
              <w:spacing w:line="240" w:lineRule="auto"/>
              <w:jc w:val="center"/>
              <w:textAlignment w:val="center"/>
              <w:rPr>
                <w:rFonts w:ascii="Calibri" w:hAnsi="Calibri"/>
                <w:kern w:val="0"/>
                <w:sz w:val="21"/>
                <w:szCs w:val="21"/>
              </w:rPr>
            </w:pPr>
            <w:r>
              <w:rPr>
                <w:rFonts w:ascii="Calibri" w:hAnsi="Calibri"/>
                <w:kern w:val="0"/>
                <w:sz w:val="21"/>
                <w:szCs w:val="21"/>
              </w:rPr>
              <w:t>其他</w:t>
            </w:r>
          </w:p>
        </w:tc>
        <w:tc>
          <w:tcPr>
            <w:tcW w:w="708" w:type="pct"/>
            <w:vAlign w:val="center"/>
          </w:tcPr>
          <w:p w14:paraId="4A3424DF">
            <w:pPr>
              <w:widowControl/>
              <w:spacing w:line="240" w:lineRule="auto"/>
              <w:jc w:val="center"/>
              <w:textAlignment w:val="center"/>
              <w:rPr>
                <w:rFonts w:ascii="Calibri" w:hAnsi="Calibri"/>
                <w:kern w:val="0"/>
                <w:sz w:val="21"/>
                <w:szCs w:val="21"/>
              </w:rPr>
            </w:pPr>
            <w:r>
              <w:rPr>
                <w:rFonts w:ascii="Calibri" w:hAnsi="Calibri"/>
                <w:kern w:val="0"/>
                <w:sz w:val="21"/>
                <w:szCs w:val="21"/>
              </w:rPr>
              <w:t>0.3</w:t>
            </w:r>
          </w:p>
        </w:tc>
        <w:tc>
          <w:tcPr>
            <w:tcW w:w="932" w:type="pct"/>
            <w:vAlign w:val="center"/>
          </w:tcPr>
          <w:p w14:paraId="4D776EBB">
            <w:pPr>
              <w:widowControl/>
              <w:spacing w:line="240" w:lineRule="auto"/>
              <w:jc w:val="center"/>
              <w:textAlignment w:val="center"/>
              <w:rPr>
                <w:rFonts w:ascii="Calibri" w:hAnsi="Calibri"/>
                <w:kern w:val="0"/>
                <w:sz w:val="21"/>
                <w:szCs w:val="21"/>
              </w:rPr>
            </w:pPr>
            <w:r>
              <w:rPr>
                <w:rFonts w:ascii="Calibri" w:hAnsi="Calibri"/>
                <w:kern w:val="0"/>
                <w:sz w:val="21"/>
                <w:szCs w:val="21"/>
              </w:rPr>
              <w:t>0.3</w:t>
            </w:r>
          </w:p>
        </w:tc>
        <w:tc>
          <w:tcPr>
            <w:tcW w:w="1212" w:type="pct"/>
            <w:vAlign w:val="center"/>
          </w:tcPr>
          <w:p w14:paraId="79DFCF1A">
            <w:pPr>
              <w:widowControl/>
              <w:spacing w:line="240" w:lineRule="auto"/>
              <w:jc w:val="center"/>
              <w:textAlignment w:val="center"/>
              <w:rPr>
                <w:rFonts w:ascii="Calibri" w:hAnsi="Calibri"/>
                <w:kern w:val="0"/>
                <w:sz w:val="21"/>
                <w:szCs w:val="21"/>
              </w:rPr>
            </w:pPr>
            <w:r>
              <w:rPr>
                <w:rFonts w:ascii="Calibri" w:hAnsi="Calibri"/>
                <w:kern w:val="0"/>
                <w:sz w:val="21"/>
                <w:szCs w:val="21"/>
              </w:rPr>
              <w:t>0.3</w:t>
            </w:r>
          </w:p>
        </w:tc>
        <w:tc>
          <w:tcPr>
            <w:tcW w:w="782" w:type="pct"/>
            <w:vAlign w:val="center"/>
          </w:tcPr>
          <w:p w14:paraId="1A190A1D">
            <w:pPr>
              <w:widowControl/>
              <w:spacing w:line="240" w:lineRule="auto"/>
              <w:jc w:val="center"/>
              <w:textAlignment w:val="center"/>
              <w:rPr>
                <w:rFonts w:ascii="Calibri" w:hAnsi="Calibri"/>
                <w:kern w:val="0"/>
                <w:sz w:val="21"/>
                <w:szCs w:val="21"/>
              </w:rPr>
            </w:pPr>
            <w:r>
              <w:rPr>
                <w:rFonts w:ascii="Calibri" w:hAnsi="Calibri"/>
                <w:kern w:val="0"/>
                <w:sz w:val="21"/>
                <w:szCs w:val="21"/>
              </w:rPr>
              <w:t>0.6</w:t>
            </w:r>
          </w:p>
        </w:tc>
      </w:tr>
      <w:tr w14:paraId="12C34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6B3C164A">
            <w:pPr>
              <w:widowControl/>
              <w:spacing w:line="240" w:lineRule="auto"/>
              <w:jc w:val="center"/>
              <w:textAlignment w:val="center"/>
              <w:rPr>
                <w:rFonts w:ascii="Calibri" w:hAnsi="Calibri"/>
                <w:kern w:val="0"/>
                <w:sz w:val="21"/>
                <w:szCs w:val="21"/>
              </w:rPr>
            </w:pPr>
            <w:r>
              <w:rPr>
                <w:rFonts w:ascii="Calibri" w:hAnsi="Calibri"/>
                <w:kern w:val="0"/>
                <w:sz w:val="21"/>
                <w:szCs w:val="21"/>
              </w:rPr>
              <w:t>2</w:t>
            </w:r>
          </w:p>
        </w:tc>
        <w:tc>
          <w:tcPr>
            <w:tcW w:w="373" w:type="pct"/>
            <w:vMerge w:val="restart"/>
            <w:vAlign w:val="center"/>
          </w:tcPr>
          <w:p w14:paraId="7B300965">
            <w:pPr>
              <w:widowControl/>
              <w:spacing w:line="240" w:lineRule="auto"/>
              <w:jc w:val="center"/>
              <w:textAlignment w:val="center"/>
              <w:rPr>
                <w:rFonts w:ascii="Calibri" w:hAnsi="Calibri"/>
                <w:kern w:val="0"/>
                <w:sz w:val="21"/>
                <w:szCs w:val="21"/>
              </w:rPr>
            </w:pPr>
            <w:r>
              <w:rPr>
                <w:rFonts w:ascii="Calibri" w:hAnsi="Calibri"/>
                <w:kern w:val="0"/>
                <w:sz w:val="21"/>
                <w:szCs w:val="21"/>
              </w:rPr>
              <w:t>汞</w:t>
            </w:r>
          </w:p>
        </w:tc>
        <w:tc>
          <w:tcPr>
            <w:tcW w:w="620" w:type="pct"/>
            <w:vAlign w:val="center"/>
          </w:tcPr>
          <w:p w14:paraId="7CE552E9">
            <w:pPr>
              <w:widowControl/>
              <w:spacing w:line="240" w:lineRule="auto"/>
              <w:jc w:val="center"/>
              <w:textAlignment w:val="center"/>
              <w:rPr>
                <w:rFonts w:ascii="Calibri" w:hAnsi="Calibri"/>
                <w:kern w:val="0"/>
                <w:sz w:val="21"/>
                <w:szCs w:val="21"/>
              </w:rPr>
            </w:pPr>
            <w:r>
              <w:rPr>
                <w:rFonts w:ascii="Calibri" w:hAnsi="Calibri"/>
                <w:kern w:val="0"/>
                <w:sz w:val="21"/>
                <w:szCs w:val="21"/>
              </w:rPr>
              <w:t>水田</w:t>
            </w:r>
          </w:p>
        </w:tc>
        <w:tc>
          <w:tcPr>
            <w:tcW w:w="708" w:type="pct"/>
            <w:vAlign w:val="center"/>
          </w:tcPr>
          <w:p w14:paraId="04AAB227">
            <w:pPr>
              <w:widowControl/>
              <w:spacing w:line="240" w:lineRule="auto"/>
              <w:jc w:val="center"/>
              <w:textAlignment w:val="center"/>
              <w:rPr>
                <w:rFonts w:ascii="Calibri" w:hAnsi="Calibri"/>
                <w:kern w:val="0"/>
                <w:sz w:val="21"/>
                <w:szCs w:val="21"/>
              </w:rPr>
            </w:pPr>
            <w:r>
              <w:rPr>
                <w:rFonts w:ascii="Calibri" w:hAnsi="Calibri"/>
                <w:kern w:val="0"/>
                <w:sz w:val="21"/>
                <w:szCs w:val="21"/>
              </w:rPr>
              <w:t>0.5</w:t>
            </w:r>
          </w:p>
        </w:tc>
        <w:tc>
          <w:tcPr>
            <w:tcW w:w="932" w:type="pct"/>
            <w:vAlign w:val="center"/>
          </w:tcPr>
          <w:p w14:paraId="23813F3D">
            <w:pPr>
              <w:widowControl/>
              <w:spacing w:line="240" w:lineRule="auto"/>
              <w:jc w:val="center"/>
              <w:textAlignment w:val="center"/>
              <w:rPr>
                <w:rFonts w:ascii="Calibri" w:hAnsi="Calibri"/>
                <w:kern w:val="0"/>
                <w:sz w:val="21"/>
                <w:szCs w:val="21"/>
              </w:rPr>
            </w:pPr>
            <w:r>
              <w:rPr>
                <w:rFonts w:ascii="Calibri" w:hAnsi="Calibri"/>
                <w:kern w:val="0"/>
                <w:sz w:val="21"/>
                <w:szCs w:val="21"/>
              </w:rPr>
              <w:t>0.5</w:t>
            </w:r>
          </w:p>
        </w:tc>
        <w:tc>
          <w:tcPr>
            <w:tcW w:w="1212" w:type="pct"/>
            <w:vAlign w:val="center"/>
          </w:tcPr>
          <w:p w14:paraId="3063BC10">
            <w:pPr>
              <w:widowControl/>
              <w:spacing w:line="240" w:lineRule="auto"/>
              <w:jc w:val="center"/>
              <w:textAlignment w:val="center"/>
              <w:rPr>
                <w:rFonts w:ascii="Calibri" w:hAnsi="Calibri"/>
                <w:kern w:val="0"/>
                <w:sz w:val="21"/>
                <w:szCs w:val="21"/>
              </w:rPr>
            </w:pPr>
            <w:r>
              <w:rPr>
                <w:rFonts w:ascii="Calibri" w:hAnsi="Calibri"/>
                <w:kern w:val="0"/>
                <w:sz w:val="21"/>
                <w:szCs w:val="21"/>
              </w:rPr>
              <w:t>0.6</w:t>
            </w:r>
          </w:p>
        </w:tc>
        <w:tc>
          <w:tcPr>
            <w:tcW w:w="782" w:type="pct"/>
            <w:vAlign w:val="center"/>
          </w:tcPr>
          <w:p w14:paraId="7D326E6D">
            <w:pPr>
              <w:widowControl/>
              <w:spacing w:line="240" w:lineRule="auto"/>
              <w:jc w:val="center"/>
              <w:textAlignment w:val="center"/>
              <w:rPr>
                <w:rFonts w:ascii="Calibri" w:hAnsi="Calibri"/>
                <w:kern w:val="0"/>
                <w:sz w:val="21"/>
                <w:szCs w:val="21"/>
              </w:rPr>
            </w:pPr>
            <w:r>
              <w:rPr>
                <w:rFonts w:ascii="Calibri" w:hAnsi="Calibri"/>
                <w:kern w:val="0"/>
                <w:sz w:val="21"/>
                <w:szCs w:val="21"/>
              </w:rPr>
              <w:t>1</w:t>
            </w:r>
          </w:p>
        </w:tc>
      </w:tr>
      <w:tr w14:paraId="1E4B2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68F22CA2">
            <w:pPr>
              <w:widowControl/>
              <w:spacing w:line="240" w:lineRule="auto"/>
              <w:jc w:val="center"/>
              <w:textAlignment w:val="center"/>
              <w:rPr>
                <w:rFonts w:ascii="Calibri" w:hAnsi="Calibri"/>
                <w:kern w:val="0"/>
                <w:sz w:val="21"/>
                <w:szCs w:val="21"/>
              </w:rPr>
            </w:pPr>
          </w:p>
        </w:tc>
        <w:tc>
          <w:tcPr>
            <w:tcW w:w="373" w:type="pct"/>
            <w:vMerge w:val="continue"/>
            <w:vAlign w:val="center"/>
          </w:tcPr>
          <w:p w14:paraId="2DA73EC9">
            <w:pPr>
              <w:widowControl/>
              <w:spacing w:line="240" w:lineRule="auto"/>
              <w:jc w:val="center"/>
              <w:textAlignment w:val="center"/>
              <w:rPr>
                <w:rFonts w:ascii="Calibri" w:hAnsi="Calibri"/>
                <w:kern w:val="0"/>
                <w:sz w:val="21"/>
                <w:szCs w:val="21"/>
              </w:rPr>
            </w:pPr>
          </w:p>
        </w:tc>
        <w:tc>
          <w:tcPr>
            <w:tcW w:w="620" w:type="pct"/>
            <w:vAlign w:val="center"/>
          </w:tcPr>
          <w:p w14:paraId="04206922">
            <w:pPr>
              <w:widowControl/>
              <w:spacing w:line="240" w:lineRule="auto"/>
              <w:jc w:val="center"/>
              <w:textAlignment w:val="center"/>
              <w:rPr>
                <w:rFonts w:ascii="Calibri" w:hAnsi="Calibri"/>
                <w:kern w:val="0"/>
                <w:sz w:val="21"/>
                <w:szCs w:val="21"/>
              </w:rPr>
            </w:pPr>
            <w:r>
              <w:rPr>
                <w:rFonts w:ascii="Calibri" w:hAnsi="Calibri"/>
                <w:kern w:val="0"/>
                <w:sz w:val="21"/>
                <w:szCs w:val="21"/>
              </w:rPr>
              <w:t>其他</w:t>
            </w:r>
          </w:p>
        </w:tc>
        <w:tc>
          <w:tcPr>
            <w:tcW w:w="708" w:type="pct"/>
            <w:vAlign w:val="center"/>
          </w:tcPr>
          <w:p w14:paraId="6A6DF519">
            <w:pPr>
              <w:widowControl/>
              <w:spacing w:line="240" w:lineRule="auto"/>
              <w:jc w:val="center"/>
              <w:textAlignment w:val="center"/>
              <w:rPr>
                <w:rFonts w:ascii="Calibri" w:hAnsi="Calibri"/>
                <w:kern w:val="0"/>
                <w:sz w:val="21"/>
                <w:szCs w:val="21"/>
              </w:rPr>
            </w:pPr>
            <w:r>
              <w:rPr>
                <w:rFonts w:ascii="Calibri" w:hAnsi="Calibri"/>
                <w:kern w:val="0"/>
                <w:sz w:val="21"/>
                <w:szCs w:val="21"/>
              </w:rPr>
              <w:t>1.3</w:t>
            </w:r>
          </w:p>
        </w:tc>
        <w:tc>
          <w:tcPr>
            <w:tcW w:w="932" w:type="pct"/>
            <w:vAlign w:val="center"/>
          </w:tcPr>
          <w:p w14:paraId="17609F52">
            <w:pPr>
              <w:widowControl/>
              <w:spacing w:line="240" w:lineRule="auto"/>
              <w:jc w:val="center"/>
              <w:textAlignment w:val="center"/>
              <w:rPr>
                <w:rFonts w:ascii="Calibri" w:hAnsi="Calibri"/>
                <w:kern w:val="0"/>
                <w:sz w:val="21"/>
                <w:szCs w:val="21"/>
              </w:rPr>
            </w:pPr>
            <w:r>
              <w:rPr>
                <w:rFonts w:ascii="Calibri" w:hAnsi="Calibri"/>
                <w:kern w:val="0"/>
                <w:sz w:val="21"/>
                <w:szCs w:val="21"/>
              </w:rPr>
              <w:t>1.8</w:t>
            </w:r>
          </w:p>
        </w:tc>
        <w:tc>
          <w:tcPr>
            <w:tcW w:w="1212" w:type="pct"/>
            <w:vAlign w:val="center"/>
          </w:tcPr>
          <w:p w14:paraId="70CCBB18">
            <w:pPr>
              <w:widowControl/>
              <w:spacing w:line="240" w:lineRule="auto"/>
              <w:jc w:val="center"/>
              <w:textAlignment w:val="center"/>
              <w:rPr>
                <w:rFonts w:ascii="Calibri" w:hAnsi="Calibri"/>
                <w:kern w:val="0"/>
                <w:sz w:val="21"/>
                <w:szCs w:val="21"/>
              </w:rPr>
            </w:pPr>
            <w:r>
              <w:rPr>
                <w:rFonts w:ascii="Calibri" w:hAnsi="Calibri"/>
                <w:kern w:val="0"/>
                <w:sz w:val="21"/>
                <w:szCs w:val="21"/>
              </w:rPr>
              <w:t>2.4</w:t>
            </w:r>
          </w:p>
        </w:tc>
        <w:tc>
          <w:tcPr>
            <w:tcW w:w="782" w:type="pct"/>
            <w:vAlign w:val="center"/>
          </w:tcPr>
          <w:p w14:paraId="79326B4C">
            <w:pPr>
              <w:widowControl/>
              <w:spacing w:line="240" w:lineRule="auto"/>
              <w:jc w:val="center"/>
              <w:textAlignment w:val="center"/>
              <w:rPr>
                <w:rFonts w:ascii="Calibri" w:hAnsi="Calibri"/>
                <w:kern w:val="0"/>
                <w:sz w:val="21"/>
                <w:szCs w:val="21"/>
              </w:rPr>
            </w:pPr>
            <w:r>
              <w:rPr>
                <w:rFonts w:ascii="Calibri" w:hAnsi="Calibri"/>
                <w:kern w:val="0"/>
                <w:sz w:val="21"/>
                <w:szCs w:val="21"/>
              </w:rPr>
              <w:t>3.4</w:t>
            </w:r>
          </w:p>
        </w:tc>
      </w:tr>
      <w:tr w14:paraId="005AB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44DF5EE2">
            <w:pPr>
              <w:widowControl/>
              <w:spacing w:line="240" w:lineRule="auto"/>
              <w:jc w:val="center"/>
              <w:textAlignment w:val="center"/>
              <w:rPr>
                <w:rFonts w:ascii="Calibri" w:hAnsi="Calibri"/>
                <w:kern w:val="0"/>
                <w:sz w:val="21"/>
                <w:szCs w:val="21"/>
              </w:rPr>
            </w:pPr>
            <w:r>
              <w:rPr>
                <w:rFonts w:ascii="Calibri" w:hAnsi="Calibri"/>
                <w:kern w:val="0"/>
                <w:sz w:val="21"/>
                <w:szCs w:val="21"/>
              </w:rPr>
              <w:t>3</w:t>
            </w:r>
          </w:p>
        </w:tc>
        <w:tc>
          <w:tcPr>
            <w:tcW w:w="373" w:type="pct"/>
            <w:vMerge w:val="restart"/>
            <w:vAlign w:val="center"/>
          </w:tcPr>
          <w:p w14:paraId="4847DF84">
            <w:pPr>
              <w:widowControl/>
              <w:spacing w:line="240" w:lineRule="auto"/>
              <w:jc w:val="center"/>
              <w:textAlignment w:val="center"/>
              <w:rPr>
                <w:rFonts w:ascii="Calibri" w:hAnsi="Calibri"/>
                <w:kern w:val="0"/>
                <w:sz w:val="21"/>
                <w:szCs w:val="21"/>
              </w:rPr>
            </w:pPr>
            <w:r>
              <w:rPr>
                <w:rFonts w:ascii="Calibri" w:hAnsi="Calibri"/>
                <w:kern w:val="0"/>
                <w:sz w:val="21"/>
                <w:szCs w:val="21"/>
              </w:rPr>
              <w:t>砷</w:t>
            </w:r>
          </w:p>
        </w:tc>
        <w:tc>
          <w:tcPr>
            <w:tcW w:w="620" w:type="pct"/>
            <w:vAlign w:val="center"/>
          </w:tcPr>
          <w:p w14:paraId="08569583">
            <w:pPr>
              <w:widowControl/>
              <w:spacing w:line="240" w:lineRule="auto"/>
              <w:jc w:val="center"/>
              <w:textAlignment w:val="center"/>
              <w:rPr>
                <w:rFonts w:ascii="Calibri" w:hAnsi="Calibri"/>
                <w:kern w:val="0"/>
                <w:sz w:val="21"/>
                <w:szCs w:val="21"/>
              </w:rPr>
            </w:pPr>
            <w:r>
              <w:rPr>
                <w:rFonts w:ascii="Calibri" w:hAnsi="Calibri"/>
                <w:kern w:val="0"/>
                <w:sz w:val="21"/>
                <w:szCs w:val="21"/>
              </w:rPr>
              <w:t>水田</w:t>
            </w:r>
          </w:p>
        </w:tc>
        <w:tc>
          <w:tcPr>
            <w:tcW w:w="708" w:type="pct"/>
            <w:vAlign w:val="center"/>
          </w:tcPr>
          <w:p w14:paraId="7CB26BCC">
            <w:pPr>
              <w:widowControl/>
              <w:spacing w:line="240" w:lineRule="auto"/>
              <w:jc w:val="center"/>
              <w:textAlignment w:val="center"/>
              <w:rPr>
                <w:rFonts w:ascii="Calibri" w:hAnsi="Calibri"/>
                <w:kern w:val="0"/>
                <w:sz w:val="21"/>
                <w:szCs w:val="21"/>
              </w:rPr>
            </w:pPr>
            <w:r>
              <w:rPr>
                <w:rFonts w:ascii="Calibri" w:hAnsi="Calibri"/>
                <w:kern w:val="0"/>
                <w:sz w:val="21"/>
                <w:szCs w:val="21"/>
              </w:rPr>
              <w:t>30</w:t>
            </w:r>
          </w:p>
        </w:tc>
        <w:tc>
          <w:tcPr>
            <w:tcW w:w="932" w:type="pct"/>
            <w:vAlign w:val="center"/>
          </w:tcPr>
          <w:p w14:paraId="63DE6D90">
            <w:pPr>
              <w:widowControl/>
              <w:spacing w:line="240" w:lineRule="auto"/>
              <w:jc w:val="center"/>
              <w:textAlignment w:val="center"/>
              <w:rPr>
                <w:rFonts w:ascii="Calibri" w:hAnsi="Calibri"/>
                <w:kern w:val="0"/>
                <w:sz w:val="21"/>
                <w:szCs w:val="21"/>
              </w:rPr>
            </w:pPr>
            <w:r>
              <w:rPr>
                <w:rFonts w:ascii="Calibri" w:hAnsi="Calibri"/>
                <w:kern w:val="0"/>
                <w:sz w:val="21"/>
                <w:szCs w:val="21"/>
              </w:rPr>
              <w:t>30</w:t>
            </w:r>
          </w:p>
        </w:tc>
        <w:tc>
          <w:tcPr>
            <w:tcW w:w="1212" w:type="pct"/>
            <w:vAlign w:val="center"/>
          </w:tcPr>
          <w:p w14:paraId="671E2246">
            <w:pPr>
              <w:widowControl/>
              <w:spacing w:line="240" w:lineRule="auto"/>
              <w:jc w:val="center"/>
              <w:textAlignment w:val="center"/>
              <w:rPr>
                <w:rFonts w:ascii="Calibri" w:hAnsi="Calibri"/>
                <w:kern w:val="0"/>
                <w:sz w:val="21"/>
                <w:szCs w:val="21"/>
              </w:rPr>
            </w:pPr>
            <w:r>
              <w:rPr>
                <w:rFonts w:ascii="Calibri" w:hAnsi="Calibri"/>
                <w:kern w:val="0"/>
                <w:sz w:val="21"/>
                <w:szCs w:val="21"/>
              </w:rPr>
              <w:t>25</w:t>
            </w:r>
          </w:p>
        </w:tc>
        <w:tc>
          <w:tcPr>
            <w:tcW w:w="782" w:type="pct"/>
            <w:vAlign w:val="center"/>
          </w:tcPr>
          <w:p w14:paraId="0A15C607">
            <w:pPr>
              <w:widowControl/>
              <w:spacing w:line="240" w:lineRule="auto"/>
              <w:jc w:val="center"/>
              <w:textAlignment w:val="center"/>
              <w:rPr>
                <w:rFonts w:ascii="Calibri" w:hAnsi="Calibri"/>
                <w:kern w:val="0"/>
                <w:sz w:val="21"/>
                <w:szCs w:val="21"/>
              </w:rPr>
            </w:pPr>
            <w:r>
              <w:rPr>
                <w:rFonts w:ascii="Calibri" w:hAnsi="Calibri"/>
                <w:kern w:val="0"/>
                <w:sz w:val="21"/>
                <w:szCs w:val="21"/>
              </w:rPr>
              <w:t>20</w:t>
            </w:r>
          </w:p>
        </w:tc>
      </w:tr>
      <w:tr w14:paraId="60C11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326840C4">
            <w:pPr>
              <w:widowControl/>
              <w:spacing w:line="240" w:lineRule="auto"/>
              <w:jc w:val="center"/>
              <w:textAlignment w:val="center"/>
              <w:rPr>
                <w:rFonts w:ascii="Calibri" w:hAnsi="Calibri"/>
                <w:kern w:val="0"/>
                <w:sz w:val="21"/>
                <w:szCs w:val="21"/>
              </w:rPr>
            </w:pPr>
          </w:p>
        </w:tc>
        <w:tc>
          <w:tcPr>
            <w:tcW w:w="373" w:type="pct"/>
            <w:vMerge w:val="continue"/>
            <w:vAlign w:val="center"/>
          </w:tcPr>
          <w:p w14:paraId="6489621D">
            <w:pPr>
              <w:widowControl/>
              <w:spacing w:line="240" w:lineRule="auto"/>
              <w:jc w:val="center"/>
              <w:textAlignment w:val="center"/>
              <w:rPr>
                <w:rFonts w:ascii="Calibri" w:hAnsi="Calibri"/>
                <w:kern w:val="0"/>
                <w:sz w:val="21"/>
                <w:szCs w:val="21"/>
              </w:rPr>
            </w:pPr>
          </w:p>
        </w:tc>
        <w:tc>
          <w:tcPr>
            <w:tcW w:w="620" w:type="pct"/>
            <w:vAlign w:val="center"/>
          </w:tcPr>
          <w:p w14:paraId="0585E2A2">
            <w:pPr>
              <w:widowControl/>
              <w:spacing w:line="240" w:lineRule="auto"/>
              <w:jc w:val="center"/>
              <w:textAlignment w:val="center"/>
              <w:rPr>
                <w:rFonts w:ascii="Calibri" w:hAnsi="Calibri"/>
                <w:kern w:val="0"/>
                <w:sz w:val="21"/>
                <w:szCs w:val="21"/>
              </w:rPr>
            </w:pPr>
            <w:r>
              <w:rPr>
                <w:rFonts w:ascii="Calibri" w:hAnsi="Calibri"/>
                <w:kern w:val="0"/>
                <w:sz w:val="21"/>
                <w:szCs w:val="21"/>
              </w:rPr>
              <w:t>其他</w:t>
            </w:r>
          </w:p>
        </w:tc>
        <w:tc>
          <w:tcPr>
            <w:tcW w:w="708" w:type="pct"/>
            <w:vAlign w:val="center"/>
          </w:tcPr>
          <w:p w14:paraId="7C540A22">
            <w:pPr>
              <w:widowControl/>
              <w:spacing w:line="240" w:lineRule="auto"/>
              <w:jc w:val="center"/>
              <w:textAlignment w:val="center"/>
              <w:rPr>
                <w:rFonts w:ascii="Calibri" w:hAnsi="Calibri"/>
                <w:kern w:val="0"/>
                <w:sz w:val="21"/>
                <w:szCs w:val="21"/>
              </w:rPr>
            </w:pPr>
            <w:r>
              <w:rPr>
                <w:rFonts w:ascii="Calibri" w:hAnsi="Calibri"/>
                <w:kern w:val="0"/>
                <w:sz w:val="21"/>
                <w:szCs w:val="21"/>
              </w:rPr>
              <w:t>40</w:t>
            </w:r>
          </w:p>
        </w:tc>
        <w:tc>
          <w:tcPr>
            <w:tcW w:w="932" w:type="pct"/>
            <w:vAlign w:val="center"/>
          </w:tcPr>
          <w:p w14:paraId="3F15BDC7">
            <w:pPr>
              <w:widowControl/>
              <w:spacing w:line="240" w:lineRule="auto"/>
              <w:jc w:val="center"/>
              <w:textAlignment w:val="center"/>
              <w:rPr>
                <w:rFonts w:ascii="Calibri" w:hAnsi="Calibri"/>
                <w:kern w:val="0"/>
                <w:sz w:val="21"/>
                <w:szCs w:val="21"/>
              </w:rPr>
            </w:pPr>
            <w:r>
              <w:rPr>
                <w:rFonts w:ascii="Calibri" w:hAnsi="Calibri"/>
                <w:kern w:val="0"/>
                <w:sz w:val="21"/>
                <w:szCs w:val="21"/>
              </w:rPr>
              <w:t>40</w:t>
            </w:r>
          </w:p>
        </w:tc>
        <w:tc>
          <w:tcPr>
            <w:tcW w:w="1212" w:type="pct"/>
            <w:vAlign w:val="center"/>
          </w:tcPr>
          <w:p w14:paraId="401E45D9">
            <w:pPr>
              <w:widowControl/>
              <w:spacing w:line="240" w:lineRule="auto"/>
              <w:jc w:val="center"/>
              <w:textAlignment w:val="center"/>
              <w:rPr>
                <w:rFonts w:ascii="Calibri" w:hAnsi="Calibri"/>
                <w:kern w:val="0"/>
                <w:sz w:val="21"/>
                <w:szCs w:val="21"/>
              </w:rPr>
            </w:pPr>
            <w:r>
              <w:rPr>
                <w:rFonts w:ascii="Calibri" w:hAnsi="Calibri"/>
                <w:kern w:val="0"/>
                <w:sz w:val="21"/>
                <w:szCs w:val="21"/>
              </w:rPr>
              <w:t>30</w:t>
            </w:r>
          </w:p>
        </w:tc>
        <w:tc>
          <w:tcPr>
            <w:tcW w:w="782" w:type="pct"/>
            <w:vAlign w:val="center"/>
          </w:tcPr>
          <w:p w14:paraId="646A6567">
            <w:pPr>
              <w:widowControl/>
              <w:spacing w:line="240" w:lineRule="auto"/>
              <w:jc w:val="center"/>
              <w:textAlignment w:val="center"/>
              <w:rPr>
                <w:rFonts w:ascii="Calibri" w:hAnsi="Calibri"/>
                <w:kern w:val="0"/>
                <w:sz w:val="21"/>
                <w:szCs w:val="21"/>
              </w:rPr>
            </w:pPr>
            <w:r>
              <w:rPr>
                <w:rFonts w:ascii="Calibri" w:hAnsi="Calibri"/>
                <w:kern w:val="0"/>
                <w:sz w:val="21"/>
                <w:szCs w:val="21"/>
              </w:rPr>
              <w:t>25</w:t>
            </w:r>
          </w:p>
        </w:tc>
      </w:tr>
      <w:tr w14:paraId="598ED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6B7D8BE6">
            <w:pPr>
              <w:widowControl/>
              <w:spacing w:line="240" w:lineRule="auto"/>
              <w:jc w:val="center"/>
              <w:textAlignment w:val="center"/>
              <w:rPr>
                <w:rFonts w:ascii="Calibri" w:hAnsi="Calibri"/>
                <w:kern w:val="0"/>
                <w:sz w:val="21"/>
                <w:szCs w:val="21"/>
              </w:rPr>
            </w:pPr>
            <w:r>
              <w:rPr>
                <w:rFonts w:ascii="Calibri" w:hAnsi="Calibri"/>
                <w:kern w:val="0"/>
                <w:sz w:val="21"/>
                <w:szCs w:val="21"/>
              </w:rPr>
              <w:t>4</w:t>
            </w:r>
          </w:p>
        </w:tc>
        <w:tc>
          <w:tcPr>
            <w:tcW w:w="373" w:type="pct"/>
            <w:vMerge w:val="restart"/>
            <w:vAlign w:val="center"/>
          </w:tcPr>
          <w:p w14:paraId="4A6CDE2E">
            <w:pPr>
              <w:widowControl/>
              <w:spacing w:line="240" w:lineRule="auto"/>
              <w:jc w:val="center"/>
              <w:textAlignment w:val="center"/>
              <w:rPr>
                <w:rFonts w:ascii="Calibri" w:hAnsi="Calibri"/>
                <w:kern w:val="0"/>
                <w:sz w:val="21"/>
                <w:szCs w:val="21"/>
              </w:rPr>
            </w:pPr>
            <w:r>
              <w:rPr>
                <w:rFonts w:ascii="Calibri" w:hAnsi="Calibri"/>
                <w:kern w:val="0"/>
                <w:sz w:val="21"/>
                <w:szCs w:val="21"/>
              </w:rPr>
              <w:t>铅</w:t>
            </w:r>
          </w:p>
        </w:tc>
        <w:tc>
          <w:tcPr>
            <w:tcW w:w="620" w:type="pct"/>
            <w:vAlign w:val="center"/>
          </w:tcPr>
          <w:p w14:paraId="4D946CA4">
            <w:pPr>
              <w:widowControl/>
              <w:spacing w:line="240" w:lineRule="auto"/>
              <w:jc w:val="center"/>
              <w:textAlignment w:val="center"/>
              <w:rPr>
                <w:rFonts w:ascii="Calibri" w:hAnsi="Calibri"/>
                <w:kern w:val="0"/>
                <w:sz w:val="21"/>
                <w:szCs w:val="21"/>
              </w:rPr>
            </w:pPr>
            <w:r>
              <w:rPr>
                <w:rFonts w:ascii="Calibri" w:hAnsi="Calibri"/>
                <w:kern w:val="0"/>
                <w:sz w:val="21"/>
                <w:szCs w:val="21"/>
              </w:rPr>
              <w:t>水田</w:t>
            </w:r>
          </w:p>
        </w:tc>
        <w:tc>
          <w:tcPr>
            <w:tcW w:w="708" w:type="pct"/>
            <w:vAlign w:val="center"/>
          </w:tcPr>
          <w:p w14:paraId="5218B8ED">
            <w:pPr>
              <w:widowControl/>
              <w:spacing w:line="240" w:lineRule="auto"/>
              <w:jc w:val="center"/>
              <w:textAlignment w:val="center"/>
              <w:rPr>
                <w:rFonts w:ascii="Calibri" w:hAnsi="Calibri"/>
                <w:kern w:val="0"/>
                <w:sz w:val="21"/>
                <w:szCs w:val="21"/>
              </w:rPr>
            </w:pPr>
            <w:r>
              <w:rPr>
                <w:rFonts w:ascii="Calibri" w:hAnsi="Calibri"/>
                <w:kern w:val="0"/>
                <w:sz w:val="21"/>
                <w:szCs w:val="21"/>
              </w:rPr>
              <w:t>80</w:t>
            </w:r>
          </w:p>
        </w:tc>
        <w:tc>
          <w:tcPr>
            <w:tcW w:w="932" w:type="pct"/>
            <w:vAlign w:val="center"/>
          </w:tcPr>
          <w:p w14:paraId="197B44C6">
            <w:pPr>
              <w:widowControl/>
              <w:spacing w:line="240" w:lineRule="auto"/>
              <w:jc w:val="center"/>
              <w:textAlignment w:val="center"/>
              <w:rPr>
                <w:rFonts w:ascii="Calibri" w:hAnsi="Calibri"/>
                <w:kern w:val="0"/>
                <w:sz w:val="21"/>
                <w:szCs w:val="21"/>
              </w:rPr>
            </w:pPr>
            <w:r>
              <w:rPr>
                <w:rFonts w:ascii="Calibri" w:hAnsi="Calibri"/>
                <w:kern w:val="0"/>
                <w:sz w:val="21"/>
                <w:szCs w:val="21"/>
              </w:rPr>
              <w:t>100</w:t>
            </w:r>
          </w:p>
        </w:tc>
        <w:tc>
          <w:tcPr>
            <w:tcW w:w="1212" w:type="pct"/>
            <w:vAlign w:val="center"/>
          </w:tcPr>
          <w:p w14:paraId="290A3041">
            <w:pPr>
              <w:widowControl/>
              <w:spacing w:line="240" w:lineRule="auto"/>
              <w:jc w:val="center"/>
              <w:textAlignment w:val="center"/>
              <w:rPr>
                <w:rFonts w:ascii="Calibri" w:hAnsi="Calibri"/>
                <w:kern w:val="0"/>
                <w:sz w:val="21"/>
                <w:szCs w:val="21"/>
              </w:rPr>
            </w:pPr>
            <w:r>
              <w:rPr>
                <w:rFonts w:ascii="Calibri" w:hAnsi="Calibri"/>
                <w:kern w:val="0"/>
                <w:sz w:val="21"/>
                <w:szCs w:val="21"/>
              </w:rPr>
              <w:t>140</w:t>
            </w:r>
          </w:p>
        </w:tc>
        <w:tc>
          <w:tcPr>
            <w:tcW w:w="782" w:type="pct"/>
            <w:vAlign w:val="center"/>
          </w:tcPr>
          <w:p w14:paraId="06E9FCAB">
            <w:pPr>
              <w:widowControl/>
              <w:spacing w:line="240" w:lineRule="auto"/>
              <w:jc w:val="center"/>
              <w:textAlignment w:val="center"/>
              <w:rPr>
                <w:rFonts w:ascii="Calibri" w:hAnsi="Calibri"/>
                <w:kern w:val="0"/>
                <w:sz w:val="21"/>
                <w:szCs w:val="21"/>
              </w:rPr>
            </w:pPr>
            <w:r>
              <w:rPr>
                <w:rFonts w:ascii="Calibri" w:hAnsi="Calibri"/>
                <w:kern w:val="0"/>
                <w:sz w:val="21"/>
                <w:szCs w:val="21"/>
              </w:rPr>
              <w:t>240</w:t>
            </w:r>
          </w:p>
        </w:tc>
      </w:tr>
      <w:tr w14:paraId="02703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57057AB2">
            <w:pPr>
              <w:widowControl/>
              <w:spacing w:line="240" w:lineRule="auto"/>
              <w:jc w:val="center"/>
              <w:textAlignment w:val="center"/>
              <w:rPr>
                <w:rFonts w:ascii="Calibri" w:hAnsi="Calibri"/>
                <w:kern w:val="0"/>
                <w:sz w:val="21"/>
                <w:szCs w:val="21"/>
              </w:rPr>
            </w:pPr>
          </w:p>
        </w:tc>
        <w:tc>
          <w:tcPr>
            <w:tcW w:w="373" w:type="pct"/>
            <w:vMerge w:val="continue"/>
            <w:vAlign w:val="center"/>
          </w:tcPr>
          <w:p w14:paraId="0840E3AC">
            <w:pPr>
              <w:widowControl/>
              <w:spacing w:line="240" w:lineRule="auto"/>
              <w:jc w:val="center"/>
              <w:textAlignment w:val="center"/>
              <w:rPr>
                <w:rFonts w:ascii="Calibri" w:hAnsi="Calibri"/>
                <w:kern w:val="0"/>
                <w:sz w:val="21"/>
                <w:szCs w:val="21"/>
              </w:rPr>
            </w:pPr>
          </w:p>
        </w:tc>
        <w:tc>
          <w:tcPr>
            <w:tcW w:w="620" w:type="pct"/>
            <w:vAlign w:val="center"/>
          </w:tcPr>
          <w:p w14:paraId="3C6AEB44">
            <w:pPr>
              <w:widowControl/>
              <w:spacing w:line="240" w:lineRule="auto"/>
              <w:jc w:val="center"/>
              <w:textAlignment w:val="center"/>
              <w:rPr>
                <w:rFonts w:ascii="Calibri" w:hAnsi="Calibri"/>
                <w:kern w:val="0"/>
                <w:sz w:val="21"/>
                <w:szCs w:val="21"/>
              </w:rPr>
            </w:pPr>
            <w:r>
              <w:rPr>
                <w:rFonts w:ascii="Calibri" w:hAnsi="Calibri"/>
                <w:kern w:val="0"/>
                <w:sz w:val="21"/>
                <w:szCs w:val="21"/>
              </w:rPr>
              <w:t>其他</w:t>
            </w:r>
          </w:p>
        </w:tc>
        <w:tc>
          <w:tcPr>
            <w:tcW w:w="708" w:type="pct"/>
            <w:vAlign w:val="center"/>
          </w:tcPr>
          <w:p w14:paraId="6CD068DE">
            <w:pPr>
              <w:widowControl/>
              <w:spacing w:line="240" w:lineRule="auto"/>
              <w:jc w:val="center"/>
              <w:textAlignment w:val="center"/>
              <w:rPr>
                <w:rFonts w:ascii="Calibri" w:hAnsi="Calibri"/>
                <w:kern w:val="0"/>
                <w:sz w:val="21"/>
                <w:szCs w:val="21"/>
              </w:rPr>
            </w:pPr>
            <w:r>
              <w:rPr>
                <w:rFonts w:ascii="Calibri" w:hAnsi="Calibri"/>
                <w:kern w:val="0"/>
                <w:sz w:val="21"/>
                <w:szCs w:val="21"/>
              </w:rPr>
              <w:t>70</w:t>
            </w:r>
          </w:p>
        </w:tc>
        <w:tc>
          <w:tcPr>
            <w:tcW w:w="932" w:type="pct"/>
            <w:vAlign w:val="center"/>
          </w:tcPr>
          <w:p w14:paraId="1253EC56">
            <w:pPr>
              <w:widowControl/>
              <w:spacing w:line="240" w:lineRule="auto"/>
              <w:jc w:val="center"/>
              <w:textAlignment w:val="center"/>
              <w:rPr>
                <w:rFonts w:ascii="Calibri" w:hAnsi="Calibri"/>
                <w:kern w:val="0"/>
                <w:sz w:val="21"/>
                <w:szCs w:val="21"/>
              </w:rPr>
            </w:pPr>
            <w:r>
              <w:rPr>
                <w:rFonts w:ascii="Calibri" w:hAnsi="Calibri"/>
                <w:kern w:val="0"/>
                <w:sz w:val="21"/>
                <w:szCs w:val="21"/>
              </w:rPr>
              <w:t>90</w:t>
            </w:r>
          </w:p>
        </w:tc>
        <w:tc>
          <w:tcPr>
            <w:tcW w:w="1212" w:type="pct"/>
            <w:vAlign w:val="center"/>
          </w:tcPr>
          <w:p w14:paraId="389E5112">
            <w:pPr>
              <w:widowControl/>
              <w:spacing w:line="240" w:lineRule="auto"/>
              <w:jc w:val="center"/>
              <w:textAlignment w:val="center"/>
              <w:rPr>
                <w:rFonts w:ascii="Calibri" w:hAnsi="Calibri"/>
                <w:kern w:val="0"/>
                <w:sz w:val="21"/>
                <w:szCs w:val="21"/>
              </w:rPr>
            </w:pPr>
            <w:r>
              <w:rPr>
                <w:rFonts w:ascii="Calibri" w:hAnsi="Calibri"/>
                <w:kern w:val="0"/>
                <w:sz w:val="21"/>
                <w:szCs w:val="21"/>
              </w:rPr>
              <w:t>120</w:t>
            </w:r>
          </w:p>
        </w:tc>
        <w:tc>
          <w:tcPr>
            <w:tcW w:w="782" w:type="pct"/>
            <w:vAlign w:val="center"/>
          </w:tcPr>
          <w:p w14:paraId="2C98F15D">
            <w:pPr>
              <w:widowControl/>
              <w:spacing w:line="240" w:lineRule="auto"/>
              <w:jc w:val="center"/>
              <w:textAlignment w:val="center"/>
              <w:rPr>
                <w:rFonts w:ascii="Calibri" w:hAnsi="Calibri"/>
                <w:kern w:val="0"/>
                <w:sz w:val="21"/>
                <w:szCs w:val="21"/>
              </w:rPr>
            </w:pPr>
            <w:r>
              <w:rPr>
                <w:rFonts w:ascii="Calibri" w:hAnsi="Calibri"/>
                <w:kern w:val="0"/>
                <w:sz w:val="21"/>
                <w:szCs w:val="21"/>
              </w:rPr>
              <w:t>170</w:t>
            </w:r>
          </w:p>
        </w:tc>
      </w:tr>
      <w:tr w14:paraId="7E342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26FDB4BC">
            <w:pPr>
              <w:widowControl/>
              <w:spacing w:line="240" w:lineRule="auto"/>
              <w:jc w:val="center"/>
              <w:textAlignment w:val="center"/>
              <w:rPr>
                <w:rFonts w:ascii="Calibri" w:hAnsi="Calibri"/>
                <w:kern w:val="0"/>
                <w:sz w:val="21"/>
                <w:szCs w:val="21"/>
              </w:rPr>
            </w:pPr>
            <w:r>
              <w:rPr>
                <w:rFonts w:ascii="Calibri" w:hAnsi="Calibri"/>
                <w:kern w:val="0"/>
                <w:sz w:val="21"/>
                <w:szCs w:val="21"/>
              </w:rPr>
              <w:t>5</w:t>
            </w:r>
          </w:p>
        </w:tc>
        <w:tc>
          <w:tcPr>
            <w:tcW w:w="373" w:type="pct"/>
            <w:vMerge w:val="restart"/>
            <w:vAlign w:val="center"/>
          </w:tcPr>
          <w:p w14:paraId="6E0B5CCC">
            <w:pPr>
              <w:widowControl/>
              <w:spacing w:line="240" w:lineRule="auto"/>
              <w:jc w:val="center"/>
              <w:textAlignment w:val="center"/>
              <w:rPr>
                <w:rFonts w:ascii="Calibri" w:hAnsi="Calibri"/>
                <w:kern w:val="0"/>
                <w:sz w:val="21"/>
                <w:szCs w:val="21"/>
              </w:rPr>
            </w:pPr>
            <w:r>
              <w:rPr>
                <w:rFonts w:ascii="Calibri" w:hAnsi="Calibri"/>
                <w:kern w:val="0"/>
                <w:sz w:val="21"/>
                <w:szCs w:val="21"/>
              </w:rPr>
              <w:t>铬</w:t>
            </w:r>
          </w:p>
        </w:tc>
        <w:tc>
          <w:tcPr>
            <w:tcW w:w="620" w:type="pct"/>
            <w:vAlign w:val="center"/>
          </w:tcPr>
          <w:p w14:paraId="44F40069">
            <w:pPr>
              <w:widowControl/>
              <w:spacing w:line="240" w:lineRule="auto"/>
              <w:jc w:val="center"/>
              <w:textAlignment w:val="center"/>
              <w:rPr>
                <w:rFonts w:ascii="Calibri" w:hAnsi="Calibri"/>
                <w:kern w:val="0"/>
                <w:sz w:val="21"/>
                <w:szCs w:val="21"/>
              </w:rPr>
            </w:pPr>
            <w:r>
              <w:rPr>
                <w:rFonts w:ascii="Calibri" w:hAnsi="Calibri"/>
                <w:kern w:val="0"/>
                <w:sz w:val="21"/>
                <w:szCs w:val="21"/>
              </w:rPr>
              <w:t>水田</w:t>
            </w:r>
          </w:p>
        </w:tc>
        <w:tc>
          <w:tcPr>
            <w:tcW w:w="708" w:type="pct"/>
            <w:vAlign w:val="center"/>
          </w:tcPr>
          <w:p w14:paraId="5FC09130">
            <w:pPr>
              <w:widowControl/>
              <w:spacing w:line="240" w:lineRule="auto"/>
              <w:jc w:val="center"/>
              <w:textAlignment w:val="center"/>
              <w:rPr>
                <w:rFonts w:ascii="Calibri" w:hAnsi="Calibri"/>
                <w:kern w:val="0"/>
                <w:sz w:val="21"/>
                <w:szCs w:val="21"/>
              </w:rPr>
            </w:pPr>
            <w:r>
              <w:rPr>
                <w:rFonts w:ascii="Calibri" w:hAnsi="Calibri"/>
                <w:kern w:val="0"/>
                <w:sz w:val="21"/>
                <w:szCs w:val="21"/>
              </w:rPr>
              <w:t>250</w:t>
            </w:r>
          </w:p>
        </w:tc>
        <w:tc>
          <w:tcPr>
            <w:tcW w:w="932" w:type="pct"/>
            <w:vAlign w:val="center"/>
          </w:tcPr>
          <w:p w14:paraId="798EBE7E">
            <w:pPr>
              <w:widowControl/>
              <w:spacing w:line="240" w:lineRule="auto"/>
              <w:jc w:val="center"/>
              <w:textAlignment w:val="center"/>
              <w:rPr>
                <w:rFonts w:ascii="Calibri" w:hAnsi="Calibri"/>
                <w:kern w:val="0"/>
                <w:sz w:val="21"/>
                <w:szCs w:val="21"/>
              </w:rPr>
            </w:pPr>
            <w:r>
              <w:rPr>
                <w:rFonts w:ascii="Calibri" w:hAnsi="Calibri"/>
                <w:kern w:val="0"/>
                <w:sz w:val="21"/>
                <w:szCs w:val="21"/>
              </w:rPr>
              <w:t>250</w:t>
            </w:r>
          </w:p>
        </w:tc>
        <w:tc>
          <w:tcPr>
            <w:tcW w:w="1212" w:type="pct"/>
            <w:vAlign w:val="center"/>
          </w:tcPr>
          <w:p w14:paraId="742EE2BA">
            <w:pPr>
              <w:widowControl/>
              <w:spacing w:line="240" w:lineRule="auto"/>
              <w:jc w:val="center"/>
              <w:textAlignment w:val="center"/>
              <w:rPr>
                <w:rFonts w:ascii="Calibri" w:hAnsi="Calibri"/>
                <w:kern w:val="0"/>
                <w:sz w:val="21"/>
                <w:szCs w:val="21"/>
              </w:rPr>
            </w:pPr>
            <w:r>
              <w:rPr>
                <w:rFonts w:ascii="Calibri" w:hAnsi="Calibri"/>
                <w:kern w:val="0"/>
                <w:sz w:val="21"/>
                <w:szCs w:val="21"/>
              </w:rPr>
              <w:t>300</w:t>
            </w:r>
          </w:p>
        </w:tc>
        <w:tc>
          <w:tcPr>
            <w:tcW w:w="782" w:type="pct"/>
            <w:vAlign w:val="center"/>
          </w:tcPr>
          <w:p w14:paraId="45BCFC9F">
            <w:pPr>
              <w:widowControl/>
              <w:spacing w:line="240" w:lineRule="auto"/>
              <w:jc w:val="center"/>
              <w:textAlignment w:val="center"/>
              <w:rPr>
                <w:rFonts w:ascii="Calibri" w:hAnsi="Calibri"/>
                <w:kern w:val="0"/>
                <w:sz w:val="21"/>
                <w:szCs w:val="21"/>
              </w:rPr>
            </w:pPr>
            <w:r>
              <w:rPr>
                <w:rFonts w:ascii="Calibri" w:hAnsi="Calibri"/>
                <w:kern w:val="0"/>
                <w:sz w:val="21"/>
                <w:szCs w:val="21"/>
              </w:rPr>
              <w:t>350</w:t>
            </w:r>
          </w:p>
        </w:tc>
      </w:tr>
      <w:tr w14:paraId="00B11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32CC6F0D">
            <w:pPr>
              <w:widowControl/>
              <w:spacing w:line="240" w:lineRule="auto"/>
              <w:jc w:val="center"/>
              <w:textAlignment w:val="center"/>
              <w:rPr>
                <w:rFonts w:ascii="Calibri" w:hAnsi="Calibri"/>
                <w:kern w:val="0"/>
                <w:sz w:val="21"/>
                <w:szCs w:val="21"/>
              </w:rPr>
            </w:pPr>
          </w:p>
        </w:tc>
        <w:tc>
          <w:tcPr>
            <w:tcW w:w="373" w:type="pct"/>
            <w:vMerge w:val="continue"/>
            <w:vAlign w:val="center"/>
          </w:tcPr>
          <w:p w14:paraId="67CD1E10">
            <w:pPr>
              <w:widowControl/>
              <w:spacing w:line="240" w:lineRule="auto"/>
              <w:jc w:val="center"/>
              <w:textAlignment w:val="center"/>
              <w:rPr>
                <w:rFonts w:ascii="Calibri" w:hAnsi="Calibri"/>
                <w:kern w:val="0"/>
                <w:sz w:val="21"/>
                <w:szCs w:val="21"/>
              </w:rPr>
            </w:pPr>
          </w:p>
        </w:tc>
        <w:tc>
          <w:tcPr>
            <w:tcW w:w="620" w:type="pct"/>
            <w:vAlign w:val="center"/>
          </w:tcPr>
          <w:p w14:paraId="43072B92">
            <w:pPr>
              <w:widowControl/>
              <w:spacing w:line="240" w:lineRule="auto"/>
              <w:jc w:val="center"/>
              <w:textAlignment w:val="center"/>
              <w:rPr>
                <w:rFonts w:ascii="Calibri" w:hAnsi="Calibri"/>
                <w:kern w:val="0"/>
                <w:sz w:val="21"/>
                <w:szCs w:val="21"/>
              </w:rPr>
            </w:pPr>
            <w:r>
              <w:rPr>
                <w:rFonts w:ascii="Calibri" w:hAnsi="Calibri"/>
                <w:kern w:val="0"/>
                <w:sz w:val="21"/>
                <w:szCs w:val="21"/>
              </w:rPr>
              <w:t>其他</w:t>
            </w:r>
          </w:p>
        </w:tc>
        <w:tc>
          <w:tcPr>
            <w:tcW w:w="708" w:type="pct"/>
            <w:vAlign w:val="center"/>
          </w:tcPr>
          <w:p w14:paraId="051F5F21">
            <w:pPr>
              <w:widowControl/>
              <w:spacing w:line="240" w:lineRule="auto"/>
              <w:jc w:val="center"/>
              <w:textAlignment w:val="center"/>
              <w:rPr>
                <w:rFonts w:ascii="Calibri" w:hAnsi="Calibri"/>
                <w:kern w:val="0"/>
                <w:sz w:val="21"/>
                <w:szCs w:val="21"/>
              </w:rPr>
            </w:pPr>
            <w:r>
              <w:rPr>
                <w:rFonts w:ascii="Calibri" w:hAnsi="Calibri"/>
                <w:kern w:val="0"/>
                <w:sz w:val="21"/>
                <w:szCs w:val="21"/>
              </w:rPr>
              <w:t>150</w:t>
            </w:r>
          </w:p>
        </w:tc>
        <w:tc>
          <w:tcPr>
            <w:tcW w:w="932" w:type="pct"/>
            <w:vAlign w:val="center"/>
          </w:tcPr>
          <w:p w14:paraId="1F91155C">
            <w:pPr>
              <w:widowControl/>
              <w:spacing w:line="240" w:lineRule="auto"/>
              <w:jc w:val="center"/>
              <w:textAlignment w:val="center"/>
              <w:rPr>
                <w:rFonts w:ascii="Calibri" w:hAnsi="Calibri"/>
                <w:kern w:val="0"/>
                <w:sz w:val="21"/>
                <w:szCs w:val="21"/>
              </w:rPr>
            </w:pPr>
            <w:r>
              <w:rPr>
                <w:rFonts w:ascii="Calibri" w:hAnsi="Calibri"/>
                <w:kern w:val="0"/>
                <w:sz w:val="21"/>
                <w:szCs w:val="21"/>
              </w:rPr>
              <w:t>150</w:t>
            </w:r>
          </w:p>
        </w:tc>
        <w:tc>
          <w:tcPr>
            <w:tcW w:w="1212" w:type="pct"/>
            <w:vAlign w:val="center"/>
          </w:tcPr>
          <w:p w14:paraId="1BED2FE2">
            <w:pPr>
              <w:widowControl/>
              <w:spacing w:line="240" w:lineRule="auto"/>
              <w:jc w:val="center"/>
              <w:textAlignment w:val="center"/>
              <w:rPr>
                <w:rFonts w:ascii="Calibri" w:hAnsi="Calibri"/>
                <w:kern w:val="0"/>
                <w:sz w:val="21"/>
                <w:szCs w:val="21"/>
              </w:rPr>
            </w:pPr>
            <w:r>
              <w:rPr>
                <w:rFonts w:ascii="Calibri" w:hAnsi="Calibri"/>
                <w:kern w:val="0"/>
                <w:sz w:val="21"/>
                <w:szCs w:val="21"/>
              </w:rPr>
              <w:t>200</w:t>
            </w:r>
          </w:p>
        </w:tc>
        <w:tc>
          <w:tcPr>
            <w:tcW w:w="782" w:type="pct"/>
            <w:vAlign w:val="center"/>
          </w:tcPr>
          <w:p w14:paraId="7552B32F">
            <w:pPr>
              <w:widowControl/>
              <w:spacing w:line="240" w:lineRule="auto"/>
              <w:jc w:val="center"/>
              <w:textAlignment w:val="center"/>
              <w:rPr>
                <w:rFonts w:ascii="Calibri" w:hAnsi="Calibri"/>
                <w:kern w:val="0"/>
                <w:sz w:val="21"/>
                <w:szCs w:val="21"/>
              </w:rPr>
            </w:pPr>
            <w:r>
              <w:rPr>
                <w:rFonts w:ascii="Calibri" w:hAnsi="Calibri"/>
                <w:kern w:val="0"/>
                <w:sz w:val="21"/>
                <w:szCs w:val="21"/>
              </w:rPr>
              <w:t>250</w:t>
            </w:r>
          </w:p>
        </w:tc>
      </w:tr>
      <w:tr w14:paraId="06AA8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2547B1D5">
            <w:pPr>
              <w:widowControl/>
              <w:spacing w:line="240" w:lineRule="auto"/>
              <w:jc w:val="center"/>
              <w:textAlignment w:val="center"/>
              <w:rPr>
                <w:rFonts w:ascii="Calibri" w:hAnsi="Calibri"/>
                <w:kern w:val="0"/>
                <w:sz w:val="21"/>
                <w:szCs w:val="21"/>
              </w:rPr>
            </w:pPr>
            <w:r>
              <w:rPr>
                <w:rFonts w:ascii="Calibri" w:hAnsi="Calibri"/>
                <w:kern w:val="0"/>
                <w:sz w:val="21"/>
                <w:szCs w:val="21"/>
              </w:rPr>
              <w:t>6</w:t>
            </w:r>
          </w:p>
        </w:tc>
        <w:tc>
          <w:tcPr>
            <w:tcW w:w="373" w:type="pct"/>
            <w:vMerge w:val="restart"/>
            <w:vAlign w:val="center"/>
          </w:tcPr>
          <w:p w14:paraId="4A7E09E7">
            <w:pPr>
              <w:widowControl/>
              <w:spacing w:line="240" w:lineRule="auto"/>
              <w:jc w:val="center"/>
              <w:textAlignment w:val="center"/>
              <w:rPr>
                <w:rFonts w:ascii="Calibri" w:hAnsi="Calibri"/>
                <w:kern w:val="0"/>
                <w:sz w:val="21"/>
                <w:szCs w:val="21"/>
              </w:rPr>
            </w:pPr>
            <w:r>
              <w:rPr>
                <w:rFonts w:ascii="Calibri" w:hAnsi="Calibri"/>
                <w:kern w:val="0"/>
                <w:sz w:val="21"/>
                <w:szCs w:val="21"/>
              </w:rPr>
              <w:t>铜</w:t>
            </w:r>
          </w:p>
        </w:tc>
        <w:tc>
          <w:tcPr>
            <w:tcW w:w="620" w:type="pct"/>
            <w:vAlign w:val="center"/>
          </w:tcPr>
          <w:p w14:paraId="604EB9DF">
            <w:pPr>
              <w:widowControl/>
              <w:spacing w:line="240" w:lineRule="auto"/>
              <w:jc w:val="center"/>
              <w:textAlignment w:val="center"/>
              <w:rPr>
                <w:rFonts w:ascii="Calibri" w:hAnsi="Calibri"/>
                <w:kern w:val="0"/>
                <w:sz w:val="21"/>
                <w:szCs w:val="21"/>
              </w:rPr>
            </w:pPr>
            <w:r>
              <w:rPr>
                <w:rFonts w:ascii="Calibri" w:hAnsi="Calibri"/>
                <w:kern w:val="0"/>
                <w:sz w:val="21"/>
                <w:szCs w:val="21"/>
              </w:rPr>
              <w:t>果园</w:t>
            </w:r>
          </w:p>
        </w:tc>
        <w:tc>
          <w:tcPr>
            <w:tcW w:w="708" w:type="pct"/>
            <w:vAlign w:val="center"/>
          </w:tcPr>
          <w:p w14:paraId="473D852A">
            <w:pPr>
              <w:widowControl/>
              <w:spacing w:line="240" w:lineRule="auto"/>
              <w:jc w:val="center"/>
              <w:textAlignment w:val="center"/>
              <w:rPr>
                <w:rFonts w:ascii="Calibri" w:hAnsi="Calibri"/>
                <w:kern w:val="0"/>
                <w:sz w:val="21"/>
                <w:szCs w:val="21"/>
              </w:rPr>
            </w:pPr>
            <w:r>
              <w:rPr>
                <w:rFonts w:ascii="Calibri" w:hAnsi="Calibri"/>
                <w:kern w:val="0"/>
                <w:sz w:val="21"/>
                <w:szCs w:val="21"/>
              </w:rPr>
              <w:t>150</w:t>
            </w:r>
          </w:p>
        </w:tc>
        <w:tc>
          <w:tcPr>
            <w:tcW w:w="932" w:type="pct"/>
            <w:vAlign w:val="center"/>
          </w:tcPr>
          <w:p w14:paraId="1E2A7E57">
            <w:pPr>
              <w:widowControl/>
              <w:spacing w:line="240" w:lineRule="auto"/>
              <w:jc w:val="center"/>
              <w:textAlignment w:val="center"/>
              <w:rPr>
                <w:rFonts w:ascii="Calibri" w:hAnsi="Calibri"/>
                <w:kern w:val="0"/>
                <w:sz w:val="21"/>
                <w:szCs w:val="21"/>
              </w:rPr>
            </w:pPr>
            <w:r>
              <w:rPr>
                <w:rFonts w:ascii="Calibri" w:hAnsi="Calibri"/>
                <w:kern w:val="0"/>
                <w:sz w:val="21"/>
                <w:szCs w:val="21"/>
              </w:rPr>
              <w:t>150</w:t>
            </w:r>
          </w:p>
        </w:tc>
        <w:tc>
          <w:tcPr>
            <w:tcW w:w="1212" w:type="pct"/>
            <w:vAlign w:val="center"/>
          </w:tcPr>
          <w:p w14:paraId="5F3DA087">
            <w:pPr>
              <w:widowControl/>
              <w:spacing w:line="240" w:lineRule="auto"/>
              <w:jc w:val="center"/>
              <w:textAlignment w:val="center"/>
              <w:rPr>
                <w:rFonts w:ascii="Calibri" w:hAnsi="Calibri"/>
                <w:kern w:val="0"/>
                <w:sz w:val="21"/>
                <w:szCs w:val="21"/>
              </w:rPr>
            </w:pPr>
            <w:r>
              <w:rPr>
                <w:rFonts w:ascii="Calibri" w:hAnsi="Calibri"/>
                <w:kern w:val="0"/>
                <w:sz w:val="21"/>
                <w:szCs w:val="21"/>
              </w:rPr>
              <w:t>200</w:t>
            </w:r>
          </w:p>
        </w:tc>
        <w:tc>
          <w:tcPr>
            <w:tcW w:w="782" w:type="pct"/>
            <w:vAlign w:val="center"/>
          </w:tcPr>
          <w:p w14:paraId="5A443B79">
            <w:pPr>
              <w:widowControl/>
              <w:spacing w:line="240" w:lineRule="auto"/>
              <w:jc w:val="center"/>
              <w:textAlignment w:val="center"/>
              <w:rPr>
                <w:rFonts w:ascii="Calibri" w:hAnsi="Calibri"/>
                <w:kern w:val="0"/>
                <w:sz w:val="21"/>
                <w:szCs w:val="21"/>
              </w:rPr>
            </w:pPr>
            <w:r>
              <w:rPr>
                <w:rFonts w:ascii="Calibri" w:hAnsi="Calibri"/>
                <w:kern w:val="0"/>
                <w:sz w:val="21"/>
                <w:szCs w:val="21"/>
              </w:rPr>
              <w:t>200</w:t>
            </w:r>
          </w:p>
        </w:tc>
      </w:tr>
      <w:tr w14:paraId="5596A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573F52B2">
            <w:pPr>
              <w:widowControl/>
              <w:spacing w:line="240" w:lineRule="auto"/>
              <w:jc w:val="center"/>
              <w:textAlignment w:val="center"/>
              <w:rPr>
                <w:rFonts w:ascii="Calibri" w:hAnsi="Calibri"/>
                <w:kern w:val="0"/>
                <w:sz w:val="21"/>
                <w:szCs w:val="21"/>
              </w:rPr>
            </w:pPr>
          </w:p>
        </w:tc>
        <w:tc>
          <w:tcPr>
            <w:tcW w:w="373" w:type="pct"/>
            <w:vMerge w:val="continue"/>
            <w:vAlign w:val="center"/>
          </w:tcPr>
          <w:p w14:paraId="335465DC">
            <w:pPr>
              <w:widowControl/>
              <w:spacing w:line="240" w:lineRule="auto"/>
              <w:jc w:val="center"/>
              <w:textAlignment w:val="center"/>
              <w:rPr>
                <w:rFonts w:ascii="Calibri" w:hAnsi="Calibri"/>
                <w:kern w:val="0"/>
                <w:sz w:val="21"/>
                <w:szCs w:val="21"/>
              </w:rPr>
            </w:pPr>
          </w:p>
        </w:tc>
        <w:tc>
          <w:tcPr>
            <w:tcW w:w="620" w:type="pct"/>
            <w:vAlign w:val="center"/>
          </w:tcPr>
          <w:p w14:paraId="47D471AD">
            <w:pPr>
              <w:widowControl/>
              <w:spacing w:line="240" w:lineRule="auto"/>
              <w:jc w:val="center"/>
              <w:textAlignment w:val="center"/>
              <w:rPr>
                <w:rFonts w:ascii="Calibri" w:hAnsi="Calibri"/>
                <w:kern w:val="0"/>
                <w:sz w:val="21"/>
                <w:szCs w:val="21"/>
              </w:rPr>
            </w:pPr>
            <w:r>
              <w:rPr>
                <w:rFonts w:ascii="Calibri" w:hAnsi="Calibri"/>
                <w:kern w:val="0"/>
                <w:sz w:val="21"/>
                <w:szCs w:val="21"/>
              </w:rPr>
              <w:t>其他</w:t>
            </w:r>
          </w:p>
        </w:tc>
        <w:tc>
          <w:tcPr>
            <w:tcW w:w="708" w:type="pct"/>
            <w:vAlign w:val="center"/>
          </w:tcPr>
          <w:p w14:paraId="3C19E200">
            <w:pPr>
              <w:widowControl/>
              <w:spacing w:line="240" w:lineRule="auto"/>
              <w:jc w:val="center"/>
              <w:textAlignment w:val="center"/>
              <w:rPr>
                <w:rFonts w:ascii="Calibri" w:hAnsi="Calibri"/>
                <w:kern w:val="0"/>
                <w:sz w:val="21"/>
                <w:szCs w:val="21"/>
              </w:rPr>
            </w:pPr>
            <w:r>
              <w:rPr>
                <w:rFonts w:ascii="Calibri" w:hAnsi="Calibri"/>
                <w:kern w:val="0"/>
                <w:sz w:val="21"/>
                <w:szCs w:val="21"/>
              </w:rPr>
              <w:t>50</w:t>
            </w:r>
          </w:p>
        </w:tc>
        <w:tc>
          <w:tcPr>
            <w:tcW w:w="932" w:type="pct"/>
            <w:vAlign w:val="center"/>
          </w:tcPr>
          <w:p w14:paraId="47FFDFE8">
            <w:pPr>
              <w:widowControl/>
              <w:spacing w:line="240" w:lineRule="auto"/>
              <w:jc w:val="center"/>
              <w:textAlignment w:val="center"/>
              <w:rPr>
                <w:rFonts w:ascii="Calibri" w:hAnsi="Calibri"/>
                <w:kern w:val="0"/>
                <w:sz w:val="21"/>
                <w:szCs w:val="21"/>
              </w:rPr>
            </w:pPr>
            <w:r>
              <w:rPr>
                <w:rFonts w:ascii="Calibri" w:hAnsi="Calibri"/>
                <w:kern w:val="0"/>
                <w:sz w:val="21"/>
                <w:szCs w:val="21"/>
              </w:rPr>
              <w:t>50</w:t>
            </w:r>
          </w:p>
        </w:tc>
        <w:tc>
          <w:tcPr>
            <w:tcW w:w="1212" w:type="pct"/>
            <w:vAlign w:val="center"/>
          </w:tcPr>
          <w:p w14:paraId="3E3DB32E">
            <w:pPr>
              <w:widowControl/>
              <w:spacing w:line="240" w:lineRule="auto"/>
              <w:jc w:val="center"/>
              <w:textAlignment w:val="center"/>
              <w:rPr>
                <w:rFonts w:ascii="Calibri" w:hAnsi="Calibri"/>
                <w:kern w:val="0"/>
                <w:sz w:val="21"/>
                <w:szCs w:val="21"/>
              </w:rPr>
            </w:pPr>
            <w:r>
              <w:rPr>
                <w:rFonts w:ascii="Calibri" w:hAnsi="Calibri"/>
                <w:kern w:val="0"/>
                <w:sz w:val="21"/>
                <w:szCs w:val="21"/>
              </w:rPr>
              <w:t>100</w:t>
            </w:r>
          </w:p>
        </w:tc>
        <w:tc>
          <w:tcPr>
            <w:tcW w:w="782" w:type="pct"/>
            <w:vAlign w:val="center"/>
          </w:tcPr>
          <w:p w14:paraId="600FB4C4">
            <w:pPr>
              <w:widowControl/>
              <w:spacing w:line="240" w:lineRule="auto"/>
              <w:jc w:val="center"/>
              <w:textAlignment w:val="center"/>
              <w:rPr>
                <w:rFonts w:ascii="Calibri" w:hAnsi="Calibri"/>
                <w:kern w:val="0"/>
                <w:sz w:val="21"/>
                <w:szCs w:val="21"/>
              </w:rPr>
            </w:pPr>
            <w:r>
              <w:rPr>
                <w:rFonts w:ascii="Calibri" w:hAnsi="Calibri"/>
                <w:kern w:val="0"/>
                <w:sz w:val="21"/>
                <w:szCs w:val="21"/>
              </w:rPr>
              <w:t>100</w:t>
            </w:r>
          </w:p>
        </w:tc>
      </w:tr>
      <w:tr w14:paraId="1660E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Align w:val="center"/>
          </w:tcPr>
          <w:p w14:paraId="0EA61A13">
            <w:pPr>
              <w:widowControl/>
              <w:spacing w:line="240" w:lineRule="auto"/>
              <w:jc w:val="center"/>
              <w:textAlignment w:val="center"/>
              <w:rPr>
                <w:rFonts w:ascii="Calibri" w:hAnsi="Calibri"/>
                <w:kern w:val="0"/>
                <w:sz w:val="21"/>
                <w:szCs w:val="21"/>
              </w:rPr>
            </w:pPr>
            <w:r>
              <w:rPr>
                <w:rFonts w:ascii="Calibri" w:hAnsi="Calibri"/>
                <w:kern w:val="0"/>
                <w:sz w:val="21"/>
                <w:szCs w:val="21"/>
              </w:rPr>
              <w:t>7</w:t>
            </w:r>
          </w:p>
        </w:tc>
        <w:tc>
          <w:tcPr>
            <w:tcW w:w="993" w:type="pct"/>
            <w:gridSpan w:val="2"/>
            <w:vAlign w:val="center"/>
          </w:tcPr>
          <w:p w14:paraId="154311F0">
            <w:pPr>
              <w:widowControl/>
              <w:spacing w:line="240" w:lineRule="auto"/>
              <w:jc w:val="center"/>
              <w:textAlignment w:val="center"/>
              <w:rPr>
                <w:rFonts w:ascii="Calibri" w:hAnsi="Calibri"/>
                <w:kern w:val="0"/>
                <w:sz w:val="21"/>
                <w:szCs w:val="21"/>
              </w:rPr>
            </w:pPr>
            <w:r>
              <w:rPr>
                <w:rFonts w:ascii="Calibri" w:hAnsi="Calibri"/>
                <w:kern w:val="0"/>
                <w:sz w:val="21"/>
                <w:szCs w:val="21"/>
              </w:rPr>
              <w:t>镍</w:t>
            </w:r>
          </w:p>
        </w:tc>
        <w:tc>
          <w:tcPr>
            <w:tcW w:w="708" w:type="pct"/>
            <w:vAlign w:val="center"/>
          </w:tcPr>
          <w:p w14:paraId="4913DF28">
            <w:pPr>
              <w:widowControl/>
              <w:spacing w:line="240" w:lineRule="auto"/>
              <w:jc w:val="center"/>
              <w:textAlignment w:val="center"/>
              <w:rPr>
                <w:rFonts w:ascii="Calibri" w:hAnsi="Calibri"/>
                <w:kern w:val="0"/>
                <w:sz w:val="21"/>
                <w:szCs w:val="21"/>
              </w:rPr>
            </w:pPr>
            <w:r>
              <w:rPr>
                <w:rFonts w:ascii="Calibri" w:hAnsi="Calibri"/>
                <w:kern w:val="0"/>
                <w:sz w:val="21"/>
                <w:szCs w:val="21"/>
              </w:rPr>
              <w:t>60</w:t>
            </w:r>
          </w:p>
        </w:tc>
        <w:tc>
          <w:tcPr>
            <w:tcW w:w="932" w:type="pct"/>
            <w:vAlign w:val="center"/>
          </w:tcPr>
          <w:p w14:paraId="1A64D980">
            <w:pPr>
              <w:widowControl/>
              <w:spacing w:line="240" w:lineRule="auto"/>
              <w:jc w:val="center"/>
              <w:textAlignment w:val="center"/>
              <w:rPr>
                <w:rFonts w:ascii="Calibri" w:hAnsi="Calibri"/>
                <w:kern w:val="0"/>
                <w:sz w:val="21"/>
                <w:szCs w:val="21"/>
              </w:rPr>
            </w:pPr>
            <w:r>
              <w:rPr>
                <w:rFonts w:ascii="Calibri" w:hAnsi="Calibri"/>
                <w:kern w:val="0"/>
                <w:sz w:val="21"/>
                <w:szCs w:val="21"/>
              </w:rPr>
              <w:t>70</w:t>
            </w:r>
          </w:p>
        </w:tc>
        <w:tc>
          <w:tcPr>
            <w:tcW w:w="1212" w:type="pct"/>
            <w:vAlign w:val="center"/>
          </w:tcPr>
          <w:p w14:paraId="29F8C06B">
            <w:pPr>
              <w:widowControl/>
              <w:spacing w:line="240" w:lineRule="auto"/>
              <w:jc w:val="center"/>
              <w:textAlignment w:val="center"/>
              <w:rPr>
                <w:rFonts w:ascii="Calibri" w:hAnsi="Calibri"/>
                <w:kern w:val="0"/>
                <w:sz w:val="21"/>
                <w:szCs w:val="21"/>
              </w:rPr>
            </w:pPr>
            <w:r>
              <w:rPr>
                <w:rFonts w:ascii="Calibri" w:hAnsi="Calibri"/>
                <w:kern w:val="0"/>
                <w:sz w:val="21"/>
                <w:szCs w:val="21"/>
              </w:rPr>
              <w:t>100</w:t>
            </w:r>
          </w:p>
        </w:tc>
        <w:tc>
          <w:tcPr>
            <w:tcW w:w="782" w:type="pct"/>
            <w:vAlign w:val="center"/>
          </w:tcPr>
          <w:p w14:paraId="46FA9632">
            <w:pPr>
              <w:widowControl/>
              <w:spacing w:line="240" w:lineRule="auto"/>
              <w:jc w:val="center"/>
              <w:textAlignment w:val="center"/>
              <w:rPr>
                <w:rFonts w:ascii="Calibri" w:hAnsi="Calibri"/>
                <w:kern w:val="0"/>
                <w:sz w:val="21"/>
                <w:szCs w:val="21"/>
              </w:rPr>
            </w:pPr>
            <w:r>
              <w:rPr>
                <w:rFonts w:ascii="Calibri" w:hAnsi="Calibri"/>
                <w:kern w:val="0"/>
                <w:sz w:val="21"/>
                <w:szCs w:val="21"/>
              </w:rPr>
              <w:t>190</w:t>
            </w:r>
          </w:p>
        </w:tc>
      </w:tr>
      <w:tr w14:paraId="41A0C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Align w:val="center"/>
          </w:tcPr>
          <w:p w14:paraId="1E999809">
            <w:pPr>
              <w:widowControl/>
              <w:spacing w:line="240" w:lineRule="auto"/>
              <w:jc w:val="center"/>
              <w:textAlignment w:val="center"/>
              <w:rPr>
                <w:rFonts w:ascii="Calibri" w:hAnsi="Calibri"/>
                <w:kern w:val="0"/>
                <w:sz w:val="21"/>
                <w:szCs w:val="21"/>
              </w:rPr>
            </w:pPr>
            <w:r>
              <w:rPr>
                <w:rFonts w:ascii="Calibri" w:hAnsi="Calibri"/>
                <w:kern w:val="0"/>
                <w:sz w:val="21"/>
                <w:szCs w:val="21"/>
              </w:rPr>
              <w:t>8</w:t>
            </w:r>
          </w:p>
        </w:tc>
        <w:tc>
          <w:tcPr>
            <w:tcW w:w="993" w:type="pct"/>
            <w:gridSpan w:val="2"/>
            <w:vAlign w:val="center"/>
          </w:tcPr>
          <w:p w14:paraId="056A474C">
            <w:pPr>
              <w:widowControl/>
              <w:spacing w:line="240" w:lineRule="auto"/>
              <w:jc w:val="center"/>
              <w:textAlignment w:val="center"/>
              <w:rPr>
                <w:rFonts w:ascii="Calibri" w:hAnsi="Calibri"/>
                <w:kern w:val="0"/>
                <w:sz w:val="21"/>
                <w:szCs w:val="21"/>
              </w:rPr>
            </w:pPr>
            <w:r>
              <w:rPr>
                <w:rFonts w:ascii="Calibri" w:hAnsi="Calibri"/>
                <w:kern w:val="0"/>
                <w:sz w:val="21"/>
                <w:szCs w:val="21"/>
              </w:rPr>
              <w:t>锌</w:t>
            </w:r>
          </w:p>
        </w:tc>
        <w:tc>
          <w:tcPr>
            <w:tcW w:w="708" w:type="pct"/>
            <w:vAlign w:val="center"/>
          </w:tcPr>
          <w:p w14:paraId="593DE0A9">
            <w:pPr>
              <w:widowControl/>
              <w:spacing w:line="240" w:lineRule="auto"/>
              <w:jc w:val="center"/>
              <w:textAlignment w:val="center"/>
              <w:rPr>
                <w:rFonts w:ascii="Calibri" w:hAnsi="Calibri"/>
                <w:kern w:val="0"/>
                <w:sz w:val="21"/>
                <w:szCs w:val="21"/>
              </w:rPr>
            </w:pPr>
            <w:r>
              <w:rPr>
                <w:rFonts w:ascii="Calibri" w:hAnsi="Calibri"/>
                <w:kern w:val="0"/>
                <w:sz w:val="21"/>
                <w:szCs w:val="21"/>
              </w:rPr>
              <w:t>200</w:t>
            </w:r>
          </w:p>
        </w:tc>
        <w:tc>
          <w:tcPr>
            <w:tcW w:w="932" w:type="pct"/>
            <w:vAlign w:val="center"/>
          </w:tcPr>
          <w:p w14:paraId="35E09A1F">
            <w:pPr>
              <w:widowControl/>
              <w:spacing w:line="240" w:lineRule="auto"/>
              <w:jc w:val="center"/>
              <w:textAlignment w:val="center"/>
              <w:rPr>
                <w:rFonts w:ascii="Calibri" w:hAnsi="Calibri"/>
                <w:kern w:val="0"/>
                <w:sz w:val="21"/>
                <w:szCs w:val="21"/>
              </w:rPr>
            </w:pPr>
            <w:r>
              <w:rPr>
                <w:rFonts w:ascii="Calibri" w:hAnsi="Calibri"/>
                <w:kern w:val="0"/>
                <w:sz w:val="21"/>
                <w:szCs w:val="21"/>
              </w:rPr>
              <w:t>200</w:t>
            </w:r>
          </w:p>
        </w:tc>
        <w:tc>
          <w:tcPr>
            <w:tcW w:w="1212" w:type="pct"/>
            <w:vAlign w:val="center"/>
          </w:tcPr>
          <w:p w14:paraId="0485723B">
            <w:pPr>
              <w:widowControl/>
              <w:spacing w:line="240" w:lineRule="auto"/>
              <w:jc w:val="center"/>
              <w:textAlignment w:val="center"/>
              <w:rPr>
                <w:rFonts w:ascii="Calibri" w:hAnsi="Calibri"/>
                <w:kern w:val="0"/>
                <w:sz w:val="21"/>
                <w:szCs w:val="21"/>
              </w:rPr>
            </w:pPr>
            <w:r>
              <w:rPr>
                <w:rFonts w:ascii="Calibri" w:hAnsi="Calibri"/>
                <w:kern w:val="0"/>
                <w:sz w:val="21"/>
                <w:szCs w:val="21"/>
              </w:rPr>
              <w:t>250</w:t>
            </w:r>
          </w:p>
        </w:tc>
        <w:tc>
          <w:tcPr>
            <w:tcW w:w="782" w:type="pct"/>
            <w:vAlign w:val="center"/>
          </w:tcPr>
          <w:p w14:paraId="0E7BE22E">
            <w:pPr>
              <w:widowControl/>
              <w:spacing w:line="240" w:lineRule="auto"/>
              <w:jc w:val="center"/>
              <w:textAlignment w:val="center"/>
              <w:rPr>
                <w:rFonts w:ascii="Calibri" w:hAnsi="Calibri"/>
                <w:kern w:val="0"/>
                <w:sz w:val="21"/>
                <w:szCs w:val="21"/>
              </w:rPr>
            </w:pPr>
            <w:r>
              <w:rPr>
                <w:rFonts w:ascii="Calibri" w:hAnsi="Calibri"/>
                <w:kern w:val="0"/>
                <w:sz w:val="21"/>
                <w:szCs w:val="21"/>
              </w:rPr>
              <w:t>300</w:t>
            </w:r>
          </w:p>
        </w:tc>
      </w:tr>
      <w:tr w14:paraId="439EA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000" w:type="pct"/>
            <w:gridSpan w:val="7"/>
            <w:vAlign w:val="center"/>
          </w:tcPr>
          <w:p w14:paraId="4F0B7426">
            <w:pPr>
              <w:widowControl/>
              <w:spacing w:line="240" w:lineRule="auto"/>
              <w:jc w:val="left"/>
              <w:textAlignment w:val="center"/>
              <w:rPr>
                <w:rFonts w:ascii="Calibri" w:hAnsi="Calibri"/>
                <w:kern w:val="0"/>
                <w:sz w:val="21"/>
                <w:szCs w:val="21"/>
              </w:rPr>
            </w:pPr>
            <w:r>
              <w:rPr>
                <w:rFonts w:ascii="Calibri" w:hAnsi="Calibri"/>
                <w:kern w:val="0"/>
                <w:sz w:val="21"/>
                <w:szCs w:val="21"/>
              </w:rPr>
              <w:t>注：</w:t>
            </w:r>
            <w:r>
              <w:rPr>
                <w:rFonts w:ascii="Cambria Math" w:hAnsi="Cambria Math" w:cs="Cambria Math"/>
                <w:kern w:val="0"/>
                <w:sz w:val="21"/>
                <w:szCs w:val="21"/>
              </w:rPr>
              <w:t>①</w:t>
            </w:r>
            <w:r>
              <w:rPr>
                <w:rFonts w:ascii="Calibri" w:hAnsi="Calibri"/>
                <w:kern w:val="0"/>
                <w:sz w:val="21"/>
                <w:szCs w:val="21"/>
              </w:rPr>
              <w:t>重金属和类金属砷均按元素总量计。</w:t>
            </w:r>
          </w:p>
          <w:p w14:paraId="0573B977">
            <w:pPr>
              <w:spacing w:line="240" w:lineRule="auto"/>
              <w:jc w:val="left"/>
              <w:textAlignment w:val="center"/>
              <w:rPr>
                <w:rFonts w:ascii="Calibri" w:hAnsi="Calibri"/>
                <w:kern w:val="0"/>
                <w:sz w:val="21"/>
                <w:szCs w:val="21"/>
              </w:rPr>
            </w:pPr>
            <w:r>
              <w:rPr>
                <w:rFonts w:ascii="Cambria Math" w:hAnsi="Cambria Math" w:cs="Cambria Math"/>
                <w:kern w:val="0"/>
                <w:sz w:val="21"/>
                <w:szCs w:val="21"/>
              </w:rPr>
              <w:t>②</w:t>
            </w:r>
            <w:r>
              <w:rPr>
                <w:rFonts w:ascii="Calibri" w:hAnsi="Calibri"/>
                <w:kern w:val="0"/>
                <w:sz w:val="21"/>
                <w:szCs w:val="21"/>
              </w:rPr>
              <w:t>对于水旱轮作地，采用其中较严格的风险筛选值。</w:t>
            </w:r>
          </w:p>
        </w:tc>
      </w:tr>
      <w:bookmarkEnd w:id="72"/>
    </w:tbl>
    <w:p w14:paraId="3979761A">
      <w:pPr>
        <w:pStyle w:val="40"/>
        <w:spacing w:before="156"/>
      </w:pPr>
      <w:r>
        <w:t>表2.3-7    声环境质量标准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71"/>
        <w:gridCol w:w="1500"/>
        <w:gridCol w:w="2068"/>
        <w:gridCol w:w="3180"/>
      </w:tblGrid>
      <w:tr w14:paraId="2826FD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039" w:type="pct"/>
            <w:vAlign w:val="center"/>
          </w:tcPr>
          <w:p w14:paraId="03B49C64">
            <w:pPr>
              <w:pStyle w:val="41"/>
            </w:pPr>
            <w:r>
              <w:t>项目</w:t>
            </w:r>
          </w:p>
        </w:tc>
        <w:tc>
          <w:tcPr>
            <w:tcW w:w="880" w:type="pct"/>
            <w:vAlign w:val="center"/>
          </w:tcPr>
          <w:p w14:paraId="42E04CBE">
            <w:pPr>
              <w:pStyle w:val="41"/>
            </w:pPr>
            <w:r>
              <w:t>单位</w:t>
            </w:r>
          </w:p>
        </w:tc>
        <w:tc>
          <w:tcPr>
            <w:tcW w:w="1213" w:type="pct"/>
            <w:vAlign w:val="center"/>
          </w:tcPr>
          <w:p w14:paraId="31ECF981">
            <w:pPr>
              <w:pStyle w:val="41"/>
            </w:pPr>
            <w:r>
              <w:t>标准值</w:t>
            </w:r>
          </w:p>
        </w:tc>
        <w:tc>
          <w:tcPr>
            <w:tcW w:w="1865" w:type="pct"/>
            <w:vAlign w:val="center"/>
          </w:tcPr>
          <w:p w14:paraId="6B2C9397">
            <w:pPr>
              <w:pStyle w:val="41"/>
            </w:pPr>
            <w:r>
              <w:t>标准来源</w:t>
            </w:r>
          </w:p>
        </w:tc>
      </w:tr>
      <w:tr w14:paraId="69758E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1039" w:type="pct"/>
            <w:vAlign w:val="center"/>
          </w:tcPr>
          <w:p w14:paraId="7AE60AC8">
            <w:pPr>
              <w:pStyle w:val="41"/>
            </w:pPr>
            <w:r>
              <w:t>昼间</w:t>
            </w:r>
          </w:p>
        </w:tc>
        <w:tc>
          <w:tcPr>
            <w:tcW w:w="880" w:type="pct"/>
            <w:vAlign w:val="center"/>
          </w:tcPr>
          <w:p w14:paraId="66389264">
            <w:pPr>
              <w:pStyle w:val="41"/>
            </w:pPr>
            <w:r>
              <w:t>dB（A）</w:t>
            </w:r>
          </w:p>
        </w:tc>
        <w:tc>
          <w:tcPr>
            <w:tcW w:w="1213" w:type="pct"/>
            <w:vAlign w:val="center"/>
          </w:tcPr>
          <w:p w14:paraId="2354EA5C">
            <w:pPr>
              <w:pStyle w:val="41"/>
            </w:pPr>
            <w:r>
              <w:t>65</w:t>
            </w:r>
          </w:p>
        </w:tc>
        <w:tc>
          <w:tcPr>
            <w:tcW w:w="1865" w:type="pct"/>
            <w:vMerge w:val="restart"/>
            <w:vAlign w:val="center"/>
          </w:tcPr>
          <w:p w14:paraId="0BAF91B5">
            <w:pPr>
              <w:pStyle w:val="41"/>
            </w:pPr>
            <w:r>
              <w:t>《声环境质量标准》（GB3096-2008）3类</w:t>
            </w:r>
          </w:p>
        </w:tc>
      </w:tr>
      <w:tr w14:paraId="49E7B3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39" w:type="pct"/>
            <w:vAlign w:val="center"/>
          </w:tcPr>
          <w:p w14:paraId="5DF2D004">
            <w:pPr>
              <w:pStyle w:val="41"/>
            </w:pPr>
            <w:r>
              <w:t>夜间</w:t>
            </w:r>
          </w:p>
        </w:tc>
        <w:tc>
          <w:tcPr>
            <w:tcW w:w="880" w:type="pct"/>
            <w:vAlign w:val="center"/>
          </w:tcPr>
          <w:p w14:paraId="472308FD">
            <w:pPr>
              <w:pStyle w:val="41"/>
            </w:pPr>
            <w:r>
              <w:t>dB（A）</w:t>
            </w:r>
          </w:p>
        </w:tc>
        <w:tc>
          <w:tcPr>
            <w:tcW w:w="1213" w:type="pct"/>
            <w:vAlign w:val="center"/>
          </w:tcPr>
          <w:p w14:paraId="261C9C17">
            <w:pPr>
              <w:pStyle w:val="41"/>
            </w:pPr>
            <w:r>
              <w:t>55</w:t>
            </w:r>
          </w:p>
        </w:tc>
        <w:tc>
          <w:tcPr>
            <w:tcW w:w="1865" w:type="pct"/>
            <w:vMerge w:val="continue"/>
            <w:vAlign w:val="center"/>
          </w:tcPr>
          <w:p w14:paraId="329CF174">
            <w:pPr>
              <w:pStyle w:val="41"/>
            </w:pPr>
          </w:p>
        </w:tc>
      </w:tr>
    </w:tbl>
    <w:p w14:paraId="58DD1BF9">
      <w:pPr>
        <w:pStyle w:val="6"/>
      </w:pPr>
      <w:r>
        <w:t>污染物排放标准</w:t>
      </w:r>
    </w:p>
    <w:p w14:paraId="3586F254">
      <w:pPr>
        <w:pStyle w:val="3"/>
        <w:ind w:firstLine="480"/>
      </w:pPr>
      <w:r>
        <w:t>（1）废气</w:t>
      </w:r>
    </w:p>
    <w:p w14:paraId="150B5650">
      <w:pPr>
        <w:pStyle w:val="49"/>
      </w:pPr>
      <w:r>
        <w:t>烧结车间机头排口，颗粒物、SO</w:t>
      </w:r>
      <w:r>
        <w:rPr>
          <w:vertAlign w:val="subscript"/>
        </w:rPr>
        <w:t>2</w:t>
      </w:r>
      <w:r>
        <w:t>、NO</w:t>
      </w:r>
      <w:r>
        <w:rPr>
          <w:vertAlign w:val="subscript"/>
        </w:rPr>
        <w:t>X</w:t>
      </w:r>
      <w:r>
        <w:t>执行《关于推进实施钢铁行业超低排放的意见》（环大气〔2019〕35号）附件2排放限值；氟化物、二噁英类排放浓度执行《钢铁烧结、球团工业大气污染物排放标准》（GB28662-2012）及修改单中表3大气污染物特别排放限值。</w:t>
      </w:r>
    </w:p>
    <w:p w14:paraId="6EFAEDB6">
      <w:pPr>
        <w:pStyle w:val="49"/>
      </w:pPr>
      <w:r>
        <w:t>烧结机尾布袋除尘器排口颗粒物排放浓度执行《关于推进实施钢铁行业超低排放的意见》（环大气〔2019〕35号）附件2排放限值；</w:t>
      </w:r>
    </w:p>
    <w:p w14:paraId="2B7E573B">
      <w:pPr>
        <w:pStyle w:val="49"/>
      </w:pPr>
      <w:r>
        <w:t>配料站排口颗粒物排放浓度执行《铁合金工业污染物排放标准》（GB28666-2012）及修改单中表6大气污染物特别排放限值（颗粒物20mg/m</w:t>
      </w:r>
      <w:r>
        <w:rPr>
          <w:vertAlign w:val="superscript"/>
        </w:rPr>
        <w:t>3</w:t>
      </w:r>
      <w:r>
        <w:t>）。</w:t>
      </w:r>
    </w:p>
    <w:p w14:paraId="28E52C81">
      <w:pPr>
        <w:pStyle w:val="49"/>
      </w:pPr>
      <w:r>
        <w:t>厂界颗粒物执行《铁合金工业污染物排放标准》（GB28666-2012）及修改单表7企业边界大气污染物浓度限值。</w:t>
      </w:r>
    </w:p>
    <w:p w14:paraId="7AE921EF">
      <w:pPr>
        <w:pStyle w:val="40"/>
        <w:spacing w:before="156"/>
      </w:pPr>
      <w:r>
        <w:t>表2.3-8    大气污染物排放标准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76"/>
        <w:gridCol w:w="1998"/>
        <w:gridCol w:w="1156"/>
        <w:gridCol w:w="806"/>
        <w:gridCol w:w="2686"/>
      </w:tblGrid>
      <w:tr w14:paraId="04F379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101" w:type="pct"/>
            <w:vAlign w:val="center"/>
          </w:tcPr>
          <w:p w14:paraId="5CC7BC31">
            <w:pPr>
              <w:pStyle w:val="41"/>
            </w:pPr>
            <w:r>
              <w:t>类别</w:t>
            </w:r>
          </w:p>
        </w:tc>
        <w:tc>
          <w:tcPr>
            <w:tcW w:w="1172" w:type="pct"/>
            <w:vAlign w:val="center"/>
          </w:tcPr>
          <w:p w14:paraId="758B9311">
            <w:pPr>
              <w:pStyle w:val="41"/>
            </w:pPr>
            <w:r>
              <w:t>污染物</w:t>
            </w:r>
          </w:p>
        </w:tc>
        <w:tc>
          <w:tcPr>
            <w:tcW w:w="678" w:type="pct"/>
            <w:vAlign w:val="center"/>
          </w:tcPr>
          <w:p w14:paraId="0695E944">
            <w:pPr>
              <w:pStyle w:val="41"/>
            </w:pPr>
            <w:r>
              <w:t>单位</w:t>
            </w:r>
          </w:p>
        </w:tc>
        <w:tc>
          <w:tcPr>
            <w:tcW w:w="473" w:type="pct"/>
            <w:vAlign w:val="center"/>
          </w:tcPr>
          <w:p w14:paraId="4022935F">
            <w:pPr>
              <w:pStyle w:val="41"/>
            </w:pPr>
            <w:r>
              <w:t>限值</w:t>
            </w:r>
          </w:p>
        </w:tc>
        <w:tc>
          <w:tcPr>
            <w:tcW w:w="1576" w:type="pct"/>
            <w:vAlign w:val="center"/>
          </w:tcPr>
          <w:p w14:paraId="097C69CC">
            <w:pPr>
              <w:pStyle w:val="41"/>
            </w:pPr>
            <w:r>
              <w:t>标准来源</w:t>
            </w:r>
          </w:p>
        </w:tc>
      </w:tr>
      <w:tr w14:paraId="7869A2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1" w:type="pct"/>
            <w:vMerge w:val="restart"/>
            <w:vAlign w:val="center"/>
          </w:tcPr>
          <w:p w14:paraId="0B7A7514">
            <w:pPr>
              <w:pStyle w:val="41"/>
            </w:pPr>
            <w:r>
              <w:t>有组织废气（烧结车间机头脱硫塔排口）</w:t>
            </w:r>
          </w:p>
        </w:tc>
        <w:tc>
          <w:tcPr>
            <w:tcW w:w="1172" w:type="pct"/>
            <w:vAlign w:val="center"/>
          </w:tcPr>
          <w:p w14:paraId="73EA396F">
            <w:pPr>
              <w:pStyle w:val="41"/>
            </w:pPr>
            <w:r>
              <w:t>颗粒物</w:t>
            </w:r>
          </w:p>
        </w:tc>
        <w:tc>
          <w:tcPr>
            <w:tcW w:w="678" w:type="pct"/>
            <w:vAlign w:val="center"/>
          </w:tcPr>
          <w:p w14:paraId="7BAA47DD">
            <w:pPr>
              <w:pStyle w:val="41"/>
            </w:pPr>
            <w:r>
              <w:t>mg/m</w:t>
            </w:r>
            <w:r>
              <w:rPr>
                <w:vertAlign w:val="superscript"/>
              </w:rPr>
              <w:t>3</w:t>
            </w:r>
          </w:p>
        </w:tc>
        <w:tc>
          <w:tcPr>
            <w:tcW w:w="473" w:type="pct"/>
            <w:vAlign w:val="center"/>
          </w:tcPr>
          <w:p w14:paraId="4E93E2E5">
            <w:pPr>
              <w:pStyle w:val="41"/>
            </w:pPr>
            <w:r>
              <w:t>10</w:t>
            </w:r>
          </w:p>
        </w:tc>
        <w:tc>
          <w:tcPr>
            <w:tcW w:w="1576" w:type="pct"/>
            <w:vMerge w:val="restart"/>
            <w:vAlign w:val="center"/>
          </w:tcPr>
          <w:p w14:paraId="1A743D8A">
            <w:pPr>
              <w:pStyle w:val="41"/>
            </w:pPr>
            <w:r>
              <w:t>《关于推进实施钢铁行业超低排放的意见》（环大气〔2019〕35号）附件2排放限值</w:t>
            </w:r>
          </w:p>
        </w:tc>
      </w:tr>
      <w:tr w14:paraId="67489A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1" w:type="pct"/>
            <w:vMerge w:val="continue"/>
            <w:vAlign w:val="center"/>
          </w:tcPr>
          <w:p w14:paraId="078C4B18">
            <w:pPr>
              <w:pStyle w:val="41"/>
            </w:pPr>
          </w:p>
        </w:tc>
        <w:tc>
          <w:tcPr>
            <w:tcW w:w="1172" w:type="pct"/>
            <w:vAlign w:val="center"/>
          </w:tcPr>
          <w:p w14:paraId="2C29808E">
            <w:pPr>
              <w:pStyle w:val="41"/>
            </w:pPr>
            <w:r>
              <w:t>SO</w:t>
            </w:r>
            <w:r>
              <w:rPr>
                <w:vertAlign w:val="subscript"/>
              </w:rPr>
              <w:t>2</w:t>
            </w:r>
          </w:p>
        </w:tc>
        <w:tc>
          <w:tcPr>
            <w:tcW w:w="678" w:type="pct"/>
            <w:vAlign w:val="center"/>
          </w:tcPr>
          <w:p w14:paraId="4F35A133">
            <w:pPr>
              <w:pStyle w:val="41"/>
            </w:pPr>
            <w:r>
              <w:t>mg/m</w:t>
            </w:r>
            <w:r>
              <w:rPr>
                <w:vertAlign w:val="superscript"/>
              </w:rPr>
              <w:t>3</w:t>
            </w:r>
          </w:p>
        </w:tc>
        <w:tc>
          <w:tcPr>
            <w:tcW w:w="473" w:type="pct"/>
            <w:vAlign w:val="center"/>
          </w:tcPr>
          <w:p w14:paraId="577604A8">
            <w:pPr>
              <w:pStyle w:val="41"/>
            </w:pPr>
            <w:r>
              <w:t>35</w:t>
            </w:r>
          </w:p>
        </w:tc>
        <w:tc>
          <w:tcPr>
            <w:tcW w:w="1576" w:type="pct"/>
            <w:vMerge w:val="continue"/>
            <w:vAlign w:val="center"/>
          </w:tcPr>
          <w:p w14:paraId="659D86C8">
            <w:pPr>
              <w:pStyle w:val="41"/>
            </w:pPr>
          </w:p>
        </w:tc>
      </w:tr>
      <w:tr w14:paraId="0E0279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1" w:type="pct"/>
            <w:vMerge w:val="continue"/>
            <w:vAlign w:val="center"/>
          </w:tcPr>
          <w:p w14:paraId="674D6D94">
            <w:pPr>
              <w:pStyle w:val="41"/>
            </w:pPr>
          </w:p>
        </w:tc>
        <w:tc>
          <w:tcPr>
            <w:tcW w:w="1172" w:type="pct"/>
            <w:vAlign w:val="center"/>
          </w:tcPr>
          <w:p w14:paraId="2071AA33">
            <w:pPr>
              <w:pStyle w:val="41"/>
            </w:pPr>
            <w:r>
              <w:t>NO</w:t>
            </w:r>
            <w:r>
              <w:rPr>
                <w:vertAlign w:val="subscript"/>
              </w:rPr>
              <w:t>X</w:t>
            </w:r>
            <w:r>
              <w:t>（以NO</w:t>
            </w:r>
            <w:r>
              <w:rPr>
                <w:vertAlign w:val="subscript"/>
              </w:rPr>
              <w:t>2</w:t>
            </w:r>
            <w:r>
              <w:t>计）</w:t>
            </w:r>
          </w:p>
        </w:tc>
        <w:tc>
          <w:tcPr>
            <w:tcW w:w="678" w:type="pct"/>
            <w:vAlign w:val="center"/>
          </w:tcPr>
          <w:p w14:paraId="439B1B6D">
            <w:pPr>
              <w:pStyle w:val="41"/>
            </w:pPr>
            <w:r>
              <w:t>mg/m</w:t>
            </w:r>
            <w:r>
              <w:rPr>
                <w:vertAlign w:val="superscript"/>
              </w:rPr>
              <w:t>3</w:t>
            </w:r>
          </w:p>
        </w:tc>
        <w:tc>
          <w:tcPr>
            <w:tcW w:w="473" w:type="pct"/>
            <w:vAlign w:val="center"/>
          </w:tcPr>
          <w:p w14:paraId="30780794">
            <w:pPr>
              <w:pStyle w:val="41"/>
            </w:pPr>
            <w:r>
              <w:t>50</w:t>
            </w:r>
          </w:p>
        </w:tc>
        <w:tc>
          <w:tcPr>
            <w:tcW w:w="1576" w:type="pct"/>
            <w:vMerge w:val="continue"/>
            <w:vAlign w:val="center"/>
          </w:tcPr>
          <w:p w14:paraId="07C79096">
            <w:pPr>
              <w:pStyle w:val="41"/>
            </w:pPr>
          </w:p>
        </w:tc>
      </w:tr>
      <w:tr w14:paraId="4965CC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1" w:type="pct"/>
            <w:vMerge w:val="continue"/>
            <w:vAlign w:val="center"/>
          </w:tcPr>
          <w:p w14:paraId="0FFAEC87">
            <w:pPr>
              <w:pStyle w:val="41"/>
            </w:pPr>
          </w:p>
        </w:tc>
        <w:tc>
          <w:tcPr>
            <w:tcW w:w="1172" w:type="pct"/>
            <w:vAlign w:val="center"/>
          </w:tcPr>
          <w:p w14:paraId="2850BB28">
            <w:pPr>
              <w:pStyle w:val="41"/>
            </w:pPr>
            <w:r>
              <w:t>氟化物（以F计）</w:t>
            </w:r>
          </w:p>
        </w:tc>
        <w:tc>
          <w:tcPr>
            <w:tcW w:w="678" w:type="pct"/>
            <w:vAlign w:val="center"/>
          </w:tcPr>
          <w:p w14:paraId="3C28A547">
            <w:pPr>
              <w:pStyle w:val="41"/>
            </w:pPr>
            <w:r>
              <w:t>mg/m</w:t>
            </w:r>
            <w:r>
              <w:rPr>
                <w:vertAlign w:val="superscript"/>
              </w:rPr>
              <w:t>3</w:t>
            </w:r>
          </w:p>
        </w:tc>
        <w:tc>
          <w:tcPr>
            <w:tcW w:w="473" w:type="pct"/>
            <w:vAlign w:val="center"/>
          </w:tcPr>
          <w:p w14:paraId="7E597406">
            <w:pPr>
              <w:pStyle w:val="41"/>
            </w:pPr>
            <w:r>
              <w:t>4.0</w:t>
            </w:r>
          </w:p>
        </w:tc>
        <w:tc>
          <w:tcPr>
            <w:tcW w:w="1576" w:type="pct"/>
            <w:vMerge w:val="restart"/>
            <w:vAlign w:val="center"/>
          </w:tcPr>
          <w:p w14:paraId="48C50536">
            <w:pPr>
              <w:pStyle w:val="41"/>
            </w:pPr>
            <w:r>
              <w:t>《钢铁烧结、球团工业大气污染物排放标准》（GB28662-2012）及修改单中表3大气污染物特别排放限值</w:t>
            </w:r>
          </w:p>
        </w:tc>
      </w:tr>
      <w:tr w14:paraId="3E3E2A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1" w:type="pct"/>
            <w:vMerge w:val="continue"/>
            <w:vAlign w:val="center"/>
          </w:tcPr>
          <w:p w14:paraId="615D431A">
            <w:pPr>
              <w:pStyle w:val="41"/>
            </w:pPr>
          </w:p>
        </w:tc>
        <w:tc>
          <w:tcPr>
            <w:tcW w:w="1172" w:type="pct"/>
            <w:vAlign w:val="center"/>
          </w:tcPr>
          <w:p w14:paraId="51E4354E">
            <w:pPr>
              <w:pStyle w:val="41"/>
            </w:pPr>
            <w:r>
              <w:t>二噁英类</w:t>
            </w:r>
          </w:p>
        </w:tc>
        <w:tc>
          <w:tcPr>
            <w:tcW w:w="678" w:type="pct"/>
            <w:vAlign w:val="center"/>
          </w:tcPr>
          <w:p w14:paraId="3ADDCAA7">
            <w:pPr>
              <w:pStyle w:val="41"/>
            </w:pPr>
            <w:r>
              <w:t>ngTEQ/m</w:t>
            </w:r>
            <w:r>
              <w:rPr>
                <w:vertAlign w:val="superscript"/>
              </w:rPr>
              <w:t>3</w:t>
            </w:r>
          </w:p>
        </w:tc>
        <w:tc>
          <w:tcPr>
            <w:tcW w:w="473" w:type="pct"/>
            <w:vAlign w:val="center"/>
          </w:tcPr>
          <w:p w14:paraId="69B42FEC">
            <w:pPr>
              <w:pStyle w:val="41"/>
            </w:pPr>
            <w:r>
              <w:t>0.5</w:t>
            </w:r>
          </w:p>
        </w:tc>
        <w:tc>
          <w:tcPr>
            <w:tcW w:w="1576" w:type="pct"/>
            <w:vMerge w:val="continue"/>
            <w:vAlign w:val="center"/>
          </w:tcPr>
          <w:p w14:paraId="409F66F9">
            <w:pPr>
              <w:pStyle w:val="41"/>
            </w:pPr>
          </w:p>
        </w:tc>
      </w:tr>
      <w:tr w14:paraId="4705FA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1" w:type="pct"/>
            <w:vAlign w:val="center"/>
          </w:tcPr>
          <w:p w14:paraId="71E065DA">
            <w:pPr>
              <w:pStyle w:val="41"/>
            </w:pPr>
            <w:r>
              <w:t>有组织废气（烧结机尾布袋除尘器排口）</w:t>
            </w:r>
          </w:p>
        </w:tc>
        <w:tc>
          <w:tcPr>
            <w:tcW w:w="1172" w:type="pct"/>
            <w:vAlign w:val="center"/>
          </w:tcPr>
          <w:p w14:paraId="48B04552">
            <w:pPr>
              <w:pStyle w:val="41"/>
            </w:pPr>
            <w:r>
              <w:t>颗粒物</w:t>
            </w:r>
          </w:p>
        </w:tc>
        <w:tc>
          <w:tcPr>
            <w:tcW w:w="678" w:type="pct"/>
            <w:vAlign w:val="center"/>
          </w:tcPr>
          <w:p w14:paraId="2D602EA3">
            <w:pPr>
              <w:pStyle w:val="41"/>
            </w:pPr>
            <w:r>
              <w:t>mg/m</w:t>
            </w:r>
            <w:r>
              <w:rPr>
                <w:vertAlign w:val="superscript"/>
              </w:rPr>
              <w:t>3</w:t>
            </w:r>
          </w:p>
        </w:tc>
        <w:tc>
          <w:tcPr>
            <w:tcW w:w="473" w:type="pct"/>
            <w:vAlign w:val="center"/>
          </w:tcPr>
          <w:p w14:paraId="5DE9E081">
            <w:pPr>
              <w:pStyle w:val="41"/>
            </w:pPr>
            <w:r>
              <w:t>10</w:t>
            </w:r>
          </w:p>
        </w:tc>
        <w:tc>
          <w:tcPr>
            <w:tcW w:w="1576" w:type="pct"/>
            <w:vAlign w:val="center"/>
          </w:tcPr>
          <w:p w14:paraId="7056A507">
            <w:pPr>
              <w:pStyle w:val="41"/>
            </w:pPr>
            <w:r>
              <w:t>《关于推进实施钢铁行业超低排放的意见》（环大气〔2019〕35号）附件2排放限值</w:t>
            </w:r>
          </w:p>
        </w:tc>
      </w:tr>
      <w:tr w14:paraId="5552B9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1" w:type="pct"/>
            <w:vAlign w:val="center"/>
          </w:tcPr>
          <w:p w14:paraId="4B68BF9F">
            <w:pPr>
              <w:pStyle w:val="41"/>
            </w:pPr>
            <w:r>
              <w:t>有组织废气（配料站、冶炼车间）</w:t>
            </w:r>
          </w:p>
        </w:tc>
        <w:tc>
          <w:tcPr>
            <w:tcW w:w="1172" w:type="pct"/>
            <w:vAlign w:val="center"/>
          </w:tcPr>
          <w:p w14:paraId="0C8C018B">
            <w:pPr>
              <w:pStyle w:val="41"/>
            </w:pPr>
            <w:r>
              <w:t>颗粒物</w:t>
            </w:r>
          </w:p>
        </w:tc>
        <w:tc>
          <w:tcPr>
            <w:tcW w:w="678" w:type="pct"/>
            <w:vAlign w:val="center"/>
          </w:tcPr>
          <w:p w14:paraId="7223EF9C">
            <w:pPr>
              <w:pStyle w:val="41"/>
            </w:pPr>
            <w:r>
              <w:t>mg/m</w:t>
            </w:r>
            <w:r>
              <w:rPr>
                <w:vertAlign w:val="superscript"/>
              </w:rPr>
              <w:t>3</w:t>
            </w:r>
          </w:p>
        </w:tc>
        <w:tc>
          <w:tcPr>
            <w:tcW w:w="473" w:type="pct"/>
            <w:vAlign w:val="center"/>
          </w:tcPr>
          <w:p w14:paraId="67AC23C3">
            <w:pPr>
              <w:pStyle w:val="41"/>
            </w:pPr>
            <w:r>
              <w:t>20</w:t>
            </w:r>
          </w:p>
        </w:tc>
        <w:tc>
          <w:tcPr>
            <w:tcW w:w="1576" w:type="pct"/>
            <w:vAlign w:val="center"/>
          </w:tcPr>
          <w:p w14:paraId="51E4E5DA">
            <w:pPr>
              <w:pStyle w:val="41"/>
            </w:pPr>
            <w:r>
              <w:t>《铁合金工业污染物排放标准》（GB28666-2012）及修改单中表6大气污染物特别排放限值</w:t>
            </w:r>
          </w:p>
        </w:tc>
      </w:tr>
      <w:tr w14:paraId="1FF765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01" w:type="pct"/>
            <w:vAlign w:val="center"/>
          </w:tcPr>
          <w:p w14:paraId="6199E361">
            <w:pPr>
              <w:pStyle w:val="41"/>
            </w:pPr>
            <w:r>
              <w:t>厂界无组织</w:t>
            </w:r>
          </w:p>
        </w:tc>
        <w:tc>
          <w:tcPr>
            <w:tcW w:w="1172" w:type="pct"/>
            <w:vAlign w:val="center"/>
          </w:tcPr>
          <w:p w14:paraId="67B4E83D">
            <w:pPr>
              <w:pStyle w:val="41"/>
            </w:pPr>
            <w:r>
              <w:t>颗粒物</w:t>
            </w:r>
          </w:p>
        </w:tc>
        <w:tc>
          <w:tcPr>
            <w:tcW w:w="678" w:type="pct"/>
            <w:vAlign w:val="center"/>
          </w:tcPr>
          <w:p w14:paraId="223E4A7F">
            <w:pPr>
              <w:pStyle w:val="41"/>
            </w:pPr>
            <w:r>
              <w:t>mg/m</w:t>
            </w:r>
            <w:r>
              <w:rPr>
                <w:vertAlign w:val="superscript"/>
              </w:rPr>
              <w:t>3</w:t>
            </w:r>
          </w:p>
        </w:tc>
        <w:tc>
          <w:tcPr>
            <w:tcW w:w="473" w:type="pct"/>
            <w:vAlign w:val="center"/>
          </w:tcPr>
          <w:p w14:paraId="4ABCB7E9">
            <w:pPr>
              <w:pStyle w:val="41"/>
            </w:pPr>
            <w:r>
              <w:t>1.0</w:t>
            </w:r>
          </w:p>
        </w:tc>
        <w:tc>
          <w:tcPr>
            <w:tcW w:w="1576" w:type="pct"/>
            <w:vAlign w:val="center"/>
          </w:tcPr>
          <w:p w14:paraId="44E85450">
            <w:pPr>
              <w:pStyle w:val="41"/>
            </w:pPr>
            <w:r>
              <w:t>《铁合金工业污染物排放标准》（GB28666-2012）及修改单表7</w:t>
            </w:r>
          </w:p>
        </w:tc>
      </w:tr>
    </w:tbl>
    <w:p w14:paraId="7107EED6">
      <w:pPr>
        <w:pStyle w:val="49"/>
      </w:pPr>
      <w:r>
        <w:t>（2）废水</w:t>
      </w:r>
    </w:p>
    <w:p w14:paraId="58627164">
      <w:pPr>
        <w:pStyle w:val="49"/>
      </w:pPr>
      <w:r>
        <w:t>项目水淬渣冷却水及冶炼车间冷却水执行《铁合金工业污染物排放标准》（GB28666-2012）中表3水污染物特别排放限值，冷却水循环使用，不外排；生活污水执行《污水综合排放标准》（GB8978-1996）表4中三级标准。</w:t>
      </w:r>
    </w:p>
    <w:p w14:paraId="53A4E7A9">
      <w:pPr>
        <w:pStyle w:val="40"/>
        <w:spacing w:before="156"/>
      </w:pPr>
      <w:r>
        <w:t>表2.3-9    水污染物排放标准</w:t>
      </w:r>
    </w:p>
    <w:tbl>
      <w:tblPr>
        <w:tblStyle w:val="28"/>
        <w:tblW w:w="497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4"/>
        <w:gridCol w:w="2218"/>
        <w:gridCol w:w="1725"/>
        <w:gridCol w:w="1123"/>
        <w:gridCol w:w="2658"/>
      </w:tblGrid>
      <w:tr w14:paraId="750080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445" w:type="pct"/>
            <w:vAlign w:val="center"/>
          </w:tcPr>
          <w:p w14:paraId="78583288">
            <w:pPr>
              <w:pStyle w:val="41"/>
            </w:pPr>
            <w:r>
              <w:t>类别</w:t>
            </w:r>
          </w:p>
        </w:tc>
        <w:tc>
          <w:tcPr>
            <w:tcW w:w="1308" w:type="pct"/>
            <w:vAlign w:val="center"/>
          </w:tcPr>
          <w:p w14:paraId="6A977A13">
            <w:pPr>
              <w:pStyle w:val="41"/>
            </w:pPr>
            <w:r>
              <w:t>污染物</w:t>
            </w:r>
          </w:p>
        </w:tc>
        <w:tc>
          <w:tcPr>
            <w:tcW w:w="1017" w:type="pct"/>
            <w:vAlign w:val="center"/>
          </w:tcPr>
          <w:p w14:paraId="50330FAE">
            <w:pPr>
              <w:pStyle w:val="41"/>
            </w:pPr>
            <w:r>
              <w:t>单位</w:t>
            </w:r>
          </w:p>
        </w:tc>
        <w:tc>
          <w:tcPr>
            <w:tcW w:w="662" w:type="pct"/>
            <w:vAlign w:val="center"/>
          </w:tcPr>
          <w:p w14:paraId="51ED6BD0">
            <w:pPr>
              <w:pStyle w:val="41"/>
            </w:pPr>
            <w:r>
              <w:t>限值</w:t>
            </w:r>
          </w:p>
        </w:tc>
        <w:tc>
          <w:tcPr>
            <w:tcW w:w="1567" w:type="pct"/>
            <w:vAlign w:val="center"/>
          </w:tcPr>
          <w:p w14:paraId="1C4DF018">
            <w:pPr>
              <w:pStyle w:val="41"/>
            </w:pPr>
            <w:r>
              <w:t>标准来源</w:t>
            </w:r>
          </w:p>
        </w:tc>
      </w:tr>
      <w:tr w14:paraId="2C7DEA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5" w:type="pct"/>
            <w:vMerge w:val="restart"/>
            <w:vAlign w:val="center"/>
          </w:tcPr>
          <w:p w14:paraId="2F5E73B1">
            <w:pPr>
              <w:pStyle w:val="41"/>
            </w:pPr>
            <w:r>
              <w:t>工业废水</w:t>
            </w:r>
          </w:p>
        </w:tc>
        <w:tc>
          <w:tcPr>
            <w:tcW w:w="1308" w:type="pct"/>
            <w:vAlign w:val="center"/>
          </w:tcPr>
          <w:p w14:paraId="55890951">
            <w:pPr>
              <w:pStyle w:val="41"/>
            </w:pPr>
            <w:r>
              <w:t>pH</w:t>
            </w:r>
          </w:p>
        </w:tc>
        <w:tc>
          <w:tcPr>
            <w:tcW w:w="1017" w:type="pct"/>
            <w:vAlign w:val="center"/>
          </w:tcPr>
          <w:p w14:paraId="0537553A">
            <w:pPr>
              <w:pStyle w:val="41"/>
            </w:pPr>
            <w:r>
              <w:t>/</w:t>
            </w:r>
          </w:p>
        </w:tc>
        <w:tc>
          <w:tcPr>
            <w:tcW w:w="662" w:type="pct"/>
            <w:vAlign w:val="center"/>
          </w:tcPr>
          <w:p w14:paraId="36CD3BA8">
            <w:pPr>
              <w:pStyle w:val="41"/>
            </w:pPr>
            <w:r>
              <w:t>6～9</w:t>
            </w:r>
          </w:p>
        </w:tc>
        <w:tc>
          <w:tcPr>
            <w:tcW w:w="1567" w:type="pct"/>
            <w:vMerge w:val="restart"/>
            <w:vAlign w:val="center"/>
          </w:tcPr>
          <w:p w14:paraId="7A766E99">
            <w:pPr>
              <w:pStyle w:val="41"/>
            </w:pPr>
            <w:r>
              <w:t>《铁合金工业污染物排放标准》（GB28666-2012）中表3水污染物特别排放限值</w:t>
            </w:r>
          </w:p>
        </w:tc>
      </w:tr>
      <w:tr w14:paraId="71FD67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5" w:type="pct"/>
            <w:vMerge w:val="continue"/>
            <w:vAlign w:val="center"/>
          </w:tcPr>
          <w:p w14:paraId="758F9CA4">
            <w:pPr>
              <w:pStyle w:val="41"/>
            </w:pPr>
          </w:p>
        </w:tc>
        <w:tc>
          <w:tcPr>
            <w:tcW w:w="1308" w:type="pct"/>
            <w:vAlign w:val="center"/>
          </w:tcPr>
          <w:p w14:paraId="21793D29">
            <w:pPr>
              <w:pStyle w:val="41"/>
            </w:pPr>
            <w:r>
              <w:t>六价铬</w:t>
            </w:r>
          </w:p>
        </w:tc>
        <w:tc>
          <w:tcPr>
            <w:tcW w:w="1017" w:type="pct"/>
            <w:vAlign w:val="center"/>
          </w:tcPr>
          <w:p w14:paraId="432C11DB">
            <w:pPr>
              <w:pStyle w:val="41"/>
            </w:pPr>
            <w:r>
              <w:t>mg/L</w:t>
            </w:r>
          </w:p>
        </w:tc>
        <w:tc>
          <w:tcPr>
            <w:tcW w:w="662" w:type="pct"/>
            <w:vAlign w:val="center"/>
          </w:tcPr>
          <w:p w14:paraId="0CB5CEBC">
            <w:pPr>
              <w:pStyle w:val="41"/>
            </w:pPr>
            <w:r>
              <w:t>0.5</w:t>
            </w:r>
          </w:p>
        </w:tc>
        <w:tc>
          <w:tcPr>
            <w:tcW w:w="1567" w:type="pct"/>
            <w:vMerge w:val="continue"/>
            <w:vAlign w:val="center"/>
          </w:tcPr>
          <w:p w14:paraId="35C8C369">
            <w:pPr>
              <w:pStyle w:val="41"/>
            </w:pPr>
          </w:p>
        </w:tc>
      </w:tr>
      <w:tr w14:paraId="3044F8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5" w:type="pct"/>
            <w:vMerge w:val="continue"/>
            <w:vAlign w:val="center"/>
          </w:tcPr>
          <w:p w14:paraId="2167BB70">
            <w:pPr>
              <w:pStyle w:val="41"/>
            </w:pPr>
          </w:p>
        </w:tc>
        <w:tc>
          <w:tcPr>
            <w:tcW w:w="1308" w:type="pct"/>
            <w:vAlign w:val="center"/>
          </w:tcPr>
          <w:p w14:paraId="238E7D73">
            <w:pPr>
              <w:pStyle w:val="41"/>
            </w:pPr>
            <w:r>
              <w:t>总铬</w:t>
            </w:r>
          </w:p>
        </w:tc>
        <w:tc>
          <w:tcPr>
            <w:tcW w:w="1017" w:type="pct"/>
            <w:vAlign w:val="center"/>
          </w:tcPr>
          <w:p w14:paraId="2C6F5C60">
            <w:pPr>
              <w:pStyle w:val="41"/>
            </w:pPr>
            <w:r>
              <w:t>mg/L</w:t>
            </w:r>
          </w:p>
        </w:tc>
        <w:tc>
          <w:tcPr>
            <w:tcW w:w="662" w:type="pct"/>
            <w:vAlign w:val="center"/>
          </w:tcPr>
          <w:p w14:paraId="4737A02C">
            <w:pPr>
              <w:pStyle w:val="41"/>
            </w:pPr>
            <w:r>
              <w:t>1.0</w:t>
            </w:r>
          </w:p>
        </w:tc>
        <w:tc>
          <w:tcPr>
            <w:tcW w:w="1567" w:type="pct"/>
            <w:vMerge w:val="continue"/>
            <w:vAlign w:val="center"/>
          </w:tcPr>
          <w:p w14:paraId="3C0894E5">
            <w:pPr>
              <w:pStyle w:val="41"/>
            </w:pPr>
          </w:p>
        </w:tc>
      </w:tr>
      <w:tr w14:paraId="25A6F2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5" w:type="pct"/>
            <w:vMerge w:val="continue"/>
            <w:vAlign w:val="center"/>
          </w:tcPr>
          <w:p w14:paraId="60EBC80F">
            <w:pPr>
              <w:pStyle w:val="41"/>
            </w:pPr>
          </w:p>
        </w:tc>
        <w:tc>
          <w:tcPr>
            <w:tcW w:w="1308" w:type="pct"/>
            <w:vAlign w:val="center"/>
          </w:tcPr>
          <w:p w14:paraId="5066C509">
            <w:pPr>
              <w:pStyle w:val="41"/>
            </w:pPr>
            <w:r>
              <w:t>单位产品基准排水量</w:t>
            </w:r>
          </w:p>
        </w:tc>
        <w:tc>
          <w:tcPr>
            <w:tcW w:w="1017" w:type="pct"/>
            <w:vAlign w:val="center"/>
          </w:tcPr>
          <w:p w14:paraId="11A1BF17">
            <w:pPr>
              <w:pStyle w:val="41"/>
            </w:pPr>
            <w:r>
              <w:t>m³/t</w:t>
            </w:r>
          </w:p>
        </w:tc>
        <w:tc>
          <w:tcPr>
            <w:tcW w:w="662" w:type="pct"/>
            <w:vAlign w:val="center"/>
          </w:tcPr>
          <w:p w14:paraId="052CA083">
            <w:pPr>
              <w:pStyle w:val="41"/>
            </w:pPr>
            <w:r>
              <w:t>2.5</w:t>
            </w:r>
          </w:p>
        </w:tc>
        <w:tc>
          <w:tcPr>
            <w:tcW w:w="1567" w:type="pct"/>
            <w:vMerge w:val="continue"/>
            <w:vAlign w:val="center"/>
          </w:tcPr>
          <w:p w14:paraId="1C167C30">
            <w:pPr>
              <w:pStyle w:val="41"/>
            </w:pPr>
          </w:p>
        </w:tc>
      </w:tr>
      <w:tr w14:paraId="0EC606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5" w:type="pct"/>
            <w:vMerge w:val="restart"/>
            <w:vAlign w:val="center"/>
          </w:tcPr>
          <w:p w14:paraId="10B44FD6">
            <w:pPr>
              <w:pStyle w:val="41"/>
            </w:pPr>
            <w:r>
              <w:t>生活污水</w:t>
            </w:r>
          </w:p>
        </w:tc>
        <w:tc>
          <w:tcPr>
            <w:tcW w:w="1308" w:type="pct"/>
            <w:vAlign w:val="center"/>
          </w:tcPr>
          <w:p w14:paraId="70679031">
            <w:pPr>
              <w:pStyle w:val="41"/>
            </w:pPr>
            <w:r>
              <w:t>pH</w:t>
            </w:r>
          </w:p>
        </w:tc>
        <w:tc>
          <w:tcPr>
            <w:tcW w:w="1017" w:type="pct"/>
            <w:vAlign w:val="center"/>
          </w:tcPr>
          <w:p w14:paraId="5013A4A1">
            <w:pPr>
              <w:pStyle w:val="41"/>
            </w:pPr>
            <w:r>
              <w:t>无量纲</w:t>
            </w:r>
          </w:p>
        </w:tc>
        <w:tc>
          <w:tcPr>
            <w:tcW w:w="662" w:type="pct"/>
            <w:vAlign w:val="center"/>
          </w:tcPr>
          <w:p w14:paraId="1C9FA602">
            <w:pPr>
              <w:pStyle w:val="41"/>
            </w:pPr>
            <w:r>
              <w:t>6~9</w:t>
            </w:r>
          </w:p>
        </w:tc>
        <w:tc>
          <w:tcPr>
            <w:tcW w:w="1567" w:type="pct"/>
            <w:vMerge w:val="restart"/>
            <w:vAlign w:val="center"/>
          </w:tcPr>
          <w:p w14:paraId="33B05552">
            <w:pPr>
              <w:pStyle w:val="41"/>
            </w:pPr>
            <w:r>
              <w:t>《污水综合排放标准》（GB8978-1996）表4中三级标准</w:t>
            </w:r>
          </w:p>
        </w:tc>
      </w:tr>
      <w:tr w14:paraId="485CAF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5" w:type="pct"/>
            <w:vMerge w:val="continue"/>
            <w:vAlign w:val="center"/>
          </w:tcPr>
          <w:p w14:paraId="5DEBA350">
            <w:pPr>
              <w:pStyle w:val="41"/>
            </w:pPr>
          </w:p>
        </w:tc>
        <w:tc>
          <w:tcPr>
            <w:tcW w:w="1308" w:type="pct"/>
            <w:vAlign w:val="center"/>
          </w:tcPr>
          <w:p w14:paraId="33E525E1">
            <w:pPr>
              <w:pStyle w:val="41"/>
            </w:pPr>
            <w:r>
              <w:t>COD</w:t>
            </w:r>
          </w:p>
        </w:tc>
        <w:tc>
          <w:tcPr>
            <w:tcW w:w="1017" w:type="pct"/>
          </w:tcPr>
          <w:p w14:paraId="78EAFF34">
            <w:pPr>
              <w:pStyle w:val="41"/>
            </w:pPr>
            <w:r>
              <w:t>mg/L</w:t>
            </w:r>
          </w:p>
        </w:tc>
        <w:tc>
          <w:tcPr>
            <w:tcW w:w="662" w:type="pct"/>
            <w:vAlign w:val="center"/>
          </w:tcPr>
          <w:p w14:paraId="6A4D5F41">
            <w:pPr>
              <w:pStyle w:val="41"/>
            </w:pPr>
            <w:r>
              <w:t>500</w:t>
            </w:r>
          </w:p>
        </w:tc>
        <w:tc>
          <w:tcPr>
            <w:tcW w:w="1567" w:type="pct"/>
            <w:vMerge w:val="continue"/>
            <w:vAlign w:val="center"/>
          </w:tcPr>
          <w:p w14:paraId="354C3A13">
            <w:pPr>
              <w:pStyle w:val="41"/>
            </w:pPr>
          </w:p>
        </w:tc>
      </w:tr>
      <w:tr w14:paraId="42A1AA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5" w:type="pct"/>
            <w:vMerge w:val="continue"/>
            <w:vAlign w:val="center"/>
          </w:tcPr>
          <w:p w14:paraId="26BB83D0">
            <w:pPr>
              <w:pStyle w:val="41"/>
            </w:pPr>
          </w:p>
        </w:tc>
        <w:tc>
          <w:tcPr>
            <w:tcW w:w="1308" w:type="pct"/>
            <w:vAlign w:val="center"/>
          </w:tcPr>
          <w:p w14:paraId="02BC9570">
            <w:pPr>
              <w:pStyle w:val="41"/>
            </w:pPr>
            <w:r>
              <w:t>BOD</w:t>
            </w:r>
            <w:r>
              <w:rPr>
                <w:vertAlign w:val="subscript"/>
              </w:rPr>
              <w:t>5</w:t>
            </w:r>
          </w:p>
        </w:tc>
        <w:tc>
          <w:tcPr>
            <w:tcW w:w="1017" w:type="pct"/>
          </w:tcPr>
          <w:p w14:paraId="17BD991F">
            <w:pPr>
              <w:pStyle w:val="41"/>
            </w:pPr>
            <w:r>
              <w:t>mg/L</w:t>
            </w:r>
          </w:p>
        </w:tc>
        <w:tc>
          <w:tcPr>
            <w:tcW w:w="662" w:type="pct"/>
            <w:vAlign w:val="center"/>
          </w:tcPr>
          <w:p w14:paraId="5FA7ECEA">
            <w:pPr>
              <w:pStyle w:val="41"/>
            </w:pPr>
            <w:r>
              <w:t>300</w:t>
            </w:r>
          </w:p>
        </w:tc>
        <w:tc>
          <w:tcPr>
            <w:tcW w:w="1567" w:type="pct"/>
            <w:vMerge w:val="continue"/>
            <w:vAlign w:val="center"/>
          </w:tcPr>
          <w:p w14:paraId="4838B5C2">
            <w:pPr>
              <w:pStyle w:val="41"/>
            </w:pPr>
          </w:p>
        </w:tc>
      </w:tr>
      <w:tr w14:paraId="48C23F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5" w:type="pct"/>
            <w:vMerge w:val="continue"/>
            <w:vAlign w:val="center"/>
          </w:tcPr>
          <w:p w14:paraId="4F21127E">
            <w:pPr>
              <w:pStyle w:val="41"/>
            </w:pPr>
          </w:p>
        </w:tc>
        <w:tc>
          <w:tcPr>
            <w:tcW w:w="1308" w:type="pct"/>
            <w:vAlign w:val="center"/>
          </w:tcPr>
          <w:p w14:paraId="42CF5E30">
            <w:pPr>
              <w:pStyle w:val="41"/>
            </w:pPr>
            <w:r>
              <w:t>SS</w:t>
            </w:r>
          </w:p>
        </w:tc>
        <w:tc>
          <w:tcPr>
            <w:tcW w:w="1017" w:type="pct"/>
          </w:tcPr>
          <w:p w14:paraId="285D3F4A">
            <w:pPr>
              <w:pStyle w:val="41"/>
            </w:pPr>
            <w:r>
              <w:t>mg/L</w:t>
            </w:r>
          </w:p>
        </w:tc>
        <w:tc>
          <w:tcPr>
            <w:tcW w:w="662" w:type="pct"/>
            <w:vAlign w:val="center"/>
          </w:tcPr>
          <w:p w14:paraId="1C51CA49">
            <w:pPr>
              <w:pStyle w:val="41"/>
            </w:pPr>
            <w:r>
              <w:t>400</w:t>
            </w:r>
          </w:p>
        </w:tc>
        <w:tc>
          <w:tcPr>
            <w:tcW w:w="1567" w:type="pct"/>
            <w:vMerge w:val="continue"/>
            <w:vAlign w:val="center"/>
          </w:tcPr>
          <w:p w14:paraId="08CA022D">
            <w:pPr>
              <w:pStyle w:val="41"/>
            </w:pPr>
          </w:p>
        </w:tc>
      </w:tr>
    </w:tbl>
    <w:p w14:paraId="5F1A6CAA">
      <w:pPr>
        <w:pStyle w:val="49"/>
      </w:pPr>
      <w:r>
        <w:t>（3）噪声</w:t>
      </w:r>
    </w:p>
    <w:p w14:paraId="13C7973E">
      <w:pPr>
        <w:pStyle w:val="49"/>
      </w:pPr>
      <w:r>
        <w:t>项目厂界噪声执行《工业企业厂界环境噪声排放标准》（GB12348-2008）3类。</w:t>
      </w:r>
    </w:p>
    <w:p w14:paraId="6B01E50F">
      <w:pPr>
        <w:pStyle w:val="40"/>
        <w:spacing w:before="156"/>
      </w:pPr>
      <w:r>
        <w:t>表2.3-10    厂界噪声排放标准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74"/>
        <w:gridCol w:w="1515"/>
        <w:gridCol w:w="1516"/>
        <w:gridCol w:w="3914"/>
      </w:tblGrid>
      <w:tr w14:paraId="530FFD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24" w:type="pct"/>
            <w:vAlign w:val="center"/>
          </w:tcPr>
          <w:p w14:paraId="42BD71DA">
            <w:pPr>
              <w:pStyle w:val="41"/>
            </w:pPr>
            <w:r>
              <w:t>项目</w:t>
            </w:r>
          </w:p>
        </w:tc>
        <w:tc>
          <w:tcPr>
            <w:tcW w:w="889" w:type="pct"/>
            <w:vAlign w:val="center"/>
          </w:tcPr>
          <w:p w14:paraId="78C58658">
            <w:pPr>
              <w:pStyle w:val="41"/>
            </w:pPr>
            <w:r>
              <w:t>单位</w:t>
            </w:r>
          </w:p>
        </w:tc>
        <w:tc>
          <w:tcPr>
            <w:tcW w:w="890" w:type="pct"/>
            <w:vAlign w:val="center"/>
          </w:tcPr>
          <w:p w14:paraId="4CBFC91E">
            <w:pPr>
              <w:pStyle w:val="41"/>
            </w:pPr>
            <w:r>
              <w:t>限值</w:t>
            </w:r>
          </w:p>
        </w:tc>
        <w:tc>
          <w:tcPr>
            <w:tcW w:w="2297" w:type="pct"/>
            <w:vAlign w:val="center"/>
          </w:tcPr>
          <w:p w14:paraId="74935425">
            <w:pPr>
              <w:pStyle w:val="41"/>
            </w:pPr>
            <w:r>
              <w:t>标准来源</w:t>
            </w:r>
          </w:p>
        </w:tc>
      </w:tr>
      <w:tr w14:paraId="1C735A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24" w:type="pct"/>
            <w:vAlign w:val="center"/>
          </w:tcPr>
          <w:p w14:paraId="278BBD6A">
            <w:pPr>
              <w:pStyle w:val="41"/>
            </w:pPr>
            <w:r>
              <w:t>昼间</w:t>
            </w:r>
          </w:p>
        </w:tc>
        <w:tc>
          <w:tcPr>
            <w:tcW w:w="889" w:type="pct"/>
            <w:vAlign w:val="center"/>
          </w:tcPr>
          <w:p w14:paraId="36EE5E14">
            <w:pPr>
              <w:pStyle w:val="41"/>
            </w:pPr>
            <w:r>
              <w:t>dB（A）</w:t>
            </w:r>
          </w:p>
        </w:tc>
        <w:tc>
          <w:tcPr>
            <w:tcW w:w="890" w:type="pct"/>
            <w:vAlign w:val="center"/>
          </w:tcPr>
          <w:p w14:paraId="719C058C">
            <w:pPr>
              <w:pStyle w:val="41"/>
            </w:pPr>
            <w:r>
              <w:t>65</w:t>
            </w:r>
          </w:p>
        </w:tc>
        <w:tc>
          <w:tcPr>
            <w:tcW w:w="2297" w:type="pct"/>
            <w:vMerge w:val="restart"/>
            <w:vAlign w:val="center"/>
          </w:tcPr>
          <w:p w14:paraId="098DB55D">
            <w:pPr>
              <w:pStyle w:val="41"/>
            </w:pPr>
            <w:r>
              <w:t>《工业企业厂界环境噪声排放标准》（GB12348-2008）3类</w:t>
            </w:r>
          </w:p>
        </w:tc>
      </w:tr>
      <w:tr w14:paraId="673987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24" w:type="pct"/>
            <w:vAlign w:val="center"/>
          </w:tcPr>
          <w:p w14:paraId="106A4092">
            <w:pPr>
              <w:pStyle w:val="41"/>
            </w:pPr>
            <w:r>
              <w:t>夜间</w:t>
            </w:r>
          </w:p>
        </w:tc>
        <w:tc>
          <w:tcPr>
            <w:tcW w:w="889" w:type="pct"/>
            <w:vAlign w:val="center"/>
          </w:tcPr>
          <w:p w14:paraId="573BCA79">
            <w:pPr>
              <w:pStyle w:val="41"/>
            </w:pPr>
            <w:r>
              <w:t>dB（A）</w:t>
            </w:r>
          </w:p>
        </w:tc>
        <w:tc>
          <w:tcPr>
            <w:tcW w:w="890" w:type="pct"/>
            <w:vAlign w:val="center"/>
          </w:tcPr>
          <w:p w14:paraId="2BD36EF5">
            <w:pPr>
              <w:pStyle w:val="41"/>
            </w:pPr>
            <w:r>
              <w:t>55</w:t>
            </w:r>
          </w:p>
        </w:tc>
        <w:tc>
          <w:tcPr>
            <w:tcW w:w="2297" w:type="pct"/>
            <w:vMerge w:val="continue"/>
            <w:vAlign w:val="center"/>
          </w:tcPr>
          <w:p w14:paraId="69546F2A">
            <w:pPr>
              <w:pStyle w:val="41"/>
            </w:pPr>
          </w:p>
        </w:tc>
      </w:tr>
    </w:tbl>
    <w:p w14:paraId="24FD2F05">
      <w:pPr>
        <w:ind w:firstLine="480"/>
      </w:pPr>
      <w:bookmarkStart w:id="73" w:name="_Toc6097"/>
      <w:bookmarkStart w:id="74" w:name="_Toc20065"/>
      <w:r>
        <w:t>（4）固废</w:t>
      </w:r>
    </w:p>
    <w:p w14:paraId="20019DBF">
      <w:pPr>
        <w:ind w:firstLine="480"/>
      </w:pPr>
      <w:bookmarkStart w:id="75" w:name="_Hlk171873334"/>
      <w:r>
        <w:t>一般工业固体废物贮存、处置执行《一般工业固体废物贮存和填埋污染控制标准》（GB18599-2020）的有关规定；</w:t>
      </w:r>
    </w:p>
    <w:p w14:paraId="790D7470">
      <w:pPr>
        <w:ind w:firstLine="480"/>
      </w:pPr>
      <w:r>
        <w:t>危险废物临时贮存、运输、处置等执行《危险废物识别标志设置技术规范》（HJ1276-2022）、《危险废物贮存污染控制标准》（GB18597-2023）、《危险废物收集 贮存 运输技术规范》（HJ2025-2012）中的有关规定。</w:t>
      </w:r>
      <w:bookmarkEnd w:id="75"/>
    </w:p>
    <w:p w14:paraId="1438D48B">
      <w:pPr>
        <w:ind w:firstLine="480"/>
      </w:pPr>
      <w:r>
        <w:t>生活垃圾执行《生活垃圾填埋场污染控制标准》（GB16889-2024）。</w:t>
      </w:r>
    </w:p>
    <w:p w14:paraId="633E82AE">
      <w:pPr>
        <w:pStyle w:val="4"/>
      </w:pPr>
      <w:bookmarkStart w:id="76" w:name="_Toc207208376"/>
      <w:r>
        <w:t>评价工作等级和评价范围</w:t>
      </w:r>
      <w:bookmarkEnd w:id="73"/>
      <w:bookmarkEnd w:id="74"/>
      <w:bookmarkEnd w:id="76"/>
    </w:p>
    <w:p w14:paraId="7028312A">
      <w:pPr>
        <w:pStyle w:val="5"/>
        <w:spacing w:before="156"/>
      </w:pPr>
      <w:r>
        <w:t>评价工作等级</w:t>
      </w:r>
    </w:p>
    <w:p w14:paraId="50F2FDEF">
      <w:pPr>
        <w:pStyle w:val="6"/>
      </w:pPr>
      <w:r>
        <w:t>大气环境评价工作等级</w:t>
      </w:r>
    </w:p>
    <w:p w14:paraId="1504A666">
      <w:pPr>
        <w:pStyle w:val="49"/>
      </w:pPr>
      <w:r>
        <w:t>根据《环境影响评价技术导则 大气环境》（HJ2.2-2018），选择项目污染源正常排放的主要污染物及排放参数，采用附录A推荐模型中估算模型AERSCREEN分别计算项目各污染源的最大环境影响，计算其最大浓度点标率，然后按评价工作分级判据进行分级。</w:t>
      </w:r>
    </w:p>
    <w:p w14:paraId="6E705218">
      <w:pPr>
        <w:pStyle w:val="49"/>
      </w:pPr>
      <w:r>
        <w:t>最大地面空气质量浓度占标率Pi（第i个污染物，简称“最大浓度占标率”）定义见公式：</w:t>
      </w:r>
    </w:p>
    <w:p w14:paraId="660A6804">
      <w:pPr>
        <w:pStyle w:val="3"/>
        <w:ind w:firstLine="0" w:firstLineChars="0"/>
        <w:jc w:val="center"/>
        <w:rPr>
          <w:lang w:val="zh-CN"/>
        </w:rPr>
      </w:pPr>
      <w:r>
        <w:rPr>
          <w:lang w:val="zh-CN"/>
        </w:rPr>
        <w:object>
          <v:shape id="_x0000_i1025" o:spt="75" type="#_x0000_t75" style="height:33.75pt;width:78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p>
    <w:p w14:paraId="384540B0">
      <w:pPr>
        <w:pStyle w:val="49"/>
        <w:rPr>
          <w:lang w:val="zh-CN"/>
        </w:rPr>
      </w:pPr>
      <w:r>
        <w:rPr>
          <w:lang w:val="zh-CN"/>
        </w:rPr>
        <w:t>式中：</w:t>
      </w:r>
    </w:p>
    <w:p w14:paraId="53CF749B">
      <w:pPr>
        <w:pStyle w:val="49"/>
        <w:rPr>
          <w:lang w:val="zh-CN"/>
        </w:rPr>
      </w:pPr>
      <w:r>
        <w:rPr>
          <w:lang w:val="zh-CN"/>
        </w:rPr>
        <w:t>Pi——第i个污染物的最大地面空气质量浓度占标率，%；</w:t>
      </w:r>
    </w:p>
    <w:p w14:paraId="58B941E3">
      <w:pPr>
        <w:pStyle w:val="49"/>
        <w:rPr>
          <w:lang w:val="zh-CN"/>
        </w:rPr>
      </w:pPr>
      <w:r>
        <w:rPr>
          <w:lang w:val="zh-CN"/>
        </w:rPr>
        <w:t>Ci——采用估算模型计算出的第i个污染物的最大1h地面空气质量浓度，μg/m3；</w:t>
      </w:r>
    </w:p>
    <w:p w14:paraId="56218AAA">
      <w:pPr>
        <w:pStyle w:val="49"/>
        <w:rPr>
          <w:lang w:val="zh-CN"/>
        </w:rPr>
      </w:pPr>
      <w:r>
        <w:rPr>
          <w:lang w:val="zh-CN"/>
        </w:rPr>
        <w:t>Coi——第i个污染物的环境空气质量浓度标准，μg/m</w:t>
      </w:r>
      <w:r>
        <w:rPr>
          <w:vertAlign w:val="superscript"/>
          <w:lang w:val="zh-CN"/>
        </w:rPr>
        <w:t>3</w:t>
      </w:r>
      <w:r>
        <w:rPr>
          <w:lang w:val="zh-CN"/>
        </w:rPr>
        <w:t>。</w:t>
      </w:r>
      <w:bookmarkStart w:id="77" w:name="_Hlk85189340"/>
      <w:r>
        <w:rPr>
          <w:lang w:val="zh-CN"/>
        </w:rPr>
        <w:t>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bookmarkEnd w:id="77"/>
    </w:p>
    <w:p w14:paraId="5FD1767F">
      <w:pPr>
        <w:pStyle w:val="49"/>
        <w:rPr>
          <w:lang w:val="zh-CN"/>
        </w:rPr>
      </w:pPr>
      <w:r>
        <w:rPr>
          <w:lang w:val="zh-CN"/>
        </w:rPr>
        <w:t>评价级别判据</w:t>
      </w:r>
      <w:r>
        <w:t>如下</w:t>
      </w:r>
      <w:r>
        <w:rPr>
          <w:lang w:val="zh-CN"/>
        </w:rPr>
        <w:t>表。</w:t>
      </w:r>
    </w:p>
    <w:p w14:paraId="01BBBEB5">
      <w:pPr>
        <w:pStyle w:val="40"/>
        <w:spacing w:before="156"/>
      </w:pPr>
      <w:r>
        <w:t xml:space="preserve">表2.4-1    </w:t>
      </w:r>
      <w:bookmarkStart w:id="78" w:name="_Hlk85189363"/>
      <w:r>
        <w:t>评价等级判别表</w:t>
      </w:r>
      <w:bookmarkEnd w:id="78"/>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284"/>
        <w:gridCol w:w="5238"/>
      </w:tblGrid>
      <w:tr w14:paraId="47D00F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927" w:type="pct"/>
            <w:tcBorders>
              <w:tl2br w:val="nil"/>
              <w:tr2bl w:val="nil"/>
            </w:tcBorders>
            <w:vAlign w:val="center"/>
          </w:tcPr>
          <w:p w14:paraId="1A8FCDB1">
            <w:pPr>
              <w:pStyle w:val="41"/>
            </w:pPr>
            <w:r>
              <w:t>评价工作等级</w:t>
            </w:r>
          </w:p>
        </w:tc>
        <w:tc>
          <w:tcPr>
            <w:tcW w:w="3073" w:type="pct"/>
            <w:tcBorders>
              <w:tl2br w:val="nil"/>
              <w:tr2bl w:val="nil"/>
            </w:tcBorders>
            <w:vAlign w:val="center"/>
          </w:tcPr>
          <w:p w14:paraId="19D2D207">
            <w:pPr>
              <w:pStyle w:val="41"/>
            </w:pPr>
            <w:r>
              <w:t>评价工作分级判据</w:t>
            </w:r>
          </w:p>
        </w:tc>
      </w:tr>
      <w:tr w14:paraId="202953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27" w:type="pct"/>
            <w:tcBorders>
              <w:tl2br w:val="nil"/>
              <w:tr2bl w:val="nil"/>
            </w:tcBorders>
            <w:vAlign w:val="center"/>
          </w:tcPr>
          <w:p w14:paraId="13DDCAD4">
            <w:pPr>
              <w:pStyle w:val="41"/>
            </w:pPr>
            <w:r>
              <w:t>一级</w:t>
            </w:r>
          </w:p>
        </w:tc>
        <w:tc>
          <w:tcPr>
            <w:tcW w:w="3073" w:type="pct"/>
            <w:tcBorders>
              <w:tl2br w:val="nil"/>
              <w:tr2bl w:val="nil"/>
            </w:tcBorders>
            <w:vAlign w:val="center"/>
          </w:tcPr>
          <w:p w14:paraId="3EBAD279">
            <w:pPr>
              <w:pStyle w:val="41"/>
            </w:pPr>
            <w:r>
              <w:t>P</w:t>
            </w:r>
            <w:r>
              <w:rPr>
                <w:vertAlign w:val="subscript"/>
              </w:rPr>
              <w:t>max</w:t>
            </w:r>
            <w:r>
              <w:t>≥10%</w:t>
            </w:r>
          </w:p>
        </w:tc>
      </w:tr>
      <w:tr w14:paraId="1E4F5D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27" w:type="pct"/>
            <w:tcBorders>
              <w:tl2br w:val="nil"/>
              <w:tr2bl w:val="nil"/>
            </w:tcBorders>
            <w:vAlign w:val="center"/>
          </w:tcPr>
          <w:p w14:paraId="6C6CDD80">
            <w:pPr>
              <w:pStyle w:val="41"/>
            </w:pPr>
            <w:r>
              <w:t>二级</w:t>
            </w:r>
          </w:p>
        </w:tc>
        <w:tc>
          <w:tcPr>
            <w:tcW w:w="3073" w:type="pct"/>
            <w:tcBorders>
              <w:tl2br w:val="nil"/>
              <w:tr2bl w:val="nil"/>
            </w:tcBorders>
            <w:vAlign w:val="center"/>
          </w:tcPr>
          <w:p w14:paraId="277A6A5E">
            <w:pPr>
              <w:pStyle w:val="41"/>
            </w:pPr>
            <w:r>
              <w:t>1%≤P</w:t>
            </w:r>
            <w:r>
              <w:rPr>
                <w:vertAlign w:val="subscript"/>
              </w:rPr>
              <w:t>max</w:t>
            </w:r>
            <w:r>
              <w:t>&lt;10%</w:t>
            </w:r>
          </w:p>
        </w:tc>
      </w:tr>
      <w:tr w14:paraId="397005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27" w:type="pct"/>
            <w:tcBorders>
              <w:tl2br w:val="nil"/>
              <w:tr2bl w:val="nil"/>
            </w:tcBorders>
            <w:vAlign w:val="center"/>
          </w:tcPr>
          <w:p w14:paraId="65B5AC88">
            <w:pPr>
              <w:pStyle w:val="41"/>
            </w:pPr>
            <w:r>
              <w:t>三级</w:t>
            </w:r>
          </w:p>
        </w:tc>
        <w:tc>
          <w:tcPr>
            <w:tcW w:w="3073" w:type="pct"/>
            <w:tcBorders>
              <w:tl2br w:val="nil"/>
              <w:tr2bl w:val="nil"/>
            </w:tcBorders>
            <w:vAlign w:val="center"/>
          </w:tcPr>
          <w:p w14:paraId="05A8D7EB">
            <w:pPr>
              <w:pStyle w:val="41"/>
            </w:pPr>
            <w:r>
              <w:t>P</w:t>
            </w:r>
            <w:r>
              <w:rPr>
                <w:vertAlign w:val="subscript"/>
              </w:rPr>
              <w:t>max</w:t>
            </w:r>
            <w:r>
              <w:t>&lt;1%</w:t>
            </w:r>
          </w:p>
        </w:tc>
      </w:tr>
    </w:tbl>
    <w:p w14:paraId="198348AC">
      <w:pPr>
        <w:pStyle w:val="49"/>
      </w:pPr>
      <w:r>
        <w:t>（1）污染物最大地面浓度估算</w:t>
      </w:r>
    </w:p>
    <w:p w14:paraId="5C87A03C">
      <w:pPr>
        <w:pStyle w:val="49"/>
      </w:pPr>
      <w:bookmarkStart w:id="79" w:name="_Hlk172062734"/>
      <w:r>
        <w:t>采用《环境影响评价技术导则 大气环境》（HJ2.2-2018）附录A推荐模型中的估算模型，估算模式参数见下表。</w:t>
      </w:r>
    </w:p>
    <w:p w14:paraId="5A1B0F03">
      <w:pPr>
        <w:pStyle w:val="40"/>
        <w:spacing w:before="156"/>
      </w:pPr>
      <w:r>
        <w:t>表2.4-2    估算模式参数一览表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91"/>
        <w:gridCol w:w="2901"/>
        <w:gridCol w:w="2730"/>
      </w:tblGrid>
      <w:tr w14:paraId="6E8629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3398" w:type="pct"/>
            <w:gridSpan w:val="2"/>
            <w:tcBorders>
              <w:tl2br w:val="nil"/>
              <w:tr2bl w:val="nil"/>
            </w:tcBorders>
            <w:vAlign w:val="center"/>
          </w:tcPr>
          <w:p w14:paraId="5B1BD189">
            <w:pPr>
              <w:pStyle w:val="41"/>
            </w:pPr>
            <w:r>
              <w:t>参数</w:t>
            </w:r>
          </w:p>
        </w:tc>
        <w:tc>
          <w:tcPr>
            <w:tcW w:w="1602" w:type="pct"/>
            <w:tcBorders>
              <w:tl2br w:val="nil"/>
              <w:tr2bl w:val="nil"/>
            </w:tcBorders>
            <w:vAlign w:val="center"/>
          </w:tcPr>
          <w:p w14:paraId="554260BD">
            <w:pPr>
              <w:pStyle w:val="41"/>
            </w:pPr>
            <w:r>
              <w:t>取值</w:t>
            </w:r>
          </w:p>
        </w:tc>
      </w:tr>
      <w:tr w14:paraId="6672F4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6" w:type="pct"/>
            <w:vMerge w:val="restart"/>
            <w:tcBorders>
              <w:tl2br w:val="nil"/>
              <w:tr2bl w:val="nil"/>
            </w:tcBorders>
            <w:vAlign w:val="center"/>
          </w:tcPr>
          <w:p w14:paraId="2BE18AE6">
            <w:pPr>
              <w:pStyle w:val="41"/>
            </w:pPr>
            <w:r>
              <w:t>城市/农村选项</w:t>
            </w:r>
          </w:p>
        </w:tc>
        <w:tc>
          <w:tcPr>
            <w:tcW w:w="1702" w:type="pct"/>
            <w:tcBorders>
              <w:tl2br w:val="nil"/>
              <w:tr2bl w:val="nil"/>
            </w:tcBorders>
            <w:vAlign w:val="center"/>
          </w:tcPr>
          <w:p w14:paraId="069A75CC">
            <w:pPr>
              <w:pStyle w:val="41"/>
            </w:pPr>
            <w:r>
              <w:t>城市/农村</w:t>
            </w:r>
          </w:p>
        </w:tc>
        <w:tc>
          <w:tcPr>
            <w:tcW w:w="1602" w:type="pct"/>
            <w:tcBorders>
              <w:tl2br w:val="nil"/>
              <w:tr2bl w:val="nil"/>
            </w:tcBorders>
            <w:vAlign w:val="center"/>
          </w:tcPr>
          <w:p w14:paraId="6EA5B739">
            <w:pPr>
              <w:pStyle w:val="41"/>
            </w:pPr>
            <w:r>
              <w:t>城市</w:t>
            </w:r>
          </w:p>
        </w:tc>
      </w:tr>
      <w:tr w14:paraId="2407B2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6" w:type="pct"/>
            <w:vMerge w:val="continue"/>
            <w:tcBorders>
              <w:tl2br w:val="nil"/>
              <w:tr2bl w:val="nil"/>
            </w:tcBorders>
            <w:vAlign w:val="center"/>
          </w:tcPr>
          <w:p w14:paraId="63216B22">
            <w:pPr>
              <w:pStyle w:val="41"/>
            </w:pPr>
          </w:p>
        </w:tc>
        <w:tc>
          <w:tcPr>
            <w:tcW w:w="1702" w:type="pct"/>
            <w:tcBorders>
              <w:tl2br w:val="nil"/>
              <w:tr2bl w:val="nil"/>
            </w:tcBorders>
            <w:vAlign w:val="center"/>
          </w:tcPr>
          <w:p w14:paraId="1417F2D6">
            <w:pPr>
              <w:pStyle w:val="41"/>
            </w:pPr>
            <w:r>
              <w:t>人口数（城市选项时）</w:t>
            </w:r>
          </w:p>
        </w:tc>
        <w:tc>
          <w:tcPr>
            <w:tcW w:w="1602" w:type="pct"/>
            <w:tcBorders>
              <w:tl2br w:val="nil"/>
              <w:tr2bl w:val="nil"/>
            </w:tcBorders>
            <w:vAlign w:val="center"/>
          </w:tcPr>
          <w:p w14:paraId="75CBBC67">
            <w:pPr>
              <w:pStyle w:val="41"/>
            </w:pPr>
            <w:r>
              <w:t>31万</w:t>
            </w:r>
          </w:p>
        </w:tc>
      </w:tr>
      <w:tr w14:paraId="6D3EC8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98" w:type="pct"/>
            <w:gridSpan w:val="2"/>
            <w:tcBorders>
              <w:tl2br w:val="nil"/>
              <w:tr2bl w:val="nil"/>
            </w:tcBorders>
            <w:vAlign w:val="center"/>
          </w:tcPr>
          <w:p w14:paraId="564E44C0">
            <w:pPr>
              <w:pStyle w:val="41"/>
            </w:pPr>
            <w:r>
              <w:t>最高环境温度/℃</w:t>
            </w:r>
          </w:p>
        </w:tc>
        <w:tc>
          <w:tcPr>
            <w:tcW w:w="1602" w:type="pct"/>
            <w:tcBorders>
              <w:tl2br w:val="nil"/>
              <w:tr2bl w:val="nil"/>
            </w:tcBorders>
            <w:vAlign w:val="center"/>
          </w:tcPr>
          <w:p w14:paraId="13B04B20">
            <w:pPr>
              <w:pStyle w:val="41"/>
            </w:pPr>
            <w:r>
              <w:t>40.9</w:t>
            </w:r>
          </w:p>
        </w:tc>
      </w:tr>
      <w:tr w14:paraId="1E4B3D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98" w:type="pct"/>
            <w:gridSpan w:val="2"/>
            <w:tcBorders>
              <w:tl2br w:val="nil"/>
              <w:tr2bl w:val="nil"/>
            </w:tcBorders>
            <w:vAlign w:val="center"/>
          </w:tcPr>
          <w:p w14:paraId="1C90EBCA">
            <w:pPr>
              <w:pStyle w:val="41"/>
            </w:pPr>
            <w:r>
              <w:t>最低环境温度/℃</w:t>
            </w:r>
          </w:p>
        </w:tc>
        <w:tc>
          <w:tcPr>
            <w:tcW w:w="1602" w:type="pct"/>
            <w:tcBorders>
              <w:tl2br w:val="nil"/>
              <w:tr2bl w:val="nil"/>
            </w:tcBorders>
            <w:vAlign w:val="center"/>
          </w:tcPr>
          <w:p w14:paraId="7EB26EA2">
            <w:pPr>
              <w:pStyle w:val="41"/>
            </w:pPr>
            <w:r>
              <w:t>-31.6</w:t>
            </w:r>
          </w:p>
        </w:tc>
      </w:tr>
      <w:tr w14:paraId="165421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98" w:type="pct"/>
            <w:gridSpan w:val="2"/>
            <w:tcBorders>
              <w:tl2br w:val="nil"/>
              <w:tr2bl w:val="nil"/>
            </w:tcBorders>
            <w:vAlign w:val="center"/>
          </w:tcPr>
          <w:p w14:paraId="477AB385">
            <w:pPr>
              <w:pStyle w:val="41"/>
            </w:pPr>
            <w:r>
              <w:t>土地利用类型</w:t>
            </w:r>
          </w:p>
        </w:tc>
        <w:tc>
          <w:tcPr>
            <w:tcW w:w="1602" w:type="pct"/>
            <w:tcBorders>
              <w:tl2br w:val="nil"/>
              <w:tr2bl w:val="nil"/>
            </w:tcBorders>
            <w:vAlign w:val="center"/>
          </w:tcPr>
          <w:p w14:paraId="4945D047">
            <w:pPr>
              <w:pStyle w:val="41"/>
            </w:pPr>
            <w:r>
              <w:t>城市</w:t>
            </w:r>
          </w:p>
        </w:tc>
      </w:tr>
      <w:tr w14:paraId="251824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98" w:type="pct"/>
            <w:gridSpan w:val="2"/>
            <w:tcBorders>
              <w:tl2br w:val="nil"/>
              <w:tr2bl w:val="nil"/>
            </w:tcBorders>
            <w:vAlign w:val="center"/>
          </w:tcPr>
          <w:p w14:paraId="348CEFA4">
            <w:pPr>
              <w:pStyle w:val="41"/>
            </w:pPr>
            <w:r>
              <w:t>区域湿度条件</w:t>
            </w:r>
          </w:p>
        </w:tc>
        <w:tc>
          <w:tcPr>
            <w:tcW w:w="1602" w:type="pct"/>
            <w:tcBorders>
              <w:tl2br w:val="nil"/>
              <w:tr2bl w:val="nil"/>
            </w:tcBorders>
            <w:vAlign w:val="center"/>
          </w:tcPr>
          <w:p w14:paraId="1DD23A6D">
            <w:pPr>
              <w:pStyle w:val="41"/>
            </w:pPr>
            <w:r>
              <w:t>半干旱区</w:t>
            </w:r>
          </w:p>
        </w:tc>
      </w:tr>
      <w:tr w14:paraId="341543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6" w:type="pct"/>
            <w:vMerge w:val="restart"/>
            <w:tcBorders>
              <w:tl2br w:val="nil"/>
              <w:tr2bl w:val="nil"/>
            </w:tcBorders>
            <w:vAlign w:val="center"/>
          </w:tcPr>
          <w:p w14:paraId="2A4C08A2">
            <w:pPr>
              <w:pStyle w:val="41"/>
            </w:pPr>
            <w:r>
              <w:t>是否考虑地形</w:t>
            </w:r>
          </w:p>
        </w:tc>
        <w:tc>
          <w:tcPr>
            <w:tcW w:w="1702" w:type="pct"/>
            <w:tcBorders>
              <w:tl2br w:val="nil"/>
              <w:tr2bl w:val="nil"/>
            </w:tcBorders>
            <w:vAlign w:val="center"/>
          </w:tcPr>
          <w:p w14:paraId="41F40578">
            <w:pPr>
              <w:pStyle w:val="41"/>
            </w:pPr>
            <w:r>
              <w:t>考虑地形</w:t>
            </w:r>
          </w:p>
        </w:tc>
        <w:tc>
          <w:tcPr>
            <w:tcW w:w="1602" w:type="pct"/>
            <w:tcBorders>
              <w:tl2br w:val="nil"/>
              <w:tr2bl w:val="nil"/>
            </w:tcBorders>
            <w:vAlign w:val="center"/>
          </w:tcPr>
          <w:p w14:paraId="4982A589">
            <w:pPr>
              <w:pStyle w:val="41"/>
            </w:pPr>
            <w:r>
              <w:rPr/>
              <w:sym w:font="Wingdings 2" w:char="0052"/>
            </w:r>
            <w:r>
              <w:t>是</w:t>
            </w:r>
            <w:r>
              <w:rPr/>
              <w:sym w:font="Wingdings 2" w:char="00A3"/>
            </w:r>
            <w:r>
              <w:t>否</w:t>
            </w:r>
          </w:p>
        </w:tc>
      </w:tr>
      <w:tr w14:paraId="47306A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6" w:type="pct"/>
            <w:vMerge w:val="continue"/>
            <w:tcBorders>
              <w:tl2br w:val="nil"/>
              <w:tr2bl w:val="nil"/>
            </w:tcBorders>
            <w:vAlign w:val="center"/>
          </w:tcPr>
          <w:p w14:paraId="2ECD3657">
            <w:pPr>
              <w:pStyle w:val="41"/>
            </w:pPr>
          </w:p>
        </w:tc>
        <w:tc>
          <w:tcPr>
            <w:tcW w:w="1702" w:type="pct"/>
            <w:tcBorders>
              <w:tl2br w:val="nil"/>
              <w:tr2bl w:val="nil"/>
            </w:tcBorders>
            <w:vAlign w:val="center"/>
          </w:tcPr>
          <w:p w14:paraId="11AA7157">
            <w:pPr>
              <w:pStyle w:val="41"/>
            </w:pPr>
            <w:r>
              <w:t>地形数据分辨率</w:t>
            </w:r>
          </w:p>
        </w:tc>
        <w:tc>
          <w:tcPr>
            <w:tcW w:w="1602" w:type="pct"/>
            <w:tcBorders>
              <w:tl2br w:val="nil"/>
              <w:tr2bl w:val="nil"/>
            </w:tcBorders>
            <w:vAlign w:val="center"/>
          </w:tcPr>
          <w:p w14:paraId="52CABFE4">
            <w:pPr>
              <w:pStyle w:val="41"/>
            </w:pPr>
            <w:r>
              <w:t>90m</w:t>
            </w:r>
          </w:p>
        </w:tc>
      </w:tr>
      <w:tr w14:paraId="2872EB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6" w:type="pct"/>
            <w:vMerge w:val="restart"/>
            <w:tcBorders>
              <w:tl2br w:val="nil"/>
              <w:tr2bl w:val="nil"/>
            </w:tcBorders>
            <w:vAlign w:val="center"/>
          </w:tcPr>
          <w:p w14:paraId="2781773C">
            <w:pPr>
              <w:pStyle w:val="41"/>
            </w:pPr>
            <w:r>
              <w:t>是否考虑岸线熏烟</w:t>
            </w:r>
          </w:p>
        </w:tc>
        <w:tc>
          <w:tcPr>
            <w:tcW w:w="1702" w:type="pct"/>
            <w:tcBorders>
              <w:tl2br w:val="nil"/>
              <w:tr2bl w:val="nil"/>
            </w:tcBorders>
            <w:vAlign w:val="center"/>
          </w:tcPr>
          <w:p w14:paraId="2CC7FA70">
            <w:pPr>
              <w:pStyle w:val="41"/>
            </w:pPr>
            <w:r>
              <w:t>考虑岸线熏烟</w:t>
            </w:r>
          </w:p>
        </w:tc>
        <w:tc>
          <w:tcPr>
            <w:tcW w:w="1602" w:type="pct"/>
            <w:tcBorders>
              <w:tl2br w:val="nil"/>
              <w:tr2bl w:val="nil"/>
            </w:tcBorders>
            <w:vAlign w:val="center"/>
          </w:tcPr>
          <w:p w14:paraId="0EDF52AA">
            <w:pPr>
              <w:pStyle w:val="41"/>
            </w:pPr>
            <w:r>
              <w:rPr/>
              <w:sym w:font="Wingdings 2" w:char="00A3"/>
            </w:r>
            <w:r>
              <w:t xml:space="preserve">是 </w:t>
            </w:r>
            <w:r>
              <w:rPr/>
              <w:sym w:font="Wingdings 2" w:char="0052"/>
            </w:r>
            <w:r>
              <w:t>否</w:t>
            </w:r>
          </w:p>
        </w:tc>
      </w:tr>
      <w:tr w14:paraId="6201D8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6" w:type="pct"/>
            <w:vMerge w:val="continue"/>
            <w:tcBorders>
              <w:tl2br w:val="nil"/>
              <w:tr2bl w:val="nil"/>
            </w:tcBorders>
            <w:vAlign w:val="center"/>
          </w:tcPr>
          <w:p w14:paraId="5BB4BF4A">
            <w:pPr>
              <w:pStyle w:val="41"/>
            </w:pPr>
          </w:p>
        </w:tc>
        <w:tc>
          <w:tcPr>
            <w:tcW w:w="1702" w:type="pct"/>
            <w:tcBorders>
              <w:tl2br w:val="nil"/>
              <w:tr2bl w:val="nil"/>
            </w:tcBorders>
            <w:vAlign w:val="center"/>
          </w:tcPr>
          <w:p w14:paraId="401B5E96">
            <w:pPr>
              <w:pStyle w:val="41"/>
            </w:pPr>
            <w:r>
              <w:t>岸线距离/km</w:t>
            </w:r>
          </w:p>
        </w:tc>
        <w:tc>
          <w:tcPr>
            <w:tcW w:w="1602" w:type="pct"/>
            <w:tcBorders>
              <w:tl2br w:val="nil"/>
              <w:tr2bl w:val="nil"/>
            </w:tcBorders>
            <w:vAlign w:val="center"/>
          </w:tcPr>
          <w:p w14:paraId="75087F20">
            <w:pPr>
              <w:pStyle w:val="41"/>
            </w:pPr>
            <w:r>
              <w:t>/</w:t>
            </w:r>
          </w:p>
        </w:tc>
      </w:tr>
      <w:tr w14:paraId="4B00BB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6" w:type="pct"/>
            <w:vMerge w:val="continue"/>
            <w:tcBorders>
              <w:tl2br w:val="nil"/>
              <w:tr2bl w:val="nil"/>
            </w:tcBorders>
            <w:vAlign w:val="center"/>
          </w:tcPr>
          <w:p w14:paraId="7BD2D3C3">
            <w:pPr>
              <w:pStyle w:val="41"/>
            </w:pPr>
          </w:p>
        </w:tc>
        <w:tc>
          <w:tcPr>
            <w:tcW w:w="1702" w:type="pct"/>
            <w:tcBorders>
              <w:tl2br w:val="nil"/>
              <w:tr2bl w:val="nil"/>
            </w:tcBorders>
            <w:vAlign w:val="center"/>
          </w:tcPr>
          <w:p w14:paraId="6212D3FA">
            <w:pPr>
              <w:pStyle w:val="41"/>
            </w:pPr>
            <w:r>
              <w:t>岸线方向/°</w:t>
            </w:r>
          </w:p>
        </w:tc>
        <w:tc>
          <w:tcPr>
            <w:tcW w:w="1602" w:type="pct"/>
            <w:tcBorders>
              <w:tl2br w:val="nil"/>
              <w:tr2bl w:val="nil"/>
            </w:tcBorders>
            <w:vAlign w:val="center"/>
          </w:tcPr>
          <w:p w14:paraId="075B0CA5">
            <w:pPr>
              <w:pStyle w:val="41"/>
            </w:pPr>
            <w:r>
              <w:t>/</w:t>
            </w:r>
          </w:p>
        </w:tc>
      </w:tr>
    </w:tbl>
    <w:p w14:paraId="763396F3">
      <w:pPr>
        <w:pStyle w:val="49"/>
      </w:pPr>
      <w:r>
        <w:t>（2）污染源参数</w:t>
      </w:r>
    </w:p>
    <w:p w14:paraId="3432D2AD">
      <w:pPr>
        <w:pStyle w:val="49"/>
      </w:pPr>
      <w:r>
        <w:t>根据本项目工程分析结果，选择正常工况下主要污染物排放参数，采取估算模式计算了大气污染物的最大影响程度和最远影响范围。主要废气污染源参数情况见运营期大气环境影响预测与评价章节表6.2.1-5。</w:t>
      </w:r>
    </w:p>
    <w:p w14:paraId="1CC90DFE">
      <w:pPr>
        <w:pStyle w:val="49"/>
      </w:pPr>
      <w:r>
        <w:t>（3）评价工作等级判定</w:t>
      </w:r>
    </w:p>
    <w:p w14:paraId="682A8643">
      <w:pPr>
        <w:pStyle w:val="49"/>
      </w:pPr>
      <w:bookmarkStart w:id="80" w:name="_Hlk172046871"/>
      <w:r>
        <w:t>根据估算模型预测结果见下表</w:t>
      </w:r>
    </w:p>
    <w:p w14:paraId="426DB2FF">
      <w:pPr>
        <w:pStyle w:val="40"/>
        <w:spacing w:before="156"/>
      </w:pPr>
      <w:bookmarkStart w:id="81" w:name="_Hlk88671267"/>
      <w:r>
        <w:t>表2.4-3    大气环境评价工作等级判定结果</w:t>
      </w:r>
    </w:p>
    <w:bookmarkEnd w:id="81"/>
    <w:tbl>
      <w:tblPr>
        <w:tblStyle w:val="44"/>
        <w:tblW w:w="498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4"/>
        <w:gridCol w:w="1532"/>
        <w:gridCol w:w="1123"/>
        <w:gridCol w:w="1128"/>
        <w:gridCol w:w="1295"/>
        <w:gridCol w:w="734"/>
        <w:gridCol w:w="1587"/>
        <w:gridCol w:w="732"/>
      </w:tblGrid>
      <w:tr w14:paraId="2EF3D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14" w:type="pct"/>
            <w:vAlign w:val="center"/>
          </w:tcPr>
          <w:p w14:paraId="0578C7BE">
            <w:pPr>
              <w:pStyle w:val="34"/>
              <w:ind w:left="-72" w:leftChars="-30" w:right="-72" w:rightChars="-30"/>
              <w:rPr>
                <w:rFonts w:ascii="Calibri" w:hAnsi="Calibri"/>
              </w:rPr>
            </w:pPr>
            <w:r>
              <w:rPr>
                <w:rFonts w:ascii="Calibri" w:hAnsi="Calibri"/>
              </w:rPr>
              <w:t>序号</w:t>
            </w:r>
          </w:p>
        </w:tc>
        <w:tc>
          <w:tcPr>
            <w:tcW w:w="902" w:type="pct"/>
            <w:vAlign w:val="center"/>
          </w:tcPr>
          <w:p w14:paraId="0593751B">
            <w:pPr>
              <w:pStyle w:val="34"/>
              <w:ind w:left="-72" w:leftChars="-30" w:right="-72" w:rightChars="-30"/>
              <w:rPr>
                <w:rFonts w:ascii="Calibri" w:hAnsi="Calibri"/>
              </w:rPr>
            </w:pPr>
            <w:r>
              <w:rPr>
                <w:rFonts w:ascii="Calibri" w:hAnsi="Calibri"/>
              </w:rPr>
              <w:t>污染源名称</w:t>
            </w:r>
          </w:p>
        </w:tc>
        <w:tc>
          <w:tcPr>
            <w:tcW w:w="661" w:type="pct"/>
            <w:vAlign w:val="center"/>
          </w:tcPr>
          <w:p w14:paraId="05003F50">
            <w:pPr>
              <w:pStyle w:val="34"/>
              <w:ind w:left="-72" w:leftChars="-30" w:right="-72" w:rightChars="-30"/>
              <w:rPr>
                <w:rFonts w:ascii="Calibri" w:hAnsi="Calibri"/>
              </w:rPr>
            </w:pPr>
            <w:r>
              <w:rPr>
                <w:rFonts w:ascii="Calibri" w:hAnsi="Calibri"/>
              </w:rPr>
              <w:t>评价因子</w:t>
            </w:r>
          </w:p>
        </w:tc>
        <w:tc>
          <w:tcPr>
            <w:tcW w:w="664" w:type="pct"/>
            <w:vAlign w:val="center"/>
          </w:tcPr>
          <w:p w14:paraId="7589A3DF">
            <w:pPr>
              <w:pStyle w:val="34"/>
              <w:ind w:left="-72" w:leftChars="-30" w:right="-72" w:rightChars="-30"/>
              <w:rPr>
                <w:rFonts w:ascii="Calibri" w:hAnsi="Calibri"/>
                <w:lang w:val="zh-CN"/>
              </w:rPr>
            </w:pPr>
            <w:r>
              <w:rPr>
                <w:rFonts w:ascii="Calibri" w:hAnsi="Calibri"/>
                <w:lang w:val="zh-CN"/>
              </w:rPr>
              <w:t>评价标准</w:t>
            </w:r>
            <w:r>
              <w:rPr>
                <w:rFonts w:ascii="Calibri" w:hAnsi="Calibri"/>
              </w:rPr>
              <w:t>（µg/m</w:t>
            </w:r>
            <w:r>
              <w:rPr>
                <w:rFonts w:ascii="Calibri" w:hAnsi="Calibri"/>
                <w:vertAlign w:val="superscript"/>
              </w:rPr>
              <w:t>3</w:t>
            </w:r>
            <w:r>
              <w:rPr>
                <w:rFonts w:ascii="Calibri" w:hAnsi="Calibri"/>
              </w:rPr>
              <w:t>）</w:t>
            </w:r>
          </w:p>
        </w:tc>
        <w:tc>
          <w:tcPr>
            <w:tcW w:w="762" w:type="pct"/>
            <w:vAlign w:val="center"/>
          </w:tcPr>
          <w:p w14:paraId="3C608A9D">
            <w:pPr>
              <w:pStyle w:val="34"/>
              <w:ind w:left="-72" w:leftChars="-30" w:right="-72" w:rightChars="-30"/>
              <w:rPr>
                <w:rFonts w:ascii="Calibri" w:hAnsi="Calibri"/>
              </w:rPr>
            </w:pPr>
            <w:r>
              <w:rPr>
                <w:rFonts w:ascii="Calibri" w:hAnsi="Calibri"/>
                <w:position w:val="-12"/>
                <w:lang w:val="zh-CN"/>
              </w:rPr>
              <w:object>
                <v:shape id="_x0000_i1026" o:spt="75" type="#_x0000_t75" style="height:18.75pt;width:14.25pt;" o:ole="t" filled="f" o:preferrelative="t" stroked="f" coordsize="21600,21600">
                  <v:path/>
                  <v:fill on="f" focussize="0,0"/>
                  <v:stroke on="f" joinstyle="miter"/>
                  <v:imagedata r:id="rId16" o:title=""/>
                  <o:lock v:ext="edit" aspectratio="f"/>
                  <w10:wrap type="none"/>
                  <w10:anchorlock/>
                </v:shape>
                <o:OLEObject Type="Embed" ProgID="Equation.DSMT4" ShapeID="_x0000_i1026" DrawAspect="Content" ObjectID="_1468075726" r:id="rId15">
                  <o:LockedField>false</o:LockedField>
                </o:OLEObject>
              </w:object>
            </w:r>
            <w:r>
              <w:rPr>
                <w:rFonts w:ascii="Calibri" w:hAnsi="Calibri"/>
              </w:rPr>
              <w:t>（µg/m</w:t>
            </w:r>
            <w:r>
              <w:rPr>
                <w:rFonts w:ascii="Calibri" w:hAnsi="Calibri"/>
                <w:vertAlign w:val="superscript"/>
              </w:rPr>
              <w:t>3</w:t>
            </w:r>
            <w:r>
              <w:rPr>
                <w:rFonts w:ascii="Calibri" w:hAnsi="Calibri"/>
              </w:rPr>
              <w:t>）</w:t>
            </w:r>
          </w:p>
        </w:tc>
        <w:tc>
          <w:tcPr>
            <w:tcW w:w="432" w:type="pct"/>
            <w:vAlign w:val="center"/>
          </w:tcPr>
          <w:p w14:paraId="5EB27263">
            <w:pPr>
              <w:pStyle w:val="34"/>
              <w:ind w:left="-72" w:leftChars="-30" w:right="-72" w:rightChars="-30"/>
              <w:rPr>
                <w:rFonts w:ascii="Calibri" w:hAnsi="Calibri"/>
              </w:rPr>
            </w:pPr>
            <w:r>
              <w:rPr>
                <w:rFonts w:ascii="Calibri" w:hAnsi="Calibri"/>
                <w:position w:val="-12"/>
                <w:lang w:val="zh-CN"/>
              </w:rPr>
              <w:t>Pi（%）</w:t>
            </w:r>
          </w:p>
        </w:tc>
        <w:tc>
          <w:tcPr>
            <w:tcW w:w="934" w:type="pct"/>
            <w:vAlign w:val="center"/>
          </w:tcPr>
          <w:p w14:paraId="7EDB397F">
            <w:pPr>
              <w:pStyle w:val="34"/>
              <w:ind w:left="-72" w:leftChars="-30" w:right="-72" w:rightChars="-30"/>
              <w:rPr>
                <w:rFonts w:ascii="Calibri" w:hAnsi="Calibri"/>
              </w:rPr>
            </w:pPr>
            <w:r>
              <w:rPr>
                <w:rFonts w:ascii="Calibri" w:hAnsi="Calibri"/>
              </w:rPr>
              <w:t>占标率10%的最远距离D</w:t>
            </w:r>
            <w:r>
              <w:rPr>
                <w:rFonts w:ascii="Calibri" w:hAnsi="Calibri"/>
                <w:vertAlign w:val="subscript"/>
              </w:rPr>
              <w:t>10%</w:t>
            </w:r>
            <w:r>
              <w:rPr>
                <w:rFonts w:ascii="Calibri" w:hAnsi="Calibri"/>
              </w:rPr>
              <w:t>（m）</w:t>
            </w:r>
          </w:p>
        </w:tc>
        <w:tc>
          <w:tcPr>
            <w:tcW w:w="432" w:type="pct"/>
            <w:vAlign w:val="center"/>
          </w:tcPr>
          <w:p w14:paraId="3B39AECE">
            <w:pPr>
              <w:pStyle w:val="34"/>
              <w:ind w:left="-72" w:leftChars="-30" w:right="-72" w:rightChars="-30"/>
              <w:rPr>
                <w:rFonts w:ascii="Calibri" w:hAnsi="Calibri"/>
              </w:rPr>
            </w:pPr>
            <w:r>
              <w:rPr>
                <w:rFonts w:ascii="Calibri" w:hAnsi="Calibri"/>
              </w:rPr>
              <w:t>P</w:t>
            </w:r>
            <w:r>
              <w:rPr>
                <w:rFonts w:ascii="Calibri" w:hAnsi="Calibri"/>
                <w:vertAlign w:val="subscript"/>
              </w:rPr>
              <w:t>max</w:t>
            </w:r>
            <w:r>
              <w:rPr>
                <w:rFonts w:ascii="Calibri" w:hAnsi="Calibri"/>
              </w:rPr>
              <w:t>（%）</w:t>
            </w:r>
          </w:p>
        </w:tc>
      </w:tr>
      <w:tr w14:paraId="01A5E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Merge w:val="restart"/>
            <w:vAlign w:val="center"/>
          </w:tcPr>
          <w:p w14:paraId="5C831243">
            <w:pPr>
              <w:pStyle w:val="34"/>
              <w:ind w:left="-72" w:leftChars="-30" w:right="-72" w:rightChars="-30"/>
              <w:rPr>
                <w:rFonts w:ascii="Calibri" w:hAnsi="Calibri"/>
              </w:rPr>
            </w:pPr>
            <w:r>
              <w:rPr>
                <w:rFonts w:ascii="Calibri" w:hAnsi="Calibri"/>
              </w:rPr>
              <w:t>1</w:t>
            </w:r>
          </w:p>
        </w:tc>
        <w:tc>
          <w:tcPr>
            <w:tcW w:w="902" w:type="pct"/>
            <w:vMerge w:val="restart"/>
            <w:vAlign w:val="center"/>
          </w:tcPr>
          <w:p w14:paraId="2B6088DB">
            <w:pPr>
              <w:pStyle w:val="34"/>
              <w:ind w:left="-72" w:leftChars="-30" w:right="-72" w:rightChars="-30"/>
              <w:rPr>
                <w:rFonts w:ascii="Calibri" w:hAnsi="Calibri"/>
              </w:rPr>
            </w:pPr>
            <w:r>
              <w:rPr>
                <w:rFonts w:ascii="Calibri" w:hAnsi="Calibri"/>
              </w:rPr>
              <w:t>烧结废气排放口（DA002）</w:t>
            </w:r>
          </w:p>
        </w:tc>
        <w:tc>
          <w:tcPr>
            <w:tcW w:w="661" w:type="pct"/>
            <w:vAlign w:val="center"/>
          </w:tcPr>
          <w:p w14:paraId="316EFE58">
            <w:pPr>
              <w:pStyle w:val="34"/>
              <w:ind w:left="-72" w:leftChars="-30" w:right="-72" w:rightChars="-30"/>
              <w:rPr>
                <w:rFonts w:ascii="Calibri" w:hAnsi="Calibri"/>
              </w:rPr>
            </w:pPr>
            <w:r>
              <w:rPr>
                <w:rFonts w:ascii="Calibri" w:hAnsi="Calibri"/>
              </w:rPr>
              <w:t>SO</w:t>
            </w:r>
            <w:r>
              <w:rPr>
                <w:rFonts w:ascii="Calibri" w:hAnsi="Calibri"/>
                <w:vertAlign w:val="subscript"/>
              </w:rPr>
              <w:t>2</w:t>
            </w:r>
          </w:p>
        </w:tc>
        <w:tc>
          <w:tcPr>
            <w:tcW w:w="664" w:type="pct"/>
            <w:vAlign w:val="center"/>
          </w:tcPr>
          <w:p w14:paraId="0A204612">
            <w:pPr>
              <w:pStyle w:val="34"/>
              <w:ind w:left="-72" w:leftChars="-30" w:right="-72" w:rightChars="-30"/>
              <w:rPr>
                <w:rFonts w:ascii="Calibri" w:hAnsi="Calibri"/>
              </w:rPr>
            </w:pPr>
            <w:r>
              <w:rPr>
                <w:rFonts w:ascii="Calibri" w:hAnsi="Calibri"/>
              </w:rPr>
              <w:t>500</w:t>
            </w:r>
          </w:p>
        </w:tc>
        <w:tc>
          <w:tcPr>
            <w:tcW w:w="762" w:type="pct"/>
            <w:vAlign w:val="center"/>
          </w:tcPr>
          <w:p w14:paraId="132CDAB0">
            <w:pPr>
              <w:pStyle w:val="34"/>
              <w:ind w:left="-72" w:leftChars="-30" w:right="-72" w:rightChars="-30"/>
              <w:rPr>
                <w:rFonts w:ascii="Calibri" w:hAnsi="Calibri"/>
              </w:rPr>
            </w:pPr>
            <w:r>
              <w:rPr>
                <w:rFonts w:ascii="Calibri" w:hAnsi="Calibri"/>
              </w:rPr>
              <w:t>8.0503</w:t>
            </w:r>
          </w:p>
        </w:tc>
        <w:tc>
          <w:tcPr>
            <w:tcW w:w="432" w:type="pct"/>
            <w:vAlign w:val="center"/>
          </w:tcPr>
          <w:p w14:paraId="3ACE439E">
            <w:pPr>
              <w:pStyle w:val="34"/>
              <w:ind w:left="-72" w:leftChars="-30" w:right="-72" w:rightChars="-30"/>
              <w:rPr>
                <w:rFonts w:ascii="Calibri" w:hAnsi="Calibri"/>
              </w:rPr>
            </w:pPr>
            <w:r>
              <w:rPr>
                <w:rFonts w:ascii="Calibri" w:hAnsi="Calibri"/>
              </w:rPr>
              <w:t>1.61</w:t>
            </w:r>
          </w:p>
        </w:tc>
        <w:tc>
          <w:tcPr>
            <w:tcW w:w="934" w:type="pct"/>
            <w:vAlign w:val="center"/>
          </w:tcPr>
          <w:p w14:paraId="1604C849">
            <w:pPr>
              <w:pStyle w:val="34"/>
              <w:ind w:left="-72" w:leftChars="-30" w:right="-72" w:rightChars="-30"/>
              <w:rPr>
                <w:rFonts w:ascii="Calibri" w:hAnsi="Calibri"/>
              </w:rPr>
            </w:pPr>
            <w:r>
              <w:rPr>
                <w:rFonts w:ascii="Calibri" w:hAnsi="Calibri"/>
              </w:rPr>
              <w:t>/</w:t>
            </w:r>
          </w:p>
        </w:tc>
        <w:tc>
          <w:tcPr>
            <w:tcW w:w="432" w:type="pct"/>
            <w:vMerge w:val="restart"/>
            <w:vAlign w:val="center"/>
          </w:tcPr>
          <w:p w14:paraId="508461B9">
            <w:pPr>
              <w:pStyle w:val="34"/>
              <w:ind w:left="-72" w:leftChars="-30" w:right="-72" w:rightChars="-30"/>
              <w:rPr>
                <w:rFonts w:ascii="Calibri" w:hAnsi="Calibri"/>
              </w:rPr>
            </w:pPr>
            <w:r>
              <w:rPr>
                <w:rFonts w:ascii="Calibri" w:hAnsi="Calibri"/>
              </w:rPr>
              <w:t>/</w:t>
            </w:r>
          </w:p>
        </w:tc>
      </w:tr>
      <w:tr w14:paraId="52EB6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Merge w:val="continue"/>
            <w:vAlign w:val="center"/>
          </w:tcPr>
          <w:p w14:paraId="53D46F61">
            <w:pPr>
              <w:pStyle w:val="34"/>
              <w:ind w:left="-72" w:leftChars="-30" w:right="-72" w:rightChars="-30"/>
              <w:rPr>
                <w:rFonts w:ascii="Calibri" w:hAnsi="Calibri"/>
              </w:rPr>
            </w:pPr>
          </w:p>
        </w:tc>
        <w:tc>
          <w:tcPr>
            <w:tcW w:w="902" w:type="pct"/>
            <w:vMerge w:val="continue"/>
            <w:vAlign w:val="center"/>
          </w:tcPr>
          <w:p w14:paraId="17C1CA63">
            <w:pPr>
              <w:pStyle w:val="34"/>
              <w:ind w:left="-72" w:leftChars="-30" w:right="-72" w:rightChars="-30"/>
              <w:rPr>
                <w:rFonts w:ascii="Calibri" w:hAnsi="Calibri"/>
              </w:rPr>
            </w:pPr>
          </w:p>
        </w:tc>
        <w:tc>
          <w:tcPr>
            <w:tcW w:w="661" w:type="pct"/>
            <w:vAlign w:val="center"/>
          </w:tcPr>
          <w:p w14:paraId="007DF75C">
            <w:pPr>
              <w:pStyle w:val="34"/>
              <w:ind w:left="-72" w:leftChars="-30" w:right="-72" w:rightChars="-30"/>
              <w:rPr>
                <w:rFonts w:ascii="Calibri" w:hAnsi="Calibri"/>
              </w:rPr>
            </w:pPr>
            <w:r>
              <w:rPr>
                <w:rFonts w:ascii="Calibri" w:hAnsi="Calibri"/>
              </w:rPr>
              <w:t>NO</w:t>
            </w:r>
            <w:r>
              <w:rPr>
                <w:rFonts w:ascii="Calibri" w:hAnsi="Calibri"/>
                <w:vertAlign w:val="subscript"/>
              </w:rPr>
              <w:t>2</w:t>
            </w:r>
          </w:p>
        </w:tc>
        <w:tc>
          <w:tcPr>
            <w:tcW w:w="664" w:type="pct"/>
            <w:vAlign w:val="center"/>
          </w:tcPr>
          <w:p w14:paraId="7B872B28">
            <w:pPr>
              <w:pStyle w:val="34"/>
              <w:ind w:left="-72" w:leftChars="-30" w:right="-72" w:rightChars="-30"/>
              <w:rPr>
                <w:rFonts w:ascii="Calibri" w:hAnsi="Calibri"/>
              </w:rPr>
            </w:pPr>
            <w:r>
              <w:rPr>
                <w:rFonts w:ascii="Calibri" w:hAnsi="Calibri"/>
              </w:rPr>
              <w:t>200</w:t>
            </w:r>
          </w:p>
        </w:tc>
        <w:tc>
          <w:tcPr>
            <w:tcW w:w="762" w:type="pct"/>
            <w:vAlign w:val="center"/>
          </w:tcPr>
          <w:p w14:paraId="0B8F9A37">
            <w:pPr>
              <w:pStyle w:val="34"/>
              <w:ind w:left="-72" w:leftChars="-30" w:right="-72" w:rightChars="-30"/>
              <w:rPr>
                <w:rFonts w:ascii="Calibri" w:hAnsi="Calibri"/>
              </w:rPr>
            </w:pPr>
            <w:r>
              <w:rPr>
                <w:rFonts w:ascii="Calibri" w:hAnsi="Calibri"/>
              </w:rPr>
              <w:t>18.11317</w:t>
            </w:r>
          </w:p>
        </w:tc>
        <w:tc>
          <w:tcPr>
            <w:tcW w:w="432" w:type="pct"/>
            <w:vAlign w:val="center"/>
          </w:tcPr>
          <w:p w14:paraId="1F1BF897">
            <w:pPr>
              <w:pStyle w:val="34"/>
              <w:ind w:left="-72" w:leftChars="-30" w:right="-72" w:rightChars="-30"/>
              <w:rPr>
                <w:rFonts w:ascii="Calibri" w:hAnsi="Calibri"/>
              </w:rPr>
            </w:pPr>
            <w:r>
              <w:rPr>
                <w:rFonts w:ascii="Calibri" w:hAnsi="Calibri"/>
              </w:rPr>
              <w:t>9.06</w:t>
            </w:r>
          </w:p>
        </w:tc>
        <w:tc>
          <w:tcPr>
            <w:tcW w:w="934" w:type="pct"/>
            <w:vAlign w:val="center"/>
          </w:tcPr>
          <w:p w14:paraId="0F1C6CB6">
            <w:pPr>
              <w:pStyle w:val="34"/>
              <w:ind w:left="-72" w:leftChars="-30" w:right="-72" w:rightChars="-30"/>
              <w:rPr>
                <w:rFonts w:ascii="Calibri" w:hAnsi="Calibri"/>
              </w:rPr>
            </w:pPr>
            <w:r>
              <w:rPr>
                <w:rFonts w:ascii="Calibri" w:hAnsi="Calibri"/>
              </w:rPr>
              <w:t>/</w:t>
            </w:r>
          </w:p>
        </w:tc>
        <w:tc>
          <w:tcPr>
            <w:tcW w:w="432" w:type="pct"/>
            <w:vMerge w:val="continue"/>
            <w:vAlign w:val="center"/>
          </w:tcPr>
          <w:p w14:paraId="508329E7">
            <w:pPr>
              <w:pStyle w:val="34"/>
              <w:ind w:left="-72" w:leftChars="-30" w:right="-72" w:rightChars="-30"/>
              <w:rPr>
                <w:rFonts w:ascii="Calibri" w:hAnsi="Calibri"/>
              </w:rPr>
            </w:pPr>
          </w:p>
        </w:tc>
      </w:tr>
      <w:tr w14:paraId="05495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Merge w:val="continue"/>
            <w:vAlign w:val="center"/>
          </w:tcPr>
          <w:p w14:paraId="2CEA5247">
            <w:pPr>
              <w:pStyle w:val="34"/>
              <w:ind w:left="-72" w:leftChars="-30" w:right="-72" w:rightChars="-30"/>
              <w:rPr>
                <w:rFonts w:ascii="Calibri" w:hAnsi="Calibri"/>
              </w:rPr>
            </w:pPr>
          </w:p>
        </w:tc>
        <w:tc>
          <w:tcPr>
            <w:tcW w:w="902" w:type="pct"/>
            <w:vMerge w:val="continue"/>
            <w:vAlign w:val="center"/>
          </w:tcPr>
          <w:p w14:paraId="346327F0">
            <w:pPr>
              <w:pStyle w:val="34"/>
              <w:ind w:left="-72" w:leftChars="-30" w:right="-72" w:rightChars="-30"/>
              <w:rPr>
                <w:rFonts w:ascii="Calibri" w:hAnsi="Calibri"/>
              </w:rPr>
            </w:pPr>
          </w:p>
        </w:tc>
        <w:tc>
          <w:tcPr>
            <w:tcW w:w="661" w:type="pct"/>
            <w:vAlign w:val="center"/>
          </w:tcPr>
          <w:p w14:paraId="5AFFFA3A">
            <w:pPr>
              <w:pStyle w:val="34"/>
              <w:ind w:left="-72" w:leftChars="-30" w:right="-72" w:rightChars="-30"/>
              <w:rPr>
                <w:rFonts w:ascii="Calibri" w:hAnsi="Calibri"/>
              </w:rPr>
            </w:pPr>
            <w:r>
              <w:rPr>
                <w:rFonts w:ascii="Calibri" w:hAnsi="Calibri"/>
              </w:rPr>
              <w:t>PM</w:t>
            </w:r>
            <w:r>
              <w:rPr>
                <w:rFonts w:ascii="Calibri" w:hAnsi="Calibri"/>
                <w:vertAlign w:val="subscript"/>
              </w:rPr>
              <w:t>10</w:t>
            </w:r>
          </w:p>
        </w:tc>
        <w:tc>
          <w:tcPr>
            <w:tcW w:w="664" w:type="pct"/>
            <w:vAlign w:val="center"/>
          </w:tcPr>
          <w:p w14:paraId="292F6D52">
            <w:pPr>
              <w:pStyle w:val="34"/>
              <w:ind w:left="-72" w:leftChars="-30" w:right="-72" w:rightChars="-30"/>
              <w:rPr>
                <w:rFonts w:ascii="Calibri" w:hAnsi="Calibri"/>
              </w:rPr>
            </w:pPr>
            <w:r>
              <w:rPr>
                <w:rFonts w:ascii="Calibri" w:hAnsi="Calibri"/>
              </w:rPr>
              <w:t>450</w:t>
            </w:r>
          </w:p>
        </w:tc>
        <w:tc>
          <w:tcPr>
            <w:tcW w:w="762" w:type="pct"/>
            <w:vAlign w:val="center"/>
          </w:tcPr>
          <w:p w14:paraId="1B81ABFF">
            <w:pPr>
              <w:pStyle w:val="34"/>
              <w:ind w:left="-72" w:leftChars="-30" w:right="-72" w:rightChars="-30"/>
              <w:rPr>
                <w:rFonts w:ascii="Calibri" w:hAnsi="Calibri"/>
              </w:rPr>
            </w:pPr>
            <w:r>
              <w:rPr>
                <w:rFonts w:ascii="Calibri" w:hAnsi="Calibri"/>
              </w:rPr>
              <w:t>1.610059</w:t>
            </w:r>
          </w:p>
        </w:tc>
        <w:tc>
          <w:tcPr>
            <w:tcW w:w="432" w:type="pct"/>
            <w:vAlign w:val="center"/>
          </w:tcPr>
          <w:p w14:paraId="58B01ADF">
            <w:pPr>
              <w:pStyle w:val="34"/>
              <w:ind w:left="-72" w:leftChars="-30" w:right="-72" w:rightChars="-30"/>
              <w:rPr>
                <w:rFonts w:ascii="Calibri" w:hAnsi="Calibri"/>
              </w:rPr>
            </w:pPr>
            <w:r>
              <w:rPr>
                <w:rFonts w:ascii="Calibri" w:hAnsi="Calibri"/>
              </w:rPr>
              <w:t>0.36</w:t>
            </w:r>
          </w:p>
        </w:tc>
        <w:tc>
          <w:tcPr>
            <w:tcW w:w="934" w:type="pct"/>
            <w:vAlign w:val="center"/>
          </w:tcPr>
          <w:p w14:paraId="7703B08E">
            <w:pPr>
              <w:pStyle w:val="34"/>
              <w:ind w:left="-72" w:leftChars="-30" w:right="-72" w:rightChars="-30"/>
              <w:rPr>
                <w:rFonts w:ascii="Calibri" w:hAnsi="Calibri"/>
              </w:rPr>
            </w:pPr>
            <w:r>
              <w:rPr>
                <w:rFonts w:ascii="Calibri" w:hAnsi="Calibri"/>
              </w:rPr>
              <w:t>/</w:t>
            </w:r>
          </w:p>
        </w:tc>
        <w:tc>
          <w:tcPr>
            <w:tcW w:w="432" w:type="pct"/>
            <w:vMerge w:val="continue"/>
            <w:vAlign w:val="center"/>
          </w:tcPr>
          <w:p w14:paraId="639925BB">
            <w:pPr>
              <w:pStyle w:val="34"/>
              <w:ind w:left="-72" w:leftChars="-30" w:right="-72" w:rightChars="-30"/>
              <w:rPr>
                <w:rFonts w:ascii="Calibri" w:hAnsi="Calibri"/>
              </w:rPr>
            </w:pPr>
          </w:p>
        </w:tc>
      </w:tr>
      <w:tr w14:paraId="0CC0B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Merge w:val="continue"/>
            <w:vAlign w:val="center"/>
          </w:tcPr>
          <w:p w14:paraId="68C38C91">
            <w:pPr>
              <w:pStyle w:val="34"/>
              <w:ind w:left="-72" w:leftChars="-30" w:right="-72" w:rightChars="-30"/>
              <w:rPr>
                <w:rFonts w:ascii="Calibri" w:hAnsi="Calibri"/>
              </w:rPr>
            </w:pPr>
          </w:p>
        </w:tc>
        <w:tc>
          <w:tcPr>
            <w:tcW w:w="902" w:type="pct"/>
            <w:vMerge w:val="continue"/>
            <w:vAlign w:val="center"/>
          </w:tcPr>
          <w:p w14:paraId="30F47576">
            <w:pPr>
              <w:pStyle w:val="34"/>
              <w:ind w:left="-72" w:leftChars="-30" w:right="-72" w:rightChars="-30"/>
              <w:rPr>
                <w:rFonts w:ascii="Calibri" w:hAnsi="Calibri"/>
              </w:rPr>
            </w:pPr>
          </w:p>
        </w:tc>
        <w:tc>
          <w:tcPr>
            <w:tcW w:w="661" w:type="pct"/>
            <w:vAlign w:val="center"/>
          </w:tcPr>
          <w:p w14:paraId="2D4B0117">
            <w:pPr>
              <w:pStyle w:val="34"/>
              <w:ind w:left="-72" w:leftChars="-30" w:right="-72" w:rightChars="-30"/>
              <w:rPr>
                <w:rFonts w:ascii="Calibri" w:hAnsi="Calibri"/>
              </w:rPr>
            </w:pPr>
            <w:r>
              <w:rPr>
                <w:rFonts w:ascii="Calibri" w:hAnsi="Calibri"/>
              </w:rPr>
              <w:t>氟化物</w:t>
            </w:r>
          </w:p>
        </w:tc>
        <w:tc>
          <w:tcPr>
            <w:tcW w:w="664" w:type="pct"/>
            <w:vAlign w:val="center"/>
          </w:tcPr>
          <w:p w14:paraId="3175A54D">
            <w:pPr>
              <w:pStyle w:val="34"/>
              <w:ind w:left="-72" w:leftChars="-30" w:right="-72" w:rightChars="-30"/>
              <w:rPr>
                <w:rFonts w:ascii="Calibri" w:hAnsi="Calibri"/>
              </w:rPr>
            </w:pPr>
            <w:r>
              <w:rPr>
                <w:rFonts w:ascii="Calibri" w:hAnsi="Calibri"/>
              </w:rPr>
              <w:t>20</w:t>
            </w:r>
          </w:p>
        </w:tc>
        <w:tc>
          <w:tcPr>
            <w:tcW w:w="762" w:type="pct"/>
            <w:vAlign w:val="center"/>
          </w:tcPr>
          <w:p w14:paraId="09533B91">
            <w:pPr>
              <w:pStyle w:val="34"/>
              <w:ind w:left="-72" w:leftChars="-30" w:right="-72" w:rightChars="-30"/>
              <w:rPr>
                <w:rFonts w:ascii="Calibri" w:hAnsi="Calibri"/>
              </w:rPr>
            </w:pPr>
            <w:r>
              <w:rPr>
                <w:rFonts w:ascii="Calibri" w:hAnsi="Calibri"/>
              </w:rPr>
              <w:t>0.80503</w:t>
            </w:r>
          </w:p>
        </w:tc>
        <w:tc>
          <w:tcPr>
            <w:tcW w:w="432" w:type="pct"/>
            <w:vAlign w:val="center"/>
          </w:tcPr>
          <w:p w14:paraId="5920CCD1">
            <w:pPr>
              <w:pStyle w:val="34"/>
              <w:ind w:left="-72" w:leftChars="-30" w:right="-72" w:rightChars="-30"/>
              <w:rPr>
                <w:rFonts w:ascii="Calibri" w:hAnsi="Calibri"/>
              </w:rPr>
            </w:pPr>
            <w:r>
              <w:rPr>
                <w:rFonts w:ascii="Calibri" w:hAnsi="Calibri"/>
              </w:rPr>
              <w:t>4.03</w:t>
            </w:r>
          </w:p>
        </w:tc>
        <w:tc>
          <w:tcPr>
            <w:tcW w:w="934" w:type="pct"/>
            <w:vAlign w:val="center"/>
          </w:tcPr>
          <w:p w14:paraId="5A5E4F08">
            <w:pPr>
              <w:pStyle w:val="34"/>
              <w:ind w:left="-72" w:leftChars="-30" w:right="-72" w:rightChars="-30"/>
              <w:rPr>
                <w:rFonts w:ascii="Calibri" w:hAnsi="Calibri"/>
              </w:rPr>
            </w:pPr>
            <w:r>
              <w:rPr>
                <w:rFonts w:ascii="Calibri" w:hAnsi="Calibri"/>
              </w:rPr>
              <w:t>/</w:t>
            </w:r>
          </w:p>
        </w:tc>
        <w:tc>
          <w:tcPr>
            <w:tcW w:w="432" w:type="pct"/>
            <w:vMerge w:val="continue"/>
            <w:vAlign w:val="center"/>
          </w:tcPr>
          <w:p w14:paraId="6F0ACF54">
            <w:pPr>
              <w:pStyle w:val="34"/>
              <w:ind w:left="-72" w:leftChars="-30" w:right="-72" w:rightChars="-30"/>
              <w:rPr>
                <w:rFonts w:ascii="Calibri" w:hAnsi="Calibri"/>
              </w:rPr>
            </w:pPr>
          </w:p>
        </w:tc>
      </w:tr>
      <w:tr w14:paraId="08E85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Merge w:val="continue"/>
            <w:vAlign w:val="center"/>
          </w:tcPr>
          <w:p w14:paraId="588C263F">
            <w:pPr>
              <w:pStyle w:val="34"/>
              <w:ind w:left="-72" w:leftChars="-30" w:right="-72" w:rightChars="-30"/>
              <w:rPr>
                <w:rFonts w:ascii="Calibri" w:hAnsi="Calibri"/>
              </w:rPr>
            </w:pPr>
          </w:p>
        </w:tc>
        <w:tc>
          <w:tcPr>
            <w:tcW w:w="902" w:type="pct"/>
            <w:vMerge w:val="continue"/>
            <w:vAlign w:val="center"/>
          </w:tcPr>
          <w:p w14:paraId="13A41C40">
            <w:pPr>
              <w:pStyle w:val="34"/>
              <w:ind w:left="-72" w:leftChars="-30" w:right="-72" w:rightChars="-30"/>
              <w:rPr>
                <w:rFonts w:ascii="Calibri" w:hAnsi="Calibri"/>
              </w:rPr>
            </w:pPr>
          </w:p>
        </w:tc>
        <w:tc>
          <w:tcPr>
            <w:tcW w:w="661" w:type="pct"/>
            <w:vAlign w:val="center"/>
          </w:tcPr>
          <w:p w14:paraId="19DC832B">
            <w:pPr>
              <w:pStyle w:val="34"/>
              <w:ind w:left="-72" w:leftChars="-30" w:right="-72" w:rightChars="-30"/>
              <w:rPr>
                <w:rFonts w:ascii="Calibri" w:hAnsi="Calibri"/>
              </w:rPr>
            </w:pPr>
            <w:r>
              <w:rPr>
                <w:rFonts w:ascii="Calibri" w:hAnsi="Calibri"/>
              </w:rPr>
              <w:t>二噁英类pgTEQ/m</w:t>
            </w:r>
            <w:r>
              <w:rPr>
                <w:rFonts w:ascii="Calibri" w:hAnsi="Calibri"/>
                <w:vertAlign w:val="superscript"/>
              </w:rPr>
              <w:t>3</w:t>
            </w:r>
          </w:p>
        </w:tc>
        <w:tc>
          <w:tcPr>
            <w:tcW w:w="664" w:type="pct"/>
            <w:vAlign w:val="center"/>
          </w:tcPr>
          <w:p w14:paraId="3BA0B9C6">
            <w:pPr>
              <w:pStyle w:val="34"/>
              <w:ind w:left="-72" w:leftChars="-30" w:right="-72" w:rightChars="-30"/>
              <w:rPr>
                <w:rFonts w:ascii="Calibri" w:hAnsi="Calibri"/>
              </w:rPr>
            </w:pPr>
            <w:r>
              <w:rPr>
                <w:rFonts w:ascii="Calibri" w:hAnsi="Calibri"/>
              </w:rPr>
              <w:t>3.6</w:t>
            </w:r>
          </w:p>
        </w:tc>
        <w:tc>
          <w:tcPr>
            <w:tcW w:w="762" w:type="pct"/>
            <w:vAlign w:val="center"/>
          </w:tcPr>
          <w:p w14:paraId="2003C0C4">
            <w:pPr>
              <w:pStyle w:val="34"/>
              <w:ind w:left="-72" w:leftChars="-30" w:right="-72" w:rightChars="-30"/>
              <w:rPr>
                <w:rFonts w:ascii="Calibri" w:hAnsi="Calibri"/>
              </w:rPr>
            </w:pPr>
            <w:r>
              <w:rPr>
                <w:rFonts w:ascii="Calibri" w:hAnsi="Calibri"/>
              </w:rPr>
              <w:t>0.000000181</w:t>
            </w:r>
          </w:p>
        </w:tc>
        <w:tc>
          <w:tcPr>
            <w:tcW w:w="432" w:type="pct"/>
            <w:vAlign w:val="center"/>
          </w:tcPr>
          <w:p w14:paraId="4B06DEE4">
            <w:pPr>
              <w:pStyle w:val="34"/>
              <w:ind w:left="-72" w:leftChars="-30" w:right="-72" w:rightChars="-30"/>
              <w:rPr>
                <w:rFonts w:ascii="Calibri" w:hAnsi="Calibri"/>
              </w:rPr>
            </w:pPr>
            <w:r>
              <w:rPr>
                <w:rFonts w:ascii="Calibri" w:hAnsi="Calibri"/>
              </w:rPr>
              <w:t>5.03</w:t>
            </w:r>
          </w:p>
        </w:tc>
        <w:tc>
          <w:tcPr>
            <w:tcW w:w="934" w:type="pct"/>
            <w:vAlign w:val="center"/>
          </w:tcPr>
          <w:p w14:paraId="61A1B9CD">
            <w:pPr>
              <w:pStyle w:val="34"/>
              <w:ind w:left="-72" w:leftChars="-30" w:right="-72" w:rightChars="-30"/>
              <w:rPr>
                <w:rFonts w:ascii="Calibri" w:hAnsi="Calibri"/>
              </w:rPr>
            </w:pPr>
            <w:r>
              <w:rPr>
                <w:rFonts w:ascii="Calibri" w:hAnsi="Calibri"/>
              </w:rPr>
              <w:t>/</w:t>
            </w:r>
          </w:p>
        </w:tc>
        <w:tc>
          <w:tcPr>
            <w:tcW w:w="432" w:type="pct"/>
            <w:vMerge w:val="continue"/>
            <w:vAlign w:val="center"/>
          </w:tcPr>
          <w:p w14:paraId="1461D9AC">
            <w:pPr>
              <w:pStyle w:val="34"/>
              <w:ind w:left="-72" w:leftChars="-30" w:right="-72" w:rightChars="-30"/>
              <w:rPr>
                <w:rFonts w:ascii="Calibri" w:hAnsi="Calibri"/>
              </w:rPr>
            </w:pPr>
          </w:p>
        </w:tc>
      </w:tr>
      <w:tr w14:paraId="14933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Merge w:val="continue"/>
            <w:vAlign w:val="center"/>
          </w:tcPr>
          <w:p w14:paraId="54D371E6">
            <w:pPr>
              <w:pStyle w:val="34"/>
              <w:ind w:left="-72" w:leftChars="-30" w:right="-72" w:rightChars="-30"/>
              <w:rPr>
                <w:rFonts w:ascii="Calibri" w:hAnsi="Calibri"/>
              </w:rPr>
            </w:pPr>
          </w:p>
        </w:tc>
        <w:tc>
          <w:tcPr>
            <w:tcW w:w="902" w:type="pct"/>
            <w:vMerge w:val="continue"/>
            <w:vAlign w:val="center"/>
          </w:tcPr>
          <w:p w14:paraId="4EC561D7">
            <w:pPr>
              <w:pStyle w:val="34"/>
              <w:ind w:left="-72" w:leftChars="-30" w:right="-72" w:rightChars="-30"/>
              <w:rPr>
                <w:rFonts w:ascii="Calibri" w:hAnsi="Calibri"/>
              </w:rPr>
            </w:pPr>
          </w:p>
        </w:tc>
        <w:tc>
          <w:tcPr>
            <w:tcW w:w="661" w:type="pct"/>
            <w:vAlign w:val="center"/>
          </w:tcPr>
          <w:p w14:paraId="0547546B">
            <w:pPr>
              <w:pStyle w:val="34"/>
              <w:ind w:left="-72" w:leftChars="-30" w:right="-72" w:rightChars="-30"/>
              <w:rPr>
                <w:rFonts w:ascii="Calibri" w:hAnsi="Calibri"/>
              </w:rPr>
            </w:pPr>
            <w:r>
              <w:rPr>
                <w:rFonts w:ascii="Calibri" w:hAnsi="Calibri"/>
              </w:rPr>
              <w:t>氨</w:t>
            </w:r>
          </w:p>
        </w:tc>
        <w:tc>
          <w:tcPr>
            <w:tcW w:w="664" w:type="pct"/>
            <w:vAlign w:val="center"/>
          </w:tcPr>
          <w:p w14:paraId="1C7E4226">
            <w:pPr>
              <w:pStyle w:val="34"/>
              <w:ind w:left="-72" w:leftChars="-30" w:right="-72" w:rightChars="-30"/>
              <w:rPr>
                <w:rFonts w:ascii="Calibri" w:hAnsi="Calibri"/>
              </w:rPr>
            </w:pPr>
            <w:r>
              <w:rPr>
                <w:rFonts w:ascii="Calibri" w:hAnsi="Calibri"/>
              </w:rPr>
              <w:t>200</w:t>
            </w:r>
          </w:p>
        </w:tc>
        <w:tc>
          <w:tcPr>
            <w:tcW w:w="762" w:type="pct"/>
            <w:vAlign w:val="center"/>
          </w:tcPr>
          <w:p w14:paraId="32BC64E7">
            <w:pPr>
              <w:pStyle w:val="34"/>
              <w:ind w:left="-72" w:leftChars="-30" w:right="-72" w:rightChars="-30"/>
              <w:rPr>
                <w:rFonts w:ascii="Calibri" w:hAnsi="Calibri"/>
              </w:rPr>
            </w:pPr>
            <w:r>
              <w:rPr>
                <w:rFonts w:ascii="Calibri" w:hAnsi="Calibri"/>
              </w:rPr>
              <w:t>0.919076</w:t>
            </w:r>
          </w:p>
        </w:tc>
        <w:tc>
          <w:tcPr>
            <w:tcW w:w="432" w:type="pct"/>
            <w:vAlign w:val="center"/>
          </w:tcPr>
          <w:p w14:paraId="0077B522">
            <w:pPr>
              <w:pStyle w:val="34"/>
              <w:ind w:left="-72" w:leftChars="-30" w:right="-72" w:rightChars="-30"/>
              <w:rPr>
                <w:rFonts w:ascii="Calibri" w:hAnsi="Calibri"/>
              </w:rPr>
            </w:pPr>
            <w:r>
              <w:rPr>
                <w:rFonts w:ascii="Calibri" w:hAnsi="Calibri"/>
              </w:rPr>
              <w:t>0.46</w:t>
            </w:r>
          </w:p>
        </w:tc>
        <w:tc>
          <w:tcPr>
            <w:tcW w:w="934" w:type="pct"/>
            <w:vAlign w:val="center"/>
          </w:tcPr>
          <w:p w14:paraId="0B6C8A35">
            <w:pPr>
              <w:pStyle w:val="34"/>
              <w:ind w:left="-72" w:leftChars="-30" w:right="-72" w:rightChars="-30"/>
              <w:rPr>
                <w:rFonts w:ascii="Calibri" w:hAnsi="Calibri"/>
              </w:rPr>
            </w:pPr>
            <w:r>
              <w:rPr>
                <w:rFonts w:ascii="Calibri" w:hAnsi="Calibri"/>
              </w:rPr>
              <w:t>/</w:t>
            </w:r>
          </w:p>
        </w:tc>
        <w:tc>
          <w:tcPr>
            <w:tcW w:w="432" w:type="pct"/>
            <w:vMerge w:val="continue"/>
            <w:vAlign w:val="center"/>
          </w:tcPr>
          <w:p w14:paraId="5DFED737">
            <w:pPr>
              <w:pStyle w:val="34"/>
              <w:ind w:left="-72" w:leftChars="-30" w:right="-72" w:rightChars="-30"/>
              <w:rPr>
                <w:rFonts w:ascii="Calibri" w:hAnsi="Calibri"/>
              </w:rPr>
            </w:pPr>
          </w:p>
        </w:tc>
      </w:tr>
      <w:tr w14:paraId="4F6C8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Align w:val="center"/>
          </w:tcPr>
          <w:p w14:paraId="6E57E0C1">
            <w:pPr>
              <w:pStyle w:val="34"/>
              <w:ind w:left="-72" w:leftChars="-30" w:right="-72" w:rightChars="-30"/>
              <w:rPr>
                <w:rFonts w:ascii="Calibri" w:hAnsi="Calibri"/>
              </w:rPr>
            </w:pPr>
            <w:r>
              <w:rPr>
                <w:rFonts w:ascii="Calibri" w:hAnsi="Calibri"/>
              </w:rPr>
              <w:t>2</w:t>
            </w:r>
          </w:p>
        </w:tc>
        <w:tc>
          <w:tcPr>
            <w:tcW w:w="902" w:type="pct"/>
            <w:vAlign w:val="center"/>
          </w:tcPr>
          <w:p w14:paraId="3C563025">
            <w:pPr>
              <w:pStyle w:val="34"/>
              <w:ind w:left="-72" w:leftChars="-30" w:right="-72" w:rightChars="-30"/>
              <w:rPr>
                <w:rFonts w:ascii="Calibri" w:hAnsi="Calibri"/>
              </w:rPr>
            </w:pPr>
            <w:r>
              <w:rPr>
                <w:rFonts w:ascii="Calibri" w:hAnsi="Calibri"/>
              </w:rPr>
              <w:t>烧结机尾排放口（DA008）</w:t>
            </w:r>
          </w:p>
        </w:tc>
        <w:tc>
          <w:tcPr>
            <w:tcW w:w="661" w:type="pct"/>
            <w:vAlign w:val="center"/>
          </w:tcPr>
          <w:p w14:paraId="5181C1CC">
            <w:pPr>
              <w:pStyle w:val="34"/>
              <w:ind w:left="-72" w:leftChars="-30" w:right="-72" w:rightChars="-30"/>
              <w:rPr>
                <w:rFonts w:ascii="Calibri" w:hAnsi="Calibri"/>
              </w:rPr>
            </w:pPr>
            <w:r>
              <w:rPr>
                <w:rFonts w:ascii="Calibri" w:hAnsi="Calibri"/>
              </w:rPr>
              <w:t>PM</w:t>
            </w:r>
            <w:r>
              <w:rPr>
                <w:rFonts w:ascii="Calibri" w:hAnsi="Calibri"/>
                <w:vertAlign w:val="subscript"/>
              </w:rPr>
              <w:t>10</w:t>
            </w:r>
          </w:p>
        </w:tc>
        <w:tc>
          <w:tcPr>
            <w:tcW w:w="664" w:type="pct"/>
            <w:vAlign w:val="center"/>
          </w:tcPr>
          <w:p w14:paraId="79F49E73">
            <w:pPr>
              <w:pStyle w:val="34"/>
              <w:ind w:left="-72" w:leftChars="-30" w:right="-72" w:rightChars="-30"/>
              <w:rPr>
                <w:rFonts w:ascii="Calibri" w:hAnsi="Calibri"/>
              </w:rPr>
            </w:pPr>
            <w:r>
              <w:rPr>
                <w:rFonts w:ascii="Calibri" w:hAnsi="Calibri"/>
              </w:rPr>
              <w:t>450</w:t>
            </w:r>
          </w:p>
        </w:tc>
        <w:tc>
          <w:tcPr>
            <w:tcW w:w="762" w:type="pct"/>
            <w:vAlign w:val="center"/>
          </w:tcPr>
          <w:p w14:paraId="386F9ED5">
            <w:pPr>
              <w:pStyle w:val="34"/>
              <w:ind w:left="-72" w:leftChars="-30" w:right="-72" w:rightChars="-30"/>
              <w:rPr>
                <w:rFonts w:ascii="Calibri" w:hAnsi="Calibri"/>
              </w:rPr>
            </w:pPr>
            <w:r>
              <w:rPr>
                <w:rFonts w:ascii="Calibri" w:hAnsi="Calibri"/>
              </w:rPr>
              <w:t>3.3268</w:t>
            </w:r>
          </w:p>
        </w:tc>
        <w:tc>
          <w:tcPr>
            <w:tcW w:w="432" w:type="pct"/>
            <w:vAlign w:val="center"/>
          </w:tcPr>
          <w:p w14:paraId="2D2D315D">
            <w:pPr>
              <w:pStyle w:val="34"/>
              <w:ind w:left="-72" w:leftChars="-30" w:right="-72" w:rightChars="-30"/>
              <w:rPr>
                <w:rFonts w:ascii="Calibri" w:hAnsi="Calibri"/>
              </w:rPr>
            </w:pPr>
            <w:r>
              <w:rPr>
                <w:rFonts w:ascii="Calibri" w:hAnsi="Calibri"/>
              </w:rPr>
              <w:t>0.74</w:t>
            </w:r>
          </w:p>
        </w:tc>
        <w:tc>
          <w:tcPr>
            <w:tcW w:w="934" w:type="pct"/>
            <w:vAlign w:val="center"/>
          </w:tcPr>
          <w:p w14:paraId="39CB8A69">
            <w:pPr>
              <w:pStyle w:val="34"/>
              <w:ind w:left="-72" w:leftChars="-30" w:right="-72" w:rightChars="-30"/>
              <w:rPr>
                <w:rFonts w:ascii="Calibri" w:hAnsi="Calibri"/>
              </w:rPr>
            </w:pPr>
            <w:r>
              <w:rPr>
                <w:rFonts w:ascii="Calibri" w:hAnsi="Calibri"/>
              </w:rPr>
              <w:t>/</w:t>
            </w:r>
          </w:p>
        </w:tc>
        <w:tc>
          <w:tcPr>
            <w:tcW w:w="432" w:type="pct"/>
            <w:vMerge w:val="continue"/>
            <w:vAlign w:val="center"/>
          </w:tcPr>
          <w:p w14:paraId="5089BEE0">
            <w:pPr>
              <w:pStyle w:val="34"/>
              <w:ind w:left="-72" w:leftChars="-30" w:right="-72" w:rightChars="-30"/>
              <w:rPr>
                <w:rFonts w:ascii="Calibri" w:hAnsi="Calibri"/>
              </w:rPr>
            </w:pPr>
          </w:p>
        </w:tc>
      </w:tr>
      <w:tr w14:paraId="16D7F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Align w:val="center"/>
          </w:tcPr>
          <w:p w14:paraId="111D1BAD">
            <w:pPr>
              <w:pStyle w:val="34"/>
              <w:ind w:left="-72" w:leftChars="-30" w:right="-72" w:rightChars="-30"/>
              <w:rPr>
                <w:rFonts w:ascii="Calibri" w:hAnsi="Calibri"/>
              </w:rPr>
            </w:pPr>
            <w:r>
              <w:rPr>
                <w:rFonts w:ascii="Calibri" w:hAnsi="Calibri"/>
              </w:rPr>
              <w:t>3</w:t>
            </w:r>
          </w:p>
        </w:tc>
        <w:tc>
          <w:tcPr>
            <w:tcW w:w="902" w:type="pct"/>
            <w:vAlign w:val="center"/>
          </w:tcPr>
          <w:p w14:paraId="24BB862E">
            <w:pPr>
              <w:pStyle w:val="34"/>
              <w:ind w:left="-72" w:leftChars="-30" w:right="-72" w:rightChars="-30"/>
              <w:rPr>
                <w:rFonts w:ascii="Calibri" w:hAnsi="Calibri"/>
              </w:rPr>
            </w:pPr>
            <w:r>
              <w:rPr>
                <w:rFonts w:ascii="Calibri" w:hAnsi="Calibri"/>
              </w:rPr>
              <w:t>技改新增精炼车间废气排放口（DA009）</w:t>
            </w:r>
          </w:p>
        </w:tc>
        <w:tc>
          <w:tcPr>
            <w:tcW w:w="661" w:type="pct"/>
            <w:vAlign w:val="center"/>
          </w:tcPr>
          <w:p w14:paraId="49174D61">
            <w:pPr>
              <w:pStyle w:val="34"/>
              <w:ind w:left="-72" w:leftChars="-30" w:right="-72" w:rightChars="-30"/>
              <w:rPr>
                <w:rFonts w:ascii="Calibri" w:hAnsi="Calibri"/>
              </w:rPr>
            </w:pPr>
            <w:r>
              <w:rPr>
                <w:rFonts w:ascii="Calibri" w:hAnsi="Calibri"/>
              </w:rPr>
              <w:t>PM</w:t>
            </w:r>
            <w:r>
              <w:rPr>
                <w:rFonts w:ascii="Calibri" w:hAnsi="Calibri"/>
                <w:vertAlign w:val="subscript"/>
              </w:rPr>
              <w:t>10</w:t>
            </w:r>
          </w:p>
        </w:tc>
        <w:tc>
          <w:tcPr>
            <w:tcW w:w="664" w:type="pct"/>
            <w:vAlign w:val="center"/>
          </w:tcPr>
          <w:p w14:paraId="1E0064B2">
            <w:pPr>
              <w:pStyle w:val="34"/>
              <w:ind w:left="-72" w:leftChars="-30" w:right="-72" w:rightChars="-30"/>
              <w:rPr>
                <w:rFonts w:ascii="Calibri" w:hAnsi="Calibri"/>
              </w:rPr>
            </w:pPr>
            <w:r>
              <w:rPr>
                <w:rFonts w:ascii="Calibri" w:hAnsi="Calibri"/>
              </w:rPr>
              <w:t>450</w:t>
            </w:r>
          </w:p>
        </w:tc>
        <w:tc>
          <w:tcPr>
            <w:tcW w:w="762" w:type="pct"/>
            <w:vAlign w:val="center"/>
          </w:tcPr>
          <w:p w14:paraId="1023CE11">
            <w:pPr>
              <w:pStyle w:val="34"/>
              <w:ind w:left="-72" w:leftChars="-30" w:right="-72" w:rightChars="-30"/>
              <w:rPr>
                <w:rFonts w:ascii="Calibri" w:hAnsi="Calibri"/>
              </w:rPr>
            </w:pPr>
            <w:r>
              <w:rPr>
                <w:rFonts w:ascii="Calibri" w:hAnsi="Calibri"/>
              </w:rPr>
              <w:t>101.55</w:t>
            </w:r>
          </w:p>
        </w:tc>
        <w:tc>
          <w:tcPr>
            <w:tcW w:w="432" w:type="pct"/>
            <w:vAlign w:val="center"/>
          </w:tcPr>
          <w:p w14:paraId="48A52E01">
            <w:pPr>
              <w:pStyle w:val="34"/>
              <w:ind w:left="-72" w:leftChars="-30" w:right="-72" w:rightChars="-30"/>
              <w:rPr>
                <w:rFonts w:ascii="Calibri" w:hAnsi="Calibri"/>
              </w:rPr>
            </w:pPr>
            <w:r>
              <w:rPr>
                <w:rFonts w:ascii="Calibri" w:hAnsi="Calibri"/>
              </w:rPr>
              <w:t>22.57</w:t>
            </w:r>
          </w:p>
        </w:tc>
        <w:tc>
          <w:tcPr>
            <w:tcW w:w="934" w:type="pct"/>
            <w:vAlign w:val="center"/>
          </w:tcPr>
          <w:p w14:paraId="03E2AF50">
            <w:pPr>
              <w:pStyle w:val="34"/>
              <w:ind w:left="-72" w:leftChars="-30" w:right="-72" w:rightChars="-30"/>
              <w:rPr>
                <w:rFonts w:ascii="Calibri" w:hAnsi="Calibri"/>
              </w:rPr>
            </w:pPr>
            <w:r>
              <w:rPr>
                <w:rFonts w:ascii="Calibri" w:hAnsi="Calibri"/>
              </w:rPr>
              <w:t>375</w:t>
            </w:r>
          </w:p>
        </w:tc>
        <w:tc>
          <w:tcPr>
            <w:tcW w:w="432" w:type="pct"/>
            <w:vMerge w:val="continue"/>
            <w:vAlign w:val="center"/>
          </w:tcPr>
          <w:p w14:paraId="2A6C4676">
            <w:pPr>
              <w:pStyle w:val="34"/>
              <w:ind w:left="-72" w:leftChars="-30" w:right="-72" w:rightChars="-30"/>
              <w:rPr>
                <w:rFonts w:ascii="Calibri" w:hAnsi="Calibri"/>
              </w:rPr>
            </w:pPr>
          </w:p>
        </w:tc>
      </w:tr>
      <w:tr w14:paraId="483FF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 w:type="pct"/>
            <w:vAlign w:val="center"/>
          </w:tcPr>
          <w:p w14:paraId="756297F5">
            <w:pPr>
              <w:pStyle w:val="34"/>
              <w:ind w:left="-72" w:leftChars="-30" w:right="-72" w:rightChars="-30"/>
              <w:rPr>
                <w:rFonts w:ascii="Calibri" w:hAnsi="Calibri"/>
              </w:rPr>
            </w:pPr>
            <w:r>
              <w:rPr>
                <w:rFonts w:ascii="Calibri" w:hAnsi="Calibri"/>
              </w:rPr>
              <w:t>4</w:t>
            </w:r>
          </w:p>
        </w:tc>
        <w:tc>
          <w:tcPr>
            <w:tcW w:w="902" w:type="pct"/>
            <w:vAlign w:val="center"/>
          </w:tcPr>
          <w:p w14:paraId="626C9534">
            <w:pPr>
              <w:pStyle w:val="34"/>
              <w:ind w:left="-72" w:leftChars="-30" w:right="-72" w:rightChars="-30"/>
              <w:rPr>
                <w:rFonts w:ascii="Calibri" w:hAnsi="Calibri"/>
              </w:rPr>
            </w:pPr>
            <w:r>
              <w:rPr>
                <w:rFonts w:ascii="Calibri" w:hAnsi="Calibri"/>
              </w:rPr>
              <w:t>无组织面源</w:t>
            </w:r>
          </w:p>
        </w:tc>
        <w:tc>
          <w:tcPr>
            <w:tcW w:w="661" w:type="pct"/>
            <w:vAlign w:val="center"/>
          </w:tcPr>
          <w:p w14:paraId="7AA4C7D3">
            <w:pPr>
              <w:pStyle w:val="34"/>
              <w:ind w:left="-72" w:leftChars="-30" w:right="-72" w:rightChars="-30"/>
              <w:rPr>
                <w:rFonts w:ascii="Calibri" w:hAnsi="Calibri"/>
              </w:rPr>
            </w:pPr>
            <w:r>
              <w:rPr>
                <w:rFonts w:ascii="Calibri" w:hAnsi="Calibri"/>
              </w:rPr>
              <w:t>TSP</w:t>
            </w:r>
          </w:p>
        </w:tc>
        <w:tc>
          <w:tcPr>
            <w:tcW w:w="664" w:type="pct"/>
            <w:vAlign w:val="center"/>
          </w:tcPr>
          <w:p w14:paraId="1E92E4FD">
            <w:pPr>
              <w:pStyle w:val="34"/>
              <w:ind w:left="-72" w:leftChars="-30" w:right="-72" w:rightChars="-30"/>
              <w:rPr>
                <w:rFonts w:ascii="Calibri" w:hAnsi="Calibri"/>
              </w:rPr>
            </w:pPr>
            <w:r>
              <w:rPr>
                <w:rFonts w:ascii="Calibri" w:hAnsi="Calibri"/>
              </w:rPr>
              <w:t>900</w:t>
            </w:r>
          </w:p>
        </w:tc>
        <w:tc>
          <w:tcPr>
            <w:tcW w:w="762" w:type="pct"/>
            <w:vAlign w:val="center"/>
          </w:tcPr>
          <w:p w14:paraId="046770CA">
            <w:pPr>
              <w:pStyle w:val="34"/>
              <w:ind w:left="-72" w:leftChars="-30" w:right="-72" w:rightChars="-30"/>
              <w:rPr>
                <w:rFonts w:ascii="Calibri" w:hAnsi="Calibri"/>
              </w:rPr>
            </w:pPr>
            <w:r>
              <w:rPr>
                <w:rFonts w:ascii="Calibri" w:hAnsi="Calibri"/>
              </w:rPr>
              <w:t>7.38</w:t>
            </w:r>
          </w:p>
        </w:tc>
        <w:tc>
          <w:tcPr>
            <w:tcW w:w="432" w:type="pct"/>
            <w:vAlign w:val="center"/>
          </w:tcPr>
          <w:p w14:paraId="0F5EB5AD">
            <w:pPr>
              <w:pStyle w:val="34"/>
              <w:ind w:left="-72" w:leftChars="-30" w:right="-72" w:rightChars="-30"/>
              <w:rPr>
                <w:rFonts w:ascii="Calibri" w:hAnsi="Calibri"/>
              </w:rPr>
            </w:pPr>
            <w:r>
              <w:rPr>
                <w:rFonts w:ascii="Calibri" w:hAnsi="Calibri"/>
              </w:rPr>
              <w:t>0.82</w:t>
            </w:r>
          </w:p>
        </w:tc>
        <w:tc>
          <w:tcPr>
            <w:tcW w:w="934" w:type="pct"/>
            <w:vAlign w:val="center"/>
          </w:tcPr>
          <w:p w14:paraId="3F6C5B7B">
            <w:pPr>
              <w:pStyle w:val="34"/>
              <w:ind w:left="-72" w:leftChars="-30" w:right="-72" w:rightChars="-30"/>
              <w:rPr>
                <w:rFonts w:ascii="Calibri" w:hAnsi="Calibri"/>
              </w:rPr>
            </w:pPr>
            <w:r>
              <w:rPr>
                <w:rFonts w:ascii="Calibri" w:hAnsi="Calibri"/>
              </w:rPr>
              <w:t>/</w:t>
            </w:r>
          </w:p>
        </w:tc>
        <w:tc>
          <w:tcPr>
            <w:tcW w:w="432" w:type="pct"/>
            <w:vMerge w:val="continue"/>
            <w:vAlign w:val="center"/>
          </w:tcPr>
          <w:p w14:paraId="3AFE48EA">
            <w:pPr>
              <w:pStyle w:val="34"/>
              <w:ind w:left="-72" w:leftChars="-30" w:right="-72" w:rightChars="-30"/>
              <w:rPr>
                <w:rFonts w:ascii="Calibri" w:hAnsi="Calibri"/>
              </w:rPr>
            </w:pPr>
          </w:p>
        </w:tc>
      </w:tr>
    </w:tbl>
    <w:p w14:paraId="597C8A67">
      <w:pPr>
        <w:pStyle w:val="3"/>
        <w:ind w:firstLine="480"/>
        <w:rPr>
          <w:color w:val="EE0000"/>
          <w:sz w:val="21"/>
          <w:szCs w:val="21"/>
        </w:rPr>
      </w:pPr>
      <w:bookmarkStart w:id="82" w:name="_Hlk176444685"/>
      <w:bookmarkStart w:id="83" w:name="_Hlk171874115"/>
      <w:r>
        <w:t>综合以上分析，</w:t>
      </w:r>
      <w:bookmarkStart w:id="84" w:name="_Hlk176445071"/>
      <w:r>
        <w:t>技改新增精炼车间废气排放口（DA009）颗粒物预测结果占标率最大，浓度值为101.55</w:t>
      </w:r>
      <w:r>
        <w:rPr>
          <w:sz w:val="21"/>
          <w:szCs w:val="21"/>
        </w:rPr>
        <w:t>µ</w:t>
      </w:r>
      <w:r>
        <w:t>g/m</w:t>
      </w:r>
      <w:r>
        <w:rPr>
          <w:vertAlign w:val="superscript"/>
        </w:rPr>
        <w:t>3</w:t>
      </w:r>
      <w:r>
        <w:t>，占标率为22.57%</w:t>
      </w:r>
      <w:bookmarkEnd w:id="79"/>
      <w:bookmarkEnd w:id="80"/>
      <w:bookmarkEnd w:id="82"/>
      <w:bookmarkEnd w:id="84"/>
      <w:r>
        <w:t>，最远距离D</w:t>
      </w:r>
      <w:r>
        <w:rPr>
          <w:vertAlign w:val="subscript"/>
        </w:rPr>
        <w:t>10%</w:t>
      </w:r>
      <w:r>
        <w:t>为375m判定评价等级为一级。</w:t>
      </w:r>
    </w:p>
    <w:bookmarkEnd w:id="83"/>
    <w:p w14:paraId="19D689AE">
      <w:pPr>
        <w:pStyle w:val="6"/>
      </w:pPr>
      <w:r>
        <w:t>地表水环境评价工作等级</w:t>
      </w:r>
    </w:p>
    <w:p w14:paraId="566CA024">
      <w:pPr>
        <w:pStyle w:val="3"/>
        <w:ind w:firstLine="480"/>
      </w:pPr>
      <w:r>
        <w:t>根据《环境影响评价技术导则 地表水环境》（HJ2.3-2018）建设项目地表水环境影响评价等级按照影响类型、排放方式、排放量或影响情况、受纳水体环境质量现状、水环境保护目标等综合确定。本项目产生的工艺废水全部循环利用，不排放到外环境，生活污水排入园区污水管网，最终进入园区污水处理厂。判定地表水环境影响评价等级为三级B。评价等级判定依据见下表：</w:t>
      </w:r>
    </w:p>
    <w:p w14:paraId="20486D4E">
      <w:pPr>
        <w:pStyle w:val="40"/>
        <w:spacing w:before="156"/>
      </w:pPr>
      <w:r>
        <w:t>表2.4-4    水污染影响型建设项目评价等级判定</w:t>
      </w:r>
    </w:p>
    <w:tbl>
      <w:tblPr>
        <w:tblStyle w:val="28"/>
        <w:tblW w:w="494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68"/>
        <w:gridCol w:w="1240"/>
        <w:gridCol w:w="5527"/>
      </w:tblGrid>
      <w:tr w14:paraId="3AABD5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89" w:type="pct"/>
            <w:vMerge w:val="restart"/>
            <w:vAlign w:val="center"/>
          </w:tcPr>
          <w:p w14:paraId="15961637">
            <w:pPr>
              <w:pStyle w:val="41"/>
            </w:pPr>
            <w:r>
              <w:t>评价等级</w:t>
            </w:r>
          </w:p>
        </w:tc>
        <w:tc>
          <w:tcPr>
            <w:tcW w:w="4011" w:type="pct"/>
            <w:gridSpan w:val="2"/>
            <w:vAlign w:val="center"/>
          </w:tcPr>
          <w:p w14:paraId="39DEFD65">
            <w:pPr>
              <w:pStyle w:val="41"/>
            </w:pPr>
            <w:r>
              <w:t>判定依据</w:t>
            </w:r>
          </w:p>
        </w:tc>
      </w:tr>
      <w:tr w14:paraId="3971EC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89" w:type="pct"/>
            <w:vMerge w:val="continue"/>
            <w:vAlign w:val="center"/>
          </w:tcPr>
          <w:p w14:paraId="6D1BE066">
            <w:pPr>
              <w:pStyle w:val="41"/>
            </w:pPr>
          </w:p>
        </w:tc>
        <w:tc>
          <w:tcPr>
            <w:tcW w:w="735" w:type="pct"/>
            <w:vAlign w:val="center"/>
          </w:tcPr>
          <w:p w14:paraId="617C9699">
            <w:pPr>
              <w:pStyle w:val="41"/>
            </w:pPr>
            <w:r>
              <w:t>排放方式</w:t>
            </w:r>
          </w:p>
        </w:tc>
        <w:tc>
          <w:tcPr>
            <w:tcW w:w="3277" w:type="pct"/>
            <w:vAlign w:val="center"/>
          </w:tcPr>
          <w:p w14:paraId="03AA5B01">
            <w:pPr>
              <w:pStyle w:val="41"/>
            </w:pPr>
            <w:r>
              <w:t>废水排放量Q/（m³/d）；水污染物当量数W/（无量纲）</w:t>
            </w:r>
          </w:p>
        </w:tc>
      </w:tr>
      <w:tr w14:paraId="5B6CCF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pct"/>
            <w:vAlign w:val="center"/>
          </w:tcPr>
          <w:p w14:paraId="6290EB2E">
            <w:pPr>
              <w:pStyle w:val="41"/>
            </w:pPr>
            <w:r>
              <w:t>一级</w:t>
            </w:r>
          </w:p>
        </w:tc>
        <w:tc>
          <w:tcPr>
            <w:tcW w:w="735" w:type="pct"/>
            <w:vAlign w:val="center"/>
          </w:tcPr>
          <w:p w14:paraId="6C9B311B">
            <w:pPr>
              <w:pStyle w:val="41"/>
            </w:pPr>
            <w:r>
              <w:t>直接排放</w:t>
            </w:r>
          </w:p>
        </w:tc>
        <w:tc>
          <w:tcPr>
            <w:tcW w:w="3277" w:type="pct"/>
            <w:vAlign w:val="center"/>
          </w:tcPr>
          <w:p w14:paraId="18B7BA25">
            <w:pPr>
              <w:pStyle w:val="41"/>
            </w:pPr>
            <w:r>
              <w:t>Q≥20000或W≥600000</w:t>
            </w:r>
          </w:p>
        </w:tc>
      </w:tr>
      <w:tr w14:paraId="08081A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pct"/>
            <w:vAlign w:val="center"/>
          </w:tcPr>
          <w:p w14:paraId="78529C25">
            <w:pPr>
              <w:pStyle w:val="41"/>
            </w:pPr>
            <w:r>
              <w:t>二级</w:t>
            </w:r>
          </w:p>
        </w:tc>
        <w:tc>
          <w:tcPr>
            <w:tcW w:w="735" w:type="pct"/>
            <w:vAlign w:val="center"/>
          </w:tcPr>
          <w:p w14:paraId="143D2703">
            <w:pPr>
              <w:pStyle w:val="41"/>
            </w:pPr>
            <w:r>
              <w:t>直接排放</w:t>
            </w:r>
          </w:p>
        </w:tc>
        <w:tc>
          <w:tcPr>
            <w:tcW w:w="3277" w:type="pct"/>
            <w:vAlign w:val="center"/>
          </w:tcPr>
          <w:p w14:paraId="090E6367">
            <w:pPr>
              <w:pStyle w:val="41"/>
            </w:pPr>
            <w:r>
              <w:t>其他</w:t>
            </w:r>
          </w:p>
        </w:tc>
      </w:tr>
      <w:tr w14:paraId="542427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pct"/>
            <w:vAlign w:val="center"/>
          </w:tcPr>
          <w:p w14:paraId="39F016B3">
            <w:pPr>
              <w:pStyle w:val="41"/>
            </w:pPr>
            <w:r>
              <w:t>三级A</w:t>
            </w:r>
          </w:p>
        </w:tc>
        <w:tc>
          <w:tcPr>
            <w:tcW w:w="735" w:type="pct"/>
            <w:vAlign w:val="center"/>
          </w:tcPr>
          <w:p w14:paraId="4AA3ABB1">
            <w:pPr>
              <w:pStyle w:val="41"/>
            </w:pPr>
            <w:r>
              <w:t>直接排放</w:t>
            </w:r>
          </w:p>
        </w:tc>
        <w:tc>
          <w:tcPr>
            <w:tcW w:w="3277" w:type="pct"/>
            <w:vAlign w:val="center"/>
          </w:tcPr>
          <w:p w14:paraId="03FE76E7">
            <w:pPr>
              <w:pStyle w:val="41"/>
            </w:pPr>
            <w:r>
              <w:t>Q&lt;200且W&lt;6000</w:t>
            </w:r>
          </w:p>
        </w:tc>
      </w:tr>
      <w:tr w14:paraId="67DD59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pct"/>
            <w:vAlign w:val="center"/>
          </w:tcPr>
          <w:p w14:paraId="0A1E742C">
            <w:pPr>
              <w:pStyle w:val="41"/>
            </w:pPr>
            <w:r>
              <w:t>三级B</w:t>
            </w:r>
          </w:p>
        </w:tc>
        <w:tc>
          <w:tcPr>
            <w:tcW w:w="735" w:type="pct"/>
            <w:vAlign w:val="center"/>
          </w:tcPr>
          <w:p w14:paraId="4D5B6100">
            <w:pPr>
              <w:pStyle w:val="41"/>
            </w:pPr>
            <w:r>
              <w:t>间接排放</w:t>
            </w:r>
          </w:p>
        </w:tc>
        <w:tc>
          <w:tcPr>
            <w:tcW w:w="3277" w:type="pct"/>
            <w:vAlign w:val="center"/>
          </w:tcPr>
          <w:p w14:paraId="45A50C80">
            <w:pPr>
              <w:pStyle w:val="41"/>
            </w:pPr>
            <w:r>
              <w:t>-</w:t>
            </w:r>
          </w:p>
        </w:tc>
      </w:tr>
      <w:tr w14:paraId="4C5069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3"/>
            <w:vAlign w:val="center"/>
          </w:tcPr>
          <w:p w14:paraId="31C421C6">
            <w:pPr>
              <w:pStyle w:val="41"/>
              <w:jc w:val="left"/>
            </w:pPr>
            <w:r>
              <w:t>注：建设项目生产工艺中有废水产生，但作为回水利用，不排放到外环境的，按三级B评价。</w:t>
            </w:r>
          </w:p>
        </w:tc>
      </w:tr>
    </w:tbl>
    <w:p w14:paraId="43F85C4E">
      <w:pPr>
        <w:pStyle w:val="6"/>
      </w:pPr>
      <w:r>
        <w:t>地下水环境评价工作等级</w:t>
      </w:r>
    </w:p>
    <w:p w14:paraId="29F9ECF6">
      <w:pPr>
        <w:pStyle w:val="3"/>
        <w:ind w:firstLine="480"/>
      </w:pPr>
      <w:r>
        <w:t>本次技改工程为中低碳锰铁合金制造项目，根据《环境影响评价技术导则 地下水环境》（HJ610-2016）附录A中地下水环境影响评价行业分类表，本项目属“G 黑色金属- 45、铁合金制造；锰、铬冶炼”中铁合金制造Ⅲ类。项目位于奎屯-独山子经济技术开发区，评价区不属于集中式饮用水水源（包括已建成的在用、备用、应急水源地，在建和规划的饮用水水源）准保护区、除集中式饮用水水源以外的国家或地方政府设定的与地下水环境相关的其它保护区内，不属于地下水环境敏感区，依据《环境影响评价技术导则-地下水环境》（HJ610-2016）中的地下水环境敏感程度分级表及建设项目评价工作等级分级表，确定项目地下水评价等级为三级。</w:t>
      </w:r>
    </w:p>
    <w:p w14:paraId="74045DEC">
      <w:pPr>
        <w:pStyle w:val="40"/>
        <w:spacing w:before="156"/>
      </w:pPr>
      <w:r>
        <w:t>表2.4-5    地下水环境敏感程度分级</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3"/>
        <w:gridCol w:w="7546"/>
      </w:tblGrid>
      <w:tr w14:paraId="5C50A9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71" w:type="pct"/>
            <w:vAlign w:val="center"/>
          </w:tcPr>
          <w:p w14:paraId="66942EA7">
            <w:pPr>
              <w:pStyle w:val="41"/>
            </w:pPr>
            <w:r>
              <w:t>分级</w:t>
            </w:r>
          </w:p>
        </w:tc>
        <w:tc>
          <w:tcPr>
            <w:tcW w:w="4428" w:type="pct"/>
            <w:vAlign w:val="center"/>
          </w:tcPr>
          <w:p w14:paraId="5DCEA9B0">
            <w:pPr>
              <w:pStyle w:val="41"/>
            </w:pPr>
            <w:r>
              <w:t>项目场地的地下水环境敏感特征</w:t>
            </w:r>
          </w:p>
        </w:tc>
      </w:tr>
      <w:tr w14:paraId="36A2D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1" w:type="pct"/>
            <w:vAlign w:val="center"/>
          </w:tcPr>
          <w:p w14:paraId="1D8E96F5">
            <w:pPr>
              <w:pStyle w:val="41"/>
            </w:pPr>
            <w:r>
              <w:t>敏感</w:t>
            </w:r>
          </w:p>
        </w:tc>
        <w:tc>
          <w:tcPr>
            <w:tcW w:w="4428" w:type="pct"/>
            <w:vAlign w:val="center"/>
          </w:tcPr>
          <w:p w14:paraId="0241F00D">
            <w:pPr>
              <w:pStyle w:val="41"/>
              <w:jc w:val="left"/>
            </w:pPr>
            <w: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14:paraId="727408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1" w:type="pct"/>
            <w:vAlign w:val="center"/>
          </w:tcPr>
          <w:p w14:paraId="20C3AB69">
            <w:pPr>
              <w:pStyle w:val="41"/>
            </w:pPr>
            <w:r>
              <w:t>较敏感</w:t>
            </w:r>
          </w:p>
        </w:tc>
        <w:tc>
          <w:tcPr>
            <w:tcW w:w="4428" w:type="pct"/>
            <w:vAlign w:val="center"/>
          </w:tcPr>
          <w:p w14:paraId="0D93997D">
            <w:pPr>
              <w:pStyle w:val="41"/>
              <w:jc w:val="left"/>
            </w:pPr>
            <w:r>
              <w:t>集中式饮用水水源（包括已建成的在用、备用、应急水源，在建和规划的饮用水水源）准保护区以外的补给径流区；未划定准保护区的集中式饮用水水源，其保护区以外的补给径流区；分散式饮用水水源地；特殊地下水资源（矿泉水、温泉等）保护区以外的分布区等其它未列入上述敏感分级的环境敏感区。</w:t>
            </w:r>
          </w:p>
        </w:tc>
      </w:tr>
      <w:tr w14:paraId="60AD73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1" w:type="pct"/>
            <w:vAlign w:val="center"/>
          </w:tcPr>
          <w:p w14:paraId="687DE4DC">
            <w:pPr>
              <w:pStyle w:val="41"/>
            </w:pPr>
            <w:r>
              <w:t>不敏感</w:t>
            </w:r>
          </w:p>
        </w:tc>
        <w:tc>
          <w:tcPr>
            <w:tcW w:w="4428" w:type="pct"/>
            <w:vAlign w:val="center"/>
          </w:tcPr>
          <w:p w14:paraId="40C1AA42">
            <w:pPr>
              <w:pStyle w:val="41"/>
              <w:jc w:val="left"/>
            </w:pPr>
            <w:r>
              <w:t>上述地区之外的其它地区。</w:t>
            </w:r>
          </w:p>
        </w:tc>
      </w:tr>
      <w:tr w14:paraId="6D119C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2"/>
            <w:vAlign w:val="center"/>
          </w:tcPr>
          <w:p w14:paraId="793E7B6A">
            <w:pPr>
              <w:pStyle w:val="41"/>
              <w:jc w:val="left"/>
            </w:pPr>
            <w:r>
              <w:t>注：“环境敏感区”是指《建设项目环境影响评价分类管理名录》中所界定的涉及地下水的环境敏感区。</w:t>
            </w:r>
          </w:p>
        </w:tc>
      </w:tr>
    </w:tbl>
    <w:p w14:paraId="57B09209">
      <w:pPr>
        <w:pStyle w:val="40"/>
        <w:spacing w:before="156"/>
      </w:pPr>
      <w:r>
        <w:t>表2.4-6    评价区地下水环境影响评价工作等级划分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30"/>
        <w:gridCol w:w="2130"/>
        <w:gridCol w:w="2130"/>
      </w:tblGrid>
      <w:tr w14:paraId="059F80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l2br w:val="single" w:color="auto" w:sz="6" w:space="0"/>
            </w:tcBorders>
          </w:tcPr>
          <w:p w14:paraId="2BDF4CFF">
            <w:pPr>
              <w:pStyle w:val="41"/>
              <w:jc w:val="right"/>
            </w:pPr>
            <w:r>
              <w:t>项目类别</w:t>
            </w:r>
          </w:p>
          <w:p w14:paraId="3099916E">
            <w:pPr>
              <w:pStyle w:val="41"/>
              <w:jc w:val="left"/>
            </w:pPr>
            <w:r>
              <w:t>环境敏感程度</w:t>
            </w:r>
          </w:p>
        </w:tc>
        <w:tc>
          <w:tcPr>
            <w:tcW w:w="1250" w:type="pct"/>
            <w:vAlign w:val="center"/>
          </w:tcPr>
          <w:p w14:paraId="0E6CE4AF">
            <w:pPr>
              <w:pStyle w:val="41"/>
            </w:pPr>
            <w:r>
              <w:t>I类项目</w:t>
            </w:r>
          </w:p>
        </w:tc>
        <w:tc>
          <w:tcPr>
            <w:tcW w:w="1250" w:type="pct"/>
            <w:vAlign w:val="center"/>
          </w:tcPr>
          <w:p w14:paraId="028DB823">
            <w:pPr>
              <w:pStyle w:val="41"/>
            </w:pPr>
            <w:r>
              <w:t>Ⅱ类项目</w:t>
            </w:r>
          </w:p>
        </w:tc>
        <w:tc>
          <w:tcPr>
            <w:tcW w:w="1250" w:type="pct"/>
            <w:vAlign w:val="center"/>
          </w:tcPr>
          <w:p w14:paraId="11DDD0CA">
            <w:pPr>
              <w:pStyle w:val="41"/>
            </w:pPr>
            <w:r>
              <w:t>Ⅲ类项目</w:t>
            </w:r>
          </w:p>
        </w:tc>
      </w:tr>
      <w:tr w14:paraId="783CEA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vAlign w:val="center"/>
          </w:tcPr>
          <w:p w14:paraId="5301F7BA">
            <w:pPr>
              <w:pStyle w:val="41"/>
            </w:pPr>
            <w:r>
              <w:t>敏感</w:t>
            </w:r>
          </w:p>
        </w:tc>
        <w:tc>
          <w:tcPr>
            <w:tcW w:w="1250" w:type="pct"/>
            <w:vAlign w:val="center"/>
          </w:tcPr>
          <w:p w14:paraId="0D8980B3">
            <w:pPr>
              <w:pStyle w:val="41"/>
            </w:pPr>
            <w:r>
              <w:t>一</w:t>
            </w:r>
          </w:p>
        </w:tc>
        <w:tc>
          <w:tcPr>
            <w:tcW w:w="1250" w:type="pct"/>
            <w:vAlign w:val="center"/>
          </w:tcPr>
          <w:p w14:paraId="6F1B1C9B">
            <w:pPr>
              <w:pStyle w:val="41"/>
            </w:pPr>
            <w:r>
              <w:t>一</w:t>
            </w:r>
          </w:p>
        </w:tc>
        <w:tc>
          <w:tcPr>
            <w:tcW w:w="1250" w:type="pct"/>
            <w:vAlign w:val="center"/>
          </w:tcPr>
          <w:p w14:paraId="7E254E61">
            <w:pPr>
              <w:pStyle w:val="41"/>
            </w:pPr>
            <w:r>
              <w:t>二</w:t>
            </w:r>
          </w:p>
        </w:tc>
      </w:tr>
      <w:tr w14:paraId="090D33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vAlign w:val="center"/>
          </w:tcPr>
          <w:p w14:paraId="540F6FE1">
            <w:pPr>
              <w:pStyle w:val="41"/>
            </w:pPr>
            <w:r>
              <w:t>较敏感</w:t>
            </w:r>
          </w:p>
        </w:tc>
        <w:tc>
          <w:tcPr>
            <w:tcW w:w="1250" w:type="pct"/>
            <w:vAlign w:val="center"/>
          </w:tcPr>
          <w:p w14:paraId="6F43FCB4">
            <w:pPr>
              <w:pStyle w:val="41"/>
            </w:pPr>
            <w:r>
              <w:t>一</w:t>
            </w:r>
          </w:p>
        </w:tc>
        <w:tc>
          <w:tcPr>
            <w:tcW w:w="1250" w:type="pct"/>
            <w:vAlign w:val="center"/>
          </w:tcPr>
          <w:p w14:paraId="1E4269CC">
            <w:pPr>
              <w:pStyle w:val="41"/>
            </w:pPr>
            <w:r>
              <w:t>二</w:t>
            </w:r>
          </w:p>
        </w:tc>
        <w:tc>
          <w:tcPr>
            <w:tcW w:w="1250" w:type="pct"/>
            <w:vAlign w:val="center"/>
          </w:tcPr>
          <w:p w14:paraId="74E179DE">
            <w:pPr>
              <w:pStyle w:val="41"/>
            </w:pPr>
            <w:r>
              <w:t>三</w:t>
            </w:r>
          </w:p>
        </w:tc>
      </w:tr>
      <w:tr w14:paraId="46291F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vAlign w:val="center"/>
          </w:tcPr>
          <w:p w14:paraId="5A885C7E">
            <w:pPr>
              <w:pStyle w:val="41"/>
            </w:pPr>
            <w:r>
              <w:t>不敏感</w:t>
            </w:r>
          </w:p>
        </w:tc>
        <w:tc>
          <w:tcPr>
            <w:tcW w:w="1250" w:type="pct"/>
            <w:vAlign w:val="center"/>
          </w:tcPr>
          <w:p w14:paraId="3C5129A3">
            <w:pPr>
              <w:pStyle w:val="41"/>
            </w:pPr>
            <w:r>
              <w:t>二</w:t>
            </w:r>
          </w:p>
        </w:tc>
        <w:tc>
          <w:tcPr>
            <w:tcW w:w="1250" w:type="pct"/>
            <w:vAlign w:val="center"/>
          </w:tcPr>
          <w:p w14:paraId="10B72038">
            <w:pPr>
              <w:pStyle w:val="41"/>
            </w:pPr>
            <w:r>
              <w:t>三</w:t>
            </w:r>
          </w:p>
        </w:tc>
        <w:tc>
          <w:tcPr>
            <w:tcW w:w="1250" w:type="pct"/>
            <w:tcBorders>
              <w:bottom w:val="single" w:color="auto" w:sz="6" w:space="0"/>
            </w:tcBorders>
            <w:vAlign w:val="center"/>
          </w:tcPr>
          <w:p w14:paraId="5C5BBB31">
            <w:pPr>
              <w:pStyle w:val="41"/>
            </w:pPr>
            <w:r>
              <w:t>三</w:t>
            </w:r>
          </w:p>
        </w:tc>
      </w:tr>
      <w:tr w14:paraId="35F91D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vAlign w:val="center"/>
          </w:tcPr>
          <w:p w14:paraId="329C87D6">
            <w:pPr>
              <w:pStyle w:val="41"/>
            </w:pPr>
            <w:r>
              <w:t>本项目</w:t>
            </w:r>
          </w:p>
        </w:tc>
        <w:tc>
          <w:tcPr>
            <w:tcW w:w="2500" w:type="pct"/>
            <w:gridSpan w:val="2"/>
            <w:vAlign w:val="center"/>
          </w:tcPr>
          <w:p w14:paraId="3A13FBD4">
            <w:pPr>
              <w:pStyle w:val="41"/>
            </w:pPr>
            <w:r>
              <w:t>I类项目，环境不敏感</w:t>
            </w:r>
          </w:p>
        </w:tc>
        <w:tc>
          <w:tcPr>
            <w:tcW w:w="1250" w:type="pct"/>
            <w:tcBorders>
              <w:top w:val="single" w:color="auto" w:sz="6" w:space="0"/>
              <w:bottom w:val="single" w:color="auto" w:sz="12" w:space="0"/>
            </w:tcBorders>
            <w:shd w:val="clear" w:color="auto" w:fill="F1F1F1" w:themeFill="background1" w:themeFillShade="F2"/>
            <w:vAlign w:val="center"/>
          </w:tcPr>
          <w:p w14:paraId="2BB0BAC0">
            <w:pPr>
              <w:pStyle w:val="41"/>
            </w:pPr>
            <w:r>
              <w:t>三级评价</w:t>
            </w:r>
          </w:p>
        </w:tc>
      </w:tr>
    </w:tbl>
    <w:p w14:paraId="30E262B5">
      <w:pPr>
        <w:pStyle w:val="6"/>
      </w:pPr>
      <w:r>
        <w:t>声环境评价工作等级</w:t>
      </w:r>
    </w:p>
    <w:p w14:paraId="77F1752B">
      <w:pPr>
        <w:pStyle w:val="3"/>
        <w:ind w:firstLine="480"/>
      </w:pPr>
      <w:r>
        <w:t>本项目位于奎屯-独山子经济技术开发区，根据《声环境功能区划分技术规范》（GB/T15190-2014），项目区执行《声环境质量标准》（GB3096-2008）的3类标准。</w:t>
      </w:r>
      <w:bookmarkStart w:id="85" w:name="_Hlk171873574"/>
      <w:r>
        <w:t>项目建设前后受影响人数变化不大，评价范围内敏感目标噪声最大增高量在3dB（A）以下，根据《环境影响评价技术导则  声环境》（HJ2.4-2021）判定依据（见表2.4-7），确定声环境评价等级为三级。等级判定结果见下表：</w:t>
      </w:r>
    </w:p>
    <w:p w14:paraId="0528F467">
      <w:pPr>
        <w:pStyle w:val="40"/>
        <w:spacing w:before="156"/>
      </w:pPr>
      <w:r>
        <w:t>表2.4-7  声环境影响评价工作级别划分的依据</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7395"/>
      </w:tblGrid>
      <w:tr w14:paraId="3ADA6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vAlign w:val="center"/>
          </w:tcPr>
          <w:p w14:paraId="0F34B79D">
            <w:pPr>
              <w:pStyle w:val="34"/>
              <w:rPr>
                <w:rFonts w:ascii="Calibri" w:hAnsi="Calibri"/>
              </w:rPr>
            </w:pPr>
            <w:r>
              <w:rPr>
                <w:rFonts w:ascii="Calibri" w:hAnsi="Calibri"/>
              </w:rPr>
              <w:t>级别</w:t>
            </w:r>
          </w:p>
        </w:tc>
        <w:tc>
          <w:tcPr>
            <w:tcW w:w="4339" w:type="pct"/>
            <w:vAlign w:val="center"/>
          </w:tcPr>
          <w:p w14:paraId="7474AB3E">
            <w:pPr>
              <w:pStyle w:val="34"/>
              <w:rPr>
                <w:rFonts w:ascii="Calibri" w:hAnsi="Calibri"/>
              </w:rPr>
            </w:pPr>
            <w:r>
              <w:rPr>
                <w:rFonts w:ascii="Calibri" w:hAnsi="Calibri"/>
              </w:rPr>
              <w:t>划分基本原则</w:t>
            </w:r>
          </w:p>
        </w:tc>
      </w:tr>
      <w:tr w14:paraId="44B75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vAlign w:val="center"/>
          </w:tcPr>
          <w:p w14:paraId="67871CC8">
            <w:pPr>
              <w:pStyle w:val="34"/>
              <w:rPr>
                <w:rFonts w:ascii="Calibri" w:hAnsi="Calibri"/>
              </w:rPr>
            </w:pPr>
            <w:r>
              <w:rPr>
                <w:rFonts w:ascii="Calibri" w:hAnsi="Calibri"/>
              </w:rPr>
              <w:t>一级</w:t>
            </w:r>
          </w:p>
        </w:tc>
        <w:tc>
          <w:tcPr>
            <w:tcW w:w="4339" w:type="pct"/>
            <w:vAlign w:val="center"/>
          </w:tcPr>
          <w:p w14:paraId="45681340">
            <w:pPr>
              <w:pStyle w:val="34"/>
              <w:rPr>
                <w:rFonts w:ascii="Calibri" w:hAnsi="Calibri"/>
              </w:rPr>
            </w:pPr>
            <w:r>
              <w:rPr>
                <w:rFonts w:ascii="Calibri" w:hAnsi="Calibri"/>
              </w:rPr>
              <w:t>评价范围内有适用于GB3096规定的0类声环境功能区域，或建设项目建设前后评价范围内敏感目标噪声级增高量达5dB（A）以上[不含5dB(A)]，或受影响人口数量显著增多时。</w:t>
            </w:r>
          </w:p>
        </w:tc>
      </w:tr>
      <w:tr w14:paraId="45093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vAlign w:val="center"/>
          </w:tcPr>
          <w:p w14:paraId="4950B54D">
            <w:pPr>
              <w:pStyle w:val="34"/>
              <w:rPr>
                <w:rFonts w:ascii="Calibri" w:hAnsi="Calibri"/>
              </w:rPr>
            </w:pPr>
            <w:r>
              <w:rPr>
                <w:rFonts w:ascii="Calibri" w:hAnsi="Calibri"/>
              </w:rPr>
              <w:t>二级</w:t>
            </w:r>
          </w:p>
        </w:tc>
        <w:tc>
          <w:tcPr>
            <w:tcW w:w="4339" w:type="pct"/>
            <w:vAlign w:val="center"/>
          </w:tcPr>
          <w:p w14:paraId="3848343F">
            <w:pPr>
              <w:pStyle w:val="34"/>
              <w:rPr>
                <w:rFonts w:ascii="Calibri" w:hAnsi="Calibri"/>
              </w:rPr>
            </w:pPr>
            <w:r>
              <w:rPr>
                <w:rFonts w:ascii="Calibri" w:hAnsi="Calibri"/>
              </w:rPr>
              <w:t>建设项目所处的声环境功能区为GB3096规定的1类、2类地区，或建设项目建设前后评价范围内敏感目标噪声增高量达3~5dB(A)[含5dB(A)]，或受噪声影响人口数量增加较多时。</w:t>
            </w:r>
          </w:p>
        </w:tc>
      </w:tr>
      <w:tr w14:paraId="71775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vAlign w:val="center"/>
          </w:tcPr>
          <w:p w14:paraId="0D8039AB">
            <w:pPr>
              <w:pStyle w:val="34"/>
              <w:rPr>
                <w:rFonts w:ascii="Calibri" w:hAnsi="Calibri"/>
              </w:rPr>
            </w:pPr>
            <w:r>
              <w:rPr>
                <w:rFonts w:ascii="Calibri" w:hAnsi="Calibri"/>
              </w:rPr>
              <w:t>三级</w:t>
            </w:r>
          </w:p>
        </w:tc>
        <w:tc>
          <w:tcPr>
            <w:tcW w:w="4339" w:type="pct"/>
            <w:vAlign w:val="center"/>
          </w:tcPr>
          <w:p w14:paraId="0B30FD70">
            <w:pPr>
              <w:pStyle w:val="34"/>
              <w:rPr>
                <w:rFonts w:ascii="Calibri" w:hAnsi="Calibri"/>
              </w:rPr>
            </w:pPr>
            <w:r>
              <w:rPr>
                <w:rFonts w:ascii="Calibri" w:hAnsi="Calibri"/>
              </w:rPr>
              <w:t>建设项目所处的声环境功能区为GB3096规定的3类、4类地区，或建设项目建设前后评价范围内敏感目标噪声增高量在3dB（A）以下[不含3dB(A)]，且受影响人口数量不大时。</w:t>
            </w:r>
          </w:p>
        </w:tc>
      </w:tr>
      <w:bookmarkEnd w:id="85"/>
    </w:tbl>
    <w:p w14:paraId="0AD8A04C">
      <w:pPr>
        <w:pStyle w:val="6"/>
      </w:pPr>
      <w:r>
        <w:t>土壤环境评价工作等级</w:t>
      </w:r>
    </w:p>
    <w:p w14:paraId="338A4061">
      <w:pPr>
        <w:ind w:firstLine="480"/>
      </w:pPr>
      <w:bookmarkStart w:id="86" w:name="_Hlk172060184"/>
      <w:r>
        <w:t>本项目属于污染影响型建设项目，根据《环境影响评价技术导则  土壤环境》（HJ964-2018），土壤环境评价工作等级的划分应依据建设项目类别、占地规模、周边土壤环境敏感程度分级进行判定。</w:t>
      </w:r>
    </w:p>
    <w:p w14:paraId="59D488A0">
      <w:pPr>
        <w:pStyle w:val="3"/>
        <w:ind w:firstLine="480"/>
      </w:pPr>
      <w:bookmarkStart w:id="87" w:name="_Hlk171873996"/>
      <w:r>
        <w:t>（1）土壤环境影响行业类别</w:t>
      </w:r>
    </w:p>
    <w:p w14:paraId="498A5597">
      <w:pPr>
        <w:pStyle w:val="3"/>
        <w:ind w:firstLine="480"/>
      </w:pPr>
      <w:r>
        <w:t>本项目属于土壤评价行业分类中的“制造业-金属冶炼和延压加工及非金属矿物制品-其它”行业，为Ⅲ类项目，土壤环境影响类型为污染影响型。</w:t>
      </w:r>
    </w:p>
    <w:p w14:paraId="5B02582C">
      <w:pPr>
        <w:pStyle w:val="3"/>
        <w:ind w:firstLine="480"/>
      </w:pPr>
      <w:r>
        <w:t>（2）土壤环境敏感程度</w:t>
      </w:r>
    </w:p>
    <w:p w14:paraId="03FD736B">
      <w:pPr>
        <w:pStyle w:val="3"/>
        <w:ind w:firstLine="480"/>
      </w:pPr>
      <w:r>
        <w:t>本次技改工程占地面积6185.73m</w:t>
      </w:r>
      <w:r>
        <w:rPr>
          <w:vertAlign w:val="superscript"/>
        </w:rPr>
        <w:t>2</w:t>
      </w:r>
      <w:r>
        <w:t>，占地规模属于“小型”，项目区周边500m范围内（评价范围内）分布有农田，土壤敏感程度为“敏感”。</w:t>
      </w:r>
      <w:bookmarkEnd w:id="86"/>
      <w:bookmarkEnd w:id="87"/>
    </w:p>
    <w:p w14:paraId="2D4184C6">
      <w:pPr>
        <w:pStyle w:val="40"/>
        <w:spacing w:before="156"/>
      </w:pPr>
      <w:r>
        <w:t>表2.4-8   污染影响型敏感程度分级表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644"/>
        <w:gridCol w:w="6716"/>
      </w:tblGrid>
      <w:tr w14:paraId="141748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983" w:type="pct"/>
            <w:vAlign w:val="center"/>
          </w:tcPr>
          <w:p w14:paraId="458F5C8C">
            <w:pPr>
              <w:pStyle w:val="41"/>
            </w:pPr>
            <w:r>
              <w:t>敏感程度</w:t>
            </w:r>
          </w:p>
        </w:tc>
        <w:tc>
          <w:tcPr>
            <w:tcW w:w="4016" w:type="pct"/>
            <w:vAlign w:val="center"/>
          </w:tcPr>
          <w:p w14:paraId="27DE3EAD">
            <w:pPr>
              <w:pStyle w:val="41"/>
            </w:pPr>
            <w:r>
              <w:t>判别依据</w:t>
            </w:r>
          </w:p>
        </w:tc>
      </w:tr>
      <w:tr w14:paraId="1DB86E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83" w:type="pct"/>
            <w:vAlign w:val="center"/>
          </w:tcPr>
          <w:p w14:paraId="5C39555E">
            <w:pPr>
              <w:pStyle w:val="41"/>
            </w:pPr>
            <w:r>
              <w:t>敏感</w:t>
            </w:r>
          </w:p>
        </w:tc>
        <w:tc>
          <w:tcPr>
            <w:tcW w:w="4016" w:type="pct"/>
            <w:vAlign w:val="center"/>
          </w:tcPr>
          <w:p w14:paraId="1E8CE1A0">
            <w:pPr>
              <w:pStyle w:val="41"/>
              <w:jc w:val="left"/>
            </w:pPr>
            <w:r>
              <w:t>建设项目周边存在耕地、园地、牧草地、饮用水水源地或居民区、学校、医院、疗养院、养老院等土壤环境保护目标的</w:t>
            </w:r>
          </w:p>
        </w:tc>
      </w:tr>
      <w:tr w14:paraId="4EFB7C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83" w:type="pct"/>
            <w:vAlign w:val="center"/>
          </w:tcPr>
          <w:p w14:paraId="4782403F">
            <w:pPr>
              <w:pStyle w:val="41"/>
            </w:pPr>
            <w:r>
              <w:t>较敏感</w:t>
            </w:r>
          </w:p>
        </w:tc>
        <w:tc>
          <w:tcPr>
            <w:tcW w:w="4016" w:type="pct"/>
            <w:vAlign w:val="center"/>
          </w:tcPr>
          <w:p w14:paraId="6AE7858E">
            <w:pPr>
              <w:pStyle w:val="41"/>
              <w:jc w:val="left"/>
            </w:pPr>
            <w:r>
              <w:t>建设项目周边存在其他土壤环境敏感目标的</w:t>
            </w:r>
          </w:p>
        </w:tc>
      </w:tr>
      <w:tr w14:paraId="5959C3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83" w:type="pct"/>
            <w:vAlign w:val="center"/>
          </w:tcPr>
          <w:p w14:paraId="20D74089">
            <w:pPr>
              <w:pStyle w:val="41"/>
            </w:pPr>
            <w:r>
              <w:t>不敏感</w:t>
            </w:r>
          </w:p>
        </w:tc>
        <w:tc>
          <w:tcPr>
            <w:tcW w:w="4016" w:type="pct"/>
            <w:vAlign w:val="center"/>
          </w:tcPr>
          <w:p w14:paraId="7CD3831C">
            <w:pPr>
              <w:pStyle w:val="41"/>
              <w:jc w:val="left"/>
            </w:pPr>
            <w:r>
              <w:t>其他情况</w:t>
            </w:r>
          </w:p>
        </w:tc>
      </w:tr>
    </w:tbl>
    <w:p w14:paraId="63C042EE">
      <w:pPr>
        <w:pStyle w:val="3"/>
        <w:ind w:firstLine="480"/>
      </w:pPr>
      <w:bookmarkStart w:id="88" w:name="_Hlk172060192"/>
      <w:r>
        <w:t>（3）土壤环境影响评价等级判定</w:t>
      </w:r>
    </w:p>
    <w:p w14:paraId="61D4A0FD">
      <w:pPr>
        <w:pStyle w:val="3"/>
        <w:ind w:firstLine="480"/>
      </w:pPr>
      <w:bookmarkStart w:id="89" w:name="_Hlk172062846"/>
      <w:bookmarkStart w:id="90" w:name="_Hlk171874004"/>
      <w:r>
        <w:t>本项目土壤环境影响评价等级判定为三级</w:t>
      </w:r>
      <w:bookmarkEnd w:id="89"/>
      <w:r>
        <w:t>，</w:t>
      </w:r>
      <w:bookmarkEnd w:id="88"/>
      <w:bookmarkEnd w:id="90"/>
      <w:r>
        <w:t>污染影响型土壤环境评价等级判别依据如下表：</w:t>
      </w:r>
    </w:p>
    <w:p w14:paraId="353105C5">
      <w:pPr>
        <w:pStyle w:val="40"/>
        <w:spacing w:before="156"/>
      </w:pPr>
      <w:r>
        <w:t>表2.4-9    污染影响型评价工作等级划分表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93"/>
        <w:gridCol w:w="677"/>
        <w:gridCol w:w="680"/>
        <w:gridCol w:w="680"/>
        <w:gridCol w:w="680"/>
        <w:gridCol w:w="680"/>
        <w:gridCol w:w="682"/>
        <w:gridCol w:w="680"/>
        <w:gridCol w:w="680"/>
        <w:gridCol w:w="687"/>
      </w:tblGrid>
      <w:tr w14:paraId="11A067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405" w:type="pct"/>
            <w:vMerge w:val="restart"/>
            <w:vAlign w:val="center"/>
          </w:tcPr>
          <w:p w14:paraId="34B713B5">
            <w:pPr>
              <w:pStyle w:val="41"/>
              <w:jc w:val="right"/>
            </w:pPr>
            <w:r>
              <mc:AlternateContent>
                <mc:Choice Requires="wps">
                  <w:drawing>
                    <wp:anchor distT="0" distB="0" distL="114300" distR="114300" simplePos="0" relativeHeight="251659264" behindDoc="0" locked="0" layoutInCell="1" allowOverlap="1">
                      <wp:simplePos x="0" y="0"/>
                      <wp:positionH relativeFrom="column">
                        <wp:posOffset>741680</wp:posOffset>
                      </wp:positionH>
                      <wp:positionV relativeFrom="paragraph">
                        <wp:posOffset>-1905</wp:posOffset>
                      </wp:positionV>
                      <wp:extent cx="684530" cy="570230"/>
                      <wp:effectExtent l="3175" t="3810" r="17145" b="16510"/>
                      <wp:wrapNone/>
                      <wp:docPr id="50" name="直接连接符 50"/>
                      <wp:cNvGraphicFramePr/>
                      <a:graphic xmlns:a="http://schemas.openxmlformats.org/drawingml/2006/main">
                        <a:graphicData uri="http://schemas.microsoft.com/office/word/2010/wordprocessingShape">
                          <wps:wsp>
                            <wps:cNvCnPr/>
                            <wps:spPr>
                              <a:xfrm>
                                <a:off x="0" y="0"/>
                                <a:ext cx="684530" cy="57023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8.4pt;margin-top:-0.15pt;height:44.9pt;width:53.9pt;z-index:251659264;mso-width-relative:page;mso-height-relative:page;" filled="f" stroked="t" coordsize="21600,21600" o:gfxdata="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Ic&#10;Nc3XAAAACAEAAA8AAAAAAAAAAQAgAAAAIgAAAGRycy9kb3ducmV2LnhtbFBLAQIUABQAAAAIAIdO&#10;4kAuAQ656wEAAMUDAAAOAAAAAAAAAAEAIAAAACYBAABkcnMvZTJvRG9jLnhtbFBLBQYAAAAABgAG&#10;AFkBAACDBQAAAAA=&#10;">
                      <v:fill on="f" focussize="0,0"/>
                      <v:stroke weight="0.5pt" color="#000000" miterlimit="8" joinstyle="miter"/>
                      <v:imagedata o:title=""/>
                      <o:lock v:ext="edit" aspectratio="f"/>
                    </v:line>
                  </w:pict>
                </mc:Fallback>
              </mc:AlternateContent>
            </w:r>
            <w:r>
              <w:t>占地规模</w:t>
            </w:r>
          </w:p>
          <w:p w14:paraId="6E7BE8FB">
            <w:pPr>
              <w:pStyle w:val="41"/>
            </w:pPr>
            <w: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89535</wp:posOffset>
                      </wp:positionV>
                      <wp:extent cx="1525270" cy="290195"/>
                      <wp:effectExtent l="635" t="4445" r="17145" b="10160"/>
                      <wp:wrapNone/>
                      <wp:docPr id="51" name="直接箭头连接符 51"/>
                      <wp:cNvGraphicFramePr/>
                      <a:graphic xmlns:a="http://schemas.openxmlformats.org/drawingml/2006/main">
                        <a:graphicData uri="http://schemas.microsoft.com/office/word/2010/wordprocessingShape">
                          <wps:wsp>
                            <wps:cNvCnPr/>
                            <wps:spPr>
                              <a:xfrm>
                                <a:off x="0" y="0"/>
                                <a:ext cx="1525270" cy="290195"/>
                              </a:xfrm>
                              <a:prstGeom prst="straightConnector1">
                                <a:avLst/>
                              </a:prstGeom>
                              <a:noFill/>
                              <a:ln w="6350" cap="flat" cmpd="sng" algn="ctr">
                                <a:solidFill>
                                  <a:srgbClr val="000000"/>
                                </a:solidFill>
                                <a:prstDash val="solid"/>
                                <a:miter lim="800000"/>
                                <a:headEnd type="none" w="med" len="med"/>
                                <a:tailEnd type="none" w="med" len="med"/>
                              </a:ln>
                              <a:effectLst/>
                            </wps:spPr>
                            <wps:bodyPr/>
                          </wps:wsp>
                        </a:graphicData>
                      </a:graphic>
                    </wp:anchor>
                  </w:drawing>
                </mc:Choice>
                <mc:Fallback>
                  <w:pict>
                    <v:shape id="_x0000_s1026" o:spid="_x0000_s1026" o:spt="32" type="#_x0000_t32" style="position:absolute;left:0pt;margin-left:-6.3pt;margin-top:7.05pt;height:22.85pt;width:120.1pt;z-index:251660288;mso-width-relative:page;mso-height-relative:page;" filled="f" stroked="t" coordsize="21600,21600" o:gfxdata="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dFABdgA&#10;AAAJAQAADwAAAAAAAAABACAAAAAiAAAAZHJzL2Rvd25yZXYueG1sUEsBAhQAFAAAAAgAh07iQAGM&#10;7gEfAgAALgQAAA4AAAAAAAAAAQAgAAAAJwEAAGRycy9lMm9Eb2MueG1sUEsFBgAAAAAGAAYAWQEA&#10;ALgFAAAAAA==&#10;">
                      <v:fill on="f" focussize="0,0"/>
                      <v:stroke weight="0.5pt" color="#000000" miterlimit="8" joinstyle="miter"/>
                      <v:imagedata o:title=""/>
                      <o:lock v:ext="edit" aspectratio="f"/>
                    </v:shape>
                  </w:pict>
                </mc:Fallback>
              </mc:AlternateContent>
            </w:r>
            <w:r>
              <w:t>评价工作等级</w:t>
            </w:r>
          </w:p>
          <w:p w14:paraId="22A5EA69">
            <w:pPr>
              <w:pStyle w:val="41"/>
              <w:jc w:val="left"/>
            </w:pPr>
            <w:r>
              <w:t>敏感程度</w:t>
            </w:r>
          </w:p>
        </w:tc>
        <w:tc>
          <w:tcPr>
            <w:tcW w:w="1196" w:type="pct"/>
            <w:gridSpan w:val="3"/>
            <w:vAlign w:val="center"/>
          </w:tcPr>
          <w:p w14:paraId="521E701F">
            <w:pPr>
              <w:pStyle w:val="41"/>
            </w:pPr>
            <w:r>
              <w:t>Ⅰ类</w:t>
            </w:r>
          </w:p>
        </w:tc>
        <w:tc>
          <w:tcPr>
            <w:tcW w:w="1198" w:type="pct"/>
            <w:gridSpan w:val="3"/>
            <w:vAlign w:val="center"/>
          </w:tcPr>
          <w:p w14:paraId="74C03504">
            <w:pPr>
              <w:pStyle w:val="41"/>
            </w:pPr>
            <w:r>
              <w:t>Ⅱ类</w:t>
            </w:r>
          </w:p>
        </w:tc>
        <w:tc>
          <w:tcPr>
            <w:tcW w:w="1199" w:type="pct"/>
            <w:gridSpan w:val="3"/>
            <w:vAlign w:val="center"/>
          </w:tcPr>
          <w:p w14:paraId="0CBEDFE7">
            <w:pPr>
              <w:pStyle w:val="41"/>
            </w:pPr>
            <w:r>
              <w:t>Ⅲ类</w:t>
            </w:r>
          </w:p>
        </w:tc>
      </w:tr>
      <w:tr w14:paraId="702AA8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52" w:hRule="atLeast"/>
          <w:tblHeader/>
        </w:trPr>
        <w:tc>
          <w:tcPr>
            <w:tcW w:w="1405" w:type="pct"/>
            <w:vMerge w:val="continue"/>
            <w:vAlign w:val="center"/>
          </w:tcPr>
          <w:p w14:paraId="51B816FF">
            <w:pPr>
              <w:pStyle w:val="41"/>
            </w:pPr>
          </w:p>
        </w:tc>
        <w:tc>
          <w:tcPr>
            <w:tcW w:w="398" w:type="pct"/>
            <w:vAlign w:val="center"/>
          </w:tcPr>
          <w:p w14:paraId="1E5718F8">
            <w:pPr>
              <w:pStyle w:val="41"/>
            </w:pPr>
            <w:r>
              <w:t>大</w:t>
            </w:r>
          </w:p>
        </w:tc>
        <w:tc>
          <w:tcPr>
            <w:tcW w:w="399" w:type="pct"/>
            <w:vAlign w:val="center"/>
          </w:tcPr>
          <w:p w14:paraId="0E659DE4">
            <w:pPr>
              <w:pStyle w:val="41"/>
            </w:pPr>
            <w:r>
              <w:t>中</w:t>
            </w:r>
          </w:p>
        </w:tc>
        <w:tc>
          <w:tcPr>
            <w:tcW w:w="399" w:type="pct"/>
            <w:vAlign w:val="center"/>
          </w:tcPr>
          <w:p w14:paraId="6B66E55A">
            <w:pPr>
              <w:pStyle w:val="41"/>
            </w:pPr>
            <w:r>
              <w:t>小</w:t>
            </w:r>
          </w:p>
        </w:tc>
        <w:tc>
          <w:tcPr>
            <w:tcW w:w="399" w:type="pct"/>
            <w:vAlign w:val="center"/>
          </w:tcPr>
          <w:p w14:paraId="6579B05E">
            <w:pPr>
              <w:pStyle w:val="41"/>
            </w:pPr>
            <w:r>
              <w:t>大</w:t>
            </w:r>
          </w:p>
        </w:tc>
        <w:tc>
          <w:tcPr>
            <w:tcW w:w="399" w:type="pct"/>
            <w:vAlign w:val="center"/>
          </w:tcPr>
          <w:p w14:paraId="086FFDF6">
            <w:pPr>
              <w:pStyle w:val="41"/>
            </w:pPr>
            <w:r>
              <w:t>中</w:t>
            </w:r>
          </w:p>
        </w:tc>
        <w:tc>
          <w:tcPr>
            <w:tcW w:w="400" w:type="pct"/>
            <w:vAlign w:val="center"/>
          </w:tcPr>
          <w:p w14:paraId="4B6E8ADA">
            <w:pPr>
              <w:pStyle w:val="41"/>
            </w:pPr>
            <w:r>
              <w:t>小</w:t>
            </w:r>
          </w:p>
        </w:tc>
        <w:tc>
          <w:tcPr>
            <w:tcW w:w="399" w:type="pct"/>
            <w:vAlign w:val="center"/>
          </w:tcPr>
          <w:p w14:paraId="6AD1A7C8">
            <w:pPr>
              <w:pStyle w:val="41"/>
            </w:pPr>
            <w:r>
              <w:t>大</w:t>
            </w:r>
          </w:p>
        </w:tc>
        <w:tc>
          <w:tcPr>
            <w:tcW w:w="399" w:type="pct"/>
            <w:vAlign w:val="center"/>
          </w:tcPr>
          <w:p w14:paraId="081E94A7">
            <w:pPr>
              <w:pStyle w:val="41"/>
            </w:pPr>
            <w:r>
              <w:t>中</w:t>
            </w:r>
          </w:p>
        </w:tc>
        <w:tc>
          <w:tcPr>
            <w:tcW w:w="401" w:type="pct"/>
            <w:tcBorders>
              <w:bottom w:val="single" w:color="auto" w:sz="6" w:space="0"/>
            </w:tcBorders>
            <w:vAlign w:val="center"/>
          </w:tcPr>
          <w:p w14:paraId="18397ADA">
            <w:pPr>
              <w:pStyle w:val="41"/>
            </w:pPr>
            <w:r>
              <w:t>小</w:t>
            </w:r>
          </w:p>
        </w:tc>
      </w:tr>
      <w:tr w14:paraId="224B92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5" w:type="pct"/>
            <w:vAlign w:val="center"/>
          </w:tcPr>
          <w:p w14:paraId="2F9AB5BD">
            <w:pPr>
              <w:pStyle w:val="41"/>
            </w:pPr>
            <w:r>
              <w:t>敏感</w:t>
            </w:r>
          </w:p>
        </w:tc>
        <w:tc>
          <w:tcPr>
            <w:tcW w:w="398" w:type="pct"/>
            <w:vAlign w:val="center"/>
          </w:tcPr>
          <w:p w14:paraId="5D3AD179">
            <w:pPr>
              <w:pStyle w:val="41"/>
            </w:pPr>
            <w:r>
              <w:t>一级</w:t>
            </w:r>
          </w:p>
        </w:tc>
        <w:tc>
          <w:tcPr>
            <w:tcW w:w="399" w:type="pct"/>
            <w:vAlign w:val="center"/>
          </w:tcPr>
          <w:p w14:paraId="3483098A">
            <w:pPr>
              <w:pStyle w:val="41"/>
            </w:pPr>
            <w:r>
              <w:t>一级</w:t>
            </w:r>
          </w:p>
        </w:tc>
        <w:tc>
          <w:tcPr>
            <w:tcW w:w="399" w:type="pct"/>
            <w:vAlign w:val="center"/>
          </w:tcPr>
          <w:p w14:paraId="2211D345">
            <w:pPr>
              <w:pStyle w:val="41"/>
            </w:pPr>
            <w:r>
              <w:t>一级</w:t>
            </w:r>
          </w:p>
        </w:tc>
        <w:tc>
          <w:tcPr>
            <w:tcW w:w="399" w:type="pct"/>
            <w:vAlign w:val="center"/>
          </w:tcPr>
          <w:p w14:paraId="20E2B345">
            <w:pPr>
              <w:pStyle w:val="41"/>
            </w:pPr>
            <w:r>
              <w:t>二级</w:t>
            </w:r>
          </w:p>
        </w:tc>
        <w:tc>
          <w:tcPr>
            <w:tcW w:w="399" w:type="pct"/>
            <w:vAlign w:val="center"/>
          </w:tcPr>
          <w:p w14:paraId="34041032">
            <w:pPr>
              <w:pStyle w:val="41"/>
            </w:pPr>
            <w:r>
              <w:t>二级</w:t>
            </w:r>
          </w:p>
        </w:tc>
        <w:tc>
          <w:tcPr>
            <w:tcW w:w="400" w:type="pct"/>
            <w:vAlign w:val="center"/>
          </w:tcPr>
          <w:p w14:paraId="1AEE1580">
            <w:pPr>
              <w:pStyle w:val="41"/>
            </w:pPr>
            <w:r>
              <w:t>二级</w:t>
            </w:r>
          </w:p>
        </w:tc>
        <w:tc>
          <w:tcPr>
            <w:tcW w:w="399" w:type="pct"/>
            <w:vAlign w:val="center"/>
          </w:tcPr>
          <w:p w14:paraId="3ABB7FFB">
            <w:pPr>
              <w:pStyle w:val="41"/>
            </w:pPr>
            <w:r>
              <w:t>三级</w:t>
            </w:r>
          </w:p>
        </w:tc>
        <w:tc>
          <w:tcPr>
            <w:tcW w:w="399" w:type="pct"/>
            <w:vAlign w:val="center"/>
          </w:tcPr>
          <w:p w14:paraId="462987AA">
            <w:pPr>
              <w:pStyle w:val="41"/>
            </w:pPr>
            <w:r>
              <w:t>三级</w:t>
            </w:r>
          </w:p>
        </w:tc>
        <w:tc>
          <w:tcPr>
            <w:tcW w:w="401" w:type="pct"/>
            <w:tcBorders>
              <w:top w:val="single" w:color="auto" w:sz="6" w:space="0"/>
              <w:bottom w:val="single" w:color="auto" w:sz="6" w:space="0"/>
            </w:tcBorders>
            <w:shd w:val="clear" w:color="auto" w:fill="BEBEBE" w:themeFill="background1" w:themeFillShade="BF"/>
            <w:vAlign w:val="center"/>
          </w:tcPr>
          <w:p w14:paraId="42466989">
            <w:pPr>
              <w:pStyle w:val="41"/>
            </w:pPr>
            <w:r>
              <w:t>三级</w:t>
            </w:r>
          </w:p>
        </w:tc>
      </w:tr>
      <w:tr w14:paraId="0B533A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5" w:type="pct"/>
            <w:vAlign w:val="center"/>
          </w:tcPr>
          <w:p w14:paraId="483B2C0A">
            <w:pPr>
              <w:pStyle w:val="41"/>
            </w:pPr>
            <w:r>
              <w:t>较敏感</w:t>
            </w:r>
          </w:p>
        </w:tc>
        <w:tc>
          <w:tcPr>
            <w:tcW w:w="398" w:type="pct"/>
            <w:vAlign w:val="center"/>
          </w:tcPr>
          <w:p w14:paraId="21155A32">
            <w:pPr>
              <w:pStyle w:val="41"/>
            </w:pPr>
            <w:r>
              <w:t>一级</w:t>
            </w:r>
          </w:p>
        </w:tc>
        <w:tc>
          <w:tcPr>
            <w:tcW w:w="399" w:type="pct"/>
            <w:tcBorders>
              <w:bottom w:val="single" w:color="auto" w:sz="6" w:space="0"/>
            </w:tcBorders>
            <w:vAlign w:val="center"/>
          </w:tcPr>
          <w:p w14:paraId="4B31EC7B">
            <w:pPr>
              <w:pStyle w:val="41"/>
            </w:pPr>
            <w:r>
              <w:t>一级</w:t>
            </w:r>
          </w:p>
        </w:tc>
        <w:tc>
          <w:tcPr>
            <w:tcW w:w="399" w:type="pct"/>
            <w:vAlign w:val="center"/>
          </w:tcPr>
          <w:p w14:paraId="554A0CFD">
            <w:pPr>
              <w:pStyle w:val="41"/>
            </w:pPr>
            <w:r>
              <w:t>二级</w:t>
            </w:r>
          </w:p>
        </w:tc>
        <w:tc>
          <w:tcPr>
            <w:tcW w:w="399" w:type="pct"/>
            <w:vAlign w:val="center"/>
          </w:tcPr>
          <w:p w14:paraId="14E12BBE">
            <w:pPr>
              <w:pStyle w:val="41"/>
            </w:pPr>
            <w:r>
              <w:t>二级</w:t>
            </w:r>
          </w:p>
        </w:tc>
        <w:tc>
          <w:tcPr>
            <w:tcW w:w="399" w:type="pct"/>
            <w:vAlign w:val="center"/>
          </w:tcPr>
          <w:p w14:paraId="1D57C5BB">
            <w:pPr>
              <w:pStyle w:val="41"/>
            </w:pPr>
            <w:r>
              <w:t>二级</w:t>
            </w:r>
          </w:p>
        </w:tc>
        <w:tc>
          <w:tcPr>
            <w:tcW w:w="400" w:type="pct"/>
            <w:vAlign w:val="center"/>
          </w:tcPr>
          <w:p w14:paraId="4B496921">
            <w:pPr>
              <w:pStyle w:val="41"/>
            </w:pPr>
            <w:r>
              <w:t>三级</w:t>
            </w:r>
          </w:p>
        </w:tc>
        <w:tc>
          <w:tcPr>
            <w:tcW w:w="399" w:type="pct"/>
            <w:vAlign w:val="center"/>
          </w:tcPr>
          <w:p w14:paraId="5A52FACB">
            <w:pPr>
              <w:pStyle w:val="41"/>
            </w:pPr>
            <w:r>
              <w:t>三级</w:t>
            </w:r>
          </w:p>
        </w:tc>
        <w:tc>
          <w:tcPr>
            <w:tcW w:w="399" w:type="pct"/>
            <w:vAlign w:val="center"/>
          </w:tcPr>
          <w:p w14:paraId="3C6C157D">
            <w:pPr>
              <w:pStyle w:val="41"/>
            </w:pPr>
            <w:r>
              <w:t>三级</w:t>
            </w:r>
          </w:p>
        </w:tc>
        <w:tc>
          <w:tcPr>
            <w:tcW w:w="401" w:type="pct"/>
            <w:tcBorders>
              <w:top w:val="single" w:color="auto" w:sz="6" w:space="0"/>
            </w:tcBorders>
            <w:vAlign w:val="center"/>
          </w:tcPr>
          <w:p w14:paraId="19812ACA">
            <w:pPr>
              <w:pStyle w:val="41"/>
            </w:pPr>
            <w:r>
              <w:t>——</w:t>
            </w:r>
          </w:p>
        </w:tc>
      </w:tr>
      <w:tr w14:paraId="776FC6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5" w:type="pct"/>
            <w:vAlign w:val="center"/>
          </w:tcPr>
          <w:p w14:paraId="13001BDB">
            <w:pPr>
              <w:pStyle w:val="41"/>
            </w:pPr>
            <w:r>
              <w:t>不敏感</w:t>
            </w:r>
          </w:p>
        </w:tc>
        <w:tc>
          <w:tcPr>
            <w:tcW w:w="398" w:type="pct"/>
            <w:vAlign w:val="center"/>
          </w:tcPr>
          <w:p w14:paraId="06395BD5">
            <w:pPr>
              <w:pStyle w:val="41"/>
            </w:pPr>
            <w:r>
              <w:t>一级</w:t>
            </w:r>
          </w:p>
        </w:tc>
        <w:tc>
          <w:tcPr>
            <w:tcW w:w="399" w:type="pct"/>
            <w:tcBorders>
              <w:top w:val="single" w:color="auto" w:sz="6" w:space="0"/>
              <w:bottom w:val="single" w:color="auto" w:sz="6" w:space="0"/>
            </w:tcBorders>
            <w:vAlign w:val="center"/>
          </w:tcPr>
          <w:p w14:paraId="6184A17D">
            <w:pPr>
              <w:pStyle w:val="41"/>
            </w:pPr>
            <w:r>
              <w:t>二级</w:t>
            </w:r>
          </w:p>
        </w:tc>
        <w:tc>
          <w:tcPr>
            <w:tcW w:w="399" w:type="pct"/>
            <w:vAlign w:val="center"/>
          </w:tcPr>
          <w:p w14:paraId="38343192">
            <w:pPr>
              <w:pStyle w:val="41"/>
            </w:pPr>
            <w:r>
              <w:t>二级</w:t>
            </w:r>
          </w:p>
        </w:tc>
        <w:tc>
          <w:tcPr>
            <w:tcW w:w="399" w:type="pct"/>
            <w:vAlign w:val="center"/>
          </w:tcPr>
          <w:p w14:paraId="455E7CDD">
            <w:pPr>
              <w:pStyle w:val="41"/>
            </w:pPr>
            <w:r>
              <w:t>二级</w:t>
            </w:r>
          </w:p>
        </w:tc>
        <w:tc>
          <w:tcPr>
            <w:tcW w:w="399" w:type="pct"/>
            <w:vAlign w:val="center"/>
          </w:tcPr>
          <w:p w14:paraId="54E9076C">
            <w:pPr>
              <w:pStyle w:val="41"/>
            </w:pPr>
            <w:r>
              <w:t>三级</w:t>
            </w:r>
          </w:p>
        </w:tc>
        <w:tc>
          <w:tcPr>
            <w:tcW w:w="400" w:type="pct"/>
            <w:vAlign w:val="center"/>
          </w:tcPr>
          <w:p w14:paraId="0ACE8B9C">
            <w:pPr>
              <w:pStyle w:val="41"/>
            </w:pPr>
            <w:r>
              <w:t>三级</w:t>
            </w:r>
          </w:p>
        </w:tc>
        <w:tc>
          <w:tcPr>
            <w:tcW w:w="399" w:type="pct"/>
            <w:vAlign w:val="center"/>
          </w:tcPr>
          <w:p w14:paraId="30CE9D30">
            <w:pPr>
              <w:pStyle w:val="41"/>
            </w:pPr>
            <w:r>
              <w:t>三级</w:t>
            </w:r>
          </w:p>
        </w:tc>
        <w:tc>
          <w:tcPr>
            <w:tcW w:w="399" w:type="pct"/>
            <w:vAlign w:val="center"/>
          </w:tcPr>
          <w:p w14:paraId="01711927">
            <w:pPr>
              <w:pStyle w:val="41"/>
            </w:pPr>
            <w:r>
              <w:t>——</w:t>
            </w:r>
          </w:p>
        </w:tc>
        <w:tc>
          <w:tcPr>
            <w:tcW w:w="401" w:type="pct"/>
            <w:vAlign w:val="center"/>
          </w:tcPr>
          <w:p w14:paraId="6ADE910E">
            <w:pPr>
              <w:pStyle w:val="41"/>
            </w:pPr>
            <w:r>
              <w:t>——</w:t>
            </w:r>
          </w:p>
        </w:tc>
      </w:tr>
      <w:tr w14:paraId="51BFC8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10"/>
            <w:vAlign w:val="center"/>
          </w:tcPr>
          <w:p w14:paraId="161F81B5">
            <w:pPr>
              <w:pStyle w:val="41"/>
              <w:jc w:val="left"/>
            </w:pPr>
            <w:r>
              <w:t>注：“—”表示可不开展土壤环境影响评价工作。</w:t>
            </w:r>
          </w:p>
        </w:tc>
      </w:tr>
    </w:tbl>
    <w:p w14:paraId="45876EB0">
      <w:pPr>
        <w:pStyle w:val="6"/>
      </w:pPr>
      <w:r>
        <w:t>生态环境评价工作等级</w:t>
      </w:r>
    </w:p>
    <w:p w14:paraId="77AE2655">
      <w:pPr>
        <w:pStyle w:val="3"/>
        <w:ind w:firstLine="480"/>
      </w:pPr>
      <w:r>
        <w:t>本项目为技改项目，占地面积6185.73m</w:t>
      </w:r>
      <w:r>
        <w:rPr>
          <w:vertAlign w:val="superscript"/>
        </w:rPr>
        <w:t>2</w:t>
      </w:r>
      <w:r>
        <w:t>，根据《环境影响评价技术导则 生态环境》（HJ19-2022）6.1.8：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14:paraId="6F018742">
      <w:pPr>
        <w:pStyle w:val="3"/>
        <w:ind w:firstLine="480"/>
      </w:pPr>
      <w:r>
        <w:t>本次技改工程位于奎屯-独山子经济技术开发区且符合《奎屯-独山子经济技术开发区总体规划修编（2019-2030）》及规划环评审查意见的相关要求，厂区选址不涉及生态敏感区，因此本次评价不确定评价等级，直接进行生态影响简单分析。</w:t>
      </w:r>
    </w:p>
    <w:p w14:paraId="28AEDCE6">
      <w:pPr>
        <w:pStyle w:val="6"/>
      </w:pPr>
      <w:r>
        <w:t>环境风险评价工作等级</w:t>
      </w:r>
    </w:p>
    <w:p w14:paraId="575D2903">
      <w:pPr>
        <w:pStyle w:val="3"/>
        <w:ind w:firstLine="480"/>
      </w:pPr>
      <w:r>
        <w:t>（1）环境风险潜势初判</w:t>
      </w:r>
    </w:p>
    <w:p w14:paraId="2BFB408B">
      <w:pPr>
        <w:pStyle w:val="3"/>
        <w:ind w:firstLine="480"/>
      </w:pPr>
      <w:r>
        <w:rPr>
          <w:rFonts w:ascii="Cambria Math" w:hAnsi="Cambria Math" w:cs="Cambria Math"/>
        </w:rPr>
        <w:t>①</w:t>
      </w:r>
      <w:r>
        <w:t>危险物质及工艺系统危险性（P）的确定</w:t>
      </w:r>
    </w:p>
    <w:p w14:paraId="60E7CFEA">
      <w:pPr>
        <w:pStyle w:val="3"/>
        <w:ind w:firstLine="480"/>
      </w:pPr>
      <w:r>
        <w:t>危险物质及工艺系统危险性（P）应根据危险物质数量与临界量的比值（Q）及所属行业及生产工艺特点（M）确定。</w:t>
      </w:r>
    </w:p>
    <w:p w14:paraId="38201F6C">
      <w:pPr>
        <w:pStyle w:val="3"/>
        <w:ind w:firstLine="480"/>
      </w:pPr>
      <w:r>
        <w:t>Q值的确定：</w:t>
      </w:r>
    </w:p>
    <w:p w14:paraId="43623CCA">
      <w:pPr>
        <w:pStyle w:val="3"/>
        <w:ind w:firstLine="480"/>
      </w:pPr>
      <w:r>
        <w:t>根据</w:t>
      </w:r>
      <w:bookmarkStart w:id="91" w:name="_Hlk172043989"/>
      <w:r>
        <w:t>《建设项目环境风险评价技术导则》（HJ 169-2018）附录C</w:t>
      </w:r>
      <w:bookmarkEnd w:id="91"/>
      <w:r>
        <w:t>，计算危险物质在厂界内最大存在量与其临界量的比值Q，按下式进行计算：</w:t>
      </w:r>
    </w:p>
    <w:p w14:paraId="2AC2E0F5">
      <w:pPr>
        <w:pStyle w:val="3"/>
        <w:spacing w:line="240" w:lineRule="auto"/>
        <w:ind w:firstLine="480"/>
        <w:jc w:val="center"/>
        <w:textAlignment w:val="center"/>
      </w:pPr>
      <w:r>
        <w:rPr>
          <w:position w:val="-30"/>
        </w:rPr>
        <w:object>
          <v:shape id="_x0000_i1027" o:spt="75" type="#_x0000_t75" style="height:33.75pt;width:101.25pt;" o:ole="t" filled="f" o:preferrelative="t" stroked="f" coordsize="21600,21600">
            <v:path/>
            <v:fill on="f" focussize="0,0"/>
            <v:stroke on="f" joinstyle="miter"/>
            <v:imagedata r:id="rId18" o:title=""/>
            <o:lock v:ext="edit" aspectratio="t"/>
            <w10:wrap type="none"/>
            <w10:anchorlock/>
          </v:shape>
          <o:OLEObject Type="Embed" ProgID="Equation.KSEE3" ShapeID="_x0000_i1027" DrawAspect="Content" ObjectID="_1468075727" r:id="rId17">
            <o:LockedField>false</o:LockedField>
          </o:OLEObject>
        </w:object>
      </w:r>
    </w:p>
    <w:p w14:paraId="113CED1A">
      <w:pPr>
        <w:pStyle w:val="3"/>
        <w:ind w:firstLine="0" w:firstLineChars="0"/>
      </w:pPr>
      <w:r>
        <w:t>式中：q</w:t>
      </w:r>
      <w:r>
        <w:rPr>
          <w:vertAlign w:val="subscript"/>
        </w:rPr>
        <w:t>1</w:t>
      </w:r>
      <w:r>
        <w:t>，q</w:t>
      </w:r>
      <w:r>
        <w:rPr>
          <w:vertAlign w:val="subscript"/>
        </w:rPr>
        <w:t>2</w:t>
      </w:r>
      <w:r>
        <w:t>，...，q</w:t>
      </w:r>
      <w:r>
        <w:rPr>
          <w:vertAlign w:val="subscript"/>
        </w:rPr>
        <w:t>n</w:t>
      </w:r>
      <w:r>
        <w:t>——每种危险物质的最大存在量，t；</w:t>
      </w:r>
    </w:p>
    <w:p w14:paraId="6960A69B">
      <w:pPr>
        <w:pStyle w:val="3"/>
        <w:ind w:firstLine="480"/>
      </w:pPr>
      <w:r>
        <w:t>Q</w:t>
      </w:r>
      <w:r>
        <w:rPr>
          <w:vertAlign w:val="subscript"/>
        </w:rPr>
        <w:t>1</w:t>
      </w:r>
      <w:r>
        <w:t>，Q</w:t>
      </w:r>
      <w:r>
        <w:rPr>
          <w:vertAlign w:val="subscript"/>
        </w:rPr>
        <w:t>2</w:t>
      </w:r>
      <w:r>
        <w:t>，...，Q</w:t>
      </w:r>
      <w:r>
        <w:rPr>
          <w:vertAlign w:val="subscript"/>
        </w:rPr>
        <w:t>n</w:t>
      </w:r>
      <w:r>
        <w:t>——每种危险物质的临界量，t。</w:t>
      </w:r>
    </w:p>
    <w:p w14:paraId="3BE46FEF">
      <w:pPr>
        <w:pStyle w:val="3"/>
        <w:ind w:firstLine="480"/>
      </w:pPr>
      <w:r>
        <w:t>当Q&lt;1时，该项目环境风险潜势为Ⅰ。</w:t>
      </w:r>
    </w:p>
    <w:p w14:paraId="45A705AE">
      <w:pPr>
        <w:pStyle w:val="3"/>
        <w:ind w:firstLine="480"/>
      </w:pPr>
      <w:r>
        <w:t>当Q≥1时，将Q值划分为：a.1≤Q&lt;10；b.10≤Q&lt;100；c.Q≥100。</w:t>
      </w:r>
    </w:p>
    <w:p w14:paraId="3391C698">
      <w:pPr>
        <w:pStyle w:val="3"/>
        <w:ind w:firstLine="480"/>
      </w:pPr>
      <w:bookmarkStart w:id="92" w:name="_Hlk172043999"/>
      <w:bookmarkStart w:id="93" w:name="_Hlk172062858"/>
      <w:r>
        <w:t>本项目Q值确定见下表：</w:t>
      </w:r>
    </w:p>
    <w:p w14:paraId="7A7C7BA6">
      <w:pPr>
        <w:pStyle w:val="40"/>
        <w:spacing w:before="156"/>
      </w:pPr>
      <w:bookmarkStart w:id="94" w:name="_Hlk176444484"/>
      <w:r>
        <w:t>表2.4-10    本项目Q值确定表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82"/>
        <w:gridCol w:w="1203"/>
        <w:gridCol w:w="1871"/>
        <w:gridCol w:w="1271"/>
        <w:gridCol w:w="1995"/>
      </w:tblGrid>
      <w:tr w14:paraId="7A3373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blHeader/>
        </w:trPr>
        <w:tc>
          <w:tcPr>
            <w:tcW w:w="1280" w:type="pct"/>
            <w:vAlign w:val="center"/>
          </w:tcPr>
          <w:p w14:paraId="14A0859F">
            <w:pPr>
              <w:pStyle w:val="41"/>
              <w:keepNext/>
              <w:widowControl/>
            </w:pPr>
            <w:r>
              <w:t>危险物质名称</w:t>
            </w:r>
          </w:p>
        </w:tc>
        <w:tc>
          <w:tcPr>
            <w:tcW w:w="706" w:type="pct"/>
          </w:tcPr>
          <w:p w14:paraId="6D32D10B">
            <w:pPr>
              <w:pStyle w:val="41"/>
              <w:keepNext/>
              <w:widowControl/>
            </w:pPr>
            <w:r>
              <w:t>CAS号</w:t>
            </w:r>
          </w:p>
        </w:tc>
        <w:tc>
          <w:tcPr>
            <w:tcW w:w="1098" w:type="pct"/>
            <w:vAlign w:val="center"/>
          </w:tcPr>
          <w:p w14:paraId="518A7A3F">
            <w:pPr>
              <w:pStyle w:val="41"/>
              <w:keepNext/>
              <w:widowControl/>
            </w:pPr>
            <w:r>
              <w:t>最大存在总量q</w:t>
            </w:r>
            <w:r>
              <w:rPr>
                <w:vertAlign w:val="subscript"/>
              </w:rPr>
              <w:t>n</w:t>
            </w:r>
            <w:r>
              <w:t>/t</w:t>
            </w:r>
          </w:p>
        </w:tc>
        <w:tc>
          <w:tcPr>
            <w:tcW w:w="746" w:type="pct"/>
            <w:vAlign w:val="center"/>
          </w:tcPr>
          <w:p w14:paraId="4880A86A">
            <w:pPr>
              <w:pStyle w:val="41"/>
              <w:keepNext/>
              <w:widowControl/>
            </w:pPr>
            <w:r>
              <w:t>临界量Q</w:t>
            </w:r>
            <w:r>
              <w:rPr>
                <w:vertAlign w:val="subscript"/>
              </w:rPr>
              <w:t>n</w:t>
            </w:r>
            <w:r>
              <w:t>/t</w:t>
            </w:r>
          </w:p>
        </w:tc>
        <w:tc>
          <w:tcPr>
            <w:tcW w:w="1170" w:type="pct"/>
            <w:vAlign w:val="center"/>
          </w:tcPr>
          <w:p w14:paraId="0AC9C912">
            <w:pPr>
              <w:pStyle w:val="41"/>
              <w:keepNext/>
              <w:widowControl/>
            </w:pPr>
            <w:r>
              <w:t>该种危险物质Q值</w:t>
            </w:r>
          </w:p>
        </w:tc>
      </w:tr>
      <w:tr w14:paraId="42FD21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80" w:type="pct"/>
          </w:tcPr>
          <w:p w14:paraId="22F07ADE">
            <w:pPr>
              <w:pStyle w:val="41"/>
            </w:pPr>
            <w:r>
              <w:t>废矿物油</w:t>
            </w:r>
          </w:p>
        </w:tc>
        <w:tc>
          <w:tcPr>
            <w:tcW w:w="706" w:type="pct"/>
          </w:tcPr>
          <w:p w14:paraId="7EA6561C">
            <w:pPr>
              <w:pStyle w:val="41"/>
            </w:pPr>
            <w:r>
              <w:t>/</w:t>
            </w:r>
          </w:p>
        </w:tc>
        <w:tc>
          <w:tcPr>
            <w:tcW w:w="1098" w:type="pct"/>
          </w:tcPr>
          <w:p w14:paraId="4E426A9B">
            <w:pPr>
              <w:pStyle w:val="41"/>
            </w:pPr>
            <w:r>
              <w:t>0.98</w:t>
            </w:r>
          </w:p>
        </w:tc>
        <w:tc>
          <w:tcPr>
            <w:tcW w:w="746" w:type="pct"/>
            <w:vAlign w:val="center"/>
          </w:tcPr>
          <w:p w14:paraId="65008EA7">
            <w:pPr>
              <w:pStyle w:val="41"/>
            </w:pPr>
            <w:r>
              <w:t>2500</w:t>
            </w:r>
          </w:p>
        </w:tc>
        <w:tc>
          <w:tcPr>
            <w:tcW w:w="1170" w:type="pct"/>
            <w:vAlign w:val="center"/>
          </w:tcPr>
          <w:p w14:paraId="616D8E68">
            <w:pPr>
              <w:pStyle w:val="41"/>
            </w:pPr>
            <w:r>
              <w:t>0.000392</w:t>
            </w:r>
          </w:p>
        </w:tc>
      </w:tr>
      <w:tr w14:paraId="390CBB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0" w:type="pct"/>
            <w:gridSpan w:val="4"/>
          </w:tcPr>
          <w:p w14:paraId="04008612">
            <w:pPr>
              <w:pStyle w:val="41"/>
            </w:pPr>
            <w:r>
              <w:t>本项目Q值</w:t>
            </w:r>
          </w:p>
        </w:tc>
        <w:tc>
          <w:tcPr>
            <w:tcW w:w="1170" w:type="pct"/>
            <w:vAlign w:val="center"/>
          </w:tcPr>
          <w:p w14:paraId="23240CD3">
            <w:pPr>
              <w:pStyle w:val="41"/>
            </w:pPr>
            <w:r>
              <w:t>0.000392</w:t>
            </w:r>
          </w:p>
        </w:tc>
      </w:tr>
      <w:tr w14:paraId="3B057E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0" w:type="pct"/>
            <w:gridSpan w:val="4"/>
          </w:tcPr>
          <w:p w14:paraId="38838283">
            <w:pPr>
              <w:pStyle w:val="41"/>
            </w:pPr>
            <w:r>
              <w:t>本项目Q值划分</w:t>
            </w:r>
          </w:p>
        </w:tc>
        <w:tc>
          <w:tcPr>
            <w:tcW w:w="1170" w:type="pct"/>
            <w:vAlign w:val="center"/>
          </w:tcPr>
          <w:p w14:paraId="2832AC37">
            <w:pPr>
              <w:pStyle w:val="41"/>
            </w:pPr>
            <w:r>
              <w:t>Q&lt;1</w:t>
            </w:r>
          </w:p>
        </w:tc>
      </w:tr>
      <w:bookmarkEnd w:id="92"/>
      <w:bookmarkEnd w:id="93"/>
      <w:bookmarkEnd w:id="94"/>
    </w:tbl>
    <w:p w14:paraId="5CD455B0">
      <w:pPr>
        <w:pStyle w:val="49"/>
      </w:pPr>
      <w:r>
        <w:t>经计算，本项目Q值为0.000392，Q&lt;1，该项目环境风险潜势为I。</w:t>
      </w:r>
    </w:p>
    <w:p w14:paraId="58E82DCF">
      <w:pPr>
        <w:pStyle w:val="49"/>
        <w:rPr>
          <w:szCs w:val="24"/>
        </w:rPr>
      </w:pPr>
      <w:r>
        <w:t>（2）环境风险评价等级</w:t>
      </w:r>
    </w:p>
    <w:p w14:paraId="5E32351D">
      <w:pPr>
        <w:pStyle w:val="49"/>
      </w:pPr>
      <w:r>
        <w:t>根据《建设项目环境风险评价技术导则》（HJ169-2018）中关于风险评价等级的划分原则，《环境风险评价技术导则》将环境风险评价工作划分为一、二、三级。根据建设项目涉及的物质及工艺系统危险性和所在地的环境敏感确定的环境敏感性确定环境风险潜势，风险潜势为Ⅳ及以上，进行一级评价；风险潜势为Ⅲ，进行二级评价；风险潜势为Ⅱ，进行三级评价；风险潜势为Ⅰ，可开展简单分析。本项目环境风险等级判定结果见下表。</w:t>
      </w:r>
    </w:p>
    <w:p w14:paraId="472C8E59">
      <w:pPr>
        <w:pStyle w:val="40"/>
        <w:spacing w:before="156"/>
      </w:pPr>
      <w:r>
        <w:t>表2.4-11    环境风险评价工作等级划分表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86"/>
        <w:gridCol w:w="1493"/>
        <w:gridCol w:w="1786"/>
        <w:gridCol w:w="1786"/>
        <w:gridCol w:w="1671"/>
      </w:tblGrid>
      <w:tr w14:paraId="42F684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8" w:type="pct"/>
            <w:tcBorders>
              <w:top w:val="single" w:color="auto" w:sz="12" w:space="0"/>
              <w:left w:val="nil"/>
              <w:bottom w:val="single" w:color="auto" w:sz="6" w:space="0"/>
              <w:right w:val="single" w:color="auto" w:sz="6" w:space="0"/>
            </w:tcBorders>
            <w:vAlign w:val="center"/>
          </w:tcPr>
          <w:p w14:paraId="135DCCFE">
            <w:pPr>
              <w:pStyle w:val="34"/>
            </w:pPr>
            <w:r>
              <w:t>环境风险潜势</w:t>
            </w:r>
          </w:p>
        </w:tc>
        <w:tc>
          <w:tcPr>
            <w:tcW w:w="876" w:type="pct"/>
            <w:tcBorders>
              <w:top w:val="single" w:color="auto" w:sz="12" w:space="0"/>
              <w:left w:val="single" w:color="auto" w:sz="6" w:space="0"/>
              <w:bottom w:val="single" w:color="auto" w:sz="6" w:space="0"/>
              <w:right w:val="single" w:color="auto" w:sz="6" w:space="0"/>
            </w:tcBorders>
            <w:vAlign w:val="center"/>
          </w:tcPr>
          <w:p w14:paraId="108DEBE4">
            <w:pPr>
              <w:pStyle w:val="34"/>
            </w:pPr>
            <w:r>
              <w:t>Ⅳ、Ⅳ+</w:t>
            </w:r>
          </w:p>
        </w:tc>
        <w:tc>
          <w:tcPr>
            <w:tcW w:w="1048" w:type="pct"/>
            <w:tcBorders>
              <w:top w:val="single" w:color="auto" w:sz="12" w:space="0"/>
              <w:left w:val="single" w:color="auto" w:sz="6" w:space="0"/>
              <w:bottom w:val="single" w:color="auto" w:sz="6" w:space="0"/>
              <w:right w:val="single" w:color="auto" w:sz="6" w:space="0"/>
            </w:tcBorders>
            <w:vAlign w:val="center"/>
          </w:tcPr>
          <w:p w14:paraId="2F9F4579">
            <w:pPr>
              <w:pStyle w:val="34"/>
            </w:pPr>
            <w:r>
              <w:t>Ⅲ</w:t>
            </w:r>
          </w:p>
        </w:tc>
        <w:tc>
          <w:tcPr>
            <w:tcW w:w="1048" w:type="pct"/>
            <w:tcBorders>
              <w:top w:val="single" w:color="auto" w:sz="12" w:space="0"/>
              <w:left w:val="single" w:color="auto" w:sz="6" w:space="0"/>
              <w:bottom w:val="single" w:color="auto" w:sz="6" w:space="0"/>
              <w:right w:val="single" w:color="auto" w:sz="6" w:space="0"/>
            </w:tcBorders>
            <w:vAlign w:val="center"/>
          </w:tcPr>
          <w:p w14:paraId="0C38FCEA">
            <w:pPr>
              <w:pStyle w:val="34"/>
            </w:pPr>
            <w:r>
              <w:t>Ⅱ</w:t>
            </w:r>
          </w:p>
        </w:tc>
        <w:tc>
          <w:tcPr>
            <w:tcW w:w="980" w:type="pct"/>
            <w:tcBorders>
              <w:top w:val="single" w:color="auto" w:sz="12" w:space="0"/>
              <w:left w:val="single" w:color="auto" w:sz="6" w:space="0"/>
              <w:bottom w:val="single" w:color="auto" w:sz="6" w:space="0"/>
              <w:right w:val="nil"/>
            </w:tcBorders>
            <w:vAlign w:val="center"/>
          </w:tcPr>
          <w:p w14:paraId="014B5B34">
            <w:pPr>
              <w:pStyle w:val="34"/>
            </w:pPr>
            <w:r>
              <w:t>I</w:t>
            </w:r>
          </w:p>
        </w:tc>
      </w:tr>
      <w:tr w14:paraId="30D65B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8" w:type="pct"/>
            <w:tcBorders>
              <w:top w:val="single" w:color="auto" w:sz="6" w:space="0"/>
              <w:left w:val="nil"/>
              <w:bottom w:val="single" w:color="auto" w:sz="6" w:space="0"/>
              <w:right w:val="single" w:color="auto" w:sz="6" w:space="0"/>
            </w:tcBorders>
            <w:vAlign w:val="center"/>
          </w:tcPr>
          <w:p w14:paraId="063B709A">
            <w:pPr>
              <w:pStyle w:val="34"/>
            </w:pPr>
            <w:r>
              <w:t>评价工作等级</w:t>
            </w:r>
          </w:p>
        </w:tc>
        <w:tc>
          <w:tcPr>
            <w:tcW w:w="876" w:type="pct"/>
            <w:tcBorders>
              <w:top w:val="single" w:color="auto" w:sz="6" w:space="0"/>
              <w:left w:val="single" w:color="auto" w:sz="6" w:space="0"/>
              <w:bottom w:val="single" w:color="auto" w:sz="6" w:space="0"/>
              <w:right w:val="single" w:color="auto" w:sz="6" w:space="0"/>
            </w:tcBorders>
            <w:vAlign w:val="center"/>
          </w:tcPr>
          <w:p w14:paraId="315B867C">
            <w:pPr>
              <w:pStyle w:val="34"/>
            </w:pPr>
            <w:r>
              <w:t>一</w:t>
            </w:r>
          </w:p>
        </w:tc>
        <w:tc>
          <w:tcPr>
            <w:tcW w:w="1048" w:type="pct"/>
            <w:tcBorders>
              <w:top w:val="single" w:color="auto" w:sz="6" w:space="0"/>
              <w:left w:val="single" w:color="auto" w:sz="6" w:space="0"/>
              <w:bottom w:val="single" w:color="auto" w:sz="6" w:space="0"/>
              <w:right w:val="single" w:color="auto" w:sz="6" w:space="0"/>
            </w:tcBorders>
            <w:vAlign w:val="center"/>
          </w:tcPr>
          <w:p w14:paraId="1F4301EA">
            <w:pPr>
              <w:pStyle w:val="34"/>
            </w:pPr>
            <w:r>
              <w:t>二</w:t>
            </w:r>
          </w:p>
        </w:tc>
        <w:tc>
          <w:tcPr>
            <w:tcW w:w="1048" w:type="pct"/>
            <w:tcBorders>
              <w:top w:val="single" w:color="auto" w:sz="6" w:space="0"/>
              <w:left w:val="single" w:color="auto" w:sz="6" w:space="0"/>
              <w:bottom w:val="single" w:color="auto" w:sz="6" w:space="0"/>
              <w:right w:val="single" w:color="auto" w:sz="6" w:space="0"/>
            </w:tcBorders>
            <w:vAlign w:val="center"/>
          </w:tcPr>
          <w:p w14:paraId="68AD30B1">
            <w:pPr>
              <w:pStyle w:val="34"/>
            </w:pPr>
            <w:r>
              <w:t>三</w:t>
            </w:r>
          </w:p>
        </w:tc>
        <w:tc>
          <w:tcPr>
            <w:tcW w:w="980" w:type="pct"/>
            <w:tcBorders>
              <w:top w:val="single" w:color="auto" w:sz="6" w:space="0"/>
              <w:left w:val="single" w:color="auto" w:sz="6" w:space="0"/>
              <w:bottom w:val="single" w:color="auto" w:sz="6" w:space="0"/>
              <w:right w:val="nil"/>
            </w:tcBorders>
            <w:vAlign w:val="center"/>
          </w:tcPr>
          <w:p w14:paraId="5731E977">
            <w:pPr>
              <w:pStyle w:val="34"/>
            </w:pPr>
            <w:r>
              <w:t>简单分析</w:t>
            </w:r>
            <w:r>
              <w:rPr>
                <w:rFonts w:ascii="Cambria Math" w:hAnsi="Cambria Math" w:cs="Cambria Math"/>
                <w:vertAlign w:val="superscript"/>
              </w:rPr>
              <w:t>①</w:t>
            </w:r>
          </w:p>
        </w:tc>
      </w:tr>
      <w:tr w14:paraId="119A12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24" w:type="pct"/>
            <w:gridSpan w:val="2"/>
            <w:tcBorders>
              <w:top w:val="single" w:color="auto" w:sz="6" w:space="0"/>
              <w:left w:val="nil"/>
              <w:bottom w:val="single" w:color="auto" w:sz="6" w:space="0"/>
              <w:right w:val="single" w:color="auto" w:sz="6" w:space="0"/>
            </w:tcBorders>
            <w:shd w:val="clear" w:color="auto" w:fill="D8D8D8"/>
            <w:vAlign w:val="center"/>
          </w:tcPr>
          <w:p w14:paraId="2A6F5C2F">
            <w:pPr>
              <w:pStyle w:val="34"/>
            </w:pPr>
            <w:r>
              <w:t>本项目风险评价等级</w:t>
            </w:r>
          </w:p>
        </w:tc>
        <w:tc>
          <w:tcPr>
            <w:tcW w:w="3076" w:type="pct"/>
            <w:gridSpan w:val="3"/>
            <w:tcBorders>
              <w:top w:val="single" w:color="auto" w:sz="6" w:space="0"/>
              <w:left w:val="single" w:color="auto" w:sz="6" w:space="0"/>
              <w:bottom w:val="single" w:color="auto" w:sz="6" w:space="0"/>
              <w:right w:val="nil"/>
            </w:tcBorders>
            <w:shd w:val="clear" w:color="auto" w:fill="D8D8D8"/>
            <w:vAlign w:val="center"/>
          </w:tcPr>
          <w:p w14:paraId="0D3050D7">
            <w:pPr>
              <w:pStyle w:val="34"/>
            </w:pPr>
            <w:r>
              <w:t>简单分析</w:t>
            </w:r>
          </w:p>
        </w:tc>
      </w:tr>
      <w:tr w14:paraId="7CE74F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5"/>
            <w:tcBorders>
              <w:top w:val="single" w:color="auto" w:sz="6" w:space="0"/>
              <w:left w:val="nil"/>
              <w:bottom w:val="single" w:color="auto" w:sz="12" w:space="0"/>
              <w:right w:val="nil"/>
            </w:tcBorders>
            <w:vAlign w:val="center"/>
          </w:tcPr>
          <w:p w14:paraId="5ED06CB5">
            <w:pPr>
              <w:pStyle w:val="34"/>
              <w:jc w:val="left"/>
            </w:pPr>
            <w:r>
              <w:t>注：</w:t>
            </w:r>
            <w:r>
              <w:rPr>
                <w:rFonts w:ascii="Cambria Math" w:hAnsi="Cambria Math" w:cs="Cambria Math"/>
              </w:rPr>
              <w:t>①</w:t>
            </w:r>
            <w:r>
              <w:t>是相对于详细评价工作内容而言，在描述危险物质、环境影响途径、环境危险后果、风险防范措施等方面给出定性的说明。</w:t>
            </w:r>
          </w:p>
        </w:tc>
      </w:tr>
    </w:tbl>
    <w:p w14:paraId="50F3AC5E">
      <w:pPr>
        <w:pStyle w:val="49"/>
      </w:pPr>
      <w:r>
        <w:t>根据《建设项目环境风险评价技术导则》（HJ169-2018）中判定原则，本项目环境风险潜势为Ⅰ，故进行简单分析。根据评价导则要求，本次评价参照标准进行风险识别和对事故风险进行简单分析，定性分析危险物质、环境影响途径、环境危害后果、风险防范措施等。</w:t>
      </w:r>
    </w:p>
    <w:p w14:paraId="2F2872E2">
      <w:pPr>
        <w:pStyle w:val="5"/>
        <w:spacing w:before="156"/>
      </w:pPr>
      <w:r>
        <w:t>评价范围</w:t>
      </w:r>
    </w:p>
    <w:p w14:paraId="3DCC0EAF">
      <w:pPr>
        <w:pStyle w:val="6"/>
      </w:pPr>
      <w:r>
        <w:t>大气环境评价范围</w:t>
      </w:r>
    </w:p>
    <w:p w14:paraId="585C2D75">
      <w:pPr>
        <w:pStyle w:val="49"/>
        <w:rPr>
          <w:sz w:val="21"/>
          <w:szCs w:val="21"/>
        </w:rPr>
      </w:pPr>
      <w:r>
        <w:t>根据《环境影响评价技术导则 大气环境》（HJ2.2-2018），本项目大气环境影响评价为一级评价，Pmax最大值出现为颗粒物为22.57%＞10%，占标率为22.57%，最远距离D</w:t>
      </w:r>
      <w:r>
        <w:rPr>
          <w:vertAlign w:val="subscript"/>
        </w:rPr>
        <w:t>10%</w:t>
      </w:r>
      <w:r>
        <w:t>为375m；根据《环境影响评价技术导则 大气环境》（HJ2.2-2018）中：“5.4.1一级评价项目根据建设项目排放污染物的最远影响距离（D</w:t>
      </w:r>
      <w:r>
        <w:rPr>
          <w:vertAlign w:val="subscript"/>
        </w:rPr>
        <w:t>10%）</w:t>
      </w:r>
      <w:r>
        <w:t>确定大气环境影响评价范围。即以项目厂址为中心区域，自厂界外延D</w:t>
      </w:r>
      <w:r>
        <w:rPr>
          <w:vertAlign w:val="subscript"/>
        </w:rPr>
        <w:t>10%</w:t>
      </w:r>
      <w:r>
        <w:t>的矩形区域作为大气环境影响评价范围。当D</w:t>
      </w:r>
      <w:r>
        <w:rPr>
          <w:vertAlign w:val="subscript"/>
        </w:rPr>
        <w:t>10%</w:t>
      </w:r>
      <w:r>
        <w:t>超过25km时，确定评价范围为边长50km的矩形区域；当D</w:t>
      </w:r>
      <w:r>
        <w:rPr>
          <w:vertAlign w:val="subscript"/>
        </w:rPr>
        <w:t>10%</w:t>
      </w:r>
      <w:r>
        <w:t>小于2.5km时，评价范围边长取5km。”最终确定本项目大气环境评价范围为边长为5km的矩形区域。</w:t>
      </w:r>
    </w:p>
    <w:p w14:paraId="6348D232">
      <w:pPr>
        <w:pStyle w:val="6"/>
      </w:pPr>
      <w:r>
        <w:t>地表水环境评价范围</w:t>
      </w:r>
    </w:p>
    <w:p w14:paraId="7BB4A931">
      <w:pPr>
        <w:pStyle w:val="3"/>
        <w:ind w:firstLine="480"/>
      </w:pPr>
      <w:r>
        <w:t>本项目工业废水循环利用，无外排，生活污水满足排入市政污水管网，最终进入园区污水处理厂。根据《环境影响评价技术导则 地表水环境》（HJ2.3-2018），本项目属于间接排放，不与地表水发生水力联系，因此，不设地表水环境影响评价范围。</w:t>
      </w:r>
    </w:p>
    <w:p w14:paraId="5CCBC59E">
      <w:pPr>
        <w:pStyle w:val="6"/>
      </w:pPr>
      <w:r>
        <w:t>地下水环境评价范围</w:t>
      </w:r>
    </w:p>
    <w:p w14:paraId="10693251">
      <w:pPr>
        <w:pStyle w:val="3"/>
        <w:ind w:firstLine="480"/>
      </w:pPr>
      <w:r>
        <w:t>项目区域地下水总的径流趋势为自东南向西北。本项目地下水环境影响评价为二级评价，不涉及地下水敏感目标，用查表法确定本项目的地下水评价范围为：以项目区中心为起点，下游2km、两侧1.0km、上游1.0km矩形区域，评价面积为6km</w:t>
      </w:r>
      <w:r>
        <w:rPr>
          <w:vertAlign w:val="superscript"/>
        </w:rPr>
        <w:t>2</w:t>
      </w:r>
      <w:r>
        <w:t>。评价范围判定情况见下表：</w:t>
      </w:r>
    </w:p>
    <w:p w14:paraId="2EBC00D4">
      <w:pPr>
        <w:pStyle w:val="40"/>
        <w:spacing w:before="156"/>
      </w:pPr>
      <w:r>
        <w:t>表2.4-12    地下水环境现状调查评价范围参照表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9"/>
        <w:gridCol w:w="2597"/>
        <w:gridCol w:w="3083"/>
      </w:tblGrid>
      <w:tr w14:paraId="1DED24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666" w:type="pct"/>
            <w:vAlign w:val="center"/>
          </w:tcPr>
          <w:p w14:paraId="7D788FB7">
            <w:pPr>
              <w:pStyle w:val="41"/>
            </w:pPr>
            <w:r>
              <w:t>评价等级</w:t>
            </w:r>
          </w:p>
        </w:tc>
        <w:tc>
          <w:tcPr>
            <w:tcW w:w="1524" w:type="pct"/>
            <w:vAlign w:val="center"/>
          </w:tcPr>
          <w:p w14:paraId="152E635B">
            <w:pPr>
              <w:pStyle w:val="41"/>
            </w:pPr>
            <w:r>
              <w:t>调查评价面积（km</w:t>
            </w:r>
            <w:r>
              <w:rPr>
                <w:vertAlign w:val="superscript"/>
              </w:rPr>
              <w:t>2</w:t>
            </w:r>
            <w:r>
              <w:t>）</w:t>
            </w:r>
          </w:p>
        </w:tc>
        <w:tc>
          <w:tcPr>
            <w:tcW w:w="1809" w:type="pct"/>
            <w:vAlign w:val="center"/>
          </w:tcPr>
          <w:p w14:paraId="2FA667E9">
            <w:pPr>
              <w:pStyle w:val="41"/>
            </w:pPr>
            <w:r>
              <w:t>备注</w:t>
            </w:r>
          </w:p>
        </w:tc>
      </w:tr>
      <w:tr w14:paraId="23FC57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Align w:val="center"/>
          </w:tcPr>
          <w:p w14:paraId="2DAE2BF5">
            <w:pPr>
              <w:pStyle w:val="41"/>
            </w:pPr>
            <w:r>
              <w:t>一级</w:t>
            </w:r>
          </w:p>
        </w:tc>
        <w:tc>
          <w:tcPr>
            <w:tcW w:w="1524" w:type="pct"/>
            <w:vAlign w:val="center"/>
          </w:tcPr>
          <w:p w14:paraId="0DD90EA7">
            <w:pPr>
              <w:pStyle w:val="41"/>
            </w:pPr>
            <w:r>
              <w:t>≥20</w:t>
            </w:r>
          </w:p>
        </w:tc>
        <w:tc>
          <w:tcPr>
            <w:tcW w:w="1809" w:type="pct"/>
            <w:vMerge w:val="restart"/>
            <w:vAlign w:val="center"/>
          </w:tcPr>
          <w:p w14:paraId="5B13DC6E">
            <w:pPr>
              <w:pStyle w:val="41"/>
            </w:pPr>
            <w:r>
              <w:t>应包括重要的地下水环境保护目标，必要时适当扩大范围。</w:t>
            </w:r>
          </w:p>
        </w:tc>
      </w:tr>
      <w:tr w14:paraId="7B37AF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Align w:val="center"/>
          </w:tcPr>
          <w:p w14:paraId="22C520FF">
            <w:pPr>
              <w:pStyle w:val="41"/>
            </w:pPr>
            <w:r>
              <w:t>二级</w:t>
            </w:r>
          </w:p>
        </w:tc>
        <w:tc>
          <w:tcPr>
            <w:tcW w:w="1524" w:type="pct"/>
            <w:vAlign w:val="center"/>
          </w:tcPr>
          <w:p w14:paraId="7F8F9593">
            <w:pPr>
              <w:pStyle w:val="41"/>
            </w:pPr>
            <w:r>
              <w:t>6-20</w:t>
            </w:r>
          </w:p>
        </w:tc>
        <w:tc>
          <w:tcPr>
            <w:tcW w:w="1809" w:type="pct"/>
            <w:vMerge w:val="continue"/>
            <w:vAlign w:val="center"/>
          </w:tcPr>
          <w:p w14:paraId="426A186C">
            <w:pPr>
              <w:pStyle w:val="41"/>
            </w:pPr>
          </w:p>
        </w:tc>
      </w:tr>
      <w:tr w14:paraId="10B498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Align w:val="center"/>
          </w:tcPr>
          <w:p w14:paraId="22676510">
            <w:pPr>
              <w:pStyle w:val="41"/>
            </w:pPr>
            <w:r>
              <w:t>三级</w:t>
            </w:r>
          </w:p>
        </w:tc>
        <w:tc>
          <w:tcPr>
            <w:tcW w:w="1524" w:type="pct"/>
            <w:vAlign w:val="center"/>
          </w:tcPr>
          <w:p w14:paraId="739CDCDE">
            <w:pPr>
              <w:pStyle w:val="41"/>
            </w:pPr>
            <w:r>
              <w:t>≤6</w:t>
            </w:r>
          </w:p>
        </w:tc>
        <w:tc>
          <w:tcPr>
            <w:tcW w:w="1809" w:type="pct"/>
            <w:vMerge w:val="continue"/>
            <w:vAlign w:val="center"/>
          </w:tcPr>
          <w:p w14:paraId="63D22A7B">
            <w:pPr>
              <w:pStyle w:val="41"/>
            </w:pPr>
          </w:p>
        </w:tc>
      </w:tr>
      <w:tr w14:paraId="7C0704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Align w:val="center"/>
          </w:tcPr>
          <w:p w14:paraId="7B387112">
            <w:pPr>
              <w:pStyle w:val="41"/>
            </w:pPr>
            <w:r>
              <w:t>本项目评价范围</w:t>
            </w:r>
          </w:p>
        </w:tc>
        <w:tc>
          <w:tcPr>
            <w:tcW w:w="3333" w:type="pct"/>
            <w:gridSpan w:val="2"/>
            <w:vAlign w:val="center"/>
          </w:tcPr>
          <w:p w14:paraId="3F56B268">
            <w:pPr>
              <w:pStyle w:val="41"/>
            </w:pPr>
            <w:r>
              <w:t>6km</w:t>
            </w:r>
            <w:r>
              <w:rPr>
                <w:vertAlign w:val="superscript"/>
              </w:rPr>
              <w:t>2</w:t>
            </w:r>
          </w:p>
        </w:tc>
      </w:tr>
    </w:tbl>
    <w:p w14:paraId="344F9E63">
      <w:pPr>
        <w:pStyle w:val="6"/>
      </w:pPr>
      <w:r>
        <w:t>声环境评价范围</w:t>
      </w:r>
    </w:p>
    <w:p w14:paraId="6D7C101B">
      <w:pPr>
        <w:pStyle w:val="3"/>
        <w:ind w:firstLine="480"/>
      </w:pPr>
      <w:r>
        <w:t>项目位于奎屯-独山子经济技术开发区，周围为园区内工业企业，1km范围内无声环境敏感点。根据《环境影响评价技术导则 声环境》（HJ2.4-2021）确定本项目声环境评价范围为项目区边界外1m区域。</w:t>
      </w:r>
    </w:p>
    <w:p w14:paraId="4B82DB56">
      <w:pPr>
        <w:pStyle w:val="6"/>
      </w:pPr>
      <w:r>
        <w:t>土壤环境评价范围</w:t>
      </w:r>
    </w:p>
    <w:p w14:paraId="76255213">
      <w:pPr>
        <w:pStyle w:val="3"/>
        <w:ind w:firstLine="480"/>
      </w:pPr>
      <w:bookmarkStart w:id="95" w:name="_Hlk171872967"/>
      <w:r>
        <w:t>根据《环境影响评价技术导则  土壤环境》（HJ964-2018），土壤环境影响评价范围根据建设项目影响类型、污染途径、气象条件、地形地貌、水文地质条件等确定并说明，或参考表5确定。根据三级评价的调查评价范围为占地范围和占地范围外50m的范围。本项目涉及大气沉降影响，根据进一步采用AERMOD模式大气预测，项目重金属区域最大落地浓度值均未超过相关标准限值，因此确定本项目土壤影响范围为项目占地范围内全部区域及占地范围外50m范围内区域。</w:t>
      </w:r>
    </w:p>
    <w:bookmarkEnd w:id="95"/>
    <w:p w14:paraId="10CA88F5">
      <w:pPr>
        <w:pStyle w:val="6"/>
      </w:pPr>
      <w:r>
        <w:t>生态环境评价范围</w:t>
      </w:r>
    </w:p>
    <w:p w14:paraId="44F4E1C4">
      <w:pPr>
        <w:pStyle w:val="3"/>
        <w:ind w:firstLine="480"/>
      </w:pPr>
      <w:bookmarkStart w:id="96" w:name="_Hlk171874203"/>
      <w:r>
        <w:t>考虑本项目为污染影响型建设项目，不新增占地，且位于产业园区内，周围无重要生态环境保护目标，故生态环境评价范围为项目厂界范围内。</w:t>
      </w:r>
    </w:p>
    <w:bookmarkEnd w:id="96"/>
    <w:p w14:paraId="0185EFFA">
      <w:pPr>
        <w:pStyle w:val="6"/>
      </w:pPr>
      <w:r>
        <w:t>环境风险评价范围</w:t>
      </w:r>
    </w:p>
    <w:p w14:paraId="0A540026">
      <w:pPr>
        <w:pStyle w:val="49"/>
      </w:pPr>
      <w:r>
        <w:t>根据《建设项目环境风险评价技术导则》（HJ169-2018），项目环境风险等级为简单分析，不设评价范围。</w:t>
      </w:r>
    </w:p>
    <w:p w14:paraId="5396595E">
      <w:pPr>
        <w:pStyle w:val="5"/>
        <w:spacing w:before="156"/>
      </w:pPr>
      <w:r>
        <w:t>各环境要素评价等级与范围汇总</w:t>
      </w:r>
    </w:p>
    <w:p w14:paraId="49EF4CE4">
      <w:pPr>
        <w:pStyle w:val="3"/>
        <w:ind w:firstLine="480"/>
      </w:pPr>
      <w:r>
        <w:t>本项目各环境要素评价范围见表2.3-13与附2.5-1。</w:t>
      </w:r>
    </w:p>
    <w:p w14:paraId="7C65B1F9">
      <w:pPr>
        <w:pStyle w:val="40"/>
        <w:spacing w:before="156"/>
      </w:pPr>
      <w:bookmarkStart w:id="97" w:name="_Hlk172062929"/>
      <w:r>
        <w:t>表2.3-13    环境影响评价范围一览表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00"/>
        <w:gridCol w:w="1164"/>
        <w:gridCol w:w="5755"/>
      </w:tblGrid>
      <w:tr w14:paraId="6F3A07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39" w:type="pct"/>
            <w:vAlign w:val="center"/>
          </w:tcPr>
          <w:p w14:paraId="646993EB">
            <w:pPr>
              <w:pStyle w:val="41"/>
            </w:pPr>
            <w:r>
              <w:t>环境要素</w:t>
            </w:r>
          </w:p>
        </w:tc>
        <w:tc>
          <w:tcPr>
            <w:tcW w:w="683" w:type="pct"/>
            <w:vAlign w:val="center"/>
          </w:tcPr>
          <w:p w14:paraId="415C7EF4">
            <w:pPr>
              <w:pStyle w:val="41"/>
            </w:pPr>
            <w:r>
              <w:t>评价等级</w:t>
            </w:r>
          </w:p>
        </w:tc>
        <w:tc>
          <w:tcPr>
            <w:tcW w:w="3378" w:type="pct"/>
            <w:vAlign w:val="center"/>
          </w:tcPr>
          <w:p w14:paraId="147F35A7">
            <w:pPr>
              <w:pStyle w:val="41"/>
            </w:pPr>
            <w:r>
              <w:t>评价范围</w:t>
            </w:r>
          </w:p>
        </w:tc>
      </w:tr>
      <w:tr w14:paraId="4D6D07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Align w:val="center"/>
          </w:tcPr>
          <w:p w14:paraId="203BF6E8">
            <w:pPr>
              <w:pStyle w:val="41"/>
            </w:pPr>
            <w:r>
              <w:t>大气</w:t>
            </w:r>
          </w:p>
        </w:tc>
        <w:tc>
          <w:tcPr>
            <w:tcW w:w="683" w:type="pct"/>
            <w:vAlign w:val="center"/>
          </w:tcPr>
          <w:p w14:paraId="377BE425">
            <w:pPr>
              <w:pStyle w:val="41"/>
            </w:pPr>
            <w:r>
              <w:t>一级</w:t>
            </w:r>
          </w:p>
        </w:tc>
        <w:tc>
          <w:tcPr>
            <w:tcW w:w="3378" w:type="pct"/>
            <w:vAlign w:val="center"/>
          </w:tcPr>
          <w:p w14:paraId="26EC2C52">
            <w:pPr>
              <w:pStyle w:val="41"/>
              <w:jc w:val="left"/>
            </w:pPr>
            <w:r>
              <w:t>厂址为中心，边长为5km的矩形区域。</w:t>
            </w:r>
          </w:p>
        </w:tc>
      </w:tr>
      <w:tr w14:paraId="29F2A5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Align w:val="center"/>
          </w:tcPr>
          <w:p w14:paraId="6ABA1F51">
            <w:pPr>
              <w:pStyle w:val="41"/>
            </w:pPr>
            <w:r>
              <w:t>地表水</w:t>
            </w:r>
          </w:p>
        </w:tc>
        <w:tc>
          <w:tcPr>
            <w:tcW w:w="683" w:type="pct"/>
            <w:vAlign w:val="center"/>
          </w:tcPr>
          <w:p w14:paraId="015066EF">
            <w:pPr>
              <w:pStyle w:val="41"/>
            </w:pPr>
            <w:r>
              <w:t>三级B</w:t>
            </w:r>
          </w:p>
        </w:tc>
        <w:tc>
          <w:tcPr>
            <w:tcW w:w="3378" w:type="pct"/>
            <w:vAlign w:val="center"/>
          </w:tcPr>
          <w:p w14:paraId="04897FA6">
            <w:pPr>
              <w:pStyle w:val="41"/>
              <w:jc w:val="left"/>
            </w:pPr>
            <w:r>
              <w:t>无。</w:t>
            </w:r>
          </w:p>
        </w:tc>
      </w:tr>
      <w:tr w14:paraId="67696C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Align w:val="center"/>
          </w:tcPr>
          <w:p w14:paraId="5CD1510D">
            <w:pPr>
              <w:pStyle w:val="41"/>
            </w:pPr>
            <w:r>
              <w:t>地下水</w:t>
            </w:r>
          </w:p>
        </w:tc>
        <w:tc>
          <w:tcPr>
            <w:tcW w:w="683" w:type="pct"/>
            <w:vAlign w:val="center"/>
          </w:tcPr>
          <w:p w14:paraId="651F4AC1">
            <w:pPr>
              <w:pStyle w:val="41"/>
            </w:pPr>
            <w:r>
              <w:t>二级</w:t>
            </w:r>
          </w:p>
        </w:tc>
        <w:tc>
          <w:tcPr>
            <w:tcW w:w="3378" w:type="pct"/>
            <w:vAlign w:val="center"/>
          </w:tcPr>
          <w:p w14:paraId="7C83CD57">
            <w:pPr>
              <w:pStyle w:val="41"/>
              <w:jc w:val="left"/>
            </w:pPr>
            <w:r>
              <w:t>以项目区中心为起点，下游2km、两侧1.0km、上游1.0km矩形区域，评价面积为6km</w:t>
            </w:r>
            <w:r>
              <w:rPr>
                <w:vertAlign w:val="superscript"/>
              </w:rPr>
              <w:t>2</w:t>
            </w:r>
            <w:r>
              <w:t>。</w:t>
            </w:r>
          </w:p>
        </w:tc>
      </w:tr>
      <w:tr w14:paraId="110E5C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Align w:val="center"/>
          </w:tcPr>
          <w:p w14:paraId="527EF6F8">
            <w:pPr>
              <w:pStyle w:val="41"/>
            </w:pPr>
            <w:r>
              <w:t>声环境</w:t>
            </w:r>
          </w:p>
        </w:tc>
        <w:tc>
          <w:tcPr>
            <w:tcW w:w="683" w:type="pct"/>
            <w:vAlign w:val="center"/>
          </w:tcPr>
          <w:p w14:paraId="6BD5586A">
            <w:pPr>
              <w:pStyle w:val="41"/>
            </w:pPr>
            <w:r>
              <w:t>三级</w:t>
            </w:r>
          </w:p>
        </w:tc>
        <w:tc>
          <w:tcPr>
            <w:tcW w:w="3378" w:type="pct"/>
            <w:vAlign w:val="center"/>
          </w:tcPr>
          <w:p w14:paraId="72ADCFEB">
            <w:pPr>
              <w:pStyle w:val="41"/>
              <w:jc w:val="left"/>
            </w:pPr>
            <w:r>
              <w:t>项目厂界外1m范围内。</w:t>
            </w:r>
          </w:p>
        </w:tc>
      </w:tr>
      <w:tr w14:paraId="630E5C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Align w:val="center"/>
          </w:tcPr>
          <w:p w14:paraId="6EFEF376">
            <w:pPr>
              <w:pStyle w:val="41"/>
            </w:pPr>
            <w:r>
              <w:t>土壤环境</w:t>
            </w:r>
          </w:p>
        </w:tc>
        <w:tc>
          <w:tcPr>
            <w:tcW w:w="683" w:type="pct"/>
            <w:vAlign w:val="center"/>
          </w:tcPr>
          <w:p w14:paraId="45CEDDB8">
            <w:pPr>
              <w:pStyle w:val="41"/>
            </w:pPr>
            <w:r>
              <w:t>三级</w:t>
            </w:r>
          </w:p>
        </w:tc>
        <w:tc>
          <w:tcPr>
            <w:tcW w:w="3378" w:type="pct"/>
            <w:vAlign w:val="center"/>
          </w:tcPr>
          <w:p w14:paraId="2C1CAC65">
            <w:pPr>
              <w:pStyle w:val="41"/>
              <w:jc w:val="left"/>
            </w:pPr>
            <w:bookmarkStart w:id="98" w:name="_Hlk171874251"/>
            <w:r>
              <w:t>项目区及厂界外50m范围内。</w:t>
            </w:r>
            <w:bookmarkEnd w:id="98"/>
          </w:p>
        </w:tc>
      </w:tr>
      <w:tr w14:paraId="23C643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Align w:val="center"/>
          </w:tcPr>
          <w:p w14:paraId="38F71BD6">
            <w:pPr>
              <w:pStyle w:val="41"/>
            </w:pPr>
            <w:r>
              <w:t>生态环境</w:t>
            </w:r>
          </w:p>
        </w:tc>
        <w:tc>
          <w:tcPr>
            <w:tcW w:w="683" w:type="pct"/>
            <w:vAlign w:val="center"/>
          </w:tcPr>
          <w:p w14:paraId="7AF3A6DF">
            <w:pPr>
              <w:pStyle w:val="41"/>
            </w:pPr>
            <w:r>
              <w:t>简单分析</w:t>
            </w:r>
          </w:p>
        </w:tc>
        <w:tc>
          <w:tcPr>
            <w:tcW w:w="3378" w:type="pct"/>
            <w:vAlign w:val="center"/>
          </w:tcPr>
          <w:p w14:paraId="7055B9D0">
            <w:pPr>
              <w:pStyle w:val="41"/>
              <w:jc w:val="left"/>
            </w:pPr>
            <w:r>
              <w:t>项目厂界内</w:t>
            </w:r>
          </w:p>
        </w:tc>
      </w:tr>
      <w:tr w14:paraId="783E0F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Align w:val="center"/>
          </w:tcPr>
          <w:p w14:paraId="081FC322">
            <w:pPr>
              <w:pStyle w:val="41"/>
            </w:pPr>
            <w:r>
              <w:t>环境风险</w:t>
            </w:r>
          </w:p>
        </w:tc>
        <w:tc>
          <w:tcPr>
            <w:tcW w:w="683" w:type="pct"/>
            <w:vAlign w:val="center"/>
          </w:tcPr>
          <w:p w14:paraId="458D9D0F">
            <w:pPr>
              <w:pStyle w:val="41"/>
            </w:pPr>
            <w:r>
              <w:t>简单分析</w:t>
            </w:r>
          </w:p>
        </w:tc>
        <w:tc>
          <w:tcPr>
            <w:tcW w:w="3378" w:type="pct"/>
            <w:vAlign w:val="center"/>
          </w:tcPr>
          <w:p w14:paraId="64CF1AA5">
            <w:pPr>
              <w:pStyle w:val="41"/>
              <w:jc w:val="left"/>
            </w:pPr>
            <w:r>
              <w:t>无</w:t>
            </w:r>
          </w:p>
        </w:tc>
      </w:tr>
      <w:bookmarkEnd w:id="97"/>
    </w:tbl>
    <w:p w14:paraId="7FEEEA20">
      <w:pPr>
        <w:pStyle w:val="4"/>
      </w:pPr>
      <w:bookmarkStart w:id="99" w:name="_Toc207208377"/>
      <w:bookmarkStart w:id="100" w:name="_Toc11318"/>
      <w:bookmarkStart w:id="101" w:name="_Toc5836"/>
      <w:r>
        <w:t>相关规划与环境功能区划</w:t>
      </w:r>
      <w:bookmarkEnd w:id="99"/>
      <w:bookmarkEnd w:id="100"/>
      <w:bookmarkEnd w:id="101"/>
    </w:p>
    <w:p w14:paraId="0B98C271">
      <w:pPr>
        <w:pStyle w:val="5"/>
        <w:spacing w:before="156"/>
      </w:pPr>
      <w:r>
        <w:t>相关规划</w:t>
      </w:r>
    </w:p>
    <w:p w14:paraId="7E68236B">
      <w:pPr>
        <w:pStyle w:val="49"/>
      </w:pPr>
      <w:r>
        <w:t>（1）《奎屯-独山子经济技术开发区总体规划修编（2019-2030）环境影响报告书》及其审查意见。</w:t>
      </w:r>
    </w:p>
    <w:p w14:paraId="7C23ACD0">
      <w:pPr>
        <w:pStyle w:val="5"/>
        <w:spacing w:before="156"/>
      </w:pPr>
      <w:r>
        <w:t>环境功能区划</w:t>
      </w:r>
    </w:p>
    <w:p w14:paraId="7FA9ABF5">
      <w:pPr>
        <w:pStyle w:val="3"/>
        <w:ind w:firstLine="480"/>
      </w:pPr>
      <w:r>
        <w:t>本项目位于奎屯-独山子经济技术开发区，周边无自然保护区、风景名胜区和其他需要特殊保护的区域。项目所在地主要环境功能属性见下表：</w:t>
      </w:r>
    </w:p>
    <w:p w14:paraId="2B36D4B6">
      <w:pPr>
        <w:pStyle w:val="40"/>
        <w:spacing w:before="156"/>
      </w:pPr>
      <w:r>
        <w:t>表2.5-1    区域环境功能属性一览表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08"/>
        <w:gridCol w:w="1759"/>
        <w:gridCol w:w="1333"/>
        <w:gridCol w:w="4819"/>
      </w:tblGrid>
      <w:tr w14:paraId="5029BF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57" w:type="pct"/>
            <w:vAlign w:val="center"/>
          </w:tcPr>
          <w:p w14:paraId="718B0396">
            <w:pPr>
              <w:pStyle w:val="41"/>
            </w:pPr>
            <w:r>
              <w:t>序号</w:t>
            </w:r>
          </w:p>
        </w:tc>
        <w:tc>
          <w:tcPr>
            <w:tcW w:w="1032" w:type="pct"/>
            <w:vAlign w:val="center"/>
          </w:tcPr>
          <w:p w14:paraId="7D15778B">
            <w:pPr>
              <w:pStyle w:val="41"/>
            </w:pPr>
            <w:r>
              <w:t>功能区类别</w:t>
            </w:r>
          </w:p>
        </w:tc>
        <w:tc>
          <w:tcPr>
            <w:tcW w:w="3610" w:type="pct"/>
            <w:gridSpan w:val="2"/>
            <w:vAlign w:val="center"/>
          </w:tcPr>
          <w:p w14:paraId="3B97F89F">
            <w:pPr>
              <w:pStyle w:val="41"/>
            </w:pPr>
            <w:r>
              <w:t>项目区域功能区分类及执行标准</w:t>
            </w:r>
          </w:p>
        </w:tc>
      </w:tr>
      <w:tr w14:paraId="78227D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6CA880F6">
            <w:pPr>
              <w:pStyle w:val="41"/>
            </w:pPr>
            <w:r>
              <w:t>1</w:t>
            </w:r>
          </w:p>
        </w:tc>
        <w:tc>
          <w:tcPr>
            <w:tcW w:w="1032" w:type="pct"/>
            <w:vAlign w:val="center"/>
          </w:tcPr>
          <w:p w14:paraId="17684D8A">
            <w:pPr>
              <w:pStyle w:val="41"/>
            </w:pPr>
            <w:r>
              <w:t>水环境功能区</w:t>
            </w:r>
          </w:p>
        </w:tc>
        <w:tc>
          <w:tcPr>
            <w:tcW w:w="782" w:type="pct"/>
            <w:vAlign w:val="center"/>
          </w:tcPr>
          <w:p w14:paraId="17735777">
            <w:pPr>
              <w:pStyle w:val="41"/>
            </w:pPr>
            <w:r>
              <w:t>非饮用水水源保护区</w:t>
            </w:r>
          </w:p>
        </w:tc>
        <w:tc>
          <w:tcPr>
            <w:tcW w:w="2827" w:type="pct"/>
            <w:vAlign w:val="center"/>
          </w:tcPr>
          <w:p w14:paraId="3EEF29C7">
            <w:pPr>
              <w:pStyle w:val="41"/>
            </w:pPr>
            <w:r>
              <w:t>《地下水质量标准》（GB/T14848-2017）Ⅲ类标准</w:t>
            </w:r>
          </w:p>
        </w:tc>
      </w:tr>
      <w:tr w14:paraId="5F6301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5E46B821">
            <w:pPr>
              <w:pStyle w:val="41"/>
            </w:pPr>
            <w:r>
              <w:t>2</w:t>
            </w:r>
          </w:p>
        </w:tc>
        <w:tc>
          <w:tcPr>
            <w:tcW w:w="1032" w:type="pct"/>
            <w:vAlign w:val="center"/>
          </w:tcPr>
          <w:p w14:paraId="5A12B6B5">
            <w:pPr>
              <w:pStyle w:val="41"/>
            </w:pPr>
            <w:r>
              <w:t>大气功能区</w:t>
            </w:r>
          </w:p>
        </w:tc>
        <w:tc>
          <w:tcPr>
            <w:tcW w:w="782" w:type="pct"/>
            <w:vAlign w:val="center"/>
          </w:tcPr>
          <w:p w14:paraId="1AF82D1A">
            <w:pPr>
              <w:pStyle w:val="41"/>
            </w:pPr>
            <w:r>
              <w:t>二类区</w:t>
            </w:r>
          </w:p>
        </w:tc>
        <w:tc>
          <w:tcPr>
            <w:tcW w:w="2827" w:type="pct"/>
            <w:vAlign w:val="center"/>
          </w:tcPr>
          <w:p w14:paraId="3DE6EEC6">
            <w:pPr>
              <w:pStyle w:val="41"/>
            </w:pPr>
            <w:r>
              <w:t>《环境空气质量标准》（GB3095-2012）及修改单二级标准</w:t>
            </w:r>
          </w:p>
        </w:tc>
      </w:tr>
      <w:tr w14:paraId="46B1B5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744A5BC3">
            <w:pPr>
              <w:pStyle w:val="41"/>
            </w:pPr>
            <w:r>
              <w:t>3</w:t>
            </w:r>
          </w:p>
        </w:tc>
        <w:tc>
          <w:tcPr>
            <w:tcW w:w="1032" w:type="pct"/>
            <w:vAlign w:val="center"/>
          </w:tcPr>
          <w:p w14:paraId="63AF2CB1">
            <w:pPr>
              <w:pStyle w:val="41"/>
            </w:pPr>
            <w:r>
              <w:t>环境噪声功能区</w:t>
            </w:r>
          </w:p>
        </w:tc>
        <w:tc>
          <w:tcPr>
            <w:tcW w:w="782" w:type="pct"/>
            <w:vAlign w:val="center"/>
          </w:tcPr>
          <w:p w14:paraId="52526F05">
            <w:pPr>
              <w:pStyle w:val="41"/>
            </w:pPr>
            <w:r>
              <w:t>3类区</w:t>
            </w:r>
          </w:p>
        </w:tc>
        <w:tc>
          <w:tcPr>
            <w:tcW w:w="2827" w:type="pct"/>
            <w:vAlign w:val="center"/>
          </w:tcPr>
          <w:p w14:paraId="3F7A0229">
            <w:pPr>
              <w:pStyle w:val="41"/>
            </w:pPr>
            <w:r>
              <w:t>《声环境质量标准》（GB3096-2008）3类标准</w:t>
            </w:r>
          </w:p>
        </w:tc>
      </w:tr>
      <w:tr w14:paraId="3E94D0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2A901B67">
            <w:pPr>
              <w:pStyle w:val="41"/>
            </w:pPr>
            <w:r>
              <w:t>4</w:t>
            </w:r>
          </w:p>
        </w:tc>
        <w:tc>
          <w:tcPr>
            <w:tcW w:w="1032" w:type="pct"/>
            <w:vAlign w:val="center"/>
          </w:tcPr>
          <w:p w14:paraId="75780513">
            <w:pPr>
              <w:pStyle w:val="41"/>
            </w:pPr>
            <w:r>
              <w:t>土壤环境功能区</w:t>
            </w:r>
          </w:p>
        </w:tc>
        <w:tc>
          <w:tcPr>
            <w:tcW w:w="782" w:type="pct"/>
            <w:vAlign w:val="center"/>
          </w:tcPr>
          <w:p w14:paraId="18678EC2">
            <w:pPr>
              <w:pStyle w:val="41"/>
            </w:pPr>
            <w:r>
              <w:t>第二类</w:t>
            </w:r>
          </w:p>
        </w:tc>
        <w:tc>
          <w:tcPr>
            <w:tcW w:w="2827" w:type="pct"/>
            <w:vAlign w:val="center"/>
          </w:tcPr>
          <w:p w14:paraId="57DC6ED5">
            <w:pPr>
              <w:pStyle w:val="41"/>
            </w:pPr>
            <w:r>
              <w:t>《土壤环境质量标准 建设用地土壤污染风险管控标准》（GB36600-2018）第二类用地筛选值标准</w:t>
            </w:r>
          </w:p>
        </w:tc>
      </w:tr>
      <w:tr w14:paraId="406622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6E181FE6">
            <w:pPr>
              <w:pStyle w:val="41"/>
            </w:pPr>
            <w:r>
              <w:t>5</w:t>
            </w:r>
          </w:p>
        </w:tc>
        <w:tc>
          <w:tcPr>
            <w:tcW w:w="1032" w:type="pct"/>
            <w:vAlign w:val="center"/>
          </w:tcPr>
          <w:p w14:paraId="2E8C9A77">
            <w:pPr>
              <w:pStyle w:val="41"/>
            </w:pPr>
            <w:r>
              <w:t>基本农田保护区</w:t>
            </w:r>
          </w:p>
        </w:tc>
        <w:tc>
          <w:tcPr>
            <w:tcW w:w="3610" w:type="pct"/>
            <w:gridSpan w:val="2"/>
            <w:vAlign w:val="center"/>
          </w:tcPr>
          <w:p w14:paraId="630E8DE3">
            <w:pPr>
              <w:pStyle w:val="41"/>
            </w:pPr>
            <w:r>
              <w:t>否</w:t>
            </w:r>
          </w:p>
        </w:tc>
      </w:tr>
      <w:tr w14:paraId="762962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293F6A00">
            <w:pPr>
              <w:pStyle w:val="41"/>
            </w:pPr>
            <w:r>
              <w:t>6</w:t>
            </w:r>
          </w:p>
        </w:tc>
        <w:tc>
          <w:tcPr>
            <w:tcW w:w="1032" w:type="pct"/>
            <w:vAlign w:val="center"/>
          </w:tcPr>
          <w:p w14:paraId="00D23D0C">
            <w:pPr>
              <w:pStyle w:val="41"/>
            </w:pPr>
            <w:r>
              <w:t>是否风景名胜保护区</w:t>
            </w:r>
          </w:p>
        </w:tc>
        <w:tc>
          <w:tcPr>
            <w:tcW w:w="3610" w:type="pct"/>
            <w:gridSpan w:val="2"/>
            <w:vAlign w:val="center"/>
          </w:tcPr>
          <w:p w14:paraId="1C7CADEF">
            <w:pPr>
              <w:pStyle w:val="41"/>
            </w:pPr>
            <w:r>
              <w:t>否</w:t>
            </w:r>
          </w:p>
        </w:tc>
      </w:tr>
      <w:tr w14:paraId="7B0AE6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2CB946F7">
            <w:pPr>
              <w:pStyle w:val="41"/>
            </w:pPr>
            <w:r>
              <w:t>7</w:t>
            </w:r>
          </w:p>
        </w:tc>
        <w:tc>
          <w:tcPr>
            <w:tcW w:w="1032" w:type="pct"/>
            <w:vAlign w:val="center"/>
          </w:tcPr>
          <w:p w14:paraId="5AE441D4">
            <w:pPr>
              <w:pStyle w:val="41"/>
            </w:pPr>
            <w:r>
              <w:t>水库库区</w:t>
            </w:r>
          </w:p>
        </w:tc>
        <w:tc>
          <w:tcPr>
            <w:tcW w:w="3610" w:type="pct"/>
            <w:gridSpan w:val="2"/>
            <w:vAlign w:val="center"/>
          </w:tcPr>
          <w:p w14:paraId="01BE4287">
            <w:pPr>
              <w:pStyle w:val="41"/>
            </w:pPr>
            <w:r>
              <w:t>否</w:t>
            </w:r>
          </w:p>
        </w:tc>
      </w:tr>
      <w:tr w14:paraId="508FBB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6C420B18">
            <w:pPr>
              <w:pStyle w:val="41"/>
            </w:pPr>
            <w:r>
              <w:t>8</w:t>
            </w:r>
          </w:p>
        </w:tc>
        <w:tc>
          <w:tcPr>
            <w:tcW w:w="1032" w:type="pct"/>
            <w:vAlign w:val="center"/>
          </w:tcPr>
          <w:p w14:paraId="3CB07801">
            <w:pPr>
              <w:pStyle w:val="41"/>
            </w:pPr>
            <w:r>
              <w:t>天然气管道干管区</w:t>
            </w:r>
          </w:p>
        </w:tc>
        <w:tc>
          <w:tcPr>
            <w:tcW w:w="3610" w:type="pct"/>
            <w:gridSpan w:val="2"/>
            <w:vAlign w:val="center"/>
          </w:tcPr>
          <w:p w14:paraId="58F88193">
            <w:pPr>
              <w:pStyle w:val="41"/>
            </w:pPr>
            <w:r>
              <w:t>否</w:t>
            </w:r>
          </w:p>
        </w:tc>
      </w:tr>
      <w:tr w14:paraId="09FC1F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351D86B9">
            <w:pPr>
              <w:pStyle w:val="41"/>
            </w:pPr>
            <w:r>
              <w:t>9</w:t>
            </w:r>
          </w:p>
        </w:tc>
        <w:tc>
          <w:tcPr>
            <w:tcW w:w="1032" w:type="pct"/>
            <w:vAlign w:val="center"/>
          </w:tcPr>
          <w:p w14:paraId="48C63761">
            <w:pPr>
              <w:pStyle w:val="41"/>
            </w:pPr>
            <w:r>
              <w:t>是否为敏感区</w:t>
            </w:r>
          </w:p>
        </w:tc>
        <w:tc>
          <w:tcPr>
            <w:tcW w:w="3610" w:type="pct"/>
            <w:gridSpan w:val="2"/>
            <w:vAlign w:val="center"/>
          </w:tcPr>
          <w:p w14:paraId="77476BB6">
            <w:pPr>
              <w:pStyle w:val="41"/>
            </w:pPr>
            <w:r>
              <w:t>否</w:t>
            </w:r>
          </w:p>
        </w:tc>
      </w:tr>
      <w:tr w14:paraId="31D04E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7" w:type="pct"/>
            <w:vAlign w:val="center"/>
          </w:tcPr>
          <w:p w14:paraId="284D76AE">
            <w:pPr>
              <w:pStyle w:val="41"/>
            </w:pPr>
            <w:r>
              <w:t>10</w:t>
            </w:r>
          </w:p>
        </w:tc>
        <w:tc>
          <w:tcPr>
            <w:tcW w:w="1032" w:type="pct"/>
            <w:vAlign w:val="center"/>
          </w:tcPr>
          <w:p w14:paraId="3ECEB6E5">
            <w:pPr>
              <w:pStyle w:val="41"/>
            </w:pPr>
            <w:r>
              <w:t>大气控制区</w:t>
            </w:r>
          </w:p>
        </w:tc>
        <w:tc>
          <w:tcPr>
            <w:tcW w:w="3610" w:type="pct"/>
            <w:gridSpan w:val="2"/>
            <w:vAlign w:val="center"/>
          </w:tcPr>
          <w:p w14:paraId="1B4B4630">
            <w:pPr>
              <w:pStyle w:val="41"/>
            </w:pPr>
            <w:r>
              <w:t>大气联防联控区</w:t>
            </w:r>
          </w:p>
        </w:tc>
      </w:tr>
    </w:tbl>
    <w:p w14:paraId="1F601450">
      <w:pPr>
        <w:pStyle w:val="3"/>
        <w:ind w:firstLine="480"/>
      </w:pPr>
      <w:bookmarkStart w:id="102" w:name="_Toc17646"/>
      <w:r>
        <w:t>根据《新疆生态功能区划》（原新疆维吾尔自治区环境保护局2003年9月），Ⅱ 准噶尔盆地温性荒漠与绿洲农业生态区-Ⅱ5 准噶尔盆地南部荒漠绿洲农业生态亚区-26．乌苏—石河子—昌吉城镇与绿洲农业生态功能区。该功能区特征见下表：</w:t>
      </w:r>
    </w:p>
    <w:p w14:paraId="43F8010D">
      <w:pPr>
        <w:pStyle w:val="40"/>
        <w:spacing w:before="156"/>
      </w:pPr>
      <w:r>
        <w:t>表2.5-2    生态功能区主要特征</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55"/>
        <w:gridCol w:w="1454"/>
        <w:gridCol w:w="5611"/>
      </w:tblGrid>
      <w:tr w14:paraId="0D9724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707" w:type="pct"/>
            <w:gridSpan w:val="2"/>
            <w:vAlign w:val="center"/>
          </w:tcPr>
          <w:p w14:paraId="1C4D2E36">
            <w:pPr>
              <w:pStyle w:val="41"/>
            </w:pPr>
            <w:r>
              <w:t>名称</w:t>
            </w:r>
          </w:p>
        </w:tc>
        <w:tc>
          <w:tcPr>
            <w:tcW w:w="3293" w:type="pct"/>
            <w:vAlign w:val="center"/>
          </w:tcPr>
          <w:p w14:paraId="57F282F7">
            <w:pPr>
              <w:pStyle w:val="41"/>
            </w:pPr>
            <w:r>
              <w:t>内容</w:t>
            </w:r>
          </w:p>
        </w:tc>
      </w:tr>
      <w:tr w14:paraId="47FA80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854" w:type="pct"/>
            <w:vMerge w:val="restart"/>
            <w:vAlign w:val="center"/>
          </w:tcPr>
          <w:p w14:paraId="7A52F7FB">
            <w:pPr>
              <w:pStyle w:val="41"/>
            </w:pPr>
            <w:r>
              <w:t>生态功能分区单元</w:t>
            </w:r>
          </w:p>
        </w:tc>
        <w:tc>
          <w:tcPr>
            <w:tcW w:w="853" w:type="pct"/>
            <w:vAlign w:val="center"/>
          </w:tcPr>
          <w:p w14:paraId="5C005623">
            <w:pPr>
              <w:pStyle w:val="41"/>
            </w:pPr>
            <w:r>
              <w:t>生态区</w:t>
            </w:r>
          </w:p>
        </w:tc>
        <w:tc>
          <w:tcPr>
            <w:tcW w:w="3293" w:type="pct"/>
            <w:vAlign w:val="center"/>
          </w:tcPr>
          <w:p w14:paraId="13F56398">
            <w:pPr>
              <w:pStyle w:val="41"/>
            </w:pPr>
            <w:r>
              <w:t>Ⅱ 准噶尔盆地温性荒漠与绿洲农业生态区</w:t>
            </w:r>
          </w:p>
        </w:tc>
      </w:tr>
      <w:tr w14:paraId="1B1897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854" w:type="pct"/>
            <w:vMerge w:val="continue"/>
            <w:vAlign w:val="center"/>
          </w:tcPr>
          <w:p w14:paraId="702A5157">
            <w:pPr>
              <w:pStyle w:val="41"/>
            </w:pPr>
          </w:p>
        </w:tc>
        <w:tc>
          <w:tcPr>
            <w:tcW w:w="853" w:type="pct"/>
            <w:vAlign w:val="center"/>
          </w:tcPr>
          <w:p w14:paraId="227F5FA8">
            <w:pPr>
              <w:pStyle w:val="41"/>
            </w:pPr>
            <w:r>
              <w:t>生态亚区</w:t>
            </w:r>
          </w:p>
        </w:tc>
        <w:tc>
          <w:tcPr>
            <w:tcW w:w="3293" w:type="pct"/>
            <w:vAlign w:val="center"/>
          </w:tcPr>
          <w:p w14:paraId="0B857CFC">
            <w:pPr>
              <w:pStyle w:val="41"/>
            </w:pPr>
            <w:r>
              <w:t>Ⅱ5 准噶尔盆地南部荒漠绿洲农业生态亚区</w:t>
            </w:r>
          </w:p>
        </w:tc>
      </w:tr>
      <w:tr w14:paraId="491968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854" w:type="pct"/>
            <w:vMerge w:val="continue"/>
            <w:vAlign w:val="center"/>
          </w:tcPr>
          <w:p w14:paraId="19894AC6">
            <w:pPr>
              <w:pStyle w:val="41"/>
            </w:pPr>
          </w:p>
        </w:tc>
        <w:tc>
          <w:tcPr>
            <w:tcW w:w="853" w:type="pct"/>
            <w:vAlign w:val="center"/>
          </w:tcPr>
          <w:p w14:paraId="43064214">
            <w:pPr>
              <w:pStyle w:val="41"/>
            </w:pPr>
            <w:r>
              <w:t>生态功能区</w:t>
            </w:r>
          </w:p>
        </w:tc>
        <w:tc>
          <w:tcPr>
            <w:tcW w:w="3293" w:type="pct"/>
            <w:vAlign w:val="center"/>
          </w:tcPr>
          <w:p w14:paraId="6221E34A">
            <w:pPr>
              <w:pStyle w:val="41"/>
            </w:pPr>
            <w:r>
              <w:t>26.乌苏—石河子—昌吉城镇与绿洲农业生态功能区</w:t>
            </w:r>
          </w:p>
        </w:tc>
      </w:tr>
      <w:tr w14:paraId="6A773C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6ECC9474">
            <w:pPr>
              <w:pStyle w:val="41"/>
            </w:pPr>
            <w:r>
              <w:t>主要生态服务功能</w:t>
            </w:r>
          </w:p>
        </w:tc>
        <w:tc>
          <w:tcPr>
            <w:tcW w:w="3293" w:type="pct"/>
            <w:vAlign w:val="center"/>
          </w:tcPr>
          <w:p w14:paraId="39681EED">
            <w:pPr>
              <w:pStyle w:val="41"/>
            </w:pPr>
            <w:r>
              <w:t>工农畜产品生产、人居环境、荒漠化控制</w:t>
            </w:r>
          </w:p>
        </w:tc>
      </w:tr>
      <w:tr w14:paraId="0C95BB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7B56ACCA">
            <w:pPr>
              <w:pStyle w:val="41"/>
            </w:pPr>
            <w:r>
              <w:t>主要生态环境问题</w:t>
            </w:r>
          </w:p>
        </w:tc>
        <w:tc>
          <w:tcPr>
            <w:tcW w:w="3293" w:type="pct"/>
            <w:vAlign w:val="center"/>
          </w:tcPr>
          <w:p w14:paraId="472FB73F">
            <w:pPr>
              <w:pStyle w:val="41"/>
            </w:pPr>
            <w:r>
              <w:t>地下水超采、荒漠植被退化、土地荒漠化与盐渍化、大气和水质及土壤污染、良田减少、绿洲外围受到沙漠化威胁</w:t>
            </w:r>
          </w:p>
        </w:tc>
      </w:tr>
      <w:tr w14:paraId="738CEB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6737149B">
            <w:pPr>
              <w:pStyle w:val="41"/>
            </w:pPr>
            <w:r>
              <w:t>主要生态敏感因子、敏感程度</w:t>
            </w:r>
          </w:p>
        </w:tc>
        <w:tc>
          <w:tcPr>
            <w:tcW w:w="3293" w:type="pct"/>
            <w:vAlign w:val="center"/>
          </w:tcPr>
          <w:p w14:paraId="471E6170">
            <w:pPr>
              <w:pStyle w:val="41"/>
            </w:pPr>
            <w:r>
              <w:t>生物多样性及其生境中度敏感，土壤侵蚀轻度敏感，土地沙漠化中度敏感，土壤盐渍化轻度敏感</w:t>
            </w:r>
          </w:p>
        </w:tc>
      </w:tr>
      <w:tr w14:paraId="433CC1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00311B28">
            <w:pPr>
              <w:pStyle w:val="41"/>
            </w:pPr>
            <w:r>
              <w:t>主要保护目标</w:t>
            </w:r>
          </w:p>
        </w:tc>
        <w:tc>
          <w:tcPr>
            <w:tcW w:w="3293" w:type="pct"/>
            <w:vAlign w:val="center"/>
          </w:tcPr>
          <w:p w14:paraId="76EB7D8F">
            <w:pPr>
              <w:pStyle w:val="41"/>
            </w:pPr>
            <w:r>
              <w:t>保护基本农田、保护荒漠植被、保护土壤环境质量</w:t>
            </w:r>
          </w:p>
        </w:tc>
      </w:tr>
      <w:tr w14:paraId="4CA927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0CD258DD">
            <w:pPr>
              <w:pStyle w:val="41"/>
            </w:pPr>
            <w:r>
              <w:t>主要保护措施</w:t>
            </w:r>
          </w:p>
        </w:tc>
        <w:tc>
          <w:tcPr>
            <w:tcW w:w="3293" w:type="pct"/>
            <w:vAlign w:val="center"/>
          </w:tcPr>
          <w:p w14:paraId="7CA7CE7A">
            <w:pPr>
              <w:pStyle w:val="41"/>
            </w:pPr>
            <w:r>
              <w:t>节水灌溉、草场休牧、对坡耕地和沙化土地实施退耕还林（草），在水源无保障、植被稀少、生态脆弱地带禁止开荒、加强农田投入品的使用管理</w:t>
            </w:r>
          </w:p>
        </w:tc>
      </w:tr>
      <w:tr w14:paraId="5938E6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1057FD2B">
            <w:pPr>
              <w:pStyle w:val="41"/>
            </w:pPr>
            <w:r>
              <w:t>适宜发展方向</w:t>
            </w:r>
          </w:p>
        </w:tc>
        <w:tc>
          <w:tcPr>
            <w:tcW w:w="3293" w:type="pct"/>
            <w:vAlign w:val="center"/>
          </w:tcPr>
          <w:p w14:paraId="1A98210E">
            <w:pPr>
              <w:pStyle w:val="41"/>
            </w:pPr>
            <w:r>
              <w:t>农牧结合，发展优质、高效特色农业和畜牧业</w:t>
            </w:r>
          </w:p>
        </w:tc>
      </w:tr>
      <w:bookmarkEnd w:id="102"/>
    </w:tbl>
    <w:p w14:paraId="76DDB9D6">
      <w:pPr>
        <w:pStyle w:val="4"/>
      </w:pPr>
      <w:bookmarkStart w:id="103" w:name="_Toc207208378"/>
      <w:r>
        <w:t>污染控制目标及环境保护目标</w:t>
      </w:r>
      <w:bookmarkEnd w:id="103"/>
    </w:p>
    <w:p w14:paraId="332F4D64">
      <w:pPr>
        <w:pStyle w:val="5"/>
        <w:spacing w:before="156"/>
        <w:rPr>
          <w:sz w:val="21"/>
          <w:szCs w:val="21"/>
        </w:rPr>
      </w:pPr>
      <w:r>
        <w:t>污染控制目标</w:t>
      </w:r>
    </w:p>
    <w:p w14:paraId="38B8B88A">
      <w:pPr>
        <w:pStyle w:val="49"/>
        <w:rPr>
          <w:szCs w:val="24"/>
        </w:rPr>
      </w:pPr>
      <w:r>
        <w:t>（1）控制项目工艺废气达标排放，使本项目实施后评价区域的空气质量不因本项目的建设而造成影响。符合《环境空气质量标准》（GB3095-2012）二级标准要求。</w:t>
      </w:r>
    </w:p>
    <w:p w14:paraId="218C5D5A">
      <w:pPr>
        <w:pStyle w:val="49"/>
      </w:pPr>
      <w:r>
        <w:t>（2）控制废气治理，保证烧结车间排口满足《关于推进实施钢铁行业超低排放的意见》（环大气〔2019〕35号）附件2排放限值及《钢铁烧结、球团工业大气污染物排放标准》（GB28662-2012）及修改单中表3大气污染物特别排放限值；配料站、冶炼车间有组织排口满足《铁合金工业污染物排放标准》（GB28666-2012）及修改单相关限值；无组织排放的粉尘浓度满足《铁合金工业污染物排放标准》（GB28666-2012）及修改单表7企业边界大气污染物浓度限值。</w:t>
      </w:r>
    </w:p>
    <w:p w14:paraId="20E609A8">
      <w:pPr>
        <w:pStyle w:val="49"/>
      </w:pPr>
      <w:r>
        <w:t>（3）控制废水治理，本项目生产废水全部达标《铁合金工业污染物排放标准》（GB28666-2012）中表3水污染物特别排放限值，冷却水循环使用，不外排；生活污水排入园区污水管网，不排入地表水体。</w:t>
      </w:r>
    </w:p>
    <w:p w14:paraId="340D4235">
      <w:pPr>
        <w:pStyle w:val="49"/>
      </w:pPr>
      <w:r>
        <w:t>（4）严格控制设备噪声，保证厂界不超过《工业企业厂界环境噪声排放标准》（GB12348-2008）中的3类标准。</w:t>
      </w:r>
    </w:p>
    <w:p w14:paraId="7BB1AC5D">
      <w:pPr>
        <w:pStyle w:val="49"/>
      </w:pPr>
      <w:r>
        <w:t>（5）固体废物严格按照《一般工业固体废物贮存和填埋污染控制标准》（GB18599-2020）对一般固废进行分类、储存、处置，确保本项目固废不产生其他二次危险污染；</w:t>
      </w:r>
    </w:p>
    <w:p w14:paraId="6A2E6611">
      <w:pPr>
        <w:pStyle w:val="49"/>
      </w:pPr>
      <w:r>
        <w:t>（6）危险废物执行《危险废物贮存污染控制标准》（GB18597-2023）中有关规定。</w:t>
      </w:r>
    </w:p>
    <w:p w14:paraId="110E84CD">
      <w:pPr>
        <w:pStyle w:val="49"/>
      </w:pPr>
      <w:r>
        <w:t>（7）加强对生产车间管理，严格落实执行分区防渗，避免事故状态下对周围环境造成直接或伴生污染影响。</w:t>
      </w:r>
    </w:p>
    <w:p w14:paraId="75097227">
      <w:pPr>
        <w:pStyle w:val="49"/>
      </w:pPr>
      <w:r>
        <w:t>（8）污染物排放符合“总量控制”要求。</w:t>
      </w:r>
    </w:p>
    <w:p w14:paraId="066D3F87">
      <w:pPr>
        <w:pStyle w:val="5"/>
        <w:spacing w:before="156"/>
      </w:pPr>
      <w:r>
        <w:t>环境保护目标</w:t>
      </w:r>
    </w:p>
    <w:p w14:paraId="282ACD2D">
      <w:pPr>
        <w:pStyle w:val="3"/>
        <w:ind w:firstLine="480"/>
      </w:pPr>
      <w:r>
        <w:t>（1）大气环境</w:t>
      </w:r>
    </w:p>
    <w:p w14:paraId="0D0DF47E">
      <w:pPr>
        <w:pStyle w:val="3"/>
        <w:ind w:firstLine="480"/>
      </w:pPr>
      <w:r>
        <w:t>保护评价区环境空气，保证不因本项目而降低区域环境空气质量现状级别，即《环境空气质量标准》（GB3095-2012）及修改单二级标准。应确保评价区域内的大气环境质量不受本项目排放大气污染物的明显影响。</w:t>
      </w:r>
    </w:p>
    <w:p w14:paraId="6B6941A4">
      <w:pPr>
        <w:pStyle w:val="3"/>
        <w:ind w:firstLine="480"/>
      </w:pPr>
      <w:r>
        <w:t>（2）声环境</w:t>
      </w:r>
    </w:p>
    <w:p w14:paraId="40080F70">
      <w:pPr>
        <w:pStyle w:val="3"/>
        <w:ind w:firstLine="480"/>
      </w:pPr>
      <w:r>
        <w:t>控制厂界噪声满足《工业企业厂界环境噪声排放标准》（GB12348-2008）中3类标准。确保本项目区域声环境依旧满足《声环境质量标准》（GB3096-2008）中的3类区要求。</w:t>
      </w:r>
    </w:p>
    <w:p w14:paraId="10451408">
      <w:pPr>
        <w:pStyle w:val="3"/>
        <w:ind w:firstLine="480"/>
      </w:pPr>
      <w:r>
        <w:t>（3）地下水环境</w:t>
      </w:r>
    </w:p>
    <w:p w14:paraId="451E304D">
      <w:pPr>
        <w:pStyle w:val="3"/>
        <w:ind w:firstLine="480"/>
      </w:pPr>
      <w:r>
        <w:t>保护厂址上游及下游区域地下水水质，保证不因本项目而降低区域地下水环境质量现状级别，即《地下水质量标准》（GB14848-2017）Ⅲ类标准。</w:t>
      </w:r>
    </w:p>
    <w:p w14:paraId="322FD90F">
      <w:pPr>
        <w:pStyle w:val="3"/>
        <w:ind w:firstLine="480"/>
      </w:pPr>
      <w:r>
        <w:t>（4）土壤环境</w:t>
      </w:r>
    </w:p>
    <w:p w14:paraId="70A6DB2E">
      <w:pPr>
        <w:pStyle w:val="3"/>
        <w:ind w:firstLine="480"/>
      </w:pPr>
      <w:r>
        <w:t>防止土壤污染，保证项目所在区域土壤质量满足《土壤环境质量 建设用地土壤污染风险管控标准（试行）》（GB36600-2018）第二类用地筛选值标准要求。</w:t>
      </w:r>
    </w:p>
    <w:p w14:paraId="4C335F88">
      <w:pPr>
        <w:pStyle w:val="3"/>
        <w:ind w:firstLine="480"/>
      </w:pPr>
      <w:r>
        <w:t>（5）生态环境</w:t>
      </w:r>
    </w:p>
    <w:p w14:paraId="69E4CCEE">
      <w:pPr>
        <w:pStyle w:val="3"/>
        <w:ind w:firstLine="480"/>
      </w:pPr>
      <w:r>
        <w:t>加强施工期管理，防止水土流失，确保区域生态环境不因本项目的建设而受到明显影响。</w:t>
      </w:r>
    </w:p>
    <w:p w14:paraId="0996AF37">
      <w:pPr>
        <w:pStyle w:val="3"/>
        <w:ind w:firstLine="480"/>
      </w:pPr>
      <w:r>
        <w:t>（6）环境风险保护目标</w:t>
      </w:r>
    </w:p>
    <w:p w14:paraId="74CC81E8">
      <w:pPr>
        <w:pStyle w:val="3"/>
        <w:ind w:firstLine="480"/>
      </w:pPr>
      <w:r>
        <w:t>降低环境风险发生概率，保证环境风险发生时能够得到及时控制。</w:t>
      </w:r>
    </w:p>
    <w:p w14:paraId="64A09292">
      <w:pPr>
        <w:pStyle w:val="3"/>
        <w:ind w:firstLine="480"/>
      </w:pPr>
      <w:r>
        <w:t>本项目环境保护目标及敏感点分布情况见表2.6-1，评价范围环境敏感目标分布见附图2.6-1。</w:t>
      </w:r>
    </w:p>
    <w:p w14:paraId="7F23DD73">
      <w:pPr>
        <w:pStyle w:val="40"/>
        <w:spacing w:before="156"/>
      </w:pPr>
      <w:bookmarkStart w:id="104" w:name="_Hlk172062943"/>
      <w:r>
        <w:t>表2.6-1    环境保护目标及敏感点分布</w:t>
      </w:r>
    </w:p>
    <w:tbl>
      <w:tblPr>
        <w:tblStyle w:val="28"/>
        <w:tblW w:w="867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9"/>
        <w:gridCol w:w="1027"/>
        <w:gridCol w:w="1221"/>
        <w:gridCol w:w="17"/>
        <w:gridCol w:w="900"/>
        <w:gridCol w:w="835"/>
        <w:gridCol w:w="567"/>
        <w:gridCol w:w="3490"/>
      </w:tblGrid>
      <w:tr w14:paraId="70105C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19" w:type="dxa"/>
            <w:vAlign w:val="center"/>
          </w:tcPr>
          <w:p w14:paraId="1DF392FE">
            <w:pPr>
              <w:pStyle w:val="41"/>
              <w:ind w:left="-72" w:leftChars="-30" w:right="-72" w:rightChars="-30"/>
            </w:pPr>
            <w:r>
              <w:t>序号</w:t>
            </w:r>
          </w:p>
        </w:tc>
        <w:tc>
          <w:tcPr>
            <w:tcW w:w="1027" w:type="dxa"/>
            <w:vAlign w:val="center"/>
          </w:tcPr>
          <w:p w14:paraId="245AEAD3">
            <w:pPr>
              <w:pStyle w:val="41"/>
              <w:ind w:left="-72" w:leftChars="-30" w:right="-72" w:rightChars="-30"/>
            </w:pPr>
            <w:r>
              <w:t>环境要素</w:t>
            </w:r>
          </w:p>
        </w:tc>
        <w:tc>
          <w:tcPr>
            <w:tcW w:w="1221" w:type="dxa"/>
            <w:vAlign w:val="center"/>
          </w:tcPr>
          <w:p w14:paraId="4EEF5E3E">
            <w:pPr>
              <w:pStyle w:val="41"/>
              <w:ind w:left="-72" w:leftChars="-30" w:right="-72" w:rightChars="-30"/>
            </w:pPr>
            <w:r>
              <w:t>敏感目标</w:t>
            </w:r>
          </w:p>
        </w:tc>
        <w:tc>
          <w:tcPr>
            <w:tcW w:w="917" w:type="dxa"/>
            <w:gridSpan w:val="2"/>
            <w:vAlign w:val="center"/>
          </w:tcPr>
          <w:p w14:paraId="4FFF5633">
            <w:pPr>
              <w:pStyle w:val="41"/>
              <w:ind w:left="-72" w:leftChars="-30" w:right="-72" w:rightChars="-30"/>
            </w:pPr>
            <w:r>
              <w:t>相对位置</w:t>
            </w:r>
          </w:p>
        </w:tc>
        <w:tc>
          <w:tcPr>
            <w:tcW w:w="835" w:type="dxa"/>
            <w:vAlign w:val="center"/>
          </w:tcPr>
          <w:p w14:paraId="119ACF07">
            <w:pPr>
              <w:pStyle w:val="41"/>
              <w:ind w:left="-72" w:leftChars="-30" w:right="-72" w:rightChars="-30"/>
            </w:pPr>
            <w:r>
              <w:t>距离m</w:t>
            </w:r>
          </w:p>
        </w:tc>
        <w:tc>
          <w:tcPr>
            <w:tcW w:w="567" w:type="dxa"/>
            <w:vAlign w:val="center"/>
          </w:tcPr>
          <w:p w14:paraId="7B04F39D">
            <w:pPr>
              <w:pStyle w:val="41"/>
              <w:ind w:left="-72" w:leftChars="-30" w:right="-72" w:rightChars="-30"/>
            </w:pPr>
            <w:r>
              <w:t>人数</w:t>
            </w:r>
          </w:p>
        </w:tc>
        <w:tc>
          <w:tcPr>
            <w:tcW w:w="3490" w:type="dxa"/>
            <w:vAlign w:val="center"/>
          </w:tcPr>
          <w:p w14:paraId="0802D775">
            <w:pPr>
              <w:pStyle w:val="41"/>
              <w:ind w:left="-72" w:leftChars="-30" w:right="-72" w:rightChars="-30"/>
            </w:pPr>
            <w:r>
              <w:t>标准</w:t>
            </w:r>
          </w:p>
        </w:tc>
      </w:tr>
      <w:tr w14:paraId="50107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9" w:type="dxa"/>
            <w:vMerge w:val="restart"/>
            <w:vAlign w:val="center"/>
          </w:tcPr>
          <w:p w14:paraId="3EA92410">
            <w:pPr>
              <w:pStyle w:val="41"/>
              <w:ind w:left="-72" w:leftChars="-30" w:right="-72" w:rightChars="-30"/>
            </w:pPr>
            <w:r>
              <w:t>1</w:t>
            </w:r>
          </w:p>
        </w:tc>
        <w:tc>
          <w:tcPr>
            <w:tcW w:w="1027" w:type="dxa"/>
            <w:vMerge w:val="restart"/>
            <w:vAlign w:val="center"/>
          </w:tcPr>
          <w:p w14:paraId="79D947A9">
            <w:pPr>
              <w:pStyle w:val="41"/>
              <w:ind w:left="-72" w:leftChars="-30" w:right="-72" w:rightChars="-30"/>
            </w:pPr>
            <w:r>
              <w:t>大气环境</w:t>
            </w:r>
          </w:p>
        </w:tc>
        <w:tc>
          <w:tcPr>
            <w:tcW w:w="1221" w:type="dxa"/>
            <w:vAlign w:val="center"/>
          </w:tcPr>
          <w:p w14:paraId="1F9F1409">
            <w:pPr>
              <w:pStyle w:val="41"/>
              <w:ind w:left="-72" w:leftChars="-30" w:right="-72" w:rightChars="-30"/>
            </w:pPr>
            <w:r>
              <w:t>东郊二队</w:t>
            </w:r>
          </w:p>
        </w:tc>
        <w:tc>
          <w:tcPr>
            <w:tcW w:w="917" w:type="dxa"/>
            <w:gridSpan w:val="2"/>
            <w:vAlign w:val="center"/>
          </w:tcPr>
          <w:p w14:paraId="34D057A4">
            <w:pPr>
              <w:pStyle w:val="41"/>
              <w:ind w:left="-72" w:leftChars="-30" w:right="-72" w:rightChars="-30"/>
            </w:pPr>
            <w:r>
              <w:t>北</w:t>
            </w:r>
          </w:p>
        </w:tc>
        <w:tc>
          <w:tcPr>
            <w:tcW w:w="835" w:type="dxa"/>
            <w:vAlign w:val="center"/>
          </w:tcPr>
          <w:p w14:paraId="37BEF529">
            <w:pPr>
              <w:pStyle w:val="41"/>
              <w:ind w:left="-72" w:leftChars="-30" w:right="-72" w:rightChars="-30"/>
            </w:pPr>
            <w:r>
              <w:t>1590</w:t>
            </w:r>
          </w:p>
        </w:tc>
        <w:tc>
          <w:tcPr>
            <w:tcW w:w="567" w:type="dxa"/>
            <w:vAlign w:val="center"/>
          </w:tcPr>
          <w:p w14:paraId="33D003C8">
            <w:pPr>
              <w:pStyle w:val="41"/>
              <w:ind w:left="-72" w:leftChars="-30" w:right="-72" w:rightChars="-30"/>
            </w:pPr>
            <w:r>
              <w:t>260</w:t>
            </w:r>
          </w:p>
        </w:tc>
        <w:tc>
          <w:tcPr>
            <w:tcW w:w="3490" w:type="dxa"/>
            <w:vMerge w:val="restart"/>
            <w:vAlign w:val="center"/>
          </w:tcPr>
          <w:p w14:paraId="4E2DD9FC">
            <w:pPr>
              <w:pStyle w:val="41"/>
              <w:ind w:left="-72" w:leftChars="-30" w:right="-72" w:rightChars="-30"/>
            </w:pPr>
            <w:r>
              <w:t>《环境空气质量标准》（GB3095-2012）及修改单二级标准</w:t>
            </w:r>
          </w:p>
        </w:tc>
      </w:tr>
      <w:tr w14:paraId="0D2769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9" w:type="dxa"/>
            <w:vMerge w:val="continue"/>
            <w:vAlign w:val="center"/>
          </w:tcPr>
          <w:p w14:paraId="23150539">
            <w:pPr>
              <w:pStyle w:val="41"/>
              <w:ind w:left="-72" w:leftChars="-30" w:right="-72" w:rightChars="-30"/>
            </w:pPr>
          </w:p>
        </w:tc>
        <w:tc>
          <w:tcPr>
            <w:tcW w:w="1027" w:type="dxa"/>
            <w:vMerge w:val="continue"/>
            <w:vAlign w:val="center"/>
          </w:tcPr>
          <w:p w14:paraId="7876291B">
            <w:pPr>
              <w:pStyle w:val="41"/>
              <w:ind w:left="-72" w:leftChars="-30" w:right="-72" w:rightChars="-30"/>
            </w:pPr>
          </w:p>
        </w:tc>
        <w:tc>
          <w:tcPr>
            <w:tcW w:w="1221" w:type="dxa"/>
            <w:vAlign w:val="center"/>
          </w:tcPr>
          <w:p w14:paraId="6813E2FF">
            <w:pPr>
              <w:pStyle w:val="41"/>
              <w:ind w:left="-72" w:leftChars="-30" w:right="-72" w:rightChars="-30"/>
            </w:pPr>
            <w:r>
              <w:t>东郊农场四队</w:t>
            </w:r>
          </w:p>
        </w:tc>
        <w:tc>
          <w:tcPr>
            <w:tcW w:w="917" w:type="dxa"/>
            <w:gridSpan w:val="2"/>
            <w:vAlign w:val="center"/>
          </w:tcPr>
          <w:p w14:paraId="5DF849F2">
            <w:pPr>
              <w:pStyle w:val="41"/>
              <w:ind w:left="-72" w:leftChars="-30" w:right="-72" w:rightChars="-30"/>
            </w:pPr>
            <w:r>
              <w:t>东南</w:t>
            </w:r>
          </w:p>
        </w:tc>
        <w:tc>
          <w:tcPr>
            <w:tcW w:w="835" w:type="dxa"/>
            <w:vAlign w:val="center"/>
          </w:tcPr>
          <w:p w14:paraId="1939A5AE">
            <w:pPr>
              <w:pStyle w:val="41"/>
              <w:ind w:left="-72" w:leftChars="-30" w:right="-72" w:rightChars="-30"/>
            </w:pPr>
            <w:r>
              <w:t>1630</w:t>
            </w:r>
          </w:p>
        </w:tc>
        <w:tc>
          <w:tcPr>
            <w:tcW w:w="567" w:type="dxa"/>
            <w:vAlign w:val="center"/>
          </w:tcPr>
          <w:p w14:paraId="5395B2BE">
            <w:pPr>
              <w:pStyle w:val="41"/>
              <w:ind w:left="-72" w:leftChars="-30" w:right="-72" w:rightChars="-30"/>
            </w:pPr>
            <w:r>
              <w:t>153</w:t>
            </w:r>
          </w:p>
        </w:tc>
        <w:tc>
          <w:tcPr>
            <w:tcW w:w="3490" w:type="dxa"/>
            <w:vMerge w:val="continue"/>
            <w:vAlign w:val="center"/>
          </w:tcPr>
          <w:p w14:paraId="30F6F525">
            <w:pPr>
              <w:pStyle w:val="41"/>
              <w:ind w:left="-72" w:leftChars="-30" w:right="-72" w:rightChars="-30"/>
            </w:pPr>
          </w:p>
        </w:tc>
      </w:tr>
      <w:tr w14:paraId="643793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9" w:type="dxa"/>
            <w:vMerge w:val="continue"/>
            <w:vAlign w:val="center"/>
          </w:tcPr>
          <w:p w14:paraId="3BFEA4A8">
            <w:pPr>
              <w:pStyle w:val="41"/>
              <w:ind w:left="-72" w:leftChars="-30" w:right="-72" w:rightChars="-30"/>
            </w:pPr>
          </w:p>
        </w:tc>
        <w:tc>
          <w:tcPr>
            <w:tcW w:w="1027" w:type="dxa"/>
            <w:vMerge w:val="continue"/>
            <w:vAlign w:val="center"/>
          </w:tcPr>
          <w:p w14:paraId="32FF8F08">
            <w:pPr>
              <w:pStyle w:val="41"/>
              <w:ind w:left="-72" w:leftChars="-30" w:right="-72" w:rightChars="-30"/>
            </w:pPr>
          </w:p>
        </w:tc>
        <w:tc>
          <w:tcPr>
            <w:tcW w:w="1221" w:type="dxa"/>
            <w:vAlign w:val="center"/>
          </w:tcPr>
          <w:p w14:paraId="111F031F">
            <w:pPr>
              <w:pStyle w:val="41"/>
              <w:ind w:left="-72" w:leftChars="-30" w:right="-72" w:rightChars="-30"/>
            </w:pPr>
            <w:r>
              <w:t>基建连</w:t>
            </w:r>
          </w:p>
        </w:tc>
        <w:tc>
          <w:tcPr>
            <w:tcW w:w="917" w:type="dxa"/>
            <w:gridSpan w:val="2"/>
            <w:vAlign w:val="center"/>
          </w:tcPr>
          <w:p w14:paraId="6DC76E3D">
            <w:pPr>
              <w:pStyle w:val="41"/>
              <w:ind w:left="-72" w:leftChars="-30" w:right="-72" w:rightChars="-30"/>
            </w:pPr>
            <w:r>
              <w:t>北</w:t>
            </w:r>
          </w:p>
        </w:tc>
        <w:tc>
          <w:tcPr>
            <w:tcW w:w="835" w:type="dxa"/>
            <w:vAlign w:val="center"/>
          </w:tcPr>
          <w:p w14:paraId="16DCF9EC">
            <w:pPr>
              <w:pStyle w:val="41"/>
              <w:ind w:left="-72" w:leftChars="-30" w:right="-72" w:rightChars="-30"/>
            </w:pPr>
            <w:r>
              <w:t>1420</w:t>
            </w:r>
          </w:p>
        </w:tc>
        <w:tc>
          <w:tcPr>
            <w:tcW w:w="567" w:type="dxa"/>
            <w:vAlign w:val="center"/>
          </w:tcPr>
          <w:p w14:paraId="366C8B9B">
            <w:pPr>
              <w:pStyle w:val="41"/>
              <w:ind w:left="-72" w:leftChars="-30" w:right="-72" w:rightChars="-30"/>
            </w:pPr>
            <w:r>
              <w:t>160</w:t>
            </w:r>
          </w:p>
        </w:tc>
        <w:tc>
          <w:tcPr>
            <w:tcW w:w="3490" w:type="dxa"/>
            <w:vMerge w:val="continue"/>
            <w:vAlign w:val="center"/>
          </w:tcPr>
          <w:p w14:paraId="7D348DF9">
            <w:pPr>
              <w:pStyle w:val="41"/>
              <w:ind w:left="-72" w:leftChars="-30" w:right="-72" w:rightChars="-30"/>
            </w:pPr>
          </w:p>
        </w:tc>
      </w:tr>
      <w:tr w14:paraId="324B53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9" w:type="dxa"/>
            <w:vAlign w:val="center"/>
          </w:tcPr>
          <w:p w14:paraId="431E9954">
            <w:pPr>
              <w:pStyle w:val="41"/>
              <w:ind w:left="-72" w:leftChars="-30" w:right="-72" w:rightChars="-30"/>
            </w:pPr>
            <w:r>
              <w:t>2</w:t>
            </w:r>
          </w:p>
        </w:tc>
        <w:tc>
          <w:tcPr>
            <w:tcW w:w="1027" w:type="dxa"/>
            <w:vAlign w:val="center"/>
          </w:tcPr>
          <w:p w14:paraId="07ED0D3A">
            <w:pPr>
              <w:pStyle w:val="41"/>
              <w:ind w:left="-72" w:leftChars="-30" w:right="-72" w:rightChars="-30"/>
            </w:pPr>
            <w:r>
              <w:t>地下水</w:t>
            </w:r>
          </w:p>
        </w:tc>
        <w:tc>
          <w:tcPr>
            <w:tcW w:w="3540" w:type="dxa"/>
            <w:gridSpan w:val="5"/>
            <w:vAlign w:val="center"/>
          </w:tcPr>
          <w:p w14:paraId="2C211827">
            <w:pPr>
              <w:pStyle w:val="41"/>
              <w:ind w:left="-72" w:leftChars="-30" w:right="-72" w:rightChars="-30"/>
            </w:pPr>
            <w:r>
              <w:t>地下水评价范围内无敏感目标</w:t>
            </w:r>
          </w:p>
        </w:tc>
        <w:tc>
          <w:tcPr>
            <w:tcW w:w="3490" w:type="dxa"/>
            <w:vAlign w:val="center"/>
          </w:tcPr>
          <w:p w14:paraId="0CA85ED9">
            <w:pPr>
              <w:pStyle w:val="41"/>
              <w:ind w:left="-72" w:leftChars="-30" w:right="-72" w:rightChars="-30"/>
            </w:pPr>
            <w:r>
              <w:t>《地下水质量标准》（GB14848-2017）Ⅲ类</w:t>
            </w:r>
          </w:p>
        </w:tc>
      </w:tr>
      <w:tr w14:paraId="465D2B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9" w:type="dxa"/>
            <w:vAlign w:val="center"/>
          </w:tcPr>
          <w:p w14:paraId="0ED5A0BD">
            <w:pPr>
              <w:pStyle w:val="41"/>
              <w:ind w:left="-72" w:leftChars="-30" w:right="-72" w:rightChars="-30"/>
            </w:pPr>
            <w:r>
              <w:t>3</w:t>
            </w:r>
          </w:p>
        </w:tc>
        <w:tc>
          <w:tcPr>
            <w:tcW w:w="1027" w:type="dxa"/>
            <w:vAlign w:val="center"/>
          </w:tcPr>
          <w:p w14:paraId="34842F6E">
            <w:pPr>
              <w:pStyle w:val="41"/>
              <w:ind w:left="-72" w:leftChars="-30" w:right="-72" w:rightChars="-30"/>
            </w:pPr>
            <w:r>
              <w:t>声环境</w:t>
            </w:r>
          </w:p>
        </w:tc>
        <w:tc>
          <w:tcPr>
            <w:tcW w:w="3540" w:type="dxa"/>
            <w:gridSpan w:val="5"/>
            <w:vAlign w:val="center"/>
          </w:tcPr>
          <w:p w14:paraId="4E1C4E5A">
            <w:pPr>
              <w:pStyle w:val="41"/>
              <w:ind w:left="-72" w:leftChars="-30" w:right="-72" w:rightChars="-30"/>
            </w:pPr>
            <w:r>
              <w:t>厂界周边200m范围内无敏感目标</w:t>
            </w:r>
          </w:p>
        </w:tc>
        <w:tc>
          <w:tcPr>
            <w:tcW w:w="3490" w:type="dxa"/>
            <w:vAlign w:val="center"/>
          </w:tcPr>
          <w:p w14:paraId="2EF69FCC">
            <w:pPr>
              <w:pStyle w:val="41"/>
              <w:ind w:left="-72" w:leftChars="-30" w:right="-72" w:rightChars="-30"/>
            </w:pPr>
            <w:r>
              <w:t>《声环境质量标准》（GB3096-2008）3类</w:t>
            </w:r>
          </w:p>
        </w:tc>
      </w:tr>
      <w:tr w14:paraId="1E0B6B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9" w:type="dxa"/>
            <w:vAlign w:val="center"/>
          </w:tcPr>
          <w:p w14:paraId="7F57D806">
            <w:pPr>
              <w:pStyle w:val="41"/>
              <w:ind w:left="-72" w:leftChars="-30" w:right="-72" w:rightChars="-30"/>
            </w:pPr>
            <w:r>
              <w:t>4</w:t>
            </w:r>
          </w:p>
        </w:tc>
        <w:tc>
          <w:tcPr>
            <w:tcW w:w="1027" w:type="dxa"/>
            <w:vMerge w:val="restart"/>
            <w:vAlign w:val="center"/>
          </w:tcPr>
          <w:p w14:paraId="68075FCE">
            <w:pPr>
              <w:pStyle w:val="41"/>
              <w:ind w:left="-72" w:leftChars="-30" w:right="-72" w:rightChars="-30"/>
            </w:pPr>
            <w:r>
              <w:t>土壤环境</w:t>
            </w:r>
          </w:p>
        </w:tc>
        <w:tc>
          <w:tcPr>
            <w:tcW w:w="3540" w:type="dxa"/>
            <w:gridSpan w:val="5"/>
            <w:vAlign w:val="center"/>
          </w:tcPr>
          <w:p w14:paraId="7DF344F6">
            <w:pPr>
              <w:pStyle w:val="41"/>
              <w:ind w:left="-72" w:leftChars="-30" w:right="-72" w:rightChars="-30"/>
            </w:pPr>
            <w:r>
              <w:t>厂区范围内</w:t>
            </w:r>
          </w:p>
        </w:tc>
        <w:tc>
          <w:tcPr>
            <w:tcW w:w="3490" w:type="dxa"/>
            <w:vAlign w:val="center"/>
          </w:tcPr>
          <w:p w14:paraId="78A99D7B">
            <w:pPr>
              <w:pStyle w:val="41"/>
              <w:ind w:left="-72" w:leftChars="-30" w:right="-72" w:rightChars="-30"/>
            </w:pPr>
            <w:r>
              <w:t>《土壤环境质量 建设用地土壤污染风险管控标准（试行）》（GB36600-2018）中第二类用地的筛选值</w:t>
            </w:r>
          </w:p>
        </w:tc>
      </w:tr>
      <w:tr w14:paraId="1C1156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9" w:type="dxa"/>
            <w:vAlign w:val="center"/>
          </w:tcPr>
          <w:p w14:paraId="372026F0">
            <w:pPr>
              <w:pStyle w:val="41"/>
              <w:ind w:left="-72" w:leftChars="-30" w:right="-72" w:rightChars="-30"/>
            </w:pPr>
            <w:r>
              <w:t>5</w:t>
            </w:r>
          </w:p>
        </w:tc>
        <w:tc>
          <w:tcPr>
            <w:tcW w:w="1027" w:type="dxa"/>
            <w:vMerge w:val="continue"/>
            <w:vAlign w:val="center"/>
          </w:tcPr>
          <w:p w14:paraId="6782A757">
            <w:pPr>
              <w:pStyle w:val="41"/>
              <w:ind w:left="-72" w:leftChars="-30" w:right="-72" w:rightChars="-30"/>
            </w:pPr>
          </w:p>
        </w:tc>
        <w:tc>
          <w:tcPr>
            <w:tcW w:w="1238" w:type="dxa"/>
            <w:gridSpan w:val="2"/>
            <w:vAlign w:val="center"/>
          </w:tcPr>
          <w:p w14:paraId="1A5AB2DD">
            <w:pPr>
              <w:pStyle w:val="41"/>
              <w:ind w:left="-72" w:leftChars="-30" w:right="-72" w:rightChars="-30"/>
            </w:pPr>
            <w:r>
              <w:t>农田</w:t>
            </w:r>
          </w:p>
        </w:tc>
        <w:tc>
          <w:tcPr>
            <w:tcW w:w="2302" w:type="dxa"/>
            <w:gridSpan w:val="3"/>
            <w:vAlign w:val="center"/>
          </w:tcPr>
          <w:p w14:paraId="248C7E3C">
            <w:pPr>
              <w:pStyle w:val="41"/>
              <w:ind w:left="-72" w:leftChars="-30" w:right="-72" w:rightChars="-30"/>
            </w:pPr>
            <w:r>
              <w:t>东北120m</w:t>
            </w:r>
          </w:p>
        </w:tc>
        <w:tc>
          <w:tcPr>
            <w:tcW w:w="3490" w:type="dxa"/>
            <w:vAlign w:val="center"/>
          </w:tcPr>
          <w:p w14:paraId="3CD3953F">
            <w:pPr>
              <w:pStyle w:val="41"/>
              <w:ind w:left="-72" w:leftChars="-30" w:right="-72" w:rightChars="-30"/>
            </w:pPr>
            <w:r>
              <w:t>《土壤环境质量 农用地土壤污染风险管控标准（试行）》（GB15618-2018）表1中其他用地筛选值</w:t>
            </w:r>
          </w:p>
        </w:tc>
      </w:tr>
      <w:tr w14:paraId="7D2FAB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9" w:type="dxa"/>
            <w:vAlign w:val="center"/>
          </w:tcPr>
          <w:p w14:paraId="602B5519">
            <w:pPr>
              <w:pStyle w:val="41"/>
              <w:ind w:left="-72" w:leftChars="-30" w:right="-72" w:rightChars="-30"/>
            </w:pPr>
            <w:r>
              <w:t>6</w:t>
            </w:r>
          </w:p>
        </w:tc>
        <w:tc>
          <w:tcPr>
            <w:tcW w:w="1027" w:type="dxa"/>
            <w:vAlign w:val="center"/>
          </w:tcPr>
          <w:p w14:paraId="796C9112">
            <w:pPr>
              <w:pStyle w:val="41"/>
              <w:ind w:left="-72" w:leftChars="-30" w:right="-72" w:rightChars="-30"/>
            </w:pPr>
            <w:r>
              <w:t>生态环境</w:t>
            </w:r>
          </w:p>
        </w:tc>
        <w:tc>
          <w:tcPr>
            <w:tcW w:w="3540" w:type="dxa"/>
            <w:gridSpan w:val="5"/>
            <w:vAlign w:val="center"/>
          </w:tcPr>
          <w:p w14:paraId="55065C72">
            <w:pPr>
              <w:pStyle w:val="41"/>
              <w:ind w:left="-72" w:leftChars="-30" w:right="-72" w:rightChars="-30"/>
            </w:pPr>
            <w:r>
              <w:t>规划园区及周边区域</w:t>
            </w:r>
          </w:p>
        </w:tc>
        <w:tc>
          <w:tcPr>
            <w:tcW w:w="3490" w:type="dxa"/>
            <w:vAlign w:val="center"/>
          </w:tcPr>
          <w:p w14:paraId="70155375">
            <w:pPr>
              <w:pStyle w:val="41"/>
              <w:ind w:left="-72" w:leftChars="-30" w:right="-72" w:rightChars="-30"/>
            </w:pPr>
            <w:r>
              <w:t>不受项目建设显著影响</w:t>
            </w:r>
          </w:p>
        </w:tc>
      </w:tr>
      <w:bookmarkEnd w:id="104"/>
    </w:tbl>
    <w:p w14:paraId="28DC2B6E">
      <w:pPr>
        <w:pStyle w:val="3"/>
        <w:ind w:firstLine="480"/>
        <w:sectPr>
          <w:pgSz w:w="11906" w:h="16838"/>
          <w:pgMar w:top="1440" w:right="1800" w:bottom="1276" w:left="1800" w:header="851" w:footer="328" w:gutter="0"/>
          <w:cols w:space="720" w:num="1"/>
          <w:docGrid w:type="lines" w:linePitch="312" w:charSpace="0"/>
        </w:sectPr>
      </w:pPr>
    </w:p>
    <w:p w14:paraId="62A70834">
      <w:pPr>
        <w:pStyle w:val="2"/>
      </w:pPr>
      <w:bookmarkStart w:id="105" w:name="_Toc26435"/>
      <w:bookmarkStart w:id="106" w:name="_Toc207208379"/>
      <w:r>
        <w:t>现有工程回顾性分析</w:t>
      </w:r>
      <w:bookmarkEnd w:id="105"/>
      <w:bookmarkEnd w:id="106"/>
    </w:p>
    <w:p w14:paraId="3CF2B079">
      <w:pPr>
        <w:pStyle w:val="4"/>
      </w:pPr>
      <w:bookmarkStart w:id="107" w:name="_Toc9121"/>
      <w:bookmarkStart w:id="108" w:name="_Toc207208380"/>
      <w:r>
        <w:t>现有工程概况</w:t>
      </w:r>
      <w:bookmarkEnd w:id="107"/>
      <w:bookmarkEnd w:id="108"/>
    </w:p>
    <w:p w14:paraId="4568D5EB">
      <w:pPr>
        <w:pStyle w:val="5"/>
        <w:spacing w:before="120"/>
      </w:pPr>
      <w:r>
        <w:t>基本情况</w:t>
      </w:r>
    </w:p>
    <w:p w14:paraId="61E3688B">
      <w:pPr>
        <w:pStyle w:val="3"/>
        <w:ind w:firstLine="480"/>
      </w:pPr>
      <w:bookmarkStart w:id="109" w:name="_Hlk172046958"/>
      <w:r>
        <w:t>新疆艾斯米尔锰合金有限公司主要产品为锰铁合金和岩棉，环保手续办理情况如下：</w:t>
      </w:r>
    </w:p>
    <w:p w14:paraId="6C2E83F8">
      <w:pPr>
        <w:pStyle w:val="6"/>
        <w:spacing w:before="120" w:after="120"/>
      </w:pPr>
      <w:bookmarkStart w:id="110" w:name="_Hlk172063103"/>
      <w:r>
        <w:t>新疆艾斯米尔锰合金有限公司50000kVA铬铁合金炉节能及综合利用技术改造项目（25000kVA）</w:t>
      </w:r>
    </w:p>
    <w:p w14:paraId="4F89BB60">
      <w:pPr>
        <w:pStyle w:val="49"/>
      </w:pPr>
      <w:r>
        <w:t>新疆艾斯米尔钢铁有限公司2004年取得原伊犁哈萨克自治州环境保护局《关于新疆艾斯米尔钢铁有限公司2×12500kVA碳素铬铁工程环境影响报告书的批复》（伊州环监字〔2004〕6号），2011年12月19日，原伊犁哈萨克自治州环境保护局出示了《关于新疆艾斯米尔钢铁有限公司2×12500kVA碳素铬铁工程环境保护验收申请的批复》（伊州环监验〔2011〕18号），原则同意该项目正式投入生产运行。</w:t>
      </w:r>
    </w:p>
    <w:p w14:paraId="71E63C7F">
      <w:pPr>
        <w:pStyle w:val="49"/>
        <w:rPr>
          <w:kern w:val="0"/>
        </w:rPr>
      </w:pPr>
      <w:r>
        <w:t>2011年11月，建设单位委托新疆化工设计研究院编制完成《新疆艾斯米尔钢铁有限公司50000kVA铬铁合金炉节能及综合利用技术改造项目环境影响报告书》，新疆维吾尔自治区环境保护厅于2011年12月22日以新环评价函〔2011〕1213号文件对该项目环境影响报告书进行了批复。该项目于2012年4月开工建设，2015年9月10日建成，2015年9月18日投入试运行。</w:t>
      </w:r>
    </w:p>
    <w:p w14:paraId="28ABC02F">
      <w:pPr>
        <w:pStyle w:val="49"/>
      </w:pPr>
      <w:r>
        <w:t>项目在实际建设过程中，建设单位对部分环保设施进行了变更，2017年2月20日新疆艾斯米尔钢铁有限公司编制了《新疆艾斯米尔钢铁有限公司50000kVA铬铁合金炉节能及综合利用技术改造项目建设期间环保设施变更申请及说明》，2017年3月9日新疆维吾尔自治区环境保护厅以新环函〔2017〕371号文同意并下发《关于新疆艾斯米尔钢铁有限公司50000kVA铬铁合金炉节能及综合利用技术改造项目建设期间环保设施变更申请及说明的复函》。</w:t>
      </w:r>
    </w:p>
    <w:p w14:paraId="5FF8A237">
      <w:pPr>
        <w:pStyle w:val="49"/>
      </w:pPr>
      <w:r>
        <w:t>根据新环评价函〔2011〕1213号文件批复建设内容为：“对现有2台12500kVA半封闭矿热电炉进行全封闭改造，将烧结工段现有12m</w:t>
      </w:r>
      <w:r>
        <w:rPr>
          <w:szCs w:val="24"/>
          <w:vertAlign w:val="superscript"/>
        </w:rPr>
        <w:t>2</w:t>
      </w:r>
      <w:r>
        <w:t>铬铁矿烧结机改造为24m</w:t>
      </w:r>
      <w:r>
        <w:rPr>
          <w:szCs w:val="24"/>
          <w:vertAlign w:val="superscript"/>
        </w:rPr>
        <w:t>2</w:t>
      </w:r>
      <w:r>
        <w:t>，技术改造的同时，新建1台25000kVA全密闭矿热电炉，并配套建设动力车间规模为2×25MW凝汽式发电机组及2×75t/h+1×130t/h循环流化床锅炉。工程总规模为50000kVA铬铁合金炉，年生产10万吨铬铁合金。该项目位于原新疆艾斯米尔钢铁有限公司2×12500kVA碳素铁合金项目厂区内。项目总投资38203.45万元，环保投资为1784万元，环保投资占比为4.7%。”</w:t>
      </w:r>
    </w:p>
    <w:p w14:paraId="6073FB55">
      <w:pPr>
        <w:pStyle w:val="49"/>
      </w:pPr>
      <w:r>
        <w:t>截至目前，建设单位已完成对原有两台12500kVA半封闭矿热电炉进行全封闭改造，已完成将烧结工段现有12m</w:t>
      </w:r>
      <w:r>
        <w:rPr>
          <w:szCs w:val="24"/>
          <w:vertAlign w:val="superscript"/>
        </w:rPr>
        <w:t>2</w:t>
      </w:r>
      <w:r>
        <w:t>铬铁矿烧结机改造为24m</w:t>
      </w:r>
      <w:r>
        <w:rPr>
          <w:szCs w:val="24"/>
          <w:vertAlign w:val="superscript"/>
        </w:rPr>
        <w:t>2</w:t>
      </w:r>
      <w:r>
        <w:t>，已配套建设动力车间规模为1×25MW凝汽式发电机组及2×75t/h循环流化床锅炉。</w:t>
      </w:r>
      <w:r>
        <w:rPr>
          <w:b/>
          <w:bCs/>
        </w:rPr>
        <w:t>由于原料铬矿石依赖进口，供应不稳定，2018年初，项目实际生产所用原料改为锰矿石。现有工程总规模为25000kVA锰铁合金炉，年生产3.5万吨锰铁合金。</w:t>
      </w:r>
      <w:r>
        <w:t>现有工程未建设内容包括：1台25000kVA全密闭矿热电炉，1×25MV凝汽式发电机组及1×130t/h中温中压煤气联合燃烧循环流化床锅炉。</w:t>
      </w:r>
    </w:p>
    <w:p w14:paraId="5C7DE689">
      <w:pPr>
        <w:pStyle w:val="49"/>
      </w:pPr>
      <w:r>
        <w:t>建设单位于2017年9月委托新疆新农大环境检测中心（有限公司）编制了《新疆艾斯米尔钢铁有限公司50000kVA铬铁合金炉节能及综合利用技术改造项目（25000kVA）竣工环境保护验收监测报告》，并于2017年10月1日取得新疆维吾尔自治区环境保护厅《关于艾斯米尔钢铁有限公司50000kVA铬铁合金炉节能及综合利用技术改造项目（25000kVA）竣工环境保护验收合格的函》（新环函〔2017〕1563号）。</w:t>
      </w:r>
    </w:p>
    <w:p w14:paraId="6501FCDE">
      <w:pPr>
        <w:pStyle w:val="49"/>
      </w:pPr>
      <w:r>
        <w:t>2024年5月，建设单位提出《新疆艾斯米尔锰合金有限公司烧结车间超低排放技改项目》对烧结车间烧结机头超低排放技改SCR脱硝、石灰石-石膏法脱硫，多管除尘+湿电除尘；烧结机尾技改多管除尘+湿电除尘。现已完成相关改造工程内容。</w:t>
      </w:r>
    </w:p>
    <w:p w14:paraId="184ECE75">
      <w:pPr>
        <w:pStyle w:val="6"/>
        <w:spacing w:before="120" w:after="120"/>
      </w:pPr>
      <w:r>
        <w:t>新疆艾斯米尔锰合金有限公司工业固废循环经济综合利用制备矿棉项目</w:t>
      </w:r>
    </w:p>
    <w:p w14:paraId="22531102">
      <w:pPr>
        <w:pStyle w:val="49"/>
      </w:pPr>
      <w:r>
        <w:t>2020年1月，建设单位委托中晟华远（北京）环境科技有限公司编制完成《新疆艾斯米尔钢铁有限公司工业固废循环经济综合利用制备矿棉项目环境影响报告书》，伊犁哈萨克自治州生态环境局于2020年4月7日以伊洲环函〔2020〕23号文件对该项目环境影响报告书进行了批复。该项目于2020年4月开工建设，2022年3月10日通过自主验收。</w:t>
      </w:r>
    </w:p>
    <w:p w14:paraId="67C03D89">
      <w:pPr>
        <w:pStyle w:val="49"/>
      </w:pPr>
      <w:r>
        <w:t>项目实际建设矿棉生产线1条，年产3万吨矿棉制品，全部外售；产品主要为矿棉条和矿棉板，两种规格产品均由同一型号设备生产线生产制备，主要生产工艺一致，只在最后切割过程中有所不同，各规格产品量依据市场订单情况调节。</w:t>
      </w:r>
    </w:p>
    <w:p w14:paraId="5505995E">
      <w:pPr>
        <w:pStyle w:val="6"/>
        <w:spacing w:before="120" w:after="120"/>
      </w:pPr>
      <w:r>
        <w:t>新疆艾斯米尔锰合金有限公司一般固废填埋场项目</w:t>
      </w:r>
    </w:p>
    <w:p w14:paraId="52D99ADE">
      <w:pPr>
        <w:pStyle w:val="49"/>
      </w:pPr>
      <w:r>
        <w:t>2020年5月，企业名称由新疆艾斯米尔钢铁有限公司变更为新疆艾斯米尔锰合金有限公司。2022年4月22日，企业委托乌鲁木齐天之宇环保科技有限公司编制的《新疆艾斯米尔锰合金有限公司一般固废填埋场环境影响报告书》取得伊犁哈萨克自治州生态环境局批复伊州环函〔2022〕68号，2023年8月，新疆艾斯米尔锰合金有限公司一般固废填埋场完成自主竣工环保验收工作。</w:t>
      </w:r>
    </w:p>
    <w:p w14:paraId="011709D3">
      <w:pPr>
        <w:pStyle w:val="6"/>
        <w:spacing w:before="120" w:after="120"/>
      </w:pPr>
      <w:r>
        <w:t>新疆艾斯米尔锰合金有限公司危废库项目</w:t>
      </w:r>
    </w:p>
    <w:p w14:paraId="6BE08897">
      <w:pPr>
        <w:pStyle w:val="3"/>
        <w:ind w:firstLine="480"/>
      </w:pPr>
      <w:r>
        <w:t>2025年3月21日，企业委托乌鲁木齐巍创节能环保科技有限公司编制的《新疆艾斯米尔锰合金有限公司危废库项目环境影响报告表》取得</w:t>
      </w:r>
      <w:r>
        <w:rPr>
          <w:color w:val="000000" w:themeColor="text1"/>
          <w14:textFill>
            <w14:solidFill>
              <w14:schemeClr w14:val="tx1"/>
            </w14:solidFill>
          </w14:textFill>
        </w:rPr>
        <w:t>奎屯-独山子经济技术开发区环境保护局批复，批复文号：奎独开环函〔2025〕3号</w:t>
      </w:r>
      <w:r>
        <w:t>，2025年4月7日，新疆艾斯米尔锰合金有限公司危废库项目完成自主竣工环保验收工作。</w:t>
      </w:r>
    </w:p>
    <w:p w14:paraId="1FE4F7C1">
      <w:pPr>
        <w:pStyle w:val="6"/>
        <w:spacing w:before="120" w:after="120"/>
      </w:pPr>
      <w:r>
        <w:t>其它环保相关手续</w:t>
      </w:r>
    </w:p>
    <w:p w14:paraId="2E015F89">
      <w:pPr>
        <w:pStyle w:val="3"/>
        <w:ind w:firstLine="480"/>
        <w:rPr>
          <w:color w:val="000000" w:themeColor="text1"/>
          <w14:textFill>
            <w14:solidFill>
              <w14:schemeClr w14:val="tx1"/>
            </w14:solidFill>
          </w14:textFill>
        </w:rPr>
      </w:pPr>
      <w:bookmarkStart w:id="111" w:name="_Hlk171880718"/>
      <w:r>
        <w:rPr>
          <w:color w:val="000000" w:themeColor="text1"/>
          <w14:textFill>
            <w14:solidFill>
              <w14:schemeClr w14:val="tx1"/>
            </w14:solidFill>
          </w14:textFill>
        </w:rPr>
        <w:t>2025年5月28日新疆艾斯米尔锰合金有限公司签署了《新疆艾斯米尔锰合金有限公司突发环境事件应急预案》，并向伊犁哈萨克自治州生态环境局奎屯市分局备案。备案文件有突发环境事件应急预案备案表、环境应急预案及编制说明、环境风险评估报告、环境应急资源调查报告和环境应急预案评审意见，备案编号：654003-2025-0013-L（见附件15）。</w:t>
      </w:r>
    </w:p>
    <w:p w14:paraId="05BADBFF">
      <w:pPr>
        <w:pStyle w:val="3"/>
        <w:ind w:firstLine="480"/>
      </w:pPr>
      <w:r>
        <w:rPr>
          <w:color w:val="000000" w:themeColor="text1"/>
          <w14:textFill>
            <w14:solidFill>
              <w14:schemeClr w14:val="tx1"/>
            </w14:solidFill>
          </w14:textFill>
        </w:rPr>
        <w:t>2019年4月9日，伊犁哈萨克自治州生态环境局印发排污许可证，证书编号：91654003751678461W001P。2024年10月22日进行变更，有效期限：自2024年4月9日至2027年4月8日止（见附</w:t>
      </w:r>
      <w:r>
        <w:t>件16）；项目取证以来，排污许可证执行情况良好，根据项目排污许可证季报、年报，项目污染防治设施运行良好、污染物达标排放、台账管理规范。</w:t>
      </w:r>
    </w:p>
    <w:p w14:paraId="6C967537">
      <w:pPr>
        <w:pStyle w:val="3"/>
        <w:ind w:firstLine="480"/>
      </w:pPr>
      <w:r>
        <w:t>根据企业最新排污许可证，大气污染物中颗粒物总许可量为160.8t/a，二氧化硫总许可量为194.75t/a，氮氧化物总许可量为380.71t/a，VOCs总许可量为16.3t/a。水污染物未许可排放总量。</w:t>
      </w:r>
    </w:p>
    <w:p w14:paraId="631BA5EE">
      <w:pPr>
        <w:pStyle w:val="3"/>
        <w:ind w:firstLine="480"/>
      </w:pPr>
      <w:r>
        <w:t>项目在废气主要排放口安装了在线监控设施，可实时监测废气排放中各项污染物指标，未安装在线监测的排放口，委托有资质的单位定期进行了手工监测，根据在线监测近三年检测结果，项目污染物排放可以稳定达标。</w:t>
      </w:r>
      <w:bookmarkEnd w:id="110"/>
    </w:p>
    <w:bookmarkEnd w:id="109"/>
    <w:bookmarkEnd w:id="111"/>
    <w:p w14:paraId="7080B789">
      <w:pPr>
        <w:pStyle w:val="5"/>
        <w:spacing w:before="120"/>
      </w:pPr>
      <w:r>
        <w:t>现有工程组成</w:t>
      </w:r>
    </w:p>
    <w:p w14:paraId="150E0333">
      <w:pPr>
        <w:pStyle w:val="49"/>
      </w:pPr>
      <w:r>
        <w:t>生产规模：现有工程总规模为25000kVA锰铁合金炉，年生产3.5万吨锰铁合金。1条矿热炉热熔矿渣制备矿棉生产线，年产3万吨热熔矿渣制备矿棉。</w:t>
      </w:r>
    </w:p>
    <w:p w14:paraId="0C1C511B">
      <w:pPr>
        <w:pStyle w:val="3"/>
        <w:ind w:firstLine="480"/>
      </w:pPr>
      <w:r>
        <w:t>厂区总占地面积约为130920m</w:t>
      </w:r>
      <w:r>
        <w:rPr>
          <w:vertAlign w:val="superscript"/>
        </w:rPr>
        <w:t>2</w:t>
      </w:r>
      <w:r>
        <w:t>，动力车间占地面积45000m</w:t>
      </w:r>
      <w:r>
        <w:rPr>
          <w:vertAlign w:val="superscript"/>
        </w:rPr>
        <w:t>2</w:t>
      </w:r>
      <w:r>
        <w:t>，以主厂房为中心，北侧为综合办公楼、锅炉房、浴池、职工食堂；南侧为动力车间、烧结车间、配料站、原料场、净环泵站、浊环泵站；西侧为变电所、东侧为厂区道路，厂区四周设围栏。新建动力车间主要设施有主厂房（锅炉间、汽机间）、电除尘器及引风机间、化水处理间、上煤系统、烟囱、冷却塔、地磅房、上控楼等。现有工程规模与产品方案</w:t>
      </w:r>
    </w:p>
    <w:p w14:paraId="356027F1">
      <w:pPr>
        <w:pStyle w:val="40"/>
        <w:spacing w:before="120"/>
      </w:pPr>
      <w:bookmarkStart w:id="112" w:name="_Hlk171880747"/>
      <w:r>
        <w:t>表3.1-3    现有工程规模与产品方案一览表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17"/>
        <w:gridCol w:w="1936"/>
        <w:gridCol w:w="1107"/>
        <w:gridCol w:w="1245"/>
        <w:gridCol w:w="3651"/>
      </w:tblGrid>
      <w:tr w14:paraId="516C22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18" w:type="pct"/>
            <w:vAlign w:val="center"/>
          </w:tcPr>
          <w:p w14:paraId="44E905B1">
            <w:pPr>
              <w:pStyle w:val="41"/>
              <w:keepLines/>
            </w:pPr>
            <w:r>
              <w:t>序号</w:t>
            </w:r>
          </w:p>
        </w:tc>
        <w:tc>
          <w:tcPr>
            <w:tcW w:w="1093" w:type="pct"/>
            <w:vAlign w:val="center"/>
          </w:tcPr>
          <w:p w14:paraId="3A8C3988">
            <w:pPr>
              <w:pStyle w:val="41"/>
              <w:keepLines/>
            </w:pPr>
            <w:r>
              <w:t>名称</w:t>
            </w:r>
          </w:p>
        </w:tc>
        <w:tc>
          <w:tcPr>
            <w:tcW w:w="625" w:type="pct"/>
            <w:vAlign w:val="center"/>
          </w:tcPr>
          <w:p w14:paraId="3087F544">
            <w:pPr>
              <w:pStyle w:val="41"/>
              <w:keepLines/>
            </w:pPr>
            <w:r>
              <w:t>单位</w:t>
            </w:r>
          </w:p>
        </w:tc>
        <w:tc>
          <w:tcPr>
            <w:tcW w:w="703" w:type="pct"/>
            <w:vAlign w:val="center"/>
          </w:tcPr>
          <w:p w14:paraId="6AD909E4">
            <w:pPr>
              <w:pStyle w:val="41"/>
              <w:keepLines/>
            </w:pPr>
            <w:r>
              <w:t>工程规模</w:t>
            </w:r>
          </w:p>
        </w:tc>
        <w:tc>
          <w:tcPr>
            <w:tcW w:w="2061" w:type="pct"/>
            <w:vAlign w:val="center"/>
          </w:tcPr>
          <w:p w14:paraId="235D6804">
            <w:pPr>
              <w:pStyle w:val="41"/>
              <w:keepLines/>
            </w:pPr>
            <w:r>
              <w:t>产品去向</w:t>
            </w:r>
          </w:p>
        </w:tc>
      </w:tr>
      <w:tr w14:paraId="029F8F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18" w:type="pct"/>
            <w:vAlign w:val="center"/>
          </w:tcPr>
          <w:p w14:paraId="3C7128DB">
            <w:pPr>
              <w:pStyle w:val="41"/>
              <w:keepLines/>
            </w:pPr>
            <w:r>
              <w:t>1</w:t>
            </w:r>
          </w:p>
        </w:tc>
        <w:tc>
          <w:tcPr>
            <w:tcW w:w="1093" w:type="pct"/>
            <w:vAlign w:val="center"/>
          </w:tcPr>
          <w:p w14:paraId="5C39260F">
            <w:pPr>
              <w:pStyle w:val="41"/>
              <w:keepLines/>
            </w:pPr>
            <w:r>
              <w:t>锰铁合金</w:t>
            </w:r>
          </w:p>
        </w:tc>
        <w:tc>
          <w:tcPr>
            <w:tcW w:w="625" w:type="pct"/>
            <w:vAlign w:val="center"/>
          </w:tcPr>
          <w:p w14:paraId="1775F8C0">
            <w:pPr>
              <w:pStyle w:val="41"/>
              <w:keepLines/>
            </w:pPr>
            <w:r>
              <w:t>万t/a</w:t>
            </w:r>
          </w:p>
        </w:tc>
        <w:tc>
          <w:tcPr>
            <w:tcW w:w="703" w:type="pct"/>
            <w:vAlign w:val="center"/>
          </w:tcPr>
          <w:p w14:paraId="23D4956C">
            <w:pPr>
              <w:pStyle w:val="41"/>
              <w:keepLines/>
            </w:pPr>
            <w:r>
              <w:t>5</w:t>
            </w:r>
          </w:p>
        </w:tc>
        <w:tc>
          <w:tcPr>
            <w:tcW w:w="2061" w:type="pct"/>
            <w:vAlign w:val="center"/>
          </w:tcPr>
          <w:p w14:paraId="2D752880">
            <w:pPr>
              <w:pStyle w:val="41"/>
              <w:keepLines/>
            </w:pPr>
            <w:r>
              <w:t>外售</w:t>
            </w:r>
          </w:p>
        </w:tc>
      </w:tr>
      <w:tr w14:paraId="1D437C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18" w:type="pct"/>
            <w:vAlign w:val="center"/>
          </w:tcPr>
          <w:p w14:paraId="3E48ED17">
            <w:pPr>
              <w:pStyle w:val="41"/>
              <w:keepLines/>
            </w:pPr>
            <w:r>
              <w:t>2</w:t>
            </w:r>
          </w:p>
        </w:tc>
        <w:tc>
          <w:tcPr>
            <w:tcW w:w="1093" w:type="pct"/>
            <w:vAlign w:val="center"/>
          </w:tcPr>
          <w:p w14:paraId="0EBC51B8">
            <w:pPr>
              <w:pStyle w:val="41"/>
              <w:keepLines/>
            </w:pPr>
            <w:r>
              <w:t>矿棉</w:t>
            </w:r>
          </w:p>
        </w:tc>
        <w:tc>
          <w:tcPr>
            <w:tcW w:w="625" w:type="pct"/>
            <w:vAlign w:val="center"/>
          </w:tcPr>
          <w:p w14:paraId="6997B976">
            <w:pPr>
              <w:pStyle w:val="41"/>
              <w:keepLines/>
            </w:pPr>
            <w:r>
              <w:t>万t/a</w:t>
            </w:r>
          </w:p>
        </w:tc>
        <w:tc>
          <w:tcPr>
            <w:tcW w:w="703" w:type="pct"/>
            <w:vAlign w:val="center"/>
          </w:tcPr>
          <w:p w14:paraId="7CB2D7DA">
            <w:pPr>
              <w:pStyle w:val="41"/>
              <w:keepLines/>
              <w:rPr>
                <w:vertAlign w:val="superscript"/>
              </w:rPr>
            </w:pPr>
            <w:r>
              <w:t>3</w:t>
            </w:r>
          </w:p>
        </w:tc>
        <w:tc>
          <w:tcPr>
            <w:tcW w:w="2061" w:type="pct"/>
            <w:vAlign w:val="center"/>
          </w:tcPr>
          <w:p w14:paraId="740FCD4A">
            <w:pPr>
              <w:pStyle w:val="41"/>
              <w:keepLines/>
            </w:pPr>
            <w:r>
              <w:t>外售</w:t>
            </w:r>
          </w:p>
        </w:tc>
      </w:tr>
      <w:bookmarkEnd w:id="112"/>
    </w:tbl>
    <w:p w14:paraId="701272FB">
      <w:pPr>
        <w:pStyle w:val="5"/>
        <w:spacing w:before="120"/>
      </w:pPr>
      <w:r>
        <w:t>平面布置</w:t>
      </w:r>
    </w:p>
    <w:p w14:paraId="0ED1EDC4">
      <w:pPr>
        <w:pStyle w:val="3"/>
        <w:ind w:firstLine="480"/>
      </w:pPr>
      <w:r>
        <w:t>项目用地整体呈长方形，总占地面积1063.41亩（70.894公顷），其中生产区占地面积</w:t>
      </w:r>
      <w:r>
        <w:rPr>
          <w:rFonts w:eastAsia="Times New Roman"/>
        </w:rPr>
        <w:t>48.3748hm</w:t>
      </w:r>
      <w:r>
        <w:rPr>
          <w:vertAlign w:val="superscript"/>
        </w:rPr>
        <w:t>2</w:t>
      </w:r>
      <w:r>
        <w:t>。根据现有用地条件、厂区全年主导风向及周边外部条件等，将整个厂区分为八个功能区，分别是：原料区、熔炼区、电解区、制酸区、动力区、仓储区、厂前区。详见图3.1-1。</w:t>
      </w:r>
    </w:p>
    <w:p w14:paraId="269B1EF1">
      <w:pPr>
        <w:pStyle w:val="5"/>
        <w:spacing w:before="120"/>
      </w:pPr>
      <w:r>
        <w:t>劳动定员与工作制度</w:t>
      </w:r>
    </w:p>
    <w:p w14:paraId="27FED9DF">
      <w:pPr>
        <w:pStyle w:val="49"/>
      </w:pPr>
      <w:r>
        <w:t>现有工程劳动定员273人，年生产天数330天，日生产24小时，冶炼、烧结车间工作制度为三班三运转；动力车间为四班三运转。</w:t>
      </w:r>
    </w:p>
    <w:p w14:paraId="0907EADA">
      <w:pPr>
        <w:pStyle w:val="5"/>
        <w:spacing w:before="120"/>
      </w:pPr>
      <w:r>
        <w:t>现有工程水平衡</w:t>
      </w:r>
    </w:p>
    <w:p w14:paraId="0FC974FB">
      <w:pPr>
        <w:pStyle w:val="49"/>
      </w:pPr>
      <w:r>
        <w:t>现有工程生产共需新鲜水</w:t>
      </w:r>
      <w:r>
        <w:rPr>
          <w:rFonts w:eastAsia="Times New Roman"/>
        </w:rPr>
        <w:t>400</w:t>
      </w:r>
      <w:r>
        <w:rPr>
          <w:rFonts w:eastAsia="Times New Roman"/>
          <w:sz w:val="21"/>
          <w:szCs w:val="21"/>
        </w:rPr>
        <w:t>m</w:t>
      </w:r>
      <w:r>
        <w:rPr>
          <w:rFonts w:eastAsia="Times New Roman"/>
          <w:position w:val="9"/>
          <w:sz w:val="14"/>
          <w:szCs w:val="14"/>
        </w:rPr>
        <w:t>3</w:t>
      </w:r>
      <w:r>
        <w:rPr>
          <w:rFonts w:eastAsia="Times New Roman"/>
        </w:rPr>
        <w:t>/d</w:t>
      </w:r>
      <w:r>
        <w:t>，其中生活用水量为</w:t>
      </w:r>
      <w:r>
        <w:rPr>
          <w:rFonts w:eastAsia="Times New Roman"/>
        </w:rPr>
        <w:t>10</w:t>
      </w:r>
      <w:r>
        <w:rPr>
          <w:rFonts w:eastAsia="Times New Roman"/>
          <w:sz w:val="21"/>
          <w:szCs w:val="21"/>
        </w:rPr>
        <w:t>m</w:t>
      </w:r>
      <w:r>
        <w:rPr>
          <w:rFonts w:eastAsia="Times New Roman"/>
          <w:position w:val="9"/>
          <w:sz w:val="14"/>
          <w:szCs w:val="14"/>
        </w:rPr>
        <w:t>3</w:t>
      </w:r>
      <w:r>
        <w:rPr>
          <w:rFonts w:eastAsia="Times New Roman"/>
        </w:rPr>
        <w:t>/d</w:t>
      </w:r>
      <w:r>
        <w:t>，动力车间新</w:t>
      </w:r>
      <w:r>
        <w:rPr>
          <w:spacing w:val="-1"/>
        </w:rPr>
        <w:t>鲜水用量为</w:t>
      </w:r>
      <w:r>
        <w:rPr>
          <w:rFonts w:eastAsia="Times New Roman"/>
          <w:spacing w:val="-1"/>
        </w:rPr>
        <w:t>300</w:t>
      </w:r>
      <w:r>
        <w:rPr>
          <w:rFonts w:eastAsia="Times New Roman"/>
          <w:spacing w:val="-1"/>
          <w:sz w:val="21"/>
          <w:szCs w:val="21"/>
        </w:rPr>
        <w:t>m</w:t>
      </w:r>
      <w:r>
        <w:rPr>
          <w:rFonts w:eastAsia="Times New Roman"/>
          <w:spacing w:val="-1"/>
          <w:position w:val="9"/>
          <w:sz w:val="14"/>
          <w:szCs w:val="14"/>
        </w:rPr>
        <w:t>3</w:t>
      </w:r>
      <w:r>
        <w:rPr>
          <w:rFonts w:eastAsia="Times New Roman"/>
          <w:spacing w:val="-1"/>
        </w:rPr>
        <w:t>/d</w:t>
      </w:r>
      <w:r>
        <w:rPr>
          <w:spacing w:val="-1"/>
        </w:rPr>
        <w:t>。生产废水主要为动力车间循环冷却排水、冶炼车间变压器</w:t>
      </w:r>
      <w:r>
        <w:rPr>
          <w:spacing w:val="-5"/>
        </w:rPr>
        <w:t>和炉体冷却排水、水淬渣冷却水及烧结车间脱硫排水，各工段冷却水全部</w:t>
      </w:r>
      <w:r>
        <w:rPr>
          <w:spacing w:val="-6"/>
        </w:rPr>
        <w:t>循环利</w:t>
      </w:r>
      <w:r>
        <w:t>用不外排；生活污水经厂区现有化粪池处理后排入园区下水管网。</w:t>
      </w:r>
    </w:p>
    <w:p w14:paraId="19656C1F">
      <w:pPr>
        <w:pStyle w:val="4"/>
      </w:pPr>
      <w:bookmarkStart w:id="113" w:name="_Toc207208381"/>
      <w:r>
        <w:t>现有工程生产工艺流程及简述</w:t>
      </w:r>
      <w:bookmarkEnd w:id="113"/>
    </w:p>
    <w:p w14:paraId="62F197E2">
      <w:pPr>
        <w:ind w:firstLine="480" w:firstLineChars="200"/>
      </w:pPr>
      <w:r>
        <w:t>新疆艾斯米尔锰合金有限公司现设有1条5万t/a硅锰合金生产线和1条3万t/a利用硅锰合金生产线热熔渣为原料的矿棉生产线。硅锰合金生产线以锰矿为基本原料，通过烧结冶炼生产硅锰合金。</w:t>
      </w:r>
    </w:p>
    <w:p w14:paraId="695CA2E6">
      <w:pPr>
        <w:ind w:firstLine="480" w:firstLineChars="200"/>
      </w:pPr>
      <w:r>
        <w:t>现有工程生产车间分为烧结车间、冶炼车间、矿棉生产车间和动力车间。烧结车间按工艺流程可分为配料、混合、烧结、主抽风系统、筛分整粒、成品输出等工段；冶炼车间生产工艺流程包括配料、混合、入炉、冶炼、浇铸、浇入锭模、冷却、破碎、精整及包装等工段。</w:t>
      </w:r>
    </w:p>
    <w:p w14:paraId="21E23DAE">
      <w:pPr>
        <w:pStyle w:val="5"/>
        <w:spacing w:before="120"/>
      </w:pPr>
      <w:r>
        <w:t>烧结车间</w:t>
      </w:r>
    </w:p>
    <w:p w14:paraId="7F64F3CE">
      <w:pPr>
        <w:ind w:firstLine="480" w:firstLineChars="200"/>
      </w:pPr>
      <w:r>
        <w:t>（1）配料</w:t>
      </w:r>
    </w:p>
    <w:p w14:paraId="5EEA1D7F">
      <w:pPr>
        <w:ind w:firstLine="480" w:firstLineChars="200"/>
      </w:pPr>
      <w:r>
        <w:t>原料锰矿、熔剂、燃料均在配料室进行自动重量配料，配料比人工设定，由计算机自动控制给料量，合格配料经胶带机运至混合机内。</w:t>
      </w:r>
    </w:p>
    <w:p w14:paraId="567A6E1F">
      <w:pPr>
        <w:ind w:firstLine="480" w:firstLineChars="200"/>
      </w:pPr>
      <w:r>
        <w:t>（2）混合</w:t>
      </w:r>
    </w:p>
    <w:p w14:paraId="31DF8510">
      <w:pPr>
        <w:ind w:firstLine="480" w:firstLineChars="200"/>
      </w:pPr>
      <w:r>
        <w:t>项目采用两段混合作业，混合设备均采用圆筒混合机。一次混合的目的主要是将混合料加水润湿度和进行混匀；二次混合主要是调整混合料适宜水分并强化制粒，以保证烧结料层有良好的透气性；一、二次混合料的水量添加采用自动控制。</w:t>
      </w:r>
    </w:p>
    <w:p w14:paraId="67007C92">
      <w:pPr>
        <w:ind w:firstLine="480" w:firstLineChars="200"/>
      </w:pPr>
      <w:r>
        <w:t>（3）铺底与布料</w:t>
      </w:r>
    </w:p>
    <w:p w14:paraId="18B7CB00">
      <w:pPr>
        <w:ind w:firstLine="480" w:firstLineChars="200"/>
      </w:pPr>
      <w:r>
        <w:t>混合料经布料器给入烧结机的混合料矿槽，烧结机料层厚度为600mm（包括铺底料层厚），出料经单滚狼牙破破碎到需要的粒度，均匀地布到烧结机台车上。</w:t>
      </w:r>
    </w:p>
    <w:p w14:paraId="5DF3904C">
      <w:pPr>
        <w:ind w:firstLine="480" w:firstLineChars="200"/>
      </w:pPr>
      <w:r>
        <w:t>（4）点火</w:t>
      </w:r>
    </w:p>
    <w:p w14:paraId="63F39085">
      <w:pPr>
        <w:ind w:firstLine="480" w:firstLineChars="200"/>
      </w:pPr>
      <w:r>
        <w:t>烧结过程是从台车上混合料表层的燃料点火开始的。</w:t>
      </w:r>
    </w:p>
    <w:p w14:paraId="11FC2126">
      <w:pPr>
        <w:ind w:firstLine="480" w:firstLineChars="200"/>
      </w:pPr>
      <w:r>
        <w:t>（5）烧结</w:t>
      </w:r>
    </w:p>
    <w:p w14:paraId="109078B0">
      <w:pPr>
        <w:ind w:firstLine="480" w:firstLineChars="200"/>
      </w:pPr>
      <w:r>
        <w:t>烧结机上的混合料经点火后，在烧结抽风机负压作用下进行抽风烧结，使烧结过程自上而下进行，并持续到烧结终点止。</w:t>
      </w:r>
    </w:p>
    <w:p w14:paraId="1172AF2A">
      <w:pPr>
        <w:tabs>
          <w:tab w:val="left" w:pos="3600"/>
        </w:tabs>
        <w:ind w:firstLine="480" w:firstLineChars="200"/>
      </w:pPr>
      <w:r>
        <w:t>（6）主抽风系统</w:t>
      </w:r>
      <w:r>
        <w:tab/>
      </w:r>
    </w:p>
    <w:p w14:paraId="77B68CB6">
      <w:pPr>
        <w:ind w:firstLine="480" w:firstLineChars="200"/>
      </w:pPr>
      <w:r>
        <w:t>烧结机主抽风系统由风箱、降尘管、主抽风机及烟囱组成。烧结机共有15个风箱，每个风箱沿台车宽度方向经降尘管单侧抽风，烧结机头烟气在主抽风机负压的作用下，经多管+布袋除尘+双碱法脱硫处理后至55米高烟囱排入大气，机尾粉尘经多管+布袋除尘器除尘后经30米高排气筒排放。</w:t>
      </w:r>
    </w:p>
    <w:p w14:paraId="314113A3">
      <w:pPr>
        <w:ind w:firstLine="480" w:firstLineChars="200"/>
      </w:pPr>
      <w:r>
        <w:t>（7）破碎冷却</w:t>
      </w:r>
    </w:p>
    <w:p w14:paraId="289B0EE3">
      <w:pPr>
        <w:ind w:firstLine="480" w:firstLineChars="200"/>
      </w:pPr>
      <w:r>
        <w:t>烧成的热烧结块矿经自然冷却后单辊破碎机破碎后，再经链板机进入烧结成品库。</w:t>
      </w:r>
    </w:p>
    <w:p w14:paraId="5F96D68E">
      <w:pPr>
        <w:ind w:firstLine="480" w:firstLineChars="200"/>
      </w:pPr>
      <w:r>
        <w:t>（8）筛分整粒</w:t>
      </w:r>
    </w:p>
    <w:p w14:paraId="38B1F95A">
      <w:pPr>
        <w:ind w:firstLine="480" w:firstLineChars="200"/>
      </w:pPr>
      <w:r>
        <w:t>整粒采用筛分整粒，分出8～10mm返矿，再进入配料仓进行烧结。</w:t>
      </w:r>
    </w:p>
    <w:p w14:paraId="1EB7BD86">
      <w:pPr>
        <w:ind w:firstLine="480" w:firstLineChars="200"/>
      </w:pPr>
      <w:r>
        <w:t>（9）成品输出</w:t>
      </w:r>
    </w:p>
    <w:p w14:paraId="09EE90A1">
      <w:pPr>
        <w:ind w:firstLine="480" w:firstLineChars="200"/>
      </w:pPr>
      <w:r>
        <w:t>从烧结成品库来的烧结矿在正常生产时直接去矿热炉上料系统。</w:t>
      </w:r>
    </w:p>
    <w:p w14:paraId="202F26E3">
      <w:pPr>
        <w:pStyle w:val="5"/>
        <w:spacing w:before="120"/>
      </w:pPr>
      <w:r>
        <w:t>冶炼车间</w:t>
      </w:r>
    </w:p>
    <w:p w14:paraId="0CE0A3EF">
      <w:pPr>
        <w:ind w:firstLine="480" w:firstLineChars="200"/>
      </w:pPr>
      <w:r>
        <w:t>（1）配料混合</w:t>
      </w:r>
    </w:p>
    <w:p w14:paraId="20FDAECA">
      <w:pPr>
        <w:ind w:firstLine="480" w:firstLineChars="200"/>
      </w:pPr>
      <w:r>
        <w:t>合格原料（焦炭、硅石、锰矿）由铁路及汽车运入厂区原料场地，按品种堆放（部分不合格的硅、铬矿经破碎机破碎后堆放），粉状铬矿经烧结成块后堆放。</w:t>
      </w:r>
    </w:p>
    <w:p w14:paraId="3F27403E">
      <w:pPr>
        <w:ind w:firstLine="480" w:firstLineChars="200"/>
      </w:pPr>
      <w:r>
        <w:t>入炉原料由铲车供给皮带受料仓，经皮带机将合格原料送至配料站储料仓，储料仓中的合格原料按配比称量后由皮带机运至斜桥受料斗，经斜桥小车、炉顶吊挂小车加入炉顶料仓。</w:t>
      </w:r>
    </w:p>
    <w:p w14:paraId="5FD86197">
      <w:pPr>
        <w:ind w:firstLine="480" w:firstLineChars="200"/>
      </w:pPr>
      <w:r>
        <w:t>（2）冶炼</w:t>
      </w:r>
    </w:p>
    <w:p w14:paraId="0B24BA3F">
      <w:pPr>
        <w:ind w:firstLine="480" w:firstLineChars="200"/>
      </w:pPr>
      <w:r>
        <w:t>储料仓中的原料经过向下延伸的下料管和炉盖上的进料口，靠重力连续进入电炉中。加入炉内的混合物料经预热后进入电炉炉膛，硅石作为溶剂，在电极作用产生高温，冶炼温度和冶炼时间根据产品的不同而设定，反应生成锰铁合金。</w:t>
      </w:r>
    </w:p>
    <w:p w14:paraId="1B09B4F1">
      <w:pPr>
        <w:ind w:firstLine="480" w:firstLineChars="200"/>
      </w:pPr>
      <w:r>
        <w:t>（3）浇铸</w:t>
      </w:r>
    </w:p>
    <w:p w14:paraId="5E6F41EA">
      <w:pPr>
        <w:ind w:firstLine="480" w:firstLineChars="200"/>
      </w:pPr>
      <w:r>
        <w:t>用出炉车液态金属运出炉，再通过铁水包浇注到锭模中，浇铸速度及流量要掌握适当，浇筑时人不能站在铁水正面。浇铸完成后，进行自然冷却。</w:t>
      </w:r>
    </w:p>
    <w:p w14:paraId="6D4088F8">
      <w:pPr>
        <w:ind w:firstLine="480" w:firstLineChars="200"/>
      </w:pPr>
      <w:r>
        <w:t>（4）冷却破碎</w:t>
      </w:r>
    </w:p>
    <w:p w14:paraId="5FD37F90">
      <w:pPr>
        <w:ind w:firstLine="480" w:firstLineChars="200"/>
      </w:pPr>
      <w:r>
        <w:t>自然冷却的浇注合金，冷却30分钟以后，由双梁吊钩桥式起重机，将自然冷却合金用吊具从锭模中吊出，放置铁斗内在冷却区继续冷却。当冷却到50℃左右时，即可用专用槽车过磅散装出车间，进入成品库房内人工精整合格。</w:t>
      </w:r>
    </w:p>
    <w:p w14:paraId="4FD19FB0">
      <w:pPr>
        <w:ind w:firstLine="480" w:firstLineChars="200"/>
      </w:pPr>
      <w:r>
        <w:t>（5）成品输出</w:t>
      </w:r>
    </w:p>
    <w:p w14:paraId="37E7FDC0">
      <w:pPr>
        <w:ind w:firstLine="480" w:firstLineChars="200"/>
      </w:pPr>
      <w:r>
        <w:t>精整包装把经冷却后的大块状锰铁合金在精整间内进行人工破碎，破碎精整后成为合格产品包装入库。</w:t>
      </w:r>
    </w:p>
    <w:p w14:paraId="59FE8E48">
      <w:pPr>
        <w:pStyle w:val="5"/>
        <w:spacing w:before="120"/>
      </w:pPr>
      <w:r>
        <w:t>炉气净化</w:t>
      </w:r>
    </w:p>
    <w:p w14:paraId="15A550B4">
      <w:pPr>
        <w:ind w:firstLine="480" w:firstLineChars="200"/>
      </w:pPr>
      <w:r>
        <w:t>矿热炉产生的炉气分两路走，一路作为临时应急系统，一旦后续处理装置发生故障，炉气经净化处理后通过调节阀直接去烟囱放空燃烧；正常生产时，一路经调节阀、灰封阀进入水冷管道，再经一级粉尘焦油沉降器将大部分的粉尘和焦油捕集下来，再经二级粉尘焦油沉降器将粉尘和焦油捕集下来，再经三级粉尘焦油沉降器将粉尘和焦油捕集下来，温度控制在220℃~250℃之间，同时将气体中大颗粒的粉尘捕集下来，尾气再经布袋过滤器，除去炉气中的粉尘，经引风机输送至动力车间发电。布袋过滤器底部排出炉尘，经旋转阀卸入输送机排入炉尘仓，集中回收烧结返回矿热炉综合利用。</w:t>
      </w:r>
    </w:p>
    <w:p w14:paraId="0215B620">
      <w:pPr>
        <w:pStyle w:val="5"/>
        <w:spacing w:before="120"/>
      </w:pPr>
      <w:r>
        <w:t>动力车间</w:t>
      </w:r>
    </w:p>
    <w:p w14:paraId="15F8ADF6">
      <w:pPr>
        <w:ind w:firstLine="480" w:firstLineChars="200"/>
      </w:pPr>
      <w:r>
        <w:t>该项目动力车间建设规模为1×25MW中温中压凝汽式汽轮机组，2×75t/h中温中压煤气联合燃烧循环流化锅炉。</w:t>
      </w:r>
    </w:p>
    <w:p w14:paraId="00368307">
      <w:pPr>
        <w:ind w:firstLine="480" w:firstLineChars="200"/>
      </w:pPr>
      <w:r>
        <w:t>机组生产工艺流程：燃料是原煤、煤气，产品是热能和电能。燃煤经公路运至厂区内煤场，脱硫剂石灰石粉、脱硝剂尿素由汽车经公路运入厂区石灰石仓和尿素储仓存放。燃煤经输煤系统进入锅炉燃烧将锅炉内处理过的除盐水加热成为高温高压蒸汽，蒸汽推动汽轮机做功带动发电机发电，所发电力经升压后接入原厂110kV变电站。该项目用电以自发自用为主，不上网。</w:t>
      </w:r>
    </w:p>
    <w:p w14:paraId="464D40B1">
      <w:pPr>
        <w:ind w:firstLine="480" w:firstLineChars="200"/>
      </w:pPr>
      <w:r>
        <w:t>煤粉在锅炉中燃烧时将石灰石喷洒进炉内进行脱硫，再利用尿素除去烟气中大部分的NOx，再进入电除尘器，绝大部分飞灰被除尘器捕集下来，之后从烟道接口通过55米高烟囱排入大气。</w:t>
      </w:r>
    </w:p>
    <w:p w14:paraId="1CB79308">
      <w:pPr>
        <w:ind w:firstLine="480" w:firstLineChars="200"/>
      </w:pPr>
      <w:r>
        <w:t>锅炉内燃烧经静电除尘器捕集下来的灰，进入干式除灰系统，干灰落入灰斗，由正压气力输送系统输入干灰库，由运灰专用车运输供综合利用。</w:t>
      </w:r>
    </w:p>
    <w:p w14:paraId="3815BEC5">
      <w:pPr>
        <w:pStyle w:val="5"/>
        <w:spacing w:before="120"/>
      </w:pPr>
      <w:bookmarkStart w:id="114" w:name="_Toc14938"/>
      <w:bookmarkStart w:id="115" w:name="_Hlk172059779"/>
      <w:r>
        <w:rPr>
          <w:rFonts w:hint="eastAsia"/>
        </w:rPr>
        <w:t>岩</w:t>
      </w:r>
      <w:r>
        <w:t>棉生产</w:t>
      </w:r>
    </w:p>
    <w:p w14:paraId="35445479">
      <w:pPr>
        <w:pStyle w:val="3"/>
        <w:ind w:firstLine="480"/>
      </w:pPr>
      <w:r>
        <w:t>（1）保温</w:t>
      </w:r>
    </w:p>
    <w:p w14:paraId="196975AF">
      <w:pPr>
        <w:pStyle w:val="3"/>
        <w:ind w:firstLine="480"/>
      </w:pPr>
      <w:r>
        <w:t>配置1台4000KVA电加热保温炉，可容纳熔融态的硅锰热熔渣量为30t。熔融状态的硅锰热熔渣自现有工程矿热炉出炉后，由钢包车运至厂区进入保温炉中，较大保温炉起原料存储及保温作用，保温温度1500℃~1600℃，再通过熔体流槽进入四辊离心机，进入制丝工段。</w:t>
      </w:r>
    </w:p>
    <w:p w14:paraId="7DD4783D">
      <w:pPr>
        <w:pStyle w:val="3"/>
        <w:ind w:firstLine="480"/>
      </w:pPr>
      <w:r>
        <w:t>硅锰热熔渣熔体为密闭罐体在进出料口出料的过程中产生的烟气，经管道与G2工段废气一同排入1#除尘室通过“岩棉板过滤除尘器+烟道喷淋”处理装置净化后通过25m高排气筒排放。</w:t>
      </w:r>
    </w:p>
    <w:p w14:paraId="5B15A8CE">
      <w:pPr>
        <w:pStyle w:val="3"/>
        <w:ind w:firstLine="480"/>
      </w:pPr>
      <w:r>
        <w:t>（2）离心集棉</w:t>
      </w:r>
    </w:p>
    <w:p w14:paraId="68F9CF5C">
      <w:pPr>
        <w:pStyle w:val="3"/>
        <w:ind w:firstLine="480"/>
      </w:pPr>
      <w:r>
        <w:t>保温炉中的硅锰热熔渣熔体通过熔体流槽进入四辊离心机，离心机由高速运转的离心辊和环绕离心辊外的风环组成。每个离心机有四个辊轮，每个辊轮由单独电动机驱动，各辊轮转速不同，范围2800-6000转/分，流股在辊轮高速运转下，使流股纤维化。每个辊轮内部通冷却水，以防止辊轮及轴承过热。离心机配有风环，使纤维进一步牵伸并将纤维吹送至集棉机，纤维在飞越过程中，利用其与渣球的速度差有效地将未成纤的渣球分离出去，同时，酚醛树脂作为粘结剂投入生产线搅拌罐中，以1:3比例与水稀释混合，通过喷嘴进行喷洒至纤维表面起到粘结矿棉的作用。</w:t>
      </w:r>
    </w:p>
    <w:p w14:paraId="5294E52C">
      <w:pPr>
        <w:pStyle w:val="3"/>
        <w:ind w:firstLine="480"/>
      </w:pPr>
      <w:r>
        <w:t>纤维在集棉鼓的负压风抽吸作用下被均匀地吸附到高速运行的集棉带上，形成很薄的初棉层，集棉鼓布置输送网带，网带固定于输送链条上。采用变频电机带动高速运行，网带下面布置有随网倾斜的抽风箱，可以根据生产情况调节负压风量。集棉鼓工作温度为200℃。</w:t>
      </w:r>
    </w:p>
    <w:p w14:paraId="3528A047">
      <w:pPr>
        <w:pStyle w:val="3"/>
        <w:ind w:firstLine="480"/>
      </w:pPr>
      <w:r>
        <w:t>集棉鼓系统由于纤维从熔化炉中出来后进行拉伸，会有带粘结剂的短纤维粉尘产生(集棉鼓废气G2)，并含有少量的酚类、甲醛，通过“岩棉板过滤除尘器+烟道喷淋”处理装置进行净化后与G1通过同一排气筒排放。集棉的过程中产生的渣球通过渣球辊有效分离，车间暂存后作为原料回用。</w:t>
      </w:r>
    </w:p>
    <w:p w14:paraId="72998EB8">
      <w:pPr>
        <w:pStyle w:val="3"/>
        <w:ind w:firstLine="480"/>
      </w:pPr>
      <w:r>
        <w:t>（3）摆锤成型</w:t>
      </w:r>
    </w:p>
    <w:p w14:paraId="08051B43">
      <w:pPr>
        <w:pStyle w:val="3"/>
        <w:ind w:firstLine="480"/>
      </w:pPr>
      <w:r>
        <w:t>捕集后的棉纤维层输送到摆锤输送机通过摆锤均匀铺设到成型机上。成型输送机接受摆锤输送机将薄毡往复摆叠的棉毡，它与集棉机、摆锤输送机的方向呈90°，输送带上的棉毡由多层叠合而成，再经过整边器整边，加压后送入下道工序做制品。</w:t>
      </w:r>
    </w:p>
    <w:p w14:paraId="46F39AE7">
      <w:pPr>
        <w:pStyle w:val="3"/>
        <w:ind w:firstLine="480"/>
      </w:pPr>
      <w:r>
        <w:t>（4）加压固化</w:t>
      </w:r>
    </w:p>
    <w:p w14:paraId="0A8A674A">
      <w:pPr>
        <w:pStyle w:val="3"/>
        <w:ind w:firstLine="480"/>
      </w:pPr>
      <w:r>
        <w:t>从成型输送机送来的棉毡，按照不同的制品要求，通过打褶机进行多层铺展和加压机进行厚度压缩。</w:t>
      </w:r>
    </w:p>
    <w:p w14:paraId="7AA92D6A">
      <w:pPr>
        <w:pStyle w:val="3"/>
        <w:ind w:firstLine="480"/>
      </w:pPr>
      <w:r>
        <w:t>加压后的棉毡通过固化炉烘干定型，主要原理是在热风状态下使岩棉里的粘结剂（酚醛树脂）连续固化，以形成一定规格的矿棉板。固化炉有高质量的热风分布—循环—防泄露系统，可以保证高容重制品的生产。固化炉的上部与下部的两侧的密封由上、下铝板实现，链板与风箱之间也有密封板。固化炉为长条型炉，内部分为四个区，分别控制不同温度对矿棉进行固化，下设轨道使矿棉匀速前进，在行进过程中实现固化。四个区温度控制情况为：一区230℃二区250℃三区260℃四区230℃。</w:t>
      </w:r>
    </w:p>
    <w:p w14:paraId="474029CD">
      <w:pPr>
        <w:pStyle w:val="3"/>
        <w:ind w:firstLine="480"/>
      </w:pPr>
      <w:r>
        <w:t>固化炉使用煤气热风炉产生的热烟气作为热源，煤气在热风炉内进行燃烧，烟气通过燃烧室自带的两层耐火滤墙过滤后补充循环空气。固化炉为密闭结构，烘道顶端设有引风管道，对固化炉废气（G3）进行收集后通过2#除尘室采用“岩棉板过滤除尘器+烟道喷淋”装置进行处理后通过排气筒排放。</w:t>
      </w:r>
    </w:p>
    <w:p w14:paraId="039085B4">
      <w:pPr>
        <w:pStyle w:val="3"/>
        <w:ind w:firstLine="480"/>
      </w:pPr>
      <w:r>
        <w:t>（5）切割运输</w:t>
      </w:r>
    </w:p>
    <w:p w14:paraId="5A65F0E7">
      <w:pPr>
        <w:pStyle w:val="3"/>
        <w:ind w:firstLine="480"/>
      </w:pPr>
      <w:r>
        <w:t>固化的毡板经风机冷却到室温，输送至纵切输送由两组纵切锯组成，两组纵切锯交替使用，以便预先设定宽度和更换锯片。每组纵切锯是由 3 把带有硬质合金的圆盘锯组成，每把圆盘锯有单独的电动机驱动，把岩棉板切成所需要的宽度。</w:t>
      </w:r>
    </w:p>
    <w:p w14:paraId="13D7B5B2">
      <w:pPr>
        <w:pStyle w:val="3"/>
        <w:ind w:firstLine="480"/>
      </w:pPr>
      <w:r>
        <w:t>横切输送是将经固化后并已经纵切的较高容重的岩棉板进行横向切割以达到预定的规格，它由横切锯片，输送辊道及液压系统对几个主要部分组成。横切飞锯和横切铡刀的动作是靠测长装置控制的。它是一个专用的脉冲计数器，当达到产品所需长度时发出信号，使飞锯或铡刀动作。</w:t>
      </w:r>
    </w:p>
    <w:p w14:paraId="55623718">
      <w:pPr>
        <w:pStyle w:val="3"/>
        <w:ind w:firstLine="480"/>
      </w:pPr>
      <w:r>
        <w:t>经过纵切后，再经过铡刀进行横切得到所需要规格的保温纤维板，它适于低容重的棉板与棉毡的切割。</w:t>
      </w:r>
    </w:p>
    <w:p w14:paraId="33E86DDC">
      <w:pPr>
        <w:pStyle w:val="3"/>
        <w:ind w:firstLine="480"/>
      </w:pPr>
      <w:r>
        <w:t>纵切和横切输送机在切割过程中有粉尘产生（G4），通过“岩棉板过滤除尘器处理后通过排气筒排放。</w:t>
      </w:r>
    </w:p>
    <w:p w14:paraId="76CB581A">
      <w:pPr>
        <w:pStyle w:val="3"/>
        <w:ind w:firstLine="480"/>
      </w:pPr>
      <w:r>
        <w:t>（6）包装入库</w:t>
      </w:r>
    </w:p>
    <w:p w14:paraId="71FFCCB6">
      <w:pPr>
        <w:pStyle w:val="3"/>
        <w:ind w:firstLine="480"/>
      </w:pPr>
      <w:r>
        <w:t>经固化、纵切和横切后形成一定规格的棉板，在本机收取，再由人工检验后送入自动包装机组。生产线各单机的传动电机全部是变频电机，由控制系统保证同步。</w:t>
      </w:r>
    </w:p>
    <w:p w14:paraId="7D5D5847">
      <w:pPr>
        <w:pStyle w:val="3"/>
        <w:ind w:firstLine="480"/>
      </w:pPr>
      <w:r>
        <w:t>棉板自动包装机组由喂入皮带机、自动封口机、过渡皮带机、收缩薄膜喂送装置、热风收缩机、输出辊道及自动控制装置组成。人工将合格棉板堆垛送上皮带机后，机组按设好的指令自动封口包装并收缩成整齐方形袋装成品。</w:t>
      </w:r>
    </w:p>
    <w:p w14:paraId="28C29BD5">
      <w:pPr>
        <w:pStyle w:val="4"/>
      </w:pPr>
      <w:bookmarkStart w:id="116" w:name="_Toc207208382"/>
      <w:r>
        <w:t>现有工程主要污染物排放情况及治理措施</w:t>
      </w:r>
      <w:bookmarkEnd w:id="114"/>
      <w:bookmarkEnd w:id="116"/>
    </w:p>
    <w:bookmarkEnd w:id="115"/>
    <w:p w14:paraId="4CE1011C">
      <w:pPr>
        <w:pStyle w:val="5"/>
        <w:spacing w:before="120"/>
      </w:pPr>
      <w:r>
        <w:t>大气污染物排放情况及治理措施</w:t>
      </w:r>
    </w:p>
    <w:p w14:paraId="6EF47AFE">
      <w:pPr>
        <w:pStyle w:val="6"/>
        <w:spacing w:before="120" w:after="120"/>
      </w:pPr>
      <w:r>
        <w:t>有组织废气及其防治措施</w:t>
      </w:r>
    </w:p>
    <w:p w14:paraId="341F4AB9">
      <w:pPr>
        <w:pStyle w:val="49"/>
      </w:pPr>
      <w:r>
        <w:t>有组织废气及其防治措施本项目有组织废气排放主要来源</w:t>
      </w:r>
      <w:r>
        <w:rPr>
          <w:spacing w:val="-3"/>
        </w:rPr>
        <w:t>有五部分：</w:t>
      </w:r>
    </w:p>
    <w:p w14:paraId="2F827D24">
      <w:pPr>
        <w:pStyle w:val="49"/>
        <w:ind w:firstLine="484"/>
        <w:rPr>
          <w:color w:val="000000"/>
          <w:kern w:val="0"/>
        </w:rPr>
      </w:pPr>
      <w:r>
        <w:rPr>
          <w:rFonts w:ascii="Cambria Math" w:hAnsi="Cambria Math" w:cs="Cambria Math"/>
          <w:spacing w:val="1"/>
        </w:rPr>
        <w:t>①</w:t>
      </w:r>
      <w:r>
        <w:rPr>
          <w:spacing w:val="1"/>
        </w:rPr>
        <w:t>循环流化床锅炉排放口DA001：动力车间2×75t/h循环流化床锅炉燃烧过程中产生的烟气，烟气中主要污</w:t>
      </w:r>
      <w:r>
        <w:t>染物为颗粒物、SO</w:t>
      </w:r>
      <w:r>
        <w:rPr>
          <w:position w:val="-2"/>
          <w:sz w:val="15"/>
          <w:szCs w:val="15"/>
        </w:rPr>
        <w:t>2</w:t>
      </w:r>
      <w:r>
        <w:t>、NO</w:t>
      </w:r>
      <w:r>
        <w:rPr>
          <w:position w:val="-2"/>
          <w:sz w:val="15"/>
          <w:szCs w:val="15"/>
        </w:rPr>
        <w:t>X</w:t>
      </w:r>
      <w:r>
        <w:t>、汞及其化合物，每台锅炉采</w:t>
      </w:r>
      <w:r>
        <w:rPr>
          <w:spacing w:val="-1"/>
        </w:rPr>
        <w:t>取双室四电场静电除尘</w:t>
      </w:r>
      <w:r>
        <w:rPr>
          <w:spacing w:val="-3"/>
        </w:rPr>
        <w:t>器+炉内干法喷钙脱硫设施+SNCR烟气脱硝设施，其中脱硫采用循环流化床锅炉</w:t>
      </w:r>
      <w:r>
        <w:t>炉内干法喷钙脱硫工艺（两炉共用一套脱硫设施），脱硝采用</w:t>
      </w:r>
      <w:r>
        <w:rPr>
          <w:spacing w:val="-1"/>
        </w:rPr>
        <w:t>SNCR选择性非</w:t>
      </w:r>
      <w:r>
        <w:t>。</w:t>
      </w:r>
      <w:r>
        <w:rPr>
          <w:color w:val="000000"/>
          <w:spacing w:val="-3"/>
          <w:kern w:val="0"/>
        </w:rPr>
        <w:t>催化还原脱硝工艺（两炉共用一套脱硝设施）。两台锅炉燃煤产生的烟气经双室</w:t>
      </w:r>
      <w:r>
        <w:rPr>
          <w:color w:val="000000"/>
          <w:spacing w:val="-6"/>
          <w:kern w:val="0"/>
        </w:rPr>
        <w:t>四电场静电除尘器、炉内干法喷钙脱硫设施、烟气脱硝</w:t>
      </w:r>
      <w:r>
        <w:rPr>
          <w:color w:val="000000"/>
          <w:spacing w:val="-7"/>
          <w:kern w:val="0"/>
        </w:rPr>
        <w:t>设施进行烟气处理后，由一座高55m的烟囱</w:t>
      </w:r>
      <w:r>
        <w:rPr>
          <w:spacing w:val="-2"/>
        </w:rPr>
        <w:t>（DA001）</w:t>
      </w:r>
      <w:r>
        <w:rPr>
          <w:color w:val="000000"/>
          <w:spacing w:val="-7"/>
          <w:kern w:val="0"/>
        </w:rPr>
        <w:t>排入大气。</w:t>
      </w:r>
    </w:p>
    <w:p w14:paraId="3C079111">
      <w:pPr>
        <w:pStyle w:val="49"/>
        <w:ind w:firstLine="468"/>
        <w:rPr>
          <w:color w:val="000000"/>
          <w:kern w:val="0"/>
        </w:rPr>
      </w:pPr>
      <w:r>
        <w:rPr>
          <w:rFonts w:ascii="Cambria Math" w:hAnsi="Cambria Math" w:cs="Cambria Math"/>
          <w:color w:val="000000"/>
          <w:spacing w:val="-3"/>
          <w:kern w:val="0"/>
        </w:rPr>
        <w:t>②</w:t>
      </w:r>
      <w:r>
        <w:rPr>
          <w:color w:val="000000"/>
          <w:spacing w:val="-3"/>
          <w:kern w:val="0"/>
        </w:rPr>
        <w:t>烧结机头废气排放口DA002（停产）：</w:t>
      </w:r>
      <w:r>
        <w:rPr>
          <w:color w:val="000000"/>
          <w:spacing w:val="-1"/>
          <w:kern w:val="0"/>
        </w:rPr>
        <w:t>烧结车间烧结机头有组织废气主要污染物有颗粒物、SO</w:t>
      </w:r>
      <w:r>
        <w:rPr>
          <w:color w:val="000000"/>
          <w:spacing w:val="-1"/>
          <w:kern w:val="0"/>
          <w:position w:val="-2"/>
          <w:sz w:val="15"/>
          <w:szCs w:val="15"/>
        </w:rPr>
        <w:t>2</w:t>
      </w:r>
      <w:r>
        <w:rPr>
          <w:color w:val="000000"/>
          <w:spacing w:val="-1"/>
          <w:kern w:val="0"/>
        </w:rPr>
        <w:t>、NO</w:t>
      </w:r>
      <w:r>
        <w:rPr>
          <w:color w:val="000000"/>
          <w:spacing w:val="-1"/>
          <w:kern w:val="0"/>
          <w:position w:val="-2"/>
          <w:sz w:val="15"/>
          <w:szCs w:val="15"/>
        </w:rPr>
        <w:t>X</w:t>
      </w:r>
      <w:r>
        <w:rPr>
          <w:color w:val="000000"/>
          <w:spacing w:val="-1"/>
          <w:kern w:val="0"/>
        </w:rPr>
        <w:t>、氟化物、二噁英类，经SCR脱硝+石灰石-石膏法脱硫+多管除尘+湿电除尘</w:t>
      </w:r>
      <w:r>
        <w:rPr>
          <w:color w:val="000000"/>
          <w:kern w:val="0"/>
        </w:rPr>
        <w:t>处理后通过55m排气筒</w:t>
      </w:r>
      <w:r>
        <w:rPr>
          <w:spacing w:val="-1"/>
        </w:rPr>
        <w:t>（DA002）</w:t>
      </w:r>
      <w:r>
        <w:rPr>
          <w:color w:val="000000"/>
          <w:kern w:val="0"/>
        </w:rPr>
        <w:t>排放。</w:t>
      </w:r>
    </w:p>
    <w:p w14:paraId="0954FB7E">
      <w:pPr>
        <w:pStyle w:val="49"/>
        <w:ind w:firstLine="476"/>
        <w:rPr>
          <w:color w:val="000000"/>
          <w:spacing w:val="-1"/>
          <w:kern w:val="0"/>
        </w:rPr>
      </w:pPr>
      <w:r>
        <w:rPr>
          <w:rFonts w:ascii="Cambria Math" w:hAnsi="Cambria Math" w:cs="Cambria Math"/>
          <w:color w:val="000000"/>
          <w:spacing w:val="-1"/>
          <w:kern w:val="0"/>
        </w:rPr>
        <w:t>③</w:t>
      </w:r>
      <w:r>
        <w:rPr>
          <w:color w:val="000000"/>
          <w:spacing w:val="-1"/>
          <w:kern w:val="0"/>
        </w:rPr>
        <w:t>浇铸废气排放口DA003：</w:t>
      </w:r>
      <w:r>
        <w:rPr>
          <w:color w:val="000000"/>
          <w:spacing w:val="-3"/>
          <w:kern w:val="0"/>
        </w:rPr>
        <w:t>冶炼车间</w:t>
      </w:r>
      <w:r>
        <w:rPr>
          <w:spacing w:val="-2"/>
        </w:rPr>
        <w:t>浇筑、破碎精整工段</w:t>
      </w:r>
      <w:r>
        <w:rPr>
          <w:color w:val="000000"/>
          <w:spacing w:val="-3"/>
          <w:kern w:val="0"/>
        </w:rPr>
        <w:t>有组织废气主要污染物为颗粒物，经</w:t>
      </w:r>
      <w:r>
        <w:rPr>
          <w:color w:val="000000"/>
          <w:spacing w:val="-4"/>
          <w:kern w:val="0"/>
        </w:rPr>
        <w:t>袋式除尘器</w:t>
      </w:r>
      <w:r>
        <w:rPr>
          <w:color w:val="000000"/>
          <w:spacing w:val="-6"/>
          <w:kern w:val="0"/>
        </w:rPr>
        <w:t>+15m高排气筒</w:t>
      </w:r>
      <w:r>
        <w:rPr>
          <w:spacing w:val="-1"/>
        </w:rPr>
        <w:t>（DA003）</w:t>
      </w:r>
      <w:r>
        <w:rPr>
          <w:color w:val="000000"/>
          <w:kern w:val="0"/>
        </w:rPr>
        <w:t>排放</w:t>
      </w:r>
      <w:r>
        <w:rPr>
          <w:color w:val="000000"/>
          <w:spacing w:val="-6"/>
          <w:kern w:val="0"/>
        </w:rPr>
        <w:t>。</w:t>
      </w:r>
    </w:p>
    <w:p w14:paraId="1C40BABC">
      <w:pPr>
        <w:pStyle w:val="49"/>
        <w:ind w:firstLine="468"/>
        <w:rPr>
          <w:color w:val="000000"/>
          <w:kern w:val="0"/>
        </w:rPr>
      </w:pPr>
      <w:r>
        <w:rPr>
          <w:rFonts w:ascii="Cambria Math" w:hAnsi="Cambria Math" w:cs="Cambria Math"/>
          <w:color w:val="000000"/>
          <w:spacing w:val="-3"/>
          <w:kern w:val="0"/>
        </w:rPr>
        <w:t>④</w:t>
      </w:r>
      <w:r>
        <w:rPr>
          <w:color w:val="000000"/>
          <w:spacing w:val="-3"/>
          <w:kern w:val="0"/>
        </w:rPr>
        <w:t>破碎、筛分排放口</w:t>
      </w:r>
      <w:r>
        <w:rPr>
          <w:spacing w:val="-1"/>
        </w:rPr>
        <w:t>DA004：</w:t>
      </w:r>
      <w:r>
        <w:rPr>
          <w:color w:val="000000"/>
          <w:spacing w:val="-3"/>
          <w:kern w:val="0"/>
        </w:rPr>
        <w:t>冶炼车间配料破碎、筛分有组织废气主要污染物为颗粒物，经</w:t>
      </w:r>
      <w:r>
        <w:rPr>
          <w:color w:val="000000"/>
          <w:spacing w:val="-4"/>
          <w:kern w:val="0"/>
        </w:rPr>
        <w:t>袋式除尘器</w:t>
      </w:r>
      <w:r>
        <w:rPr>
          <w:color w:val="000000"/>
          <w:spacing w:val="-6"/>
          <w:kern w:val="0"/>
        </w:rPr>
        <w:t>+15m排气筒</w:t>
      </w:r>
      <w:r>
        <w:rPr>
          <w:spacing w:val="-1"/>
        </w:rPr>
        <w:t>（DA004）</w:t>
      </w:r>
      <w:r>
        <w:rPr>
          <w:color w:val="000000"/>
          <w:kern w:val="0"/>
        </w:rPr>
        <w:t>排放</w:t>
      </w:r>
      <w:r>
        <w:rPr>
          <w:color w:val="000000"/>
          <w:spacing w:val="-6"/>
          <w:kern w:val="0"/>
        </w:rPr>
        <w:t>。</w:t>
      </w:r>
    </w:p>
    <w:p w14:paraId="7A488D58">
      <w:pPr>
        <w:pStyle w:val="49"/>
        <w:ind w:firstLine="468"/>
        <w:rPr>
          <w:color w:val="000000"/>
          <w:spacing w:val="-3"/>
          <w:kern w:val="0"/>
        </w:rPr>
      </w:pPr>
      <w:r>
        <w:rPr>
          <w:rFonts w:ascii="Cambria Math" w:hAnsi="Cambria Math" w:cs="Cambria Math"/>
          <w:color w:val="000000"/>
          <w:spacing w:val="-3"/>
          <w:kern w:val="0"/>
        </w:rPr>
        <w:t>⑤</w:t>
      </w:r>
      <w:r>
        <w:rPr>
          <w:color w:val="000000"/>
          <w:spacing w:val="-3"/>
          <w:kern w:val="0"/>
        </w:rPr>
        <w:t>保温炉、集棉、固化综合废气排口</w:t>
      </w:r>
      <w:r>
        <w:rPr>
          <w:spacing w:val="-1"/>
        </w:rPr>
        <w:t>DA005：</w:t>
      </w:r>
      <w:r>
        <w:rPr>
          <w:color w:val="000000"/>
          <w:spacing w:val="-3"/>
          <w:kern w:val="0"/>
        </w:rPr>
        <w:t>岩棉车间保温、集棉、成型工段有组织废气要污染物为颗粒物、二氧化硫、氮氧化物、非甲烷总烃（酚类及甲醛），经过</w:t>
      </w:r>
      <w:r>
        <w:rPr>
          <w:spacing w:val="-1"/>
        </w:rPr>
        <w:t>岩棉板过滤除尘器+湿电除尘+40m</w:t>
      </w:r>
      <w:r>
        <w:rPr>
          <w:color w:val="000000"/>
          <w:spacing w:val="-6"/>
          <w:kern w:val="0"/>
        </w:rPr>
        <w:t>排气筒</w:t>
      </w:r>
      <w:r>
        <w:rPr>
          <w:spacing w:val="-1"/>
        </w:rPr>
        <w:t>（DA005）</w:t>
      </w:r>
      <w:r>
        <w:rPr>
          <w:color w:val="000000"/>
          <w:kern w:val="0"/>
        </w:rPr>
        <w:t>排放</w:t>
      </w:r>
      <w:r>
        <w:rPr>
          <w:spacing w:val="-1"/>
        </w:rPr>
        <w:t>。</w:t>
      </w:r>
    </w:p>
    <w:p w14:paraId="4C635B02">
      <w:pPr>
        <w:pStyle w:val="49"/>
        <w:ind w:firstLine="456"/>
        <w:rPr>
          <w:color w:val="000000"/>
          <w:spacing w:val="-3"/>
          <w:kern w:val="0"/>
        </w:rPr>
      </w:pPr>
      <w:r>
        <w:rPr>
          <w:rFonts w:ascii="Cambria Math" w:hAnsi="Cambria Math" w:cs="Cambria Math"/>
          <w:color w:val="000000"/>
          <w:spacing w:val="-6"/>
          <w:kern w:val="0"/>
        </w:rPr>
        <w:t>⑥</w:t>
      </w:r>
      <w:r>
        <w:rPr>
          <w:color w:val="000000"/>
          <w:spacing w:val="-6"/>
          <w:kern w:val="0"/>
        </w:rPr>
        <w:t>配料站废气排放口</w:t>
      </w:r>
      <w:r>
        <w:rPr>
          <w:spacing w:val="-1"/>
        </w:rPr>
        <w:t>DA006：</w:t>
      </w:r>
      <w:r>
        <w:rPr>
          <w:color w:val="000000"/>
          <w:spacing w:val="-3"/>
          <w:kern w:val="0"/>
        </w:rPr>
        <w:t>配料粉尘有组织废气主要污染物有颗粒物，经</w:t>
      </w:r>
      <w:r>
        <w:rPr>
          <w:spacing w:val="-1"/>
        </w:rPr>
        <w:t>袋式除尘器+15m排气筒（DA006）</w:t>
      </w:r>
      <w:r>
        <w:rPr>
          <w:color w:val="000000"/>
          <w:kern w:val="0"/>
        </w:rPr>
        <w:t>排放</w:t>
      </w:r>
      <w:r>
        <w:rPr>
          <w:spacing w:val="-1"/>
        </w:rPr>
        <w:t>。</w:t>
      </w:r>
    </w:p>
    <w:p w14:paraId="1AA74740">
      <w:pPr>
        <w:pStyle w:val="49"/>
        <w:ind w:firstLine="468"/>
        <w:rPr>
          <w:color w:val="000000"/>
          <w:spacing w:val="-6"/>
          <w:kern w:val="0"/>
        </w:rPr>
      </w:pPr>
      <w:r>
        <w:rPr>
          <w:rFonts w:ascii="Cambria Math" w:hAnsi="Cambria Math" w:cs="Cambria Math"/>
          <w:color w:val="000000"/>
          <w:spacing w:val="-3"/>
          <w:kern w:val="0"/>
        </w:rPr>
        <w:t>⑦</w:t>
      </w:r>
      <w:r>
        <w:rPr>
          <w:color w:val="000000"/>
          <w:spacing w:val="-3"/>
          <w:kern w:val="0"/>
        </w:rPr>
        <w:t>切割废气排口</w:t>
      </w:r>
      <w:r>
        <w:rPr>
          <w:spacing w:val="-1"/>
        </w:rPr>
        <w:t>DA007</w:t>
      </w:r>
      <w:r>
        <w:rPr>
          <w:color w:val="000000"/>
          <w:spacing w:val="-3"/>
          <w:kern w:val="0"/>
        </w:rPr>
        <w:t>：岩棉车间</w:t>
      </w:r>
      <w:r>
        <w:rPr>
          <w:spacing w:val="-2"/>
        </w:rPr>
        <w:t>固化、切割工段</w:t>
      </w:r>
      <w:r>
        <w:rPr>
          <w:color w:val="000000"/>
          <w:spacing w:val="-3"/>
          <w:kern w:val="0"/>
        </w:rPr>
        <w:t>有组织废气：主要污染物为颗粒物，经</w:t>
      </w:r>
      <w:r>
        <w:rPr>
          <w:spacing w:val="-1"/>
        </w:rPr>
        <w:t>岩棉板过滤除尘器+25m</w:t>
      </w:r>
      <w:r>
        <w:rPr>
          <w:color w:val="000000"/>
          <w:spacing w:val="-6"/>
          <w:kern w:val="0"/>
        </w:rPr>
        <w:t>排气筒</w:t>
      </w:r>
      <w:r>
        <w:rPr>
          <w:spacing w:val="-1"/>
        </w:rPr>
        <w:t>（DA007）</w:t>
      </w:r>
      <w:r>
        <w:rPr>
          <w:color w:val="000000"/>
          <w:kern w:val="0"/>
        </w:rPr>
        <w:t>排放</w:t>
      </w:r>
      <w:r>
        <w:rPr>
          <w:spacing w:val="-1"/>
        </w:rPr>
        <w:t>。</w:t>
      </w:r>
    </w:p>
    <w:p w14:paraId="1E652ED4">
      <w:pPr>
        <w:pStyle w:val="49"/>
        <w:ind w:firstLine="468"/>
        <w:rPr>
          <w:color w:val="000000"/>
          <w:kern w:val="0"/>
        </w:rPr>
      </w:pPr>
      <w:r>
        <w:rPr>
          <w:rFonts w:ascii="Cambria Math" w:hAnsi="Cambria Math" w:cs="Cambria Math"/>
          <w:color w:val="000000"/>
          <w:spacing w:val="-3"/>
          <w:kern w:val="0"/>
        </w:rPr>
        <w:t>⑧</w:t>
      </w:r>
      <w:r>
        <w:rPr>
          <w:color w:val="000000"/>
          <w:spacing w:val="-3"/>
          <w:kern w:val="0"/>
        </w:rPr>
        <w:t>烧结机尾废气排放口</w:t>
      </w:r>
      <w:r>
        <w:rPr>
          <w:spacing w:val="-1"/>
        </w:rPr>
        <w:t>DA008</w:t>
      </w:r>
      <w:r>
        <w:rPr>
          <w:color w:val="000000"/>
          <w:spacing w:val="-3"/>
          <w:kern w:val="0"/>
        </w:rPr>
        <w:t>（停产）</w:t>
      </w:r>
      <w:r>
        <w:rPr>
          <w:spacing w:val="-1"/>
        </w:rPr>
        <w:t>：</w:t>
      </w:r>
      <w:r>
        <w:rPr>
          <w:color w:val="000000"/>
          <w:spacing w:val="-3"/>
          <w:kern w:val="0"/>
        </w:rPr>
        <w:t>烧结车间烧结机尾有组织废气主要污染物有颗粒物，经多管</w:t>
      </w:r>
      <w:r>
        <w:rPr>
          <w:color w:val="000000"/>
          <w:spacing w:val="-4"/>
          <w:kern w:val="0"/>
        </w:rPr>
        <w:t>除尘</w:t>
      </w:r>
      <w:r>
        <w:rPr>
          <w:color w:val="000000"/>
          <w:spacing w:val="-5"/>
          <w:kern w:val="0"/>
        </w:rPr>
        <w:t>器+湿式电除尘+30m</w:t>
      </w:r>
      <w:r>
        <w:rPr>
          <w:spacing w:val="-1"/>
        </w:rPr>
        <w:t>排气筒（DA008）</w:t>
      </w:r>
      <w:r>
        <w:rPr>
          <w:color w:val="000000"/>
          <w:kern w:val="0"/>
        </w:rPr>
        <w:t>排放</w:t>
      </w:r>
      <w:r>
        <w:rPr>
          <w:spacing w:val="-1"/>
        </w:rPr>
        <w:t>。</w:t>
      </w:r>
    </w:p>
    <w:p w14:paraId="2AC246EB">
      <w:pPr>
        <w:pStyle w:val="6"/>
        <w:spacing w:before="120" w:after="120"/>
      </w:pPr>
      <w:r>
        <w:t>无组织废气及其防治措施</w:t>
      </w:r>
    </w:p>
    <w:p w14:paraId="7A277F48">
      <w:pPr>
        <w:ind w:firstLine="480" w:firstLineChars="200"/>
      </w:pPr>
      <w:r>
        <w:t>本项目无组织废气主要为颗粒物，颗粒物主要为原料及成品贮存、运输、筛分及配料过程产生的粉尘。在煤炭和原料的储存堆放过程中会有较大的扬尘产生。防治措施主要为建设封闭式煤棚和原料堆棚，并设置洒水抑尘措施；</w:t>
      </w:r>
      <w:r>
        <w:rPr>
          <w:color w:val="000000"/>
          <w:spacing w:val="-3"/>
          <w:kern w:val="0"/>
        </w:rPr>
        <w:t>动力车间石灰石仓和灰库仓有组织废气：主要污染物为颗粒物，</w:t>
      </w:r>
      <w:r>
        <w:rPr>
          <w:color w:val="000000"/>
          <w:spacing w:val="-4"/>
          <w:kern w:val="0"/>
        </w:rPr>
        <w:t>仓顶各安</w:t>
      </w:r>
      <w:r>
        <w:rPr>
          <w:color w:val="000000"/>
          <w:spacing w:val="-1"/>
          <w:kern w:val="0"/>
        </w:rPr>
        <w:t>装一台布袋除尘器，经过处理后无组织排放。</w:t>
      </w:r>
      <w:r>
        <w:t>冶炼及烧结车间上料和煤炭输送采用封闭式廊道输送，冶炼车间配料至电炉内采取半封闭皮带输送；除尘器收集的粉尘设置灰库进行集中暂存；项目矿棉车间会有少部分无组织粉尘、酚类和甲醛产生，项目生产工段密闭，输送带进出口均设软帘，以提高废气收集效率；仓库定时洒水，减少粉尘的排放，降低粉尘对外界环境的影响并在项目区种植花草树木。</w:t>
      </w:r>
    </w:p>
    <w:p w14:paraId="584AEC29">
      <w:pPr>
        <w:ind w:firstLine="480" w:firstLineChars="200"/>
      </w:pPr>
      <w:r>
        <w:t>通过《新疆艾斯米尔钢铁有限公司50000kVA铬铁合金炉节能及综合利用技术改造项目（25000kVA）竣工环境保护验收监测报告》可知，验收期间厂界无组织颗粒物排放监控点最大值为0.528mg/m</w:t>
      </w:r>
      <w:r>
        <w:rPr>
          <w:vertAlign w:val="superscript"/>
        </w:rPr>
        <w:t>3</w:t>
      </w:r>
      <w:r>
        <w:t>，排放浓度可以满足《铁合金工业污染物排放标准》（GB28666-2012）中表7企业边界大气污染物浓度限值。</w:t>
      </w:r>
    </w:p>
    <w:p w14:paraId="4D52B63D">
      <w:pPr>
        <w:ind w:firstLine="480" w:firstLineChars="200"/>
      </w:pPr>
      <w:r>
        <w:t>通过《新疆艾斯米尔锰合金有限公司工业固废循环经济综合利用制备矿棉项目竣工环境保护验收监测报告》可知，验收期间厂界颗粒物、酚类、甲醛无组织排放下风向颗粒物最大浓度值是0.617mg/m</w:t>
      </w:r>
      <w:r>
        <w:rPr>
          <w:vertAlign w:val="superscript"/>
        </w:rPr>
        <w:t>3</w:t>
      </w:r>
      <w:r>
        <w:t>，酚类化合物、甲醛均未检出，无组织排放监控浓度最大值可以满足《大气污染综合物排放标准》（GB16297-1996）无组织排放限值。</w:t>
      </w:r>
    </w:p>
    <w:p w14:paraId="792617BA">
      <w:pPr>
        <w:pStyle w:val="6"/>
        <w:spacing w:before="120" w:after="120"/>
      </w:pPr>
      <w:r>
        <w:t>污染物达标排放分析</w:t>
      </w:r>
    </w:p>
    <w:p w14:paraId="4569250B">
      <w:pPr>
        <w:pStyle w:val="3"/>
        <w:ind w:firstLine="480"/>
      </w:pPr>
      <w:r>
        <w:t>根据建设单位提供的验收报告、在线监测及验收建设数据，厂区各废气经处理后排放情况如下表。</w:t>
      </w:r>
    </w:p>
    <w:p w14:paraId="6DBEF52E">
      <w:pPr>
        <w:pStyle w:val="49"/>
      </w:pPr>
      <w:r>
        <w:t>通过新疆新农大环境检测中心（有限公司）2017年9月编制的《新疆艾斯米尔钢铁有限公司50000kVA铬铁合金炉节能及综合利用技术改造项目（25000kVA）竣工环境保护验收监测报告》可知（详见附件4），验收监测期间：</w:t>
      </w:r>
    </w:p>
    <w:p w14:paraId="51D0CBEA">
      <w:pPr>
        <w:pStyle w:val="49"/>
      </w:pPr>
      <w:r>
        <w:t>动力车间1#、2#循环流化床锅炉总排口颗粒物最大排放浓度为18mg/m³，除尘效率为99.6%~99.7%；SO</w:t>
      </w:r>
      <w:r>
        <w:rPr>
          <w:vertAlign w:val="subscript"/>
        </w:rPr>
        <w:t>2</w:t>
      </w:r>
      <w:r>
        <w:t>最大排放浓度为19mg/m</w:t>
      </w:r>
      <w:r>
        <w:rPr>
          <w:vertAlign w:val="superscript"/>
        </w:rPr>
        <w:t>3</w:t>
      </w:r>
      <w:r>
        <w:t>，脱硫效率为94.5%~95.9%；NO</w:t>
      </w:r>
      <w:r>
        <w:rPr>
          <w:vertAlign w:val="subscript"/>
        </w:rPr>
        <w:t>X</w:t>
      </w:r>
      <w:r>
        <w:t>最大排放浓度为53mg/m</w:t>
      </w:r>
      <w:r>
        <w:rPr>
          <w:vertAlign w:val="superscript"/>
        </w:rPr>
        <w:t>3</w:t>
      </w:r>
      <w:r>
        <w:t>，脱硝效率为79.7%~84.2%，汞及其化合物最大排放浓度为0.0081mg/m</w:t>
      </w:r>
      <w:r>
        <w:rPr>
          <w:vertAlign w:val="superscript"/>
        </w:rPr>
        <w:t>3</w:t>
      </w:r>
      <w:r>
        <w:t>，排放浓度满足《火电厂大气污染物排放标准》（GB13223-2011）表2大气污染物特别排放限值（颗粒物：20mg/m</w:t>
      </w:r>
      <w:r>
        <w:rPr>
          <w:vertAlign w:val="superscript"/>
        </w:rPr>
        <w:t>3</w:t>
      </w:r>
      <w:r>
        <w:t>；SO</w:t>
      </w:r>
      <w:r>
        <w:rPr>
          <w:vertAlign w:val="subscript"/>
        </w:rPr>
        <w:t>2</w:t>
      </w:r>
      <w:r>
        <w:t>：50mg/m</w:t>
      </w:r>
      <w:r>
        <w:rPr>
          <w:vertAlign w:val="superscript"/>
        </w:rPr>
        <w:t>3</w:t>
      </w:r>
      <w:r>
        <w:t>；NO</w:t>
      </w:r>
      <w:r>
        <w:rPr>
          <w:vertAlign w:val="subscript"/>
        </w:rPr>
        <w:t>X：</w:t>
      </w:r>
      <w:r>
        <w:t>100mg/m</w:t>
      </w:r>
      <w:r>
        <w:rPr>
          <w:vertAlign w:val="superscript"/>
        </w:rPr>
        <w:t>3</w:t>
      </w:r>
      <w:r>
        <w:t>；汞及其化合物：0.03mg/m</w:t>
      </w:r>
      <w:r>
        <w:rPr>
          <w:vertAlign w:val="superscript"/>
        </w:rPr>
        <w:t>3</w:t>
      </w:r>
      <w:r>
        <w:t>）。</w:t>
      </w:r>
    </w:p>
    <w:p w14:paraId="522BA08E">
      <w:pPr>
        <w:pStyle w:val="49"/>
      </w:pPr>
      <w:r>
        <w:t>烧结车间机头脱硫塔排口颗粒物最大排放浓度为24mg/m</w:t>
      </w:r>
      <w:r>
        <w:rPr>
          <w:vertAlign w:val="superscript"/>
        </w:rPr>
        <w:t>3</w:t>
      </w:r>
      <w:r>
        <w:t>，SO</w:t>
      </w:r>
      <w:r>
        <w:rPr>
          <w:vertAlign w:val="subscript"/>
        </w:rPr>
        <w:t>2</w:t>
      </w:r>
      <w:r>
        <w:t>最大排放浓度为54mg/m</w:t>
      </w:r>
      <w:r>
        <w:rPr>
          <w:vertAlign w:val="superscript"/>
        </w:rPr>
        <w:t>3</w:t>
      </w:r>
      <w:r>
        <w:t>，NO</w:t>
      </w:r>
      <w:r>
        <w:rPr>
          <w:vertAlign w:val="subscript"/>
        </w:rPr>
        <w:t>X</w:t>
      </w:r>
      <w:r>
        <w:t>最大排放浓度为103mg/m</w:t>
      </w:r>
      <w:r>
        <w:rPr>
          <w:vertAlign w:val="superscript"/>
        </w:rPr>
        <w:t>3</w:t>
      </w:r>
      <w:r>
        <w:t>，颗粒物、SO</w:t>
      </w:r>
      <w:r>
        <w:rPr>
          <w:vertAlign w:val="subscript"/>
        </w:rPr>
        <w:t>2</w:t>
      </w:r>
      <w:r>
        <w:t>、NO</w:t>
      </w:r>
      <w:r>
        <w:rPr>
          <w:vertAlign w:val="subscript"/>
        </w:rPr>
        <w:t>X</w:t>
      </w:r>
      <w:r>
        <w:t>排放浓度均满足《钢铁烧结、球团工业大气污染物排放标准》（GB28662-2012）中表3大气污染物特别排放限值（颗粒物40mg/m</w:t>
      </w:r>
      <w:r>
        <w:rPr>
          <w:vertAlign w:val="superscript"/>
        </w:rPr>
        <w:t>3</w:t>
      </w:r>
      <w:r>
        <w:t>；SO</w:t>
      </w:r>
      <w:r>
        <w:rPr>
          <w:vertAlign w:val="subscript"/>
        </w:rPr>
        <w:t>2</w:t>
      </w:r>
      <w:r>
        <w:t>：180mg/m</w:t>
      </w:r>
      <w:r>
        <w:rPr>
          <w:vertAlign w:val="superscript"/>
        </w:rPr>
        <w:t>3</w:t>
      </w:r>
      <w:r>
        <w:t>；NO</w:t>
      </w:r>
      <w:r>
        <w:rPr>
          <w:vertAlign w:val="subscript"/>
        </w:rPr>
        <w:t>X</w:t>
      </w:r>
      <w:r>
        <w:t>：300mg/m</w:t>
      </w:r>
      <w:r>
        <w:rPr>
          <w:vertAlign w:val="superscript"/>
        </w:rPr>
        <w:t>3</w:t>
      </w:r>
      <w:r>
        <w:t>）。</w:t>
      </w:r>
    </w:p>
    <w:p w14:paraId="6EBB4B8A">
      <w:pPr>
        <w:pStyle w:val="49"/>
      </w:pPr>
      <w:r>
        <w:t>烧结机尾布袋除尘器排口（排气筒高度15m）颗粒物最大排放浓度为16mg/m</w:t>
      </w:r>
      <w:r>
        <w:rPr>
          <w:vertAlign w:val="superscript"/>
        </w:rPr>
        <w:t>3</w:t>
      </w:r>
      <w:r>
        <w:t>，颗粒物排放浓度满足《钢铁烧结、球团工业大气污染物排放标准》（GB28662-2012）中表3大气污染物特别排放限值（颗粒物20mg/m</w:t>
      </w:r>
      <w:r>
        <w:rPr>
          <w:vertAlign w:val="superscript"/>
        </w:rPr>
        <w:t>3</w:t>
      </w:r>
      <w:r>
        <w:t>）。</w:t>
      </w:r>
    </w:p>
    <w:p w14:paraId="224DD2D0">
      <w:pPr>
        <w:pStyle w:val="49"/>
      </w:pPr>
      <w:r>
        <w:t>冶炼车间配料站多管旋风除尘器排口（排气筒高度15m）颗粒物最大排放浓度为17mg/m</w:t>
      </w:r>
      <w:r>
        <w:rPr>
          <w:vertAlign w:val="superscript"/>
        </w:rPr>
        <w:t>3</w:t>
      </w:r>
      <w:r>
        <w:t>，颗粒物排放浓度满足《铁合金工业污染物排放标准》（GB28666-2012）中表6大气污染物特别排放限值（颗粒物20mg/m</w:t>
      </w:r>
      <w:r>
        <w:rPr>
          <w:vertAlign w:val="superscript"/>
        </w:rPr>
        <w:t>3</w:t>
      </w:r>
      <w:r>
        <w:t>）。</w:t>
      </w:r>
    </w:p>
    <w:p w14:paraId="1E9D3BC6">
      <w:pPr>
        <w:pStyle w:val="49"/>
      </w:pPr>
      <w:r>
        <w:t>验收期间厂界无组织颗粒物排放监控点最大值为0.528mg/m</w:t>
      </w:r>
      <w:r>
        <w:rPr>
          <w:vertAlign w:val="superscript"/>
        </w:rPr>
        <w:t>3</w:t>
      </w:r>
      <w:r>
        <w:t>，排放浓度可以满足《铁合金工业污染物排放标准》（GB28666-2012）中表7企业边界大气污染物浓度限值。</w:t>
      </w:r>
    </w:p>
    <w:p w14:paraId="110AD5FA">
      <w:pPr>
        <w:pStyle w:val="3"/>
        <w:ind w:firstLine="480"/>
      </w:pPr>
      <w:r>
        <w:t>通过</w:t>
      </w:r>
      <w:r>
        <w:rPr>
          <w:color w:val="000000"/>
          <w:spacing w:val="-6"/>
        </w:rPr>
        <w:t>新疆博奇清新环境检测有限公司2021年8月编制的《新疆艾斯米尔锰合金有限公司工业固废循环经济综合利用制备矿棉项目竣工环境保护验收监测报告》</w:t>
      </w:r>
      <w:r>
        <w:t>可知，验收监测期间：</w:t>
      </w:r>
    </w:p>
    <w:p w14:paraId="67BF9064">
      <w:pPr>
        <w:pStyle w:val="3"/>
        <w:ind w:firstLine="480"/>
      </w:pPr>
      <w:r>
        <w:t>项目保温炉、集棉鼓废气中颗粒物最大排放浓度为22mg/m</w:t>
      </w:r>
      <w:r>
        <w:rPr>
          <w:vertAlign w:val="superscript"/>
        </w:rPr>
        <w:t>3</w:t>
      </w:r>
      <w:r>
        <w:t>，排放速率为1.79kg/h，甲醛最大排放浓度为4.88mg/m</w:t>
      </w:r>
      <w:r>
        <w:rPr>
          <w:vertAlign w:val="superscript"/>
        </w:rPr>
        <w:t>3</w:t>
      </w:r>
      <w:r>
        <w:t>，排放速率为0.401kg/h，酚类化合物最大排放浓度为3.51mg/m</w:t>
      </w:r>
      <w:r>
        <w:rPr>
          <w:vertAlign w:val="superscript"/>
        </w:rPr>
        <w:t>3</w:t>
      </w:r>
      <w:r>
        <w:t>，排放速率为0.267kg/h；固化炉废气中颗粒物最大排放浓度为11mg/m</w:t>
      </w:r>
      <w:r>
        <w:rPr>
          <w:vertAlign w:val="superscript"/>
        </w:rPr>
        <w:t>3</w:t>
      </w:r>
      <w:r>
        <w:t>，排放速率为0.347kg/h，二氧化硫未检出，氮氧化物最大排放浓度为13.3mg/m</w:t>
      </w:r>
      <w:r>
        <w:rPr>
          <w:vertAlign w:val="superscript"/>
        </w:rPr>
        <w:t>3</w:t>
      </w:r>
      <w:r>
        <w:t>，排放速率为0.41kg/h，甲醛最大排放浓度为3.0mg/m</w:t>
      </w:r>
      <w:r>
        <w:rPr>
          <w:vertAlign w:val="superscript"/>
        </w:rPr>
        <w:t>3</w:t>
      </w:r>
      <w:r>
        <w:t>，排放速率为0.087kg/h，酚类化合物最大排放浓度为4.39mg/m</w:t>
      </w:r>
      <w:r>
        <w:rPr>
          <w:vertAlign w:val="superscript"/>
        </w:rPr>
        <w:t>3</w:t>
      </w:r>
      <w:r>
        <w:t>，排放速率为0.162kg/h。冷却切割工序颗粒物最大排放浓度为16mg/m</w:t>
      </w:r>
      <w:r>
        <w:rPr>
          <w:vertAlign w:val="superscript"/>
        </w:rPr>
        <w:t>3</w:t>
      </w:r>
      <w:r>
        <w:t>，排放速率为0.1.02kg/h。</w:t>
      </w:r>
    </w:p>
    <w:p w14:paraId="3B132B7D">
      <w:pPr>
        <w:pStyle w:val="3"/>
        <w:ind w:firstLine="480"/>
      </w:pPr>
      <w:r>
        <w:t>验收监测期间，</w:t>
      </w:r>
      <w:r>
        <w:rPr>
          <w:rFonts w:ascii="Cambria Math" w:hAnsi="Cambria Math" w:cs="Cambria Math"/>
        </w:rPr>
        <w:t>①</w:t>
      </w:r>
      <w:r>
        <w:t>保温炉、集棉鼓废气主要污染物颗粒物、酚类、甲醛最大排放浓度、排放速率均符合《大气污染物综合排放标准》（GB16297-1996）表2新污染源二级标准要求。</w:t>
      </w:r>
      <w:r>
        <w:rPr>
          <w:rFonts w:ascii="Cambria Math" w:hAnsi="Cambria Math" w:cs="Cambria Math"/>
        </w:rPr>
        <w:t>②</w:t>
      </w:r>
      <w:r>
        <w:t>固化废气主要污染物SO</w:t>
      </w:r>
      <w:r>
        <w:rPr>
          <w:vertAlign w:val="subscript"/>
        </w:rPr>
        <w:t>2</w:t>
      </w:r>
      <w:r>
        <w:t>、NO</w:t>
      </w:r>
      <w:r>
        <w:rPr>
          <w:vertAlign w:val="subscript"/>
        </w:rPr>
        <w:t>X</w:t>
      </w:r>
      <w:r>
        <w:t>、颗粒物、酚类、甲醛最大排放浓度、排放速率符合《大气污染物综合排放标准》（GB16297-1996）二级标准要求。</w:t>
      </w:r>
      <w:r>
        <w:rPr>
          <w:rFonts w:ascii="Cambria Math" w:hAnsi="Cambria Math" w:cs="Cambria Math"/>
        </w:rPr>
        <w:t>③</w:t>
      </w:r>
      <w:r>
        <w:t>冷却、切割废气工序含尘废气颗粒物最大排放浓度、排放速率符合《大气污染物综合排放标准》（GB16297-1996）二级标准要求。</w:t>
      </w:r>
    </w:p>
    <w:p w14:paraId="6978281C">
      <w:pPr>
        <w:pStyle w:val="3"/>
        <w:ind w:firstLine="480"/>
      </w:pPr>
      <w:r>
        <w:t>验收期间厂界颗粒物、酚类、甲醛无组织排放下风向颗粒物最大浓度值是0.617mg/m</w:t>
      </w:r>
      <w:r>
        <w:rPr>
          <w:vertAlign w:val="superscript"/>
        </w:rPr>
        <w:t>3</w:t>
      </w:r>
      <w:r>
        <w:t>，酚类化合物、甲醛均未检出，无组织排放监控浓度最大值符合《大气污染综合物排放标准》（GB16297-1996）无组织排放限值。</w:t>
      </w:r>
    </w:p>
    <w:p w14:paraId="74B50363">
      <w:pPr>
        <w:pStyle w:val="5"/>
        <w:spacing w:before="120"/>
      </w:pPr>
      <w:r>
        <w:t>水污染物排放情况及治理措施</w:t>
      </w:r>
    </w:p>
    <w:p w14:paraId="5F4FD15E">
      <w:pPr>
        <w:pStyle w:val="6"/>
        <w:spacing w:before="120" w:after="120"/>
      </w:pPr>
      <w:r>
        <w:t>废水排放情况及治理措施</w:t>
      </w:r>
    </w:p>
    <w:p w14:paraId="141FEC47">
      <w:pPr>
        <w:pStyle w:val="49"/>
        <w:ind w:firstLine="468"/>
      </w:pPr>
      <w:r>
        <w:rPr>
          <w:spacing w:val="-3"/>
        </w:rPr>
        <w:t>废水分为生产废水及生活污水，其中生产废水为动力车间循环冷</w:t>
      </w:r>
      <w:r>
        <w:rPr>
          <w:spacing w:val="-4"/>
        </w:rPr>
        <w:t>却排水、冶</w:t>
      </w:r>
      <w:r>
        <w:t>炼车间变压器和炉体冷却排水、水淬渣冷却水及烧结车间脱硫排水，各工段</w:t>
      </w:r>
      <w:r>
        <w:rPr>
          <w:spacing w:val="-6"/>
        </w:rPr>
        <w:t>废水</w:t>
      </w:r>
      <w:r>
        <w:rPr>
          <w:spacing w:val="-4"/>
        </w:rPr>
        <w:t>全部循环利用不外排。</w:t>
      </w:r>
    </w:p>
    <w:p w14:paraId="27B80D34">
      <w:pPr>
        <w:pStyle w:val="49"/>
        <w:ind w:firstLine="476"/>
      </w:pPr>
      <w:r>
        <w:rPr>
          <w:rFonts w:ascii="Cambria Math" w:hAnsi="Cambria Math" w:eastAsia="新宋体" w:cs="Cambria Math"/>
          <w:spacing w:val="-1"/>
        </w:rPr>
        <w:t>①</w:t>
      </w:r>
      <w:r>
        <w:rPr>
          <w:spacing w:val="-1"/>
        </w:rPr>
        <w:t>动力车间采取“清污分流，一水多用”的原则，新鲜用水量约为</w:t>
      </w:r>
      <w:r>
        <w:rPr>
          <w:rFonts w:eastAsia="Times New Roman"/>
          <w:spacing w:val="-1"/>
        </w:rPr>
        <w:t>4</w:t>
      </w:r>
      <w:r>
        <w:rPr>
          <w:rFonts w:eastAsia="Times New Roman"/>
          <w:spacing w:val="-2"/>
        </w:rPr>
        <w:t>00t/d</w:t>
      </w:r>
      <w:r>
        <w:rPr>
          <w:spacing w:val="-2"/>
        </w:rPr>
        <w:t>。新</w:t>
      </w:r>
      <w:r>
        <w:rPr>
          <w:spacing w:val="-1"/>
        </w:rPr>
        <w:t>建规模为</w:t>
      </w:r>
      <w:r>
        <w:rPr>
          <w:rFonts w:eastAsia="Times New Roman"/>
          <w:spacing w:val="-1"/>
        </w:rPr>
        <w:t>20t/h</w:t>
      </w:r>
      <w:r>
        <w:rPr>
          <w:spacing w:val="-1"/>
        </w:rPr>
        <w:t>的软水处理系统，软水系统处理工艺为补充</w:t>
      </w:r>
      <w:r>
        <w:rPr>
          <w:spacing w:val="-2"/>
        </w:rPr>
        <w:t>水进入原水池，由加</w:t>
      </w:r>
      <w:r>
        <w:rPr>
          <w:spacing w:val="-3"/>
        </w:rPr>
        <w:t>压水泵吸水，通过高效过滤器，进入全自动钠离子交换器进行水的软化，软化后的水进入软化水箱，以提供锅炉用软化水。</w:t>
      </w:r>
    </w:p>
    <w:p w14:paraId="5ADF3A36">
      <w:pPr>
        <w:pStyle w:val="49"/>
        <w:ind w:firstLine="476"/>
      </w:pPr>
      <w:r>
        <w:rPr>
          <w:rFonts w:ascii="Cambria Math" w:hAnsi="Cambria Math" w:eastAsia="新宋体" w:cs="Cambria Math"/>
          <w:spacing w:val="-1"/>
        </w:rPr>
        <w:t>②</w:t>
      </w:r>
      <w:r>
        <w:rPr>
          <w:spacing w:val="-1"/>
        </w:rPr>
        <w:t>反渗透浓盐水处理工艺为：化学车间废水经混合</w:t>
      </w:r>
      <w:r>
        <w:rPr>
          <w:spacing w:val="-2"/>
        </w:rPr>
        <w:t>调质后（使</w:t>
      </w:r>
      <w:r>
        <w:rPr>
          <w:rFonts w:eastAsia="Times New Roman"/>
          <w:spacing w:val="-2"/>
        </w:rPr>
        <w:t>pH</w:t>
      </w:r>
      <w:r>
        <w:rPr>
          <w:spacing w:val="-2"/>
        </w:rPr>
        <w:t>值在</w:t>
      </w:r>
      <w:r>
        <w:rPr>
          <w:rFonts w:eastAsia="Times New Roman"/>
          <w:spacing w:val="-2"/>
        </w:rPr>
        <w:t>6</w:t>
      </w:r>
      <w:r>
        <w:rPr>
          <w:spacing w:val="-2"/>
        </w:rPr>
        <w:t>～</w:t>
      </w:r>
      <w:r>
        <w:rPr>
          <w:rFonts w:eastAsia="Times New Roman"/>
          <w:spacing w:val="-2"/>
        </w:rPr>
        <w:t>9</w:t>
      </w:r>
      <w:r>
        <w:rPr>
          <w:spacing w:val="-1"/>
        </w:rPr>
        <w:t>范围内</w:t>
      </w:r>
      <w:r>
        <w:rPr>
          <w:spacing w:val="-2"/>
        </w:rPr>
        <w:t>），</w:t>
      </w:r>
      <w:r>
        <w:rPr>
          <w:spacing w:val="-1"/>
        </w:rPr>
        <w:t>排至调节水箱，去除工业废水中大部分的悬浮</w:t>
      </w:r>
      <w:r>
        <w:rPr>
          <w:spacing w:val="-2"/>
        </w:rPr>
        <w:t>固体。多介质过滤器、</w:t>
      </w:r>
      <w:r>
        <w:t>双极反渗透（</w:t>
      </w:r>
      <w:r>
        <w:rPr>
          <w:rFonts w:eastAsia="Times New Roman"/>
        </w:rPr>
        <w:t>RO</w:t>
      </w:r>
      <w:r>
        <w:t>）</w:t>
      </w:r>
      <w:r>
        <w:rPr>
          <w:rFonts w:eastAsia="Times New Roman"/>
        </w:rPr>
        <w:t>+EDI</w:t>
      </w:r>
      <w:r>
        <w:t>装置，反渗透（</w:t>
      </w:r>
      <w:r>
        <w:rPr>
          <w:rFonts w:eastAsia="Times New Roman"/>
        </w:rPr>
        <w:t>RO</w:t>
      </w:r>
      <w:r>
        <w:t>）装置排水处理后大部分回收用于</w:t>
      </w:r>
      <w:r>
        <w:rPr>
          <w:spacing w:val="-2"/>
        </w:rPr>
        <w:t>冷却塔补水，不能利用部分排入冶炼车间水淬渣池。具体工</w:t>
      </w:r>
      <w:r>
        <w:rPr>
          <w:spacing w:val="-3"/>
        </w:rPr>
        <w:t>艺如下：</w:t>
      </w:r>
    </w:p>
    <w:p w14:paraId="40C91DE8">
      <w:pPr>
        <w:pStyle w:val="49"/>
        <w:ind w:firstLine="444"/>
      </w:pPr>
      <w:r>
        <w:rPr>
          <w:spacing w:val="-9"/>
        </w:rPr>
        <w:t>多介质过滤器</w:t>
      </w:r>
      <w:r>
        <w:rPr>
          <w:rFonts w:eastAsia="Times New Roman"/>
          <w:spacing w:val="-9"/>
        </w:rPr>
        <w:t>→</w:t>
      </w:r>
      <w:r>
        <w:rPr>
          <w:spacing w:val="-9"/>
        </w:rPr>
        <w:t>双极反渗透（</w:t>
      </w:r>
      <w:r>
        <w:rPr>
          <w:rFonts w:eastAsia="Times New Roman"/>
          <w:spacing w:val="-9"/>
        </w:rPr>
        <w:t>RO</w:t>
      </w:r>
      <w:r>
        <w:rPr>
          <w:spacing w:val="-9"/>
        </w:rPr>
        <w:t>）</w:t>
      </w:r>
      <w:r>
        <w:rPr>
          <w:rFonts w:eastAsia="Times New Roman"/>
          <w:spacing w:val="-9"/>
        </w:rPr>
        <w:t>+EDI</w:t>
      </w:r>
      <w:r>
        <w:rPr>
          <w:spacing w:val="-9"/>
        </w:rPr>
        <w:t>装置</w:t>
      </w:r>
      <w:r>
        <w:rPr>
          <w:rFonts w:eastAsia="Times New Roman"/>
          <w:spacing w:val="-9"/>
        </w:rPr>
        <w:t>→</w:t>
      </w:r>
      <w:r>
        <w:rPr>
          <w:spacing w:val="-9"/>
        </w:rPr>
        <w:t>调节水箱</w:t>
      </w:r>
      <w:r>
        <w:rPr>
          <w:rFonts w:eastAsia="Times New Roman"/>
          <w:spacing w:val="-9"/>
        </w:rPr>
        <w:t>→</w:t>
      </w:r>
      <w:r>
        <w:rPr>
          <w:spacing w:val="-9"/>
        </w:rPr>
        <w:t>厂房</w:t>
      </w:r>
      <w:r>
        <w:rPr>
          <w:rFonts w:eastAsia="Times New Roman"/>
          <w:spacing w:val="-10"/>
        </w:rPr>
        <w:t>→</w:t>
      </w:r>
      <w:r>
        <w:rPr>
          <w:spacing w:val="-10"/>
        </w:rPr>
        <w:t>冷却塔（不</w:t>
      </w:r>
      <w:r>
        <w:rPr>
          <w:spacing w:val="-3"/>
        </w:rPr>
        <w:t>能利用部分排入冶炼车间水淬渣池）</w:t>
      </w:r>
    </w:p>
    <w:p w14:paraId="7E8D2385">
      <w:pPr>
        <w:pStyle w:val="49"/>
        <w:ind w:firstLine="468"/>
      </w:pPr>
      <w:r>
        <w:rPr>
          <w:rFonts w:ascii="Cambria Math" w:hAnsi="Cambria Math" w:eastAsia="新宋体" w:cs="Cambria Math"/>
          <w:spacing w:val="-3"/>
        </w:rPr>
        <w:t>③</w:t>
      </w:r>
      <w:r>
        <w:rPr>
          <w:spacing w:val="-3"/>
        </w:rPr>
        <w:t>冶炼车间生产废水主要是设备及水淬渣冷却水。各个设备的冷却</w:t>
      </w:r>
      <w:r>
        <w:rPr>
          <w:spacing w:val="-4"/>
        </w:rPr>
        <w:t>水均为间</w:t>
      </w:r>
      <w:r>
        <w:rPr>
          <w:spacing w:val="-3"/>
        </w:rPr>
        <w:t>接冷却，不与物料直接接触，电炉及变压器等设备冷却水进入循环冷却塔内，经冷却后，流入清循环水池中，从高位水池补充部分新水后，用泵抽送至电炉及变压器等用水点，蒸发损耗由供水管网补充新水。水淬渣冷却用水来自动力车间循</w:t>
      </w:r>
      <w:r>
        <w:rPr>
          <w:spacing w:val="-2"/>
        </w:rPr>
        <w:t>环冷却水，用水量约为</w:t>
      </w:r>
      <w:r>
        <w:rPr>
          <w:rFonts w:eastAsia="Times New Roman"/>
          <w:spacing w:val="-2"/>
        </w:rPr>
        <w:t>10m</w:t>
      </w:r>
      <w:r>
        <w:rPr>
          <w:rFonts w:eastAsia="Times New Roman"/>
          <w:spacing w:val="-2"/>
          <w:position w:val="10"/>
          <w:sz w:val="15"/>
          <w:szCs w:val="15"/>
        </w:rPr>
        <w:t>3</w:t>
      </w:r>
      <w:r>
        <w:rPr>
          <w:rFonts w:eastAsia="Times New Roman"/>
          <w:spacing w:val="-2"/>
        </w:rPr>
        <w:t>/d</w:t>
      </w:r>
      <w:r>
        <w:rPr>
          <w:spacing w:val="-2"/>
        </w:rPr>
        <w:t>，经沉淀、自然降温后循环使用，不外排。</w:t>
      </w:r>
    </w:p>
    <w:p w14:paraId="0798A825">
      <w:pPr>
        <w:pStyle w:val="49"/>
      </w:pPr>
      <w:r>
        <w:rPr>
          <w:rFonts w:ascii="Cambria Math" w:hAnsi="Cambria Math" w:eastAsia="新宋体" w:cs="Cambria Math"/>
        </w:rPr>
        <w:t>④</w:t>
      </w:r>
      <w:r>
        <w:t>烧结车间脱硫用水量约为</w:t>
      </w:r>
      <w:r>
        <w:rPr>
          <w:rFonts w:eastAsia="Times New Roman"/>
        </w:rPr>
        <w:t>10m</w:t>
      </w:r>
      <w:r>
        <w:rPr>
          <w:rFonts w:eastAsia="Times New Roman"/>
          <w:position w:val="10"/>
          <w:sz w:val="15"/>
          <w:szCs w:val="15"/>
        </w:rPr>
        <w:t>3</w:t>
      </w:r>
      <w:r>
        <w:rPr>
          <w:rFonts w:eastAsia="Times New Roman"/>
        </w:rPr>
        <w:t>/d</w:t>
      </w:r>
      <w:r>
        <w:t>，用水来自动力车间循环冷却水排水，</w:t>
      </w:r>
      <w:r>
        <w:rPr>
          <w:spacing w:val="-4"/>
        </w:rPr>
        <w:t>脱硫用水循环使用，不外排。</w:t>
      </w:r>
    </w:p>
    <w:p w14:paraId="06774C9E">
      <w:pPr>
        <w:pStyle w:val="49"/>
        <w:ind w:firstLine="476"/>
        <w:rPr>
          <w:spacing w:val="-2"/>
          <w:position w:val="1"/>
        </w:rPr>
      </w:pPr>
      <w:r>
        <w:rPr>
          <w:rFonts w:ascii="Cambria Math" w:hAnsi="Cambria Math" w:eastAsia="新宋体" w:cs="Cambria Math"/>
          <w:spacing w:val="-1"/>
          <w:position w:val="1"/>
        </w:rPr>
        <w:t>⑤</w:t>
      </w:r>
      <w:r>
        <w:rPr>
          <w:spacing w:val="-1"/>
          <w:position w:val="1"/>
        </w:rPr>
        <w:t>生活污水排放量约为</w:t>
      </w:r>
      <w:r>
        <w:rPr>
          <w:rFonts w:eastAsiaTheme="minorEastAsia"/>
          <w:spacing w:val="-1"/>
          <w:position w:val="1"/>
        </w:rPr>
        <w:t>10</w:t>
      </w:r>
      <w:r>
        <w:rPr>
          <w:rFonts w:eastAsia="Times New Roman"/>
          <w:spacing w:val="-1"/>
          <w:position w:val="1"/>
        </w:rPr>
        <w:t>m</w:t>
      </w:r>
      <w:r>
        <w:rPr>
          <w:rFonts w:eastAsia="Times New Roman"/>
          <w:spacing w:val="-1"/>
          <w:position w:val="11"/>
          <w:sz w:val="15"/>
          <w:szCs w:val="15"/>
        </w:rPr>
        <w:t>3</w:t>
      </w:r>
      <w:r>
        <w:rPr>
          <w:rFonts w:eastAsia="Times New Roman"/>
          <w:spacing w:val="-1"/>
          <w:position w:val="1"/>
        </w:rPr>
        <w:t>/d</w:t>
      </w:r>
      <w:r>
        <w:rPr>
          <w:spacing w:val="-1"/>
          <w:position w:val="1"/>
        </w:rPr>
        <w:t>，通过现有工程化粪池处理后排入园区</w:t>
      </w:r>
      <w:r>
        <w:rPr>
          <w:spacing w:val="-2"/>
          <w:position w:val="1"/>
        </w:rPr>
        <w:t>污水管网。</w:t>
      </w:r>
    </w:p>
    <w:p w14:paraId="29C2ED37">
      <w:pPr>
        <w:pStyle w:val="49"/>
        <w:ind w:firstLine="472"/>
        <w:rPr>
          <w:spacing w:val="-2"/>
          <w:position w:val="1"/>
        </w:rPr>
      </w:pPr>
      <w:r>
        <w:rPr>
          <w:spacing w:val="-2"/>
          <w:position w:val="1"/>
        </w:rPr>
        <w:t>初期雨水：根据厂区地势南高北低的特点，在位于厂区内设置一座2000m</w:t>
      </w:r>
      <w:r>
        <w:rPr>
          <w:spacing w:val="-2"/>
          <w:position w:val="1"/>
          <w:vertAlign w:val="superscript"/>
        </w:rPr>
        <w:t>3</w:t>
      </w:r>
      <w:r>
        <w:rPr>
          <w:spacing w:val="-2"/>
          <w:position w:val="1"/>
        </w:rPr>
        <w:t>初期雨水收集池，收集的初期雨水经废水处理站处理后回用于生产工艺，替代水淬渣冷却用水、不能一次性回用的初期雨水暂存在雨水收集池内，分期处理，处理后的初期雨水全部回用，不外排。</w:t>
      </w:r>
    </w:p>
    <w:p w14:paraId="36132A14">
      <w:pPr>
        <w:pStyle w:val="6"/>
        <w:spacing w:before="120" w:after="120"/>
      </w:pPr>
      <w:r>
        <w:t>废水污染物排放达标性分析</w:t>
      </w:r>
    </w:p>
    <w:p w14:paraId="1842059A">
      <w:pPr>
        <w:pStyle w:val="49"/>
      </w:pPr>
      <w:r>
        <w:t>（1）生产废水</w:t>
      </w:r>
    </w:p>
    <w:p w14:paraId="37DDB199">
      <w:pPr>
        <w:pStyle w:val="49"/>
      </w:pPr>
      <w:r>
        <w:t>通过新疆新农大环境检测中心（有限公司）2017年9月编制的《新疆艾斯米尔钢铁有限公司50000kVA铬铁合金炉节能及综合利用技术改造项目（25000kVA）竣工环境保护验收监测报告》（详见附件4）可知：验收监测期间，项目水淬渣冷却水pH范围为6.37~6.72，六价铬日均浓度为0.054mg/L，总铬日均浓度为0.096mg/L，pH、六价铬、总铬日均排放浓度均满足《铁合金工业污染物排放标准》（GB28666-2012）中表3水污染物特别排放限值（pH6~9，六价铬0.5mg/L，总铬1mg/L），水淬渣冷却水循环使用，不外排。</w:t>
      </w:r>
    </w:p>
    <w:p w14:paraId="4EF30D74">
      <w:pPr>
        <w:pStyle w:val="49"/>
      </w:pPr>
      <w:r>
        <w:t>冶炼车间冷却水排口pH范围为7.01~7.23，六价铬日均浓度为0.023mg/L，总铬日均浓度为0.052mg/L，pH、六价铬、总铬、日均排放浓度均满足《铁合金工业污染物排放标准》（GB28666-2012）中表3水污染物特别排放限值（pH6~9，六价铬0.5mg/L，总铬1mg/L），冷却水循环使用，不外排。</w:t>
      </w:r>
    </w:p>
    <w:p w14:paraId="5D57F0EF">
      <w:pPr>
        <w:pStyle w:val="49"/>
      </w:pPr>
      <w:r>
        <w:t>（2）生活污水</w:t>
      </w:r>
    </w:p>
    <w:p w14:paraId="11C2D9D8">
      <w:pPr>
        <w:pStyle w:val="49"/>
      </w:pPr>
      <w:r>
        <w:t>验收监测期间，项目区化粪池后口pH范围为7.60~7.94，悬浮物日均浓度为86mg/L，化学需氧量日均浓度为106mg/L，氨氮日均浓度为9.92mg/L，动植物油日均浓度为47.6mg/L，五日生化需氧量日均浓度为44.2mg/L，pH、悬浮物、化学需氧量、氨氮、五日生化需氧量、动植物油日均排放浓度均满足《污水排入城市下水道水质标准》（CJ343-2010）表1污水排入城镇下水道水质C等级标准限值（pH6.5~9.5，悬浮物300mg/L，化学需氧量300mg/L，氨氮25mg/L；五日生化需氧量150mg/L；动植物油100mg/L）。排入园区污水管网，最终进入园区污水处理厂处理。</w:t>
      </w:r>
    </w:p>
    <w:p w14:paraId="7B2BDED9">
      <w:pPr>
        <w:pStyle w:val="5"/>
        <w:spacing w:before="120"/>
      </w:pPr>
      <w:r>
        <w:t>噪声污染排放情况及治理措施</w:t>
      </w:r>
    </w:p>
    <w:p w14:paraId="78EA2DE5">
      <w:pPr>
        <w:pStyle w:val="3"/>
        <w:ind w:firstLine="480"/>
      </w:pPr>
      <w:r>
        <w:t>现有工程对高噪声设备的降噪措施以“隔声减震为主，吸声为辅”为原则，首先是在设备选型方面尽量选用低噪声设备，其次是采用消声（如在风机、空压机的进风、出风口设消声器、安装吸声材料、在管道上用保温棉吸声材料做隔音处理等）、隔声（如设置隔声罩、独立厂房等，对风机设立封闭式的独立房间，并设置隔声操作间）、减震（如设置减震基础）、个体防护和加强厂区绿化等措施。现有工程厂界噪声达标排放情况分析引用2024第三季度自行监测报告数据，厂界噪声监测结果见下表：</w:t>
      </w:r>
    </w:p>
    <w:p w14:paraId="4AEF9D22">
      <w:pPr>
        <w:pStyle w:val="40"/>
        <w:spacing w:before="120"/>
      </w:pPr>
      <w:r>
        <w:t>表3.3-2     现有工程厂界噪声监测结果    单位：dB(A)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860"/>
        <w:gridCol w:w="1395"/>
        <w:gridCol w:w="1203"/>
        <w:gridCol w:w="937"/>
        <w:gridCol w:w="1238"/>
        <w:gridCol w:w="1221"/>
      </w:tblGrid>
      <w:tr w14:paraId="032C74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08" w:type="pct"/>
            <w:tcMar>
              <w:top w:w="0" w:type="dxa"/>
              <w:left w:w="57" w:type="dxa"/>
              <w:bottom w:w="0" w:type="dxa"/>
              <w:right w:w="57" w:type="dxa"/>
            </w:tcMar>
            <w:vAlign w:val="center"/>
          </w:tcPr>
          <w:p w14:paraId="656BED67">
            <w:pPr>
              <w:pStyle w:val="41"/>
              <w:keepLines/>
            </w:pPr>
            <w:r>
              <w:t>监测点</w:t>
            </w:r>
          </w:p>
        </w:tc>
        <w:tc>
          <w:tcPr>
            <w:tcW w:w="488" w:type="pct"/>
            <w:tcMar>
              <w:top w:w="0" w:type="dxa"/>
              <w:left w:w="57" w:type="dxa"/>
              <w:bottom w:w="0" w:type="dxa"/>
              <w:right w:w="57" w:type="dxa"/>
            </w:tcMar>
            <w:vAlign w:val="center"/>
          </w:tcPr>
          <w:p w14:paraId="787F7044">
            <w:pPr>
              <w:pStyle w:val="41"/>
              <w:keepLines/>
            </w:pPr>
            <w:r>
              <w:t>昼间</w:t>
            </w:r>
          </w:p>
        </w:tc>
        <w:tc>
          <w:tcPr>
            <w:tcW w:w="792" w:type="pct"/>
          </w:tcPr>
          <w:p w14:paraId="4C02D777">
            <w:pPr>
              <w:pStyle w:val="41"/>
              <w:keepLines/>
            </w:pPr>
            <w:r>
              <w:t>标准限值</w:t>
            </w:r>
          </w:p>
        </w:tc>
        <w:tc>
          <w:tcPr>
            <w:tcW w:w="683" w:type="pct"/>
          </w:tcPr>
          <w:p w14:paraId="2410C653">
            <w:pPr>
              <w:pStyle w:val="41"/>
              <w:keepLines/>
            </w:pPr>
            <w:r>
              <w:t>达标情况</w:t>
            </w:r>
          </w:p>
        </w:tc>
        <w:tc>
          <w:tcPr>
            <w:tcW w:w="532" w:type="pct"/>
            <w:tcMar>
              <w:top w:w="0" w:type="dxa"/>
              <w:left w:w="57" w:type="dxa"/>
              <w:bottom w:w="0" w:type="dxa"/>
              <w:right w:w="57" w:type="dxa"/>
            </w:tcMar>
            <w:vAlign w:val="center"/>
          </w:tcPr>
          <w:p w14:paraId="32952CAE">
            <w:pPr>
              <w:pStyle w:val="41"/>
              <w:keepLines/>
            </w:pPr>
            <w:r>
              <w:t>夜间</w:t>
            </w:r>
          </w:p>
        </w:tc>
        <w:tc>
          <w:tcPr>
            <w:tcW w:w="703" w:type="pct"/>
          </w:tcPr>
          <w:p w14:paraId="1FDFD07A">
            <w:pPr>
              <w:pStyle w:val="41"/>
              <w:keepLines/>
            </w:pPr>
            <w:r>
              <w:t>标准限值</w:t>
            </w:r>
          </w:p>
        </w:tc>
        <w:tc>
          <w:tcPr>
            <w:tcW w:w="693" w:type="pct"/>
          </w:tcPr>
          <w:p w14:paraId="684D93D0">
            <w:pPr>
              <w:pStyle w:val="41"/>
              <w:keepLines/>
            </w:pPr>
            <w:r>
              <w:t>达标情况</w:t>
            </w:r>
          </w:p>
        </w:tc>
      </w:tr>
      <w:tr w14:paraId="2B87D4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08" w:type="pct"/>
            <w:tcMar>
              <w:top w:w="0" w:type="dxa"/>
              <w:left w:w="57" w:type="dxa"/>
              <w:bottom w:w="0" w:type="dxa"/>
              <w:right w:w="57" w:type="dxa"/>
            </w:tcMar>
            <w:vAlign w:val="center"/>
          </w:tcPr>
          <w:p w14:paraId="5B8F2E58">
            <w:pPr>
              <w:pStyle w:val="41"/>
              <w:keepLines/>
            </w:pPr>
            <w:r>
              <w:t>东侧厂界外1m处</w:t>
            </w:r>
          </w:p>
        </w:tc>
        <w:tc>
          <w:tcPr>
            <w:tcW w:w="488" w:type="pct"/>
            <w:tcMar>
              <w:top w:w="0" w:type="dxa"/>
              <w:left w:w="57" w:type="dxa"/>
              <w:bottom w:w="0" w:type="dxa"/>
              <w:right w:w="57" w:type="dxa"/>
            </w:tcMar>
            <w:vAlign w:val="center"/>
          </w:tcPr>
          <w:p w14:paraId="1EF1DC49">
            <w:pPr>
              <w:pStyle w:val="41"/>
              <w:keepLines/>
            </w:pPr>
            <w:r>
              <w:t>52</w:t>
            </w:r>
          </w:p>
        </w:tc>
        <w:tc>
          <w:tcPr>
            <w:tcW w:w="792" w:type="pct"/>
          </w:tcPr>
          <w:p w14:paraId="3F9C9FBB">
            <w:pPr>
              <w:pStyle w:val="41"/>
              <w:keepLines/>
            </w:pPr>
            <w:r>
              <w:t>65</w:t>
            </w:r>
          </w:p>
        </w:tc>
        <w:tc>
          <w:tcPr>
            <w:tcW w:w="683" w:type="pct"/>
          </w:tcPr>
          <w:p w14:paraId="76A8A026">
            <w:pPr>
              <w:pStyle w:val="41"/>
              <w:keepLines/>
            </w:pPr>
            <w:r>
              <w:t>达标</w:t>
            </w:r>
          </w:p>
        </w:tc>
        <w:tc>
          <w:tcPr>
            <w:tcW w:w="532" w:type="pct"/>
            <w:tcMar>
              <w:top w:w="0" w:type="dxa"/>
              <w:left w:w="57" w:type="dxa"/>
              <w:bottom w:w="0" w:type="dxa"/>
              <w:right w:w="57" w:type="dxa"/>
            </w:tcMar>
            <w:vAlign w:val="center"/>
          </w:tcPr>
          <w:p w14:paraId="3E14BC21">
            <w:pPr>
              <w:pStyle w:val="41"/>
              <w:keepLines/>
            </w:pPr>
            <w:r>
              <w:t>48</w:t>
            </w:r>
          </w:p>
        </w:tc>
        <w:tc>
          <w:tcPr>
            <w:tcW w:w="703" w:type="pct"/>
          </w:tcPr>
          <w:p w14:paraId="3C820E3D">
            <w:pPr>
              <w:pStyle w:val="41"/>
              <w:keepLines/>
            </w:pPr>
            <w:r>
              <w:t>55</w:t>
            </w:r>
          </w:p>
        </w:tc>
        <w:tc>
          <w:tcPr>
            <w:tcW w:w="693" w:type="pct"/>
          </w:tcPr>
          <w:p w14:paraId="6469023D">
            <w:pPr>
              <w:pStyle w:val="41"/>
              <w:keepLines/>
            </w:pPr>
            <w:r>
              <w:t>达标</w:t>
            </w:r>
          </w:p>
        </w:tc>
      </w:tr>
      <w:tr w14:paraId="42D0CC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08" w:type="pct"/>
            <w:tcMar>
              <w:top w:w="0" w:type="dxa"/>
              <w:left w:w="57" w:type="dxa"/>
              <w:bottom w:w="0" w:type="dxa"/>
              <w:right w:w="57" w:type="dxa"/>
            </w:tcMar>
            <w:vAlign w:val="center"/>
          </w:tcPr>
          <w:p w14:paraId="14E938CA">
            <w:pPr>
              <w:pStyle w:val="41"/>
              <w:keepLines/>
            </w:pPr>
            <w:r>
              <w:t>南侧厂界外1m处</w:t>
            </w:r>
          </w:p>
        </w:tc>
        <w:tc>
          <w:tcPr>
            <w:tcW w:w="488" w:type="pct"/>
            <w:tcMar>
              <w:top w:w="0" w:type="dxa"/>
              <w:left w:w="57" w:type="dxa"/>
              <w:bottom w:w="0" w:type="dxa"/>
              <w:right w:w="57" w:type="dxa"/>
            </w:tcMar>
            <w:vAlign w:val="center"/>
          </w:tcPr>
          <w:p w14:paraId="52345F8B">
            <w:pPr>
              <w:pStyle w:val="41"/>
              <w:keepLines/>
            </w:pPr>
            <w:r>
              <w:t>53</w:t>
            </w:r>
          </w:p>
        </w:tc>
        <w:tc>
          <w:tcPr>
            <w:tcW w:w="792" w:type="pct"/>
          </w:tcPr>
          <w:p w14:paraId="3E42403F">
            <w:pPr>
              <w:pStyle w:val="41"/>
              <w:keepLines/>
            </w:pPr>
            <w:r>
              <w:t>65</w:t>
            </w:r>
          </w:p>
        </w:tc>
        <w:tc>
          <w:tcPr>
            <w:tcW w:w="683" w:type="pct"/>
          </w:tcPr>
          <w:p w14:paraId="0EA7882E">
            <w:pPr>
              <w:pStyle w:val="41"/>
              <w:keepLines/>
            </w:pPr>
            <w:r>
              <w:t>达标</w:t>
            </w:r>
          </w:p>
        </w:tc>
        <w:tc>
          <w:tcPr>
            <w:tcW w:w="532" w:type="pct"/>
            <w:tcMar>
              <w:top w:w="0" w:type="dxa"/>
              <w:left w:w="57" w:type="dxa"/>
              <w:bottom w:w="0" w:type="dxa"/>
              <w:right w:w="57" w:type="dxa"/>
            </w:tcMar>
            <w:vAlign w:val="center"/>
          </w:tcPr>
          <w:p w14:paraId="4C2017A4">
            <w:pPr>
              <w:pStyle w:val="41"/>
              <w:keepLines/>
            </w:pPr>
            <w:r>
              <w:t>47</w:t>
            </w:r>
          </w:p>
        </w:tc>
        <w:tc>
          <w:tcPr>
            <w:tcW w:w="703" w:type="pct"/>
          </w:tcPr>
          <w:p w14:paraId="0637BAA2">
            <w:pPr>
              <w:pStyle w:val="41"/>
              <w:keepLines/>
            </w:pPr>
            <w:r>
              <w:t>55</w:t>
            </w:r>
          </w:p>
        </w:tc>
        <w:tc>
          <w:tcPr>
            <w:tcW w:w="693" w:type="pct"/>
          </w:tcPr>
          <w:p w14:paraId="22FF9A57">
            <w:pPr>
              <w:pStyle w:val="41"/>
              <w:keepLines/>
            </w:pPr>
            <w:r>
              <w:t>达标</w:t>
            </w:r>
          </w:p>
        </w:tc>
      </w:tr>
      <w:tr w14:paraId="2FAE66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08" w:type="pct"/>
            <w:tcMar>
              <w:top w:w="0" w:type="dxa"/>
              <w:left w:w="57" w:type="dxa"/>
              <w:bottom w:w="0" w:type="dxa"/>
              <w:right w:w="57" w:type="dxa"/>
            </w:tcMar>
            <w:vAlign w:val="center"/>
          </w:tcPr>
          <w:p w14:paraId="5F2F1861">
            <w:pPr>
              <w:pStyle w:val="41"/>
              <w:keepLines/>
            </w:pPr>
            <w:r>
              <w:t>西侧厂界外1m处</w:t>
            </w:r>
          </w:p>
        </w:tc>
        <w:tc>
          <w:tcPr>
            <w:tcW w:w="488" w:type="pct"/>
            <w:tcMar>
              <w:top w:w="0" w:type="dxa"/>
              <w:left w:w="57" w:type="dxa"/>
              <w:bottom w:w="0" w:type="dxa"/>
              <w:right w:w="57" w:type="dxa"/>
            </w:tcMar>
            <w:vAlign w:val="center"/>
          </w:tcPr>
          <w:p w14:paraId="2CC72F29">
            <w:pPr>
              <w:pStyle w:val="41"/>
              <w:keepLines/>
            </w:pPr>
            <w:r>
              <w:t>52</w:t>
            </w:r>
          </w:p>
        </w:tc>
        <w:tc>
          <w:tcPr>
            <w:tcW w:w="792" w:type="pct"/>
          </w:tcPr>
          <w:p w14:paraId="7068FD47">
            <w:pPr>
              <w:pStyle w:val="41"/>
              <w:keepLines/>
            </w:pPr>
            <w:r>
              <w:t>65</w:t>
            </w:r>
          </w:p>
        </w:tc>
        <w:tc>
          <w:tcPr>
            <w:tcW w:w="683" w:type="pct"/>
          </w:tcPr>
          <w:p w14:paraId="06C96E47">
            <w:pPr>
              <w:pStyle w:val="41"/>
              <w:keepLines/>
            </w:pPr>
            <w:r>
              <w:t>达标</w:t>
            </w:r>
          </w:p>
        </w:tc>
        <w:tc>
          <w:tcPr>
            <w:tcW w:w="532" w:type="pct"/>
            <w:tcMar>
              <w:top w:w="0" w:type="dxa"/>
              <w:left w:w="57" w:type="dxa"/>
              <w:bottom w:w="0" w:type="dxa"/>
              <w:right w:w="57" w:type="dxa"/>
            </w:tcMar>
            <w:vAlign w:val="center"/>
          </w:tcPr>
          <w:p w14:paraId="78985967">
            <w:pPr>
              <w:pStyle w:val="41"/>
              <w:keepLines/>
            </w:pPr>
            <w:r>
              <w:t>47</w:t>
            </w:r>
          </w:p>
        </w:tc>
        <w:tc>
          <w:tcPr>
            <w:tcW w:w="703" w:type="pct"/>
          </w:tcPr>
          <w:p w14:paraId="07AACCCB">
            <w:pPr>
              <w:pStyle w:val="41"/>
              <w:keepLines/>
            </w:pPr>
            <w:r>
              <w:t>55</w:t>
            </w:r>
          </w:p>
        </w:tc>
        <w:tc>
          <w:tcPr>
            <w:tcW w:w="693" w:type="pct"/>
          </w:tcPr>
          <w:p w14:paraId="3E7F2B56">
            <w:pPr>
              <w:pStyle w:val="41"/>
              <w:keepLines/>
            </w:pPr>
            <w:r>
              <w:t>达标</w:t>
            </w:r>
          </w:p>
        </w:tc>
      </w:tr>
      <w:tr w14:paraId="20DC2C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08" w:type="pct"/>
            <w:tcMar>
              <w:top w:w="0" w:type="dxa"/>
              <w:left w:w="57" w:type="dxa"/>
              <w:bottom w:w="0" w:type="dxa"/>
              <w:right w:w="57" w:type="dxa"/>
            </w:tcMar>
            <w:vAlign w:val="center"/>
          </w:tcPr>
          <w:p w14:paraId="50AA70CE">
            <w:pPr>
              <w:pStyle w:val="41"/>
              <w:keepLines/>
            </w:pPr>
            <w:r>
              <w:t>北侧厂界外1m处</w:t>
            </w:r>
          </w:p>
        </w:tc>
        <w:tc>
          <w:tcPr>
            <w:tcW w:w="488" w:type="pct"/>
            <w:tcMar>
              <w:top w:w="0" w:type="dxa"/>
              <w:left w:w="57" w:type="dxa"/>
              <w:bottom w:w="0" w:type="dxa"/>
              <w:right w:w="57" w:type="dxa"/>
            </w:tcMar>
            <w:vAlign w:val="center"/>
          </w:tcPr>
          <w:p w14:paraId="35B680BA">
            <w:pPr>
              <w:pStyle w:val="41"/>
              <w:keepLines/>
            </w:pPr>
            <w:r>
              <w:t>54</w:t>
            </w:r>
          </w:p>
        </w:tc>
        <w:tc>
          <w:tcPr>
            <w:tcW w:w="792" w:type="pct"/>
          </w:tcPr>
          <w:p w14:paraId="35753D02">
            <w:pPr>
              <w:pStyle w:val="41"/>
              <w:keepLines/>
            </w:pPr>
            <w:r>
              <w:t>65</w:t>
            </w:r>
          </w:p>
        </w:tc>
        <w:tc>
          <w:tcPr>
            <w:tcW w:w="683" w:type="pct"/>
          </w:tcPr>
          <w:p w14:paraId="6DB23C9B">
            <w:pPr>
              <w:pStyle w:val="41"/>
              <w:keepLines/>
            </w:pPr>
            <w:r>
              <w:t>达标</w:t>
            </w:r>
          </w:p>
        </w:tc>
        <w:tc>
          <w:tcPr>
            <w:tcW w:w="532" w:type="pct"/>
            <w:tcMar>
              <w:top w:w="0" w:type="dxa"/>
              <w:left w:w="57" w:type="dxa"/>
              <w:bottom w:w="0" w:type="dxa"/>
              <w:right w:w="57" w:type="dxa"/>
            </w:tcMar>
            <w:vAlign w:val="center"/>
          </w:tcPr>
          <w:p w14:paraId="69CC0011">
            <w:pPr>
              <w:pStyle w:val="41"/>
              <w:keepLines/>
            </w:pPr>
            <w:r>
              <w:t>48</w:t>
            </w:r>
          </w:p>
        </w:tc>
        <w:tc>
          <w:tcPr>
            <w:tcW w:w="703" w:type="pct"/>
          </w:tcPr>
          <w:p w14:paraId="522B6C75">
            <w:pPr>
              <w:pStyle w:val="41"/>
              <w:keepLines/>
            </w:pPr>
            <w:r>
              <w:t>55</w:t>
            </w:r>
          </w:p>
        </w:tc>
        <w:tc>
          <w:tcPr>
            <w:tcW w:w="693" w:type="pct"/>
          </w:tcPr>
          <w:p w14:paraId="66ECAE00">
            <w:pPr>
              <w:pStyle w:val="41"/>
              <w:keepLines/>
            </w:pPr>
            <w:r>
              <w:t>达标</w:t>
            </w:r>
          </w:p>
        </w:tc>
      </w:tr>
    </w:tbl>
    <w:p w14:paraId="39A84B1E">
      <w:pPr>
        <w:pStyle w:val="3"/>
        <w:ind w:firstLine="480"/>
      </w:pPr>
      <w:r>
        <w:t>监测结果表明：厂界噪声均未超过《工业企业厂界环境噪声排放标准》（GB12348-2008）中的3类标准限值。</w:t>
      </w:r>
    </w:p>
    <w:p w14:paraId="08568DB3">
      <w:pPr>
        <w:pStyle w:val="5"/>
        <w:spacing w:before="120"/>
      </w:pPr>
      <w:r>
        <w:t>固体废物及治理措施</w:t>
      </w:r>
    </w:p>
    <w:p w14:paraId="7B86D0A9">
      <w:pPr>
        <w:pStyle w:val="3"/>
        <w:ind w:firstLine="480"/>
        <w:rPr>
          <w:snapToGrid w:val="0"/>
          <w:color w:val="000000"/>
        </w:rPr>
      </w:pPr>
      <w:r>
        <w:t>项目产生的固体废物分为危险固体废物及一般固体废物，危险固废主要是设备维护产生的废矿物油，产生后收集于危险废物贮存间，危废贮存间容积为20m</w:t>
      </w:r>
      <w:r>
        <w:rPr>
          <w:vertAlign w:val="superscript"/>
        </w:rPr>
        <w:t>2</w:t>
      </w:r>
      <w:r>
        <w:t>，并采取地面防渗、硬化措施，废矿物油统一由福克油品股份有限公司全部回收；一般固废主要有三部分：一是冶炼车间产生的水淬渣；二是动力车间产生的锅炉炉渣和粉煤灰；三是岩棉车间边角料、收尘灰；四是生活垃圾。</w:t>
      </w:r>
    </w:p>
    <w:p w14:paraId="3AD55FC1">
      <w:pPr>
        <w:pStyle w:val="5"/>
        <w:spacing w:before="120"/>
      </w:pPr>
      <w:r>
        <w:t>地下水污染防治措施</w:t>
      </w:r>
    </w:p>
    <w:p w14:paraId="26C74F9F">
      <w:pPr>
        <w:pStyle w:val="6"/>
        <w:spacing w:before="120" w:after="120"/>
      </w:pPr>
      <w:r>
        <w:t>地下水污染防渗措施</w:t>
      </w:r>
    </w:p>
    <w:p w14:paraId="47465ECD">
      <w:pPr>
        <w:pStyle w:val="3"/>
        <w:ind w:firstLine="480"/>
      </w:pPr>
      <w:r>
        <w:t>现有工程对各区采取了分区防渗措施，分为重点防渗区和一般防渗区。</w:t>
      </w:r>
    </w:p>
    <w:p w14:paraId="71AFC8B8">
      <w:pPr>
        <w:pStyle w:val="3"/>
        <w:ind w:firstLine="480"/>
      </w:pPr>
      <w:r>
        <w:t>项目对厂址区域采取分区防渗，生产装置区，危废暂存间区划定为重点防渗区，采用“防腐缸砖+特种环氧煤焦油防腐涂料二底二布三面隔离层+抗渗混凝土”，保证其防渗层的防渗性能不低于6.0m厚渗透系数为1.0×10</w:t>
      </w:r>
      <w:r>
        <w:rPr>
          <w:vertAlign w:val="superscript"/>
        </w:rPr>
        <w:t>-7</w:t>
      </w:r>
      <w:r>
        <w:t>cm/s的黏土层的防渗性能，并设置防渗检漏系统。危废库及污水管道采用“80厚花岗岩石板用环氧胶泥灌封，缝宽10+15厚密实水玻璃砂浆结合层+多元烯隔离层，一底一布四面，且用量不少116kg/m</w:t>
      </w:r>
      <w:r>
        <w:rPr>
          <w:vertAlign w:val="superscript"/>
        </w:rPr>
        <w:t>2</w:t>
      </w:r>
      <w:r>
        <w:t>+20厚1:2水泥砂浆找平+160厚C20混凝土垫层内配钢筋+2.0HDPE防渗膜+素土夯实找坡，夯实系数≥0.9”，保证其防渗性能满足《危险废物贮存污染控制标准》（GB18597-2023）防渗要求，并设置防渗检漏系统；厂区道路划定为一般防渗区，采用“地面夯实+抗渗混凝土”，防渗层的防渗性能不低于1.5m厚渗透系数为1.0×10</w:t>
      </w:r>
      <w:r>
        <w:rPr>
          <w:vertAlign w:val="superscript"/>
        </w:rPr>
        <w:t>-7</w:t>
      </w:r>
      <w:r>
        <w:t>cm/s的黏土层的防渗性能；其它区域划分为一般防渗区采用“地面夯实+抗渗混凝土”，防渗层的防渗性能不低于1.5m厚渗透系数为1.0×10</w:t>
      </w:r>
      <w:r>
        <w:rPr>
          <w:vertAlign w:val="superscript"/>
        </w:rPr>
        <w:t>-7</w:t>
      </w:r>
      <w:r>
        <w:t>cm/s的黏土层的防渗性能；办公生活区划定为简单防渗区，采用“地面夯实+混凝土”。</w:t>
      </w:r>
    </w:p>
    <w:p w14:paraId="7FB42A69">
      <w:pPr>
        <w:pStyle w:val="4"/>
      </w:pPr>
      <w:bookmarkStart w:id="117" w:name="_Toc15191"/>
      <w:bookmarkStart w:id="118" w:name="_Toc207208383"/>
      <w:r>
        <w:t>现有工程</w:t>
      </w:r>
      <w:r>
        <w:rPr>
          <w:bCs w:val="0"/>
          <w:szCs w:val="28"/>
        </w:rPr>
        <w:t>污染物排放情况</w:t>
      </w:r>
      <w:bookmarkEnd w:id="117"/>
      <w:bookmarkEnd w:id="118"/>
    </w:p>
    <w:p w14:paraId="3DCBE9D1">
      <w:pPr>
        <w:ind w:firstLine="460" w:firstLineChars="192"/>
      </w:pPr>
      <w:r>
        <w:t>根据环评批复及总量文件确定污染物排放总量，如下：</w:t>
      </w:r>
    </w:p>
    <w:p w14:paraId="52D5D183">
      <w:pPr>
        <w:pStyle w:val="40"/>
        <w:spacing w:before="120"/>
      </w:pPr>
      <w:r>
        <w:t>表3.4-1    环评批复及总量文件确定污染物排放总量</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4644"/>
        <w:gridCol w:w="1120"/>
        <w:gridCol w:w="1052"/>
        <w:gridCol w:w="1004"/>
      </w:tblGrid>
      <w:tr w14:paraId="74437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14:paraId="6FD37F94">
            <w:pPr>
              <w:pStyle w:val="41"/>
            </w:pPr>
            <w:r>
              <w:t>序号</w:t>
            </w:r>
          </w:p>
        </w:tc>
        <w:tc>
          <w:tcPr>
            <w:tcW w:w="4644" w:type="dxa"/>
            <w:vAlign w:val="center"/>
          </w:tcPr>
          <w:p w14:paraId="1FD24DAC">
            <w:pPr>
              <w:pStyle w:val="41"/>
            </w:pPr>
            <w:r>
              <w:t>批复文件</w:t>
            </w:r>
          </w:p>
        </w:tc>
        <w:tc>
          <w:tcPr>
            <w:tcW w:w="1120" w:type="dxa"/>
            <w:vAlign w:val="center"/>
          </w:tcPr>
          <w:p w14:paraId="61FA9187">
            <w:pPr>
              <w:pStyle w:val="41"/>
            </w:pPr>
            <w:r>
              <w:t>批复时间</w:t>
            </w:r>
          </w:p>
        </w:tc>
        <w:tc>
          <w:tcPr>
            <w:tcW w:w="1052" w:type="dxa"/>
            <w:vAlign w:val="center"/>
          </w:tcPr>
          <w:p w14:paraId="64ADE446">
            <w:pPr>
              <w:pStyle w:val="41"/>
            </w:pPr>
            <w:r>
              <w:t>污染因子</w:t>
            </w:r>
          </w:p>
        </w:tc>
        <w:tc>
          <w:tcPr>
            <w:tcW w:w="1004" w:type="dxa"/>
            <w:vAlign w:val="center"/>
          </w:tcPr>
          <w:p w14:paraId="7E1B3169">
            <w:pPr>
              <w:pStyle w:val="41"/>
            </w:pPr>
            <w:r>
              <w:t>总量</w:t>
            </w:r>
          </w:p>
        </w:tc>
      </w:tr>
      <w:tr w14:paraId="32381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restart"/>
            <w:vAlign w:val="center"/>
          </w:tcPr>
          <w:p w14:paraId="5C246215">
            <w:pPr>
              <w:pStyle w:val="41"/>
            </w:pPr>
            <w:r>
              <w:t>1</w:t>
            </w:r>
          </w:p>
        </w:tc>
        <w:tc>
          <w:tcPr>
            <w:tcW w:w="4644" w:type="dxa"/>
            <w:vMerge w:val="restart"/>
            <w:vAlign w:val="center"/>
          </w:tcPr>
          <w:p w14:paraId="7AD3ACA5">
            <w:pPr>
              <w:pStyle w:val="41"/>
            </w:pPr>
            <w:r>
              <w:t>《关于新疆艾斯米尔钢铁有限公司50000kVA铬铁合金炉节能及综合利用技术改造项目主要污染物总量控制指标的批复》（伊州环控函〔2011〕81号）</w:t>
            </w:r>
          </w:p>
        </w:tc>
        <w:tc>
          <w:tcPr>
            <w:tcW w:w="1120" w:type="dxa"/>
            <w:vMerge w:val="restart"/>
            <w:vAlign w:val="center"/>
          </w:tcPr>
          <w:p w14:paraId="25934129">
            <w:pPr>
              <w:pStyle w:val="41"/>
              <w:ind w:left="-65" w:leftChars="-27" w:firstLine="63" w:firstLineChars="30"/>
            </w:pPr>
            <w:r>
              <w:t>2011年9月14日</w:t>
            </w:r>
          </w:p>
        </w:tc>
        <w:tc>
          <w:tcPr>
            <w:tcW w:w="1052" w:type="dxa"/>
            <w:vAlign w:val="center"/>
          </w:tcPr>
          <w:p w14:paraId="1D378841">
            <w:pPr>
              <w:pStyle w:val="41"/>
            </w:pPr>
            <w:r>
              <w:rPr>
                <w:kern w:val="0"/>
              </w:rPr>
              <w:t>SO</w:t>
            </w:r>
            <w:r>
              <w:rPr>
                <w:kern w:val="0"/>
                <w:vertAlign w:val="subscript"/>
              </w:rPr>
              <w:t>2</w:t>
            </w:r>
          </w:p>
        </w:tc>
        <w:tc>
          <w:tcPr>
            <w:tcW w:w="1004" w:type="dxa"/>
            <w:vAlign w:val="center"/>
          </w:tcPr>
          <w:p w14:paraId="7672EE97">
            <w:pPr>
              <w:pStyle w:val="41"/>
            </w:pPr>
            <w:r>
              <w:t>360.8t/a</w:t>
            </w:r>
          </w:p>
        </w:tc>
      </w:tr>
      <w:tr w14:paraId="2BD33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vAlign w:val="center"/>
          </w:tcPr>
          <w:p w14:paraId="2C60B1A1">
            <w:pPr>
              <w:pStyle w:val="41"/>
            </w:pPr>
          </w:p>
        </w:tc>
        <w:tc>
          <w:tcPr>
            <w:tcW w:w="4644" w:type="dxa"/>
            <w:vMerge w:val="continue"/>
            <w:vAlign w:val="center"/>
          </w:tcPr>
          <w:p w14:paraId="148B3B1E">
            <w:pPr>
              <w:pStyle w:val="41"/>
            </w:pPr>
          </w:p>
        </w:tc>
        <w:tc>
          <w:tcPr>
            <w:tcW w:w="1120" w:type="dxa"/>
            <w:vMerge w:val="continue"/>
            <w:vAlign w:val="center"/>
          </w:tcPr>
          <w:p w14:paraId="3C67A845">
            <w:pPr>
              <w:pStyle w:val="41"/>
            </w:pPr>
          </w:p>
        </w:tc>
        <w:tc>
          <w:tcPr>
            <w:tcW w:w="1052" w:type="dxa"/>
            <w:vAlign w:val="center"/>
          </w:tcPr>
          <w:p w14:paraId="6FAF25A5">
            <w:pPr>
              <w:pStyle w:val="41"/>
            </w:pPr>
            <w:r>
              <w:t>NOx</w:t>
            </w:r>
          </w:p>
        </w:tc>
        <w:tc>
          <w:tcPr>
            <w:tcW w:w="1004" w:type="dxa"/>
            <w:vAlign w:val="center"/>
          </w:tcPr>
          <w:p w14:paraId="2D442F31">
            <w:pPr>
              <w:pStyle w:val="41"/>
            </w:pPr>
            <w:r>
              <w:t>975.2t/a</w:t>
            </w:r>
          </w:p>
        </w:tc>
      </w:tr>
      <w:tr w14:paraId="69BB5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vAlign w:val="center"/>
          </w:tcPr>
          <w:p w14:paraId="60ACF3E4">
            <w:pPr>
              <w:pStyle w:val="41"/>
            </w:pPr>
          </w:p>
        </w:tc>
        <w:tc>
          <w:tcPr>
            <w:tcW w:w="4644" w:type="dxa"/>
            <w:vMerge w:val="continue"/>
            <w:vAlign w:val="center"/>
          </w:tcPr>
          <w:p w14:paraId="66155029">
            <w:pPr>
              <w:pStyle w:val="41"/>
            </w:pPr>
          </w:p>
        </w:tc>
        <w:tc>
          <w:tcPr>
            <w:tcW w:w="1120" w:type="dxa"/>
            <w:vMerge w:val="continue"/>
            <w:vAlign w:val="center"/>
          </w:tcPr>
          <w:p w14:paraId="5AB12908">
            <w:pPr>
              <w:pStyle w:val="41"/>
            </w:pPr>
          </w:p>
        </w:tc>
        <w:tc>
          <w:tcPr>
            <w:tcW w:w="1052" w:type="dxa"/>
            <w:vAlign w:val="center"/>
          </w:tcPr>
          <w:p w14:paraId="59800693">
            <w:pPr>
              <w:pStyle w:val="41"/>
            </w:pPr>
            <w:r>
              <w:t>COD</w:t>
            </w:r>
          </w:p>
        </w:tc>
        <w:tc>
          <w:tcPr>
            <w:tcW w:w="1004" w:type="dxa"/>
            <w:vAlign w:val="center"/>
          </w:tcPr>
          <w:p w14:paraId="1F891A1C">
            <w:pPr>
              <w:pStyle w:val="41"/>
            </w:pPr>
            <w:r>
              <w:t>5.07t/a</w:t>
            </w:r>
          </w:p>
        </w:tc>
      </w:tr>
      <w:tr w14:paraId="4CC38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vAlign w:val="center"/>
          </w:tcPr>
          <w:p w14:paraId="53D644B3">
            <w:pPr>
              <w:pStyle w:val="41"/>
            </w:pPr>
          </w:p>
        </w:tc>
        <w:tc>
          <w:tcPr>
            <w:tcW w:w="4644" w:type="dxa"/>
            <w:vMerge w:val="continue"/>
            <w:vAlign w:val="center"/>
          </w:tcPr>
          <w:p w14:paraId="5E166536">
            <w:pPr>
              <w:pStyle w:val="41"/>
            </w:pPr>
          </w:p>
        </w:tc>
        <w:tc>
          <w:tcPr>
            <w:tcW w:w="1120" w:type="dxa"/>
            <w:vMerge w:val="continue"/>
            <w:vAlign w:val="center"/>
          </w:tcPr>
          <w:p w14:paraId="1C35AED2">
            <w:pPr>
              <w:pStyle w:val="41"/>
            </w:pPr>
          </w:p>
        </w:tc>
        <w:tc>
          <w:tcPr>
            <w:tcW w:w="1052" w:type="dxa"/>
            <w:vAlign w:val="center"/>
          </w:tcPr>
          <w:p w14:paraId="52807ED6">
            <w:pPr>
              <w:pStyle w:val="41"/>
            </w:pPr>
            <w:r>
              <w:t>NH</w:t>
            </w:r>
            <w:r>
              <w:rPr>
                <w:vertAlign w:val="subscript"/>
              </w:rPr>
              <w:t>3</w:t>
            </w:r>
            <w:r>
              <w:t>-N</w:t>
            </w:r>
          </w:p>
        </w:tc>
        <w:tc>
          <w:tcPr>
            <w:tcW w:w="1004" w:type="dxa"/>
            <w:vAlign w:val="center"/>
          </w:tcPr>
          <w:p w14:paraId="268EBBB3">
            <w:pPr>
              <w:pStyle w:val="41"/>
            </w:pPr>
            <w:r>
              <w:t>0.83t/a</w:t>
            </w:r>
          </w:p>
        </w:tc>
      </w:tr>
      <w:tr w14:paraId="07A6E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restart"/>
            <w:vAlign w:val="center"/>
          </w:tcPr>
          <w:p w14:paraId="0345D31B">
            <w:pPr>
              <w:pStyle w:val="41"/>
            </w:pPr>
            <w:r>
              <w:t>2</w:t>
            </w:r>
          </w:p>
        </w:tc>
        <w:tc>
          <w:tcPr>
            <w:tcW w:w="4644" w:type="dxa"/>
            <w:vMerge w:val="restart"/>
            <w:vAlign w:val="center"/>
          </w:tcPr>
          <w:p w14:paraId="28C066E3">
            <w:pPr>
              <w:pStyle w:val="41"/>
            </w:pPr>
            <w:r>
              <w:t>《关于新疆艾斯米尔钢铁有限公司工业固废循环经济综合利用制备矿棉项目主要污染物总量控制指标的批复》（伊州环函〔2020〕7号）</w:t>
            </w:r>
          </w:p>
        </w:tc>
        <w:tc>
          <w:tcPr>
            <w:tcW w:w="1120" w:type="dxa"/>
            <w:vMerge w:val="restart"/>
            <w:vAlign w:val="center"/>
          </w:tcPr>
          <w:p w14:paraId="7837CF28">
            <w:pPr>
              <w:pStyle w:val="41"/>
            </w:pPr>
            <w:r>
              <w:t>2012年4月16日</w:t>
            </w:r>
          </w:p>
        </w:tc>
        <w:tc>
          <w:tcPr>
            <w:tcW w:w="1052" w:type="dxa"/>
            <w:vAlign w:val="center"/>
          </w:tcPr>
          <w:p w14:paraId="10132752">
            <w:pPr>
              <w:pStyle w:val="41"/>
            </w:pPr>
            <w:r>
              <w:rPr>
                <w:kern w:val="0"/>
              </w:rPr>
              <w:t>SO</w:t>
            </w:r>
            <w:r>
              <w:rPr>
                <w:kern w:val="0"/>
                <w:vertAlign w:val="subscript"/>
              </w:rPr>
              <w:t>2</w:t>
            </w:r>
          </w:p>
        </w:tc>
        <w:tc>
          <w:tcPr>
            <w:tcW w:w="1004" w:type="dxa"/>
            <w:vAlign w:val="center"/>
          </w:tcPr>
          <w:p w14:paraId="49D83CF2">
            <w:pPr>
              <w:pStyle w:val="41"/>
            </w:pPr>
            <w:r>
              <w:t>8.48t/a</w:t>
            </w:r>
          </w:p>
        </w:tc>
      </w:tr>
      <w:tr w14:paraId="0FFEE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vAlign w:val="center"/>
          </w:tcPr>
          <w:p w14:paraId="28EC8817">
            <w:pPr>
              <w:pStyle w:val="41"/>
            </w:pPr>
          </w:p>
        </w:tc>
        <w:tc>
          <w:tcPr>
            <w:tcW w:w="4644" w:type="dxa"/>
            <w:vMerge w:val="continue"/>
            <w:vAlign w:val="center"/>
          </w:tcPr>
          <w:p w14:paraId="152D9CE5">
            <w:pPr>
              <w:pStyle w:val="41"/>
            </w:pPr>
          </w:p>
        </w:tc>
        <w:tc>
          <w:tcPr>
            <w:tcW w:w="1120" w:type="dxa"/>
            <w:vMerge w:val="continue"/>
            <w:vAlign w:val="center"/>
          </w:tcPr>
          <w:p w14:paraId="11E8BC0F">
            <w:pPr>
              <w:pStyle w:val="41"/>
            </w:pPr>
          </w:p>
        </w:tc>
        <w:tc>
          <w:tcPr>
            <w:tcW w:w="1052" w:type="dxa"/>
            <w:vAlign w:val="center"/>
          </w:tcPr>
          <w:p w14:paraId="28834E23">
            <w:pPr>
              <w:pStyle w:val="41"/>
            </w:pPr>
            <w:r>
              <w:rPr>
                <w:kern w:val="0"/>
              </w:rPr>
              <w:t>NOx</w:t>
            </w:r>
          </w:p>
        </w:tc>
        <w:tc>
          <w:tcPr>
            <w:tcW w:w="1004" w:type="dxa"/>
            <w:vAlign w:val="center"/>
          </w:tcPr>
          <w:p w14:paraId="50596184">
            <w:pPr>
              <w:pStyle w:val="41"/>
            </w:pPr>
            <w:r>
              <w:t>8.17t/a</w:t>
            </w:r>
          </w:p>
        </w:tc>
      </w:tr>
      <w:tr w14:paraId="0ABC8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vAlign w:val="center"/>
          </w:tcPr>
          <w:p w14:paraId="40C13764">
            <w:pPr>
              <w:pStyle w:val="41"/>
            </w:pPr>
          </w:p>
        </w:tc>
        <w:tc>
          <w:tcPr>
            <w:tcW w:w="4644" w:type="dxa"/>
            <w:vMerge w:val="continue"/>
            <w:vAlign w:val="center"/>
          </w:tcPr>
          <w:p w14:paraId="4F76D117">
            <w:pPr>
              <w:pStyle w:val="41"/>
            </w:pPr>
          </w:p>
        </w:tc>
        <w:tc>
          <w:tcPr>
            <w:tcW w:w="1120" w:type="dxa"/>
            <w:vMerge w:val="continue"/>
            <w:vAlign w:val="center"/>
          </w:tcPr>
          <w:p w14:paraId="1C40506D">
            <w:pPr>
              <w:pStyle w:val="41"/>
            </w:pPr>
          </w:p>
        </w:tc>
        <w:tc>
          <w:tcPr>
            <w:tcW w:w="1052" w:type="dxa"/>
            <w:vAlign w:val="center"/>
          </w:tcPr>
          <w:p w14:paraId="6A5A1CBE">
            <w:pPr>
              <w:pStyle w:val="41"/>
              <w:rPr>
                <w:kern w:val="0"/>
              </w:rPr>
            </w:pPr>
            <w:r>
              <w:rPr>
                <w:kern w:val="0"/>
              </w:rPr>
              <w:t>烟粉尘</w:t>
            </w:r>
          </w:p>
        </w:tc>
        <w:tc>
          <w:tcPr>
            <w:tcW w:w="1004" w:type="dxa"/>
            <w:vAlign w:val="center"/>
          </w:tcPr>
          <w:p w14:paraId="1E0D993D">
            <w:pPr>
              <w:pStyle w:val="41"/>
            </w:pPr>
            <w:r>
              <w:t>107.92t/a</w:t>
            </w:r>
          </w:p>
        </w:tc>
      </w:tr>
      <w:tr w14:paraId="7285F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vAlign w:val="center"/>
          </w:tcPr>
          <w:p w14:paraId="7DCAEAE7">
            <w:pPr>
              <w:pStyle w:val="41"/>
            </w:pPr>
          </w:p>
        </w:tc>
        <w:tc>
          <w:tcPr>
            <w:tcW w:w="4644" w:type="dxa"/>
            <w:vMerge w:val="continue"/>
            <w:vAlign w:val="center"/>
          </w:tcPr>
          <w:p w14:paraId="6CA2A54A">
            <w:pPr>
              <w:pStyle w:val="41"/>
            </w:pPr>
          </w:p>
        </w:tc>
        <w:tc>
          <w:tcPr>
            <w:tcW w:w="1120" w:type="dxa"/>
            <w:vMerge w:val="continue"/>
            <w:vAlign w:val="center"/>
          </w:tcPr>
          <w:p w14:paraId="36ABEE03">
            <w:pPr>
              <w:pStyle w:val="41"/>
            </w:pPr>
          </w:p>
        </w:tc>
        <w:tc>
          <w:tcPr>
            <w:tcW w:w="1052" w:type="dxa"/>
            <w:vAlign w:val="center"/>
          </w:tcPr>
          <w:p w14:paraId="7CD6B2BE">
            <w:pPr>
              <w:pStyle w:val="41"/>
              <w:rPr>
                <w:kern w:val="0"/>
              </w:rPr>
            </w:pPr>
            <w:r>
              <w:rPr>
                <w:kern w:val="0"/>
              </w:rPr>
              <w:t>VOCs</w:t>
            </w:r>
          </w:p>
        </w:tc>
        <w:tc>
          <w:tcPr>
            <w:tcW w:w="1004" w:type="dxa"/>
            <w:vAlign w:val="center"/>
          </w:tcPr>
          <w:p w14:paraId="53941211">
            <w:pPr>
              <w:pStyle w:val="41"/>
            </w:pPr>
            <w:r>
              <w:t>16.31t/a</w:t>
            </w:r>
          </w:p>
        </w:tc>
      </w:tr>
    </w:tbl>
    <w:p w14:paraId="16F1CDB0">
      <w:pPr>
        <w:pStyle w:val="4"/>
        <w:tabs>
          <w:tab w:val="clear" w:pos="432"/>
        </w:tabs>
        <w:ind w:left="578" w:hanging="578"/>
        <w:rPr>
          <w:bCs w:val="0"/>
          <w:szCs w:val="28"/>
        </w:rPr>
      </w:pPr>
      <w:bookmarkStart w:id="119" w:name="_Toc207208384"/>
      <w:r>
        <w:rPr>
          <w:bCs w:val="0"/>
          <w:szCs w:val="28"/>
        </w:rPr>
        <w:t>现有工程主要环境问题</w:t>
      </w:r>
      <w:bookmarkEnd w:id="119"/>
    </w:p>
    <w:p w14:paraId="556C9DA5">
      <w:pPr>
        <w:pStyle w:val="3"/>
        <w:ind w:firstLine="480"/>
      </w:pPr>
      <w:bookmarkStart w:id="120" w:name="_Hlk172046979"/>
      <w:bookmarkStart w:id="121" w:name="_Hlk172045451"/>
      <w:r>
        <w:t>根据现场勘查及查阅公司环保督察历史资料，现有工程主要存在以下环境问题：</w:t>
      </w:r>
    </w:p>
    <w:p w14:paraId="42E8B26F">
      <w:pPr>
        <w:pStyle w:val="3"/>
        <w:ind w:firstLine="480"/>
      </w:pPr>
      <w:bookmarkStart w:id="122" w:name="_Hlk173409900"/>
      <w:r>
        <w:t>（1）缺少环境应急培训及相关技能培训；</w:t>
      </w:r>
    </w:p>
    <w:p w14:paraId="741230F3">
      <w:pPr>
        <w:pStyle w:val="3"/>
        <w:ind w:firstLine="480"/>
      </w:pPr>
      <w:r>
        <w:t>（2）缺少环境隐患排查记录；</w:t>
      </w:r>
    </w:p>
    <w:p w14:paraId="78ECD84E">
      <w:pPr>
        <w:pStyle w:val="3"/>
        <w:ind w:firstLine="480"/>
      </w:pPr>
      <w:r>
        <w:t>（3）实际运行过程中窗户未处于关闭状态；</w:t>
      </w:r>
    </w:p>
    <w:p w14:paraId="31331642">
      <w:pPr>
        <w:pStyle w:val="3"/>
        <w:ind w:firstLine="480"/>
      </w:pPr>
      <w:r>
        <w:t>（4）企业投入运营至今未进行环境影响后评价。</w:t>
      </w:r>
      <w:bookmarkEnd w:id="122"/>
    </w:p>
    <w:p w14:paraId="0FE9A770">
      <w:pPr>
        <w:pStyle w:val="3"/>
        <w:ind w:firstLine="480"/>
      </w:pPr>
      <w:r>
        <w:t>针对以上存在问题，本次评价提出以下整改措施：</w:t>
      </w:r>
    </w:p>
    <w:p w14:paraId="11C935C7">
      <w:pPr>
        <w:pStyle w:val="3"/>
        <w:ind w:firstLine="480"/>
      </w:pPr>
      <w:bookmarkStart w:id="123" w:name="_Hlk173409921"/>
      <w:r>
        <w:t>（1）应定期开展环境风险应急培训工作，并保留培训记录；</w:t>
      </w:r>
    </w:p>
    <w:p w14:paraId="6F20CEB5">
      <w:pPr>
        <w:pStyle w:val="3"/>
        <w:ind w:firstLine="480"/>
      </w:pPr>
      <w:r>
        <w:t>（2）定期开展环境隐患排查，并保留隐患排查记录；</w:t>
      </w:r>
    </w:p>
    <w:p w14:paraId="58A6F787">
      <w:pPr>
        <w:pStyle w:val="3"/>
        <w:ind w:firstLine="480"/>
      </w:pPr>
      <w:r>
        <w:t>（3）生产运营过程中定期开展环保措施检查，避免环境污染事件发生；</w:t>
      </w:r>
    </w:p>
    <w:p w14:paraId="1872E6F6">
      <w:pPr>
        <w:pStyle w:val="3"/>
        <w:ind w:firstLine="480"/>
      </w:pPr>
      <w:r>
        <w:t>（4）应按照《关于加强建设项目环境影响后评价管理的通知》（新环环评发〔2020〕162号）等有关环保法律法规、政策的要求组织公司环境影响后评价工作。</w:t>
      </w:r>
      <w:bookmarkEnd w:id="120"/>
    </w:p>
    <w:p w14:paraId="0B133AF2">
      <w:pPr>
        <w:pStyle w:val="3"/>
        <w:ind w:firstLine="480"/>
      </w:pPr>
      <w:r>
        <w:t>以上整改方案除第（4）外，其余须随着本项目实施同时完成。</w:t>
      </w:r>
      <w:bookmarkEnd w:id="123"/>
    </w:p>
    <w:bookmarkEnd w:id="121"/>
    <w:p w14:paraId="7BC905A4">
      <w:pPr>
        <w:pStyle w:val="2"/>
      </w:pPr>
      <w:bookmarkStart w:id="124" w:name="_Toc19774"/>
      <w:bookmarkStart w:id="125" w:name="_Toc12955"/>
      <w:bookmarkStart w:id="126" w:name="_Toc207208385"/>
      <w:r>
        <w:t>建设项目工程分析</w:t>
      </w:r>
      <w:bookmarkEnd w:id="124"/>
      <w:bookmarkEnd w:id="125"/>
      <w:bookmarkEnd w:id="126"/>
    </w:p>
    <w:p w14:paraId="69EA5977">
      <w:pPr>
        <w:pStyle w:val="4"/>
      </w:pPr>
      <w:bookmarkStart w:id="127" w:name="_Toc7524"/>
      <w:bookmarkStart w:id="128" w:name="_Toc80"/>
      <w:bookmarkStart w:id="129" w:name="_Toc207208386"/>
      <w:r>
        <w:t>建设项目概况</w:t>
      </w:r>
      <w:bookmarkEnd w:id="127"/>
      <w:bookmarkEnd w:id="128"/>
      <w:bookmarkEnd w:id="129"/>
    </w:p>
    <w:p w14:paraId="5E7711DB">
      <w:pPr>
        <w:pStyle w:val="5"/>
        <w:spacing w:before="120"/>
      </w:pPr>
      <w:r>
        <w:t>项目基本情况</w:t>
      </w:r>
    </w:p>
    <w:p w14:paraId="18F4E06B">
      <w:pPr>
        <w:pStyle w:val="3"/>
        <w:ind w:firstLine="480"/>
      </w:pPr>
      <w:r>
        <w:t>项目名称：新疆艾斯米尔锰合金有限公司特种合金冶炼及烧结车间技改项目</w:t>
      </w:r>
    </w:p>
    <w:p w14:paraId="055224E4">
      <w:pPr>
        <w:pStyle w:val="3"/>
        <w:ind w:firstLine="480"/>
      </w:pPr>
      <w:r>
        <w:t>建设单位：</w:t>
      </w:r>
      <w:bookmarkStart w:id="130" w:name="_Hlk204179022"/>
      <w:r>
        <w:t>新疆艾斯米尔锰合金有限公司</w:t>
      </w:r>
      <w:bookmarkEnd w:id="130"/>
    </w:p>
    <w:p w14:paraId="3B5E0543">
      <w:pPr>
        <w:pStyle w:val="3"/>
        <w:ind w:firstLine="480"/>
      </w:pPr>
      <w:r>
        <w:t>建设性质：技术改造</w:t>
      </w:r>
    </w:p>
    <w:p w14:paraId="18440875">
      <w:pPr>
        <w:widowControl/>
        <w:ind w:firstLine="480" w:firstLineChars="200"/>
        <w:jc w:val="left"/>
      </w:pPr>
      <w:r>
        <w:t>项目投资：本次技改工程总投资6002.69万元。</w:t>
      </w:r>
    </w:p>
    <w:p w14:paraId="05052A6D">
      <w:pPr>
        <w:pStyle w:val="3"/>
        <w:ind w:firstLine="480"/>
      </w:pPr>
      <w:r>
        <w:t>建设规模：新建精炼炉设备车间、1×6300kVA精炼炉（采用二步法及热装热兑精炼工艺）及配套辅助设施、除尘环保系统、循环及消防水泵房、配料站、皮带廊，现有冶炼车间进行建筑结构及消防改造；将现有24平方米步进式烧结机更换为48平方米带式烧结机。年产3.5万吨中低碳锰铁合金。</w:t>
      </w:r>
    </w:p>
    <w:p w14:paraId="32395ABC">
      <w:pPr>
        <w:pStyle w:val="3"/>
        <w:ind w:firstLine="480"/>
      </w:pPr>
      <w:r>
        <w:t>建设周期：</w:t>
      </w:r>
      <w:bookmarkStart w:id="131" w:name="_Hlk173409995"/>
      <w:r>
        <w:t>本次技术改造工程计划2025年8月开工，2026年6月建成并投入使用。</w:t>
      </w:r>
      <w:bookmarkEnd w:id="131"/>
    </w:p>
    <w:p w14:paraId="5D5AAE8B">
      <w:pPr>
        <w:pStyle w:val="3"/>
        <w:ind w:firstLine="480"/>
      </w:pPr>
      <w:r>
        <w:t>劳动定员与工作制度：现有工程劳动定员273人，年生产天数330天，日生产24小时，冶炼、烧结、岩棉车间工作制度为三班三运转；动力车间为四班三运转。本次改造人员内部调剂，不新增定员，工作制度与现状保持一致。</w:t>
      </w:r>
    </w:p>
    <w:p w14:paraId="1CA65514">
      <w:pPr>
        <w:pStyle w:val="5"/>
        <w:spacing w:before="120"/>
      </w:pPr>
      <w:r>
        <w:t>技改工艺方案</w:t>
      </w:r>
    </w:p>
    <w:p w14:paraId="341AB217">
      <w:pPr>
        <w:widowControl/>
        <w:ind w:firstLine="480" w:firstLineChars="200"/>
        <w:jc w:val="left"/>
      </w:pPr>
      <w:r>
        <w:t>（1）冶炼车间技改方案</w:t>
      </w:r>
    </w:p>
    <w:p w14:paraId="7EB2D6FF">
      <w:pPr>
        <w:widowControl/>
        <w:ind w:firstLine="480" w:firstLineChars="200"/>
        <w:jc w:val="left"/>
      </w:pPr>
      <w:r>
        <w:t>厂区现有2台12500kVA矿热炉生产锰硅合金，各原料在配料站按冶炼工艺要求进行称量配料，混料均匀后，通过上料系统、布料系统及下料管加到电炉内，电炉为连续还原冶炼，定时间出锰硅合金。现技改为在原有矿热炉东侧新建精炼炉设备车间，新增一台6300kVA精炼炉作为中低碳锰铁合金的主要冶炼设备。另新增配料站及皮带廊以锰矿及石灰石为原料按冶炼工艺进行称量配料，混料均匀后通过上料系统、布料系统及下料管加到电炉内，含硅、锰的矿石和碳质原料在电炉中靠电弧放热，加热熔炼物料及反应所需的能量。原料入炉后，在电炉内高达约摄氏2000℃的高温下，发生还原反应，通过二步法液态精炼炉炉渣和液态的锰硅合金加入到摇包中，然后进行摇动，揺完后液态渣变成含锰低于5%的贫渣用于生产岩棉，液态低碳锰硅倒入精炼炉进行精炼反应，从而得到中低碳锰铁合金。在电炉中用Mn、Fe的氧化物（锰矿），使锰矿合金中的硅被氧化（精炼脱Si），得到含碳量低的中低碳锰铁</w:t>
      </w:r>
      <w:r>
        <w:rPr>
          <w:rFonts w:hint="eastAsia"/>
        </w:rPr>
        <w:t>。</w:t>
      </w:r>
    </w:p>
    <w:p w14:paraId="2DEEF0CB">
      <w:pPr>
        <w:widowControl/>
        <w:ind w:firstLine="480" w:firstLineChars="200"/>
        <w:jc w:val="left"/>
      </w:pPr>
      <w:r>
        <w:t>锰硅合金重熔就是把含碳较高、含Si较低的锰硅合金，通过二步法再经过摇包处理后加入到精炼炉内，利用少量锰矿和石灰石造渣进行重新熔炼，并加入部分硅铁提高合金中的含Si量，而挥发的Mn可以从锰矿中得到补充，锰硅合金重熔后，含Si量可提高，含C量可降低。</w:t>
      </w:r>
    </w:p>
    <w:p w14:paraId="429874D6">
      <w:pPr>
        <w:widowControl/>
        <w:ind w:firstLine="480" w:firstLineChars="200"/>
        <w:jc w:val="left"/>
      </w:pPr>
      <w:r>
        <w:t>（2）烧结车间技改方案</w:t>
      </w:r>
    </w:p>
    <w:p w14:paraId="6DC70E74">
      <w:pPr>
        <w:widowControl/>
        <w:ind w:firstLine="480" w:firstLineChars="200"/>
        <w:jc w:val="left"/>
      </w:pPr>
      <w:r>
        <w:t>原有的步进式烧结机比较浪费人力，用起来不方便，事故率比较多，处理起来麻烦，本次技改工程更换为带式烧结机，带式烧结机是由头尾星轮带动的装有混合料的台车并配有点火、抽风装置的烧结机械设备，台车在头部加料并点火，至尾部卸料。通过抽风机抽风助燃，在有效烧结长度内，将混合料由上至下烧透，生成烧结矿。带式烧结机是由铺设在钢结构上的封闭轨道和在轨道上连续运动的一系列烧结台车组成。首先将从烧结矿中分出的铺底料(10～20mm)加在台车上，以保护台车箅条和减少废气含灰量。然后再将烧结混合料经去；布料机加到台车上，并保持规定的高度。随之进行抽风点火烧结，随台车前进，烧结过程由料层表面不断向下进行。至机尾，烧结完成，台车翻转将烧结饼倾卸。空台车沿下部轨道运行至烧结机头部，再加料进行点火烧结，如此循环不断。烧结饼经破碎和筛出热返矿后，送冷却机冷却。从料层中抽出的废气经台车下的风箱至集气总管和除尘装置，由抽风机排向烟囱。</w:t>
      </w:r>
    </w:p>
    <w:p w14:paraId="08827ABF">
      <w:pPr>
        <w:pStyle w:val="3"/>
        <w:ind w:firstLine="480"/>
      </w:pPr>
      <w:r>
        <w:t>本项目工程组成及依托现有工程情况详见下表：</w:t>
      </w:r>
    </w:p>
    <w:p w14:paraId="10AB9595">
      <w:pPr>
        <w:pStyle w:val="40"/>
        <w:spacing w:before="120"/>
      </w:pPr>
      <w:r>
        <w:t>表4.1-1    本次技改工程组成一览表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0"/>
        <w:gridCol w:w="1289"/>
        <w:gridCol w:w="1773"/>
        <w:gridCol w:w="2956"/>
        <w:gridCol w:w="2298"/>
      </w:tblGrid>
      <w:tr w14:paraId="45BF32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33" w:type="pct"/>
            <w:gridSpan w:val="2"/>
            <w:vAlign w:val="center"/>
          </w:tcPr>
          <w:p w14:paraId="21961E57">
            <w:pPr>
              <w:pStyle w:val="41"/>
              <w:keepLines/>
              <w:ind w:left="-72" w:leftChars="-30" w:right="-72" w:rightChars="-30"/>
            </w:pPr>
            <w:r>
              <w:t>工程分类</w:t>
            </w:r>
          </w:p>
        </w:tc>
        <w:tc>
          <w:tcPr>
            <w:tcW w:w="2670" w:type="pct"/>
            <w:gridSpan w:val="2"/>
            <w:vAlign w:val="center"/>
          </w:tcPr>
          <w:p w14:paraId="1716C5B3">
            <w:pPr>
              <w:pStyle w:val="41"/>
              <w:keepLines/>
            </w:pPr>
            <w:r>
              <w:t>现有工程组成</w:t>
            </w:r>
          </w:p>
        </w:tc>
        <w:tc>
          <w:tcPr>
            <w:tcW w:w="1297" w:type="pct"/>
            <w:vAlign w:val="center"/>
          </w:tcPr>
          <w:p w14:paraId="5FAB328D">
            <w:pPr>
              <w:pStyle w:val="41"/>
              <w:keepLines/>
            </w:pPr>
            <w:r>
              <w:t>本次技改</w:t>
            </w:r>
          </w:p>
        </w:tc>
      </w:tr>
      <w:tr w14:paraId="18E91B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305" w:type="pct"/>
            <w:vMerge w:val="restart"/>
            <w:vAlign w:val="center"/>
          </w:tcPr>
          <w:p w14:paraId="530E90B0">
            <w:pPr>
              <w:pStyle w:val="41"/>
              <w:keepLines/>
              <w:ind w:left="-72" w:leftChars="-30" w:right="-72" w:rightChars="-30"/>
            </w:pPr>
            <w:r>
              <w:t>主体工程</w:t>
            </w:r>
          </w:p>
        </w:tc>
        <w:tc>
          <w:tcPr>
            <w:tcW w:w="728" w:type="pct"/>
            <w:vAlign w:val="center"/>
          </w:tcPr>
          <w:p w14:paraId="70D19251">
            <w:pPr>
              <w:pStyle w:val="41"/>
              <w:keepLines/>
              <w:ind w:left="-72" w:leftChars="-30" w:right="-72" w:rightChars="-30"/>
            </w:pPr>
            <w:r>
              <w:t>电炉冶炼车间</w:t>
            </w:r>
          </w:p>
        </w:tc>
        <w:tc>
          <w:tcPr>
            <w:tcW w:w="2670" w:type="pct"/>
            <w:gridSpan w:val="2"/>
            <w:vAlign w:val="center"/>
          </w:tcPr>
          <w:p w14:paraId="32E71A39">
            <w:pPr>
              <w:pStyle w:val="41"/>
              <w:keepLines/>
            </w:pPr>
            <w:r>
              <w:t>生产规模：年产锰铁合金3.5万吨2×12500kVA矿热电炉（全封闭）</w:t>
            </w:r>
          </w:p>
        </w:tc>
        <w:tc>
          <w:tcPr>
            <w:tcW w:w="1297" w:type="pct"/>
            <w:vAlign w:val="center"/>
          </w:tcPr>
          <w:p w14:paraId="66E5CCA7">
            <w:pPr>
              <w:pStyle w:val="41"/>
              <w:keepLines/>
            </w:pPr>
            <w:r>
              <w:t>新建精炼炉设备车间、1×6300kVA精炼炉（采用二步法及热装热兑精炼工艺），年产3.5万吨中低碳锰铁合金</w:t>
            </w:r>
          </w:p>
        </w:tc>
      </w:tr>
      <w:tr w14:paraId="069FA7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41D4C33A">
            <w:pPr>
              <w:pStyle w:val="41"/>
              <w:keepLines/>
              <w:ind w:left="-72" w:leftChars="-30" w:right="-72" w:rightChars="-30"/>
            </w:pPr>
          </w:p>
        </w:tc>
        <w:tc>
          <w:tcPr>
            <w:tcW w:w="728" w:type="pct"/>
            <w:vAlign w:val="center"/>
          </w:tcPr>
          <w:p w14:paraId="1A527192">
            <w:pPr>
              <w:pStyle w:val="41"/>
              <w:keepLines/>
              <w:ind w:left="-72" w:leftChars="-30" w:right="-72" w:rightChars="-30"/>
            </w:pPr>
            <w:r>
              <w:t>烧结车间</w:t>
            </w:r>
          </w:p>
        </w:tc>
        <w:tc>
          <w:tcPr>
            <w:tcW w:w="2670" w:type="pct"/>
            <w:gridSpan w:val="2"/>
            <w:vAlign w:val="center"/>
          </w:tcPr>
          <w:p w14:paraId="67DBBE49">
            <w:pPr>
              <w:pStyle w:val="41"/>
              <w:keepLines/>
            </w:pPr>
            <w:r>
              <w:t>24平方米步进式烧结机</w:t>
            </w:r>
          </w:p>
        </w:tc>
        <w:tc>
          <w:tcPr>
            <w:tcW w:w="1297" w:type="pct"/>
            <w:vAlign w:val="center"/>
          </w:tcPr>
          <w:p w14:paraId="741FE4F6">
            <w:pPr>
              <w:pStyle w:val="41"/>
              <w:keepLines/>
            </w:pPr>
            <w:r>
              <w:t>将现有24平方米步进式烧结机更换为48平方米带式烧结机</w:t>
            </w:r>
          </w:p>
        </w:tc>
      </w:tr>
      <w:tr w14:paraId="29F063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35EAD11E">
            <w:pPr>
              <w:pStyle w:val="41"/>
              <w:keepLines/>
              <w:ind w:left="-72" w:leftChars="-30" w:right="-72" w:rightChars="-30"/>
            </w:pPr>
          </w:p>
        </w:tc>
        <w:tc>
          <w:tcPr>
            <w:tcW w:w="728" w:type="pct"/>
            <w:vAlign w:val="center"/>
          </w:tcPr>
          <w:p w14:paraId="0C653508">
            <w:pPr>
              <w:pStyle w:val="41"/>
              <w:keepLines/>
              <w:ind w:left="-72" w:leftChars="-30" w:right="-72" w:rightChars="-30"/>
            </w:pPr>
            <w:r>
              <w:t>矿棉生产车间</w:t>
            </w:r>
          </w:p>
        </w:tc>
        <w:tc>
          <w:tcPr>
            <w:tcW w:w="2670" w:type="pct"/>
            <w:gridSpan w:val="2"/>
            <w:vAlign w:val="center"/>
          </w:tcPr>
          <w:p w14:paraId="21B0322D">
            <w:pPr>
              <w:pStyle w:val="41"/>
              <w:keepLines/>
            </w:pPr>
            <w:r>
              <w:t>1条矿棉制品生产线，生产规模为3万t/a。</w:t>
            </w:r>
          </w:p>
        </w:tc>
        <w:tc>
          <w:tcPr>
            <w:tcW w:w="1297" w:type="pct"/>
            <w:vAlign w:val="center"/>
          </w:tcPr>
          <w:p w14:paraId="7F8199A6">
            <w:pPr>
              <w:pStyle w:val="41"/>
              <w:keepLines/>
            </w:pPr>
            <w:r>
              <w:t>无变化</w:t>
            </w:r>
          </w:p>
        </w:tc>
      </w:tr>
      <w:tr w14:paraId="1BFCC2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Align w:val="center"/>
          </w:tcPr>
          <w:p w14:paraId="0615ADCB">
            <w:pPr>
              <w:pStyle w:val="41"/>
              <w:keepLines/>
              <w:ind w:left="-72" w:leftChars="-30" w:right="-72" w:rightChars="-30"/>
            </w:pPr>
            <w:r>
              <w:t>配套工程</w:t>
            </w:r>
          </w:p>
        </w:tc>
        <w:tc>
          <w:tcPr>
            <w:tcW w:w="728" w:type="pct"/>
            <w:vAlign w:val="center"/>
          </w:tcPr>
          <w:p w14:paraId="08B8E8B7">
            <w:pPr>
              <w:pStyle w:val="41"/>
              <w:keepLines/>
              <w:ind w:left="-72" w:leftChars="-30" w:right="-72" w:rightChars="-30"/>
            </w:pPr>
            <w:r>
              <w:t>动力中心</w:t>
            </w:r>
          </w:p>
        </w:tc>
        <w:tc>
          <w:tcPr>
            <w:tcW w:w="2670" w:type="pct"/>
            <w:gridSpan w:val="2"/>
            <w:vAlign w:val="center"/>
          </w:tcPr>
          <w:p w14:paraId="38C46F26">
            <w:pPr>
              <w:pStyle w:val="41"/>
              <w:keepLines/>
            </w:pPr>
            <w:r>
              <w:t>建设1×25MW凝汽式发电机组及2×75t/h中温中压煤气联合燃烧循环流化床锅炉</w:t>
            </w:r>
          </w:p>
        </w:tc>
        <w:tc>
          <w:tcPr>
            <w:tcW w:w="1297" w:type="pct"/>
            <w:vAlign w:val="center"/>
          </w:tcPr>
          <w:p w14:paraId="62E8E742">
            <w:pPr>
              <w:pStyle w:val="41"/>
              <w:keepLines/>
            </w:pPr>
            <w:r>
              <w:t>无变化</w:t>
            </w:r>
          </w:p>
        </w:tc>
      </w:tr>
      <w:tr w14:paraId="7B87E7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Align w:val="center"/>
          </w:tcPr>
          <w:p w14:paraId="4AC7BEDA">
            <w:pPr>
              <w:pStyle w:val="41"/>
              <w:keepLines/>
              <w:ind w:left="-72" w:leftChars="-30" w:right="-72" w:rightChars="-30"/>
            </w:pPr>
            <w:r>
              <w:t>辅助工程</w:t>
            </w:r>
          </w:p>
        </w:tc>
        <w:tc>
          <w:tcPr>
            <w:tcW w:w="728" w:type="pct"/>
            <w:vAlign w:val="center"/>
          </w:tcPr>
          <w:p w14:paraId="6BF18423">
            <w:pPr>
              <w:pStyle w:val="41"/>
              <w:keepLines/>
              <w:ind w:left="-72" w:leftChars="-30" w:right="-72" w:rightChars="-30"/>
            </w:pPr>
            <w:r>
              <w:t>办公楼</w:t>
            </w:r>
          </w:p>
        </w:tc>
        <w:tc>
          <w:tcPr>
            <w:tcW w:w="2670" w:type="pct"/>
            <w:gridSpan w:val="2"/>
            <w:vAlign w:val="center"/>
          </w:tcPr>
          <w:p w14:paraId="2B6735D7">
            <w:pPr>
              <w:pStyle w:val="41"/>
              <w:keepLines/>
            </w:pPr>
            <w:r>
              <w:t>1栋办公楼</w:t>
            </w:r>
          </w:p>
        </w:tc>
        <w:tc>
          <w:tcPr>
            <w:tcW w:w="1297" w:type="pct"/>
            <w:vAlign w:val="center"/>
          </w:tcPr>
          <w:p w14:paraId="31894E26">
            <w:pPr>
              <w:pStyle w:val="41"/>
              <w:keepLines/>
            </w:pPr>
            <w:r>
              <w:t>无变化</w:t>
            </w:r>
          </w:p>
        </w:tc>
      </w:tr>
      <w:tr w14:paraId="437708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vAlign w:val="center"/>
          </w:tcPr>
          <w:p w14:paraId="27D6DDE2">
            <w:pPr>
              <w:pStyle w:val="41"/>
              <w:keepLines/>
              <w:ind w:left="-72" w:leftChars="-30" w:right="-72" w:rightChars="-30"/>
            </w:pPr>
            <w:r>
              <w:t>储运工程</w:t>
            </w:r>
          </w:p>
        </w:tc>
        <w:tc>
          <w:tcPr>
            <w:tcW w:w="728" w:type="pct"/>
            <w:vAlign w:val="center"/>
          </w:tcPr>
          <w:p w14:paraId="790ADD6C">
            <w:pPr>
              <w:pStyle w:val="41"/>
              <w:keepLines/>
              <w:ind w:left="-72" w:leftChars="-30" w:right="-72" w:rightChars="-30"/>
            </w:pPr>
            <w:r>
              <w:t>堆棚</w:t>
            </w:r>
          </w:p>
        </w:tc>
        <w:tc>
          <w:tcPr>
            <w:tcW w:w="2670" w:type="pct"/>
            <w:gridSpan w:val="2"/>
            <w:vAlign w:val="center"/>
          </w:tcPr>
          <w:p w14:paraId="30DD6C86">
            <w:pPr>
              <w:pStyle w:val="41"/>
              <w:keepLines/>
            </w:pPr>
            <w:r>
              <w:t>原、辅料堆场、堆棚</w:t>
            </w:r>
          </w:p>
        </w:tc>
        <w:tc>
          <w:tcPr>
            <w:tcW w:w="1297" w:type="pct"/>
            <w:vAlign w:val="center"/>
          </w:tcPr>
          <w:p w14:paraId="399926EC">
            <w:pPr>
              <w:pStyle w:val="41"/>
              <w:keepLines/>
            </w:pPr>
            <w:r>
              <w:t>无变化</w:t>
            </w:r>
          </w:p>
        </w:tc>
      </w:tr>
      <w:tr w14:paraId="3D8937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4882458C">
            <w:pPr>
              <w:pStyle w:val="41"/>
              <w:keepLines/>
              <w:ind w:left="-72" w:leftChars="-30" w:right="-72" w:rightChars="-30"/>
            </w:pPr>
          </w:p>
        </w:tc>
        <w:tc>
          <w:tcPr>
            <w:tcW w:w="728" w:type="pct"/>
            <w:vAlign w:val="center"/>
          </w:tcPr>
          <w:p w14:paraId="48B2EE77">
            <w:pPr>
              <w:pStyle w:val="41"/>
              <w:keepLines/>
              <w:ind w:left="-72" w:leftChars="-30" w:right="-72" w:rightChars="-30"/>
            </w:pPr>
            <w:r>
              <w:t>配料站</w:t>
            </w:r>
          </w:p>
        </w:tc>
        <w:tc>
          <w:tcPr>
            <w:tcW w:w="2670" w:type="pct"/>
            <w:gridSpan w:val="2"/>
            <w:vAlign w:val="center"/>
          </w:tcPr>
          <w:p w14:paraId="13732692">
            <w:pPr>
              <w:pStyle w:val="41"/>
              <w:keepLines/>
            </w:pPr>
            <w:r>
              <w:t>筛分、料仓</w:t>
            </w:r>
          </w:p>
        </w:tc>
        <w:tc>
          <w:tcPr>
            <w:tcW w:w="1297" w:type="pct"/>
            <w:vAlign w:val="center"/>
          </w:tcPr>
          <w:p w14:paraId="439B72A0">
            <w:pPr>
              <w:pStyle w:val="41"/>
              <w:keepLines/>
            </w:pPr>
            <w:r>
              <w:t>无变化</w:t>
            </w:r>
          </w:p>
        </w:tc>
      </w:tr>
      <w:tr w14:paraId="430C48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542F4902">
            <w:pPr>
              <w:pStyle w:val="41"/>
              <w:keepLines/>
              <w:ind w:left="-72" w:leftChars="-30" w:right="-72" w:rightChars="-30"/>
            </w:pPr>
          </w:p>
        </w:tc>
        <w:tc>
          <w:tcPr>
            <w:tcW w:w="728" w:type="pct"/>
            <w:vAlign w:val="center"/>
          </w:tcPr>
          <w:p w14:paraId="3510A3C6">
            <w:pPr>
              <w:pStyle w:val="41"/>
              <w:keepLines/>
              <w:ind w:left="-72" w:leftChars="-30" w:right="-72" w:rightChars="-30"/>
            </w:pPr>
            <w:r>
              <w:t>危废库</w:t>
            </w:r>
          </w:p>
        </w:tc>
        <w:tc>
          <w:tcPr>
            <w:tcW w:w="2670" w:type="pct"/>
            <w:gridSpan w:val="2"/>
            <w:vAlign w:val="center"/>
          </w:tcPr>
          <w:p w14:paraId="5A67B8CC">
            <w:pPr>
              <w:pStyle w:val="41"/>
              <w:keepLines/>
            </w:pPr>
            <w:r>
              <w:t>20m</w:t>
            </w:r>
            <w:r>
              <w:rPr>
                <w:vertAlign w:val="superscript"/>
              </w:rPr>
              <w:t>2</w:t>
            </w:r>
          </w:p>
        </w:tc>
        <w:tc>
          <w:tcPr>
            <w:tcW w:w="1297" w:type="pct"/>
            <w:vAlign w:val="center"/>
          </w:tcPr>
          <w:p w14:paraId="58294A17">
            <w:pPr>
              <w:pStyle w:val="41"/>
              <w:keepLines/>
            </w:pPr>
            <w:r>
              <w:t>无变化</w:t>
            </w:r>
          </w:p>
        </w:tc>
      </w:tr>
      <w:tr w14:paraId="2CF4A7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494038B3">
            <w:pPr>
              <w:pStyle w:val="41"/>
              <w:keepLines/>
              <w:ind w:left="-72" w:leftChars="-30" w:right="-72" w:rightChars="-30"/>
            </w:pPr>
          </w:p>
        </w:tc>
        <w:tc>
          <w:tcPr>
            <w:tcW w:w="728" w:type="pct"/>
            <w:vAlign w:val="center"/>
          </w:tcPr>
          <w:p w14:paraId="3FCC17F9">
            <w:pPr>
              <w:pStyle w:val="41"/>
              <w:keepLines/>
              <w:ind w:left="-72" w:leftChars="-30" w:right="-72" w:rightChars="-30"/>
            </w:pPr>
            <w:r>
              <w:t>一般固废库</w:t>
            </w:r>
          </w:p>
        </w:tc>
        <w:tc>
          <w:tcPr>
            <w:tcW w:w="2670" w:type="pct"/>
            <w:gridSpan w:val="2"/>
            <w:vAlign w:val="center"/>
          </w:tcPr>
          <w:p w14:paraId="13C08958">
            <w:pPr>
              <w:pStyle w:val="41"/>
              <w:keepLines/>
            </w:pPr>
            <w:r>
              <w:t>1500m</w:t>
            </w:r>
            <w:r>
              <w:rPr>
                <w:vertAlign w:val="superscript"/>
              </w:rPr>
              <w:t>2</w:t>
            </w:r>
          </w:p>
        </w:tc>
        <w:tc>
          <w:tcPr>
            <w:tcW w:w="1297" w:type="pct"/>
            <w:vAlign w:val="center"/>
          </w:tcPr>
          <w:p w14:paraId="5C61BF4C">
            <w:pPr>
              <w:pStyle w:val="41"/>
              <w:keepLines/>
            </w:pPr>
            <w:r>
              <w:t>无变化</w:t>
            </w:r>
          </w:p>
        </w:tc>
      </w:tr>
      <w:tr w14:paraId="092C0A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40D02109">
            <w:pPr>
              <w:pStyle w:val="41"/>
              <w:keepLines/>
              <w:ind w:left="-72" w:leftChars="-30" w:right="-72" w:rightChars="-30"/>
            </w:pPr>
          </w:p>
        </w:tc>
        <w:tc>
          <w:tcPr>
            <w:tcW w:w="728" w:type="pct"/>
            <w:vAlign w:val="center"/>
          </w:tcPr>
          <w:p w14:paraId="0B9023AD">
            <w:pPr>
              <w:pStyle w:val="41"/>
              <w:keepLines/>
              <w:ind w:left="-72" w:leftChars="-30" w:right="-72" w:rightChars="-30"/>
            </w:pPr>
            <w:r>
              <w:t>煤棚</w:t>
            </w:r>
          </w:p>
        </w:tc>
        <w:tc>
          <w:tcPr>
            <w:tcW w:w="2670" w:type="pct"/>
            <w:gridSpan w:val="2"/>
            <w:vAlign w:val="center"/>
          </w:tcPr>
          <w:p w14:paraId="33B54950">
            <w:pPr>
              <w:pStyle w:val="41"/>
              <w:keepLines/>
            </w:pPr>
            <w:r>
              <w:t>2000m</w:t>
            </w:r>
            <w:r>
              <w:rPr>
                <w:vertAlign w:val="superscript"/>
              </w:rPr>
              <w:t>2</w:t>
            </w:r>
          </w:p>
        </w:tc>
        <w:tc>
          <w:tcPr>
            <w:tcW w:w="1297" w:type="pct"/>
            <w:vAlign w:val="center"/>
          </w:tcPr>
          <w:p w14:paraId="4CCA5502">
            <w:pPr>
              <w:pStyle w:val="41"/>
              <w:keepLines/>
            </w:pPr>
            <w:r>
              <w:t>无变化</w:t>
            </w:r>
          </w:p>
        </w:tc>
      </w:tr>
      <w:tr w14:paraId="2DCFA3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vAlign w:val="center"/>
          </w:tcPr>
          <w:p w14:paraId="799B324D">
            <w:pPr>
              <w:pStyle w:val="41"/>
              <w:keepLines/>
              <w:ind w:left="-72" w:leftChars="-30" w:right="-72" w:rightChars="-30"/>
            </w:pPr>
            <w:r>
              <w:t>公用工程</w:t>
            </w:r>
          </w:p>
        </w:tc>
        <w:tc>
          <w:tcPr>
            <w:tcW w:w="728" w:type="pct"/>
            <w:vAlign w:val="center"/>
          </w:tcPr>
          <w:p w14:paraId="51E5AC75">
            <w:pPr>
              <w:pStyle w:val="41"/>
              <w:keepLines/>
              <w:ind w:left="-72" w:leftChars="-30" w:right="-72" w:rightChars="-30"/>
            </w:pPr>
            <w:r>
              <w:t>供配电</w:t>
            </w:r>
          </w:p>
        </w:tc>
        <w:tc>
          <w:tcPr>
            <w:tcW w:w="2670" w:type="pct"/>
            <w:gridSpan w:val="2"/>
            <w:vAlign w:val="center"/>
          </w:tcPr>
          <w:p w14:paraId="7315E156">
            <w:pPr>
              <w:pStyle w:val="41"/>
              <w:keepLines/>
            </w:pPr>
            <w:r>
              <w:t>自建变电站，配套建设动力车间供电</w:t>
            </w:r>
          </w:p>
        </w:tc>
        <w:tc>
          <w:tcPr>
            <w:tcW w:w="1297" w:type="pct"/>
            <w:vAlign w:val="center"/>
          </w:tcPr>
          <w:p w14:paraId="2972A278">
            <w:pPr>
              <w:pStyle w:val="41"/>
              <w:keepLines/>
            </w:pPr>
            <w:r>
              <w:t>无变化</w:t>
            </w:r>
          </w:p>
        </w:tc>
      </w:tr>
      <w:tr w14:paraId="19981D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11C99B2D">
            <w:pPr>
              <w:pStyle w:val="41"/>
              <w:keepLines/>
              <w:ind w:left="-72" w:leftChars="-30" w:right="-72" w:rightChars="-30"/>
            </w:pPr>
          </w:p>
        </w:tc>
        <w:tc>
          <w:tcPr>
            <w:tcW w:w="728" w:type="pct"/>
            <w:vAlign w:val="center"/>
          </w:tcPr>
          <w:p w14:paraId="7E52B714">
            <w:pPr>
              <w:pStyle w:val="41"/>
              <w:keepLines/>
              <w:ind w:left="-72" w:leftChars="-30" w:right="-72" w:rightChars="-30"/>
            </w:pPr>
            <w:r>
              <w:t>给排水</w:t>
            </w:r>
          </w:p>
        </w:tc>
        <w:tc>
          <w:tcPr>
            <w:tcW w:w="2670" w:type="pct"/>
            <w:gridSpan w:val="2"/>
            <w:vAlign w:val="center"/>
          </w:tcPr>
          <w:p w14:paraId="46468123">
            <w:pPr>
              <w:pStyle w:val="41"/>
              <w:keepLines/>
            </w:pPr>
            <w:r>
              <w:t>厂区现状工业用水和生活用水由园区供水管网供给。生活污水采用地埋式化粪池处理后排入园区污水管网。</w:t>
            </w:r>
          </w:p>
        </w:tc>
        <w:tc>
          <w:tcPr>
            <w:tcW w:w="1297" w:type="pct"/>
            <w:vAlign w:val="center"/>
          </w:tcPr>
          <w:p w14:paraId="19D4F3C2">
            <w:pPr>
              <w:pStyle w:val="41"/>
              <w:keepLines/>
            </w:pPr>
            <w:r>
              <w:t>无变化</w:t>
            </w:r>
          </w:p>
        </w:tc>
      </w:tr>
      <w:tr w14:paraId="19FD5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vAlign w:val="center"/>
          </w:tcPr>
          <w:p w14:paraId="7BAB41FD">
            <w:pPr>
              <w:pStyle w:val="41"/>
              <w:keepLines/>
              <w:ind w:left="-72" w:leftChars="-30" w:right="-72" w:rightChars="-30"/>
            </w:pPr>
            <w:r>
              <w:t>环保工程</w:t>
            </w:r>
          </w:p>
        </w:tc>
        <w:tc>
          <w:tcPr>
            <w:tcW w:w="728" w:type="pct"/>
            <w:vMerge w:val="restart"/>
            <w:vAlign w:val="center"/>
          </w:tcPr>
          <w:p w14:paraId="740F7281">
            <w:pPr>
              <w:pStyle w:val="41"/>
              <w:keepLines/>
              <w:ind w:left="-72" w:leftChars="-30" w:right="-72" w:rightChars="-30"/>
            </w:pPr>
            <w:r>
              <w:t>废气</w:t>
            </w:r>
          </w:p>
        </w:tc>
        <w:tc>
          <w:tcPr>
            <w:tcW w:w="1001" w:type="pct"/>
            <w:vAlign w:val="center"/>
          </w:tcPr>
          <w:p w14:paraId="0FA8B8C6">
            <w:pPr>
              <w:pStyle w:val="41"/>
              <w:keepLines/>
            </w:pPr>
            <w:r>
              <w:t>配料工段废气</w:t>
            </w:r>
          </w:p>
        </w:tc>
        <w:tc>
          <w:tcPr>
            <w:tcW w:w="1669" w:type="pct"/>
            <w:vAlign w:val="center"/>
          </w:tcPr>
          <w:p w14:paraId="56C54BC9">
            <w:pPr>
              <w:pStyle w:val="41"/>
              <w:keepLines/>
            </w:pPr>
            <w:r>
              <w:t>袋式除尘器+15m排气筒（DA006）</w:t>
            </w:r>
          </w:p>
        </w:tc>
        <w:tc>
          <w:tcPr>
            <w:tcW w:w="1297" w:type="pct"/>
            <w:vMerge w:val="restart"/>
            <w:vAlign w:val="center"/>
          </w:tcPr>
          <w:p w14:paraId="69F93F46">
            <w:pPr>
              <w:pStyle w:val="41"/>
              <w:keepLines/>
            </w:pPr>
            <w:r>
              <w:t>技改新增冶炼车间采用袋式除尘器+15m排气筒（DA009）</w:t>
            </w:r>
          </w:p>
        </w:tc>
      </w:tr>
      <w:tr w14:paraId="24AE85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271DC7C9">
            <w:pPr>
              <w:pStyle w:val="41"/>
              <w:keepLines/>
              <w:ind w:left="-72" w:leftChars="-30" w:right="-72" w:rightChars="-30"/>
            </w:pPr>
          </w:p>
        </w:tc>
        <w:tc>
          <w:tcPr>
            <w:tcW w:w="728" w:type="pct"/>
            <w:vMerge w:val="continue"/>
            <w:vAlign w:val="center"/>
          </w:tcPr>
          <w:p w14:paraId="3C8636F9">
            <w:pPr>
              <w:pStyle w:val="41"/>
              <w:keepLines/>
              <w:ind w:left="-72" w:leftChars="-30" w:right="-72" w:rightChars="-30"/>
            </w:pPr>
          </w:p>
        </w:tc>
        <w:tc>
          <w:tcPr>
            <w:tcW w:w="1001" w:type="pct"/>
            <w:vAlign w:val="center"/>
          </w:tcPr>
          <w:p w14:paraId="03F7B6D7">
            <w:pPr>
              <w:pStyle w:val="41"/>
              <w:keepLines/>
            </w:pPr>
            <w:r>
              <w:t>冶炼浇筑工段废气</w:t>
            </w:r>
          </w:p>
        </w:tc>
        <w:tc>
          <w:tcPr>
            <w:tcW w:w="1669" w:type="pct"/>
            <w:vAlign w:val="center"/>
          </w:tcPr>
          <w:p w14:paraId="512E1B6A">
            <w:pPr>
              <w:pStyle w:val="41"/>
              <w:keepLines/>
            </w:pPr>
            <w:r>
              <w:t>袋式除尘器+15m排气筒（DA003）</w:t>
            </w:r>
          </w:p>
        </w:tc>
        <w:tc>
          <w:tcPr>
            <w:tcW w:w="1297" w:type="pct"/>
            <w:vMerge w:val="continue"/>
            <w:vAlign w:val="center"/>
          </w:tcPr>
          <w:p w14:paraId="70DE8C05">
            <w:pPr>
              <w:pStyle w:val="41"/>
              <w:keepLines/>
            </w:pPr>
          </w:p>
        </w:tc>
      </w:tr>
      <w:tr w14:paraId="22A569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565163D8">
            <w:pPr>
              <w:pStyle w:val="41"/>
              <w:keepLines/>
              <w:ind w:left="-72" w:leftChars="-30" w:right="-72" w:rightChars="-30"/>
            </w:pPr>
          </w:p>
        </w:tc>
        <w:tc>
          <w:tcPr>
            <w:tcW w:w="728" w:type="pct"/>
            <w:vMerge w:val="continue"/>
            <w:vAlign w:val="center"/>
          </w:tcPr>
          <w:p w14:paraId="0B702E0A">
            <w:pPr>
              <w:pStyle w:val="41"/>
              <w:keepLines/>
              <w:ind w:left="-72" w:leftChars="-30" w:right="-72" w:rightChars="-30"/>
            </w:pPr>
          </w:p>
        </w:tc>
        <w:tc>
          <w:tcPr>
            <w:tcW w:w="1001" w:type="pct"/>
            <w:vAlign w:val="center"/>
          </w:tcPr>
          <w:p w14:paraId="69A2DD91">
            <w:pPr>
              <w:pStyle w:val="41"/>
              <w:keepLines/>
            </w:pPr>
            <w:r>
              <w:t>烧结破碎筛分工段废气</w:t>
            </w:r>
          </w:p>
        </w:tc>
        <w:tc>
          <w:tcPr>
            <w:tcW w:w="1669" w:type="pct"/>
            <w:vAlign w:val="center"/>
          </w:tcPr>
          <w:p w14:paraId="281AFCC3">
            <w:pPr>
              <w:pStyle w:val="41"/>
              <w:keepLines/>
            </w:pPr>
            <w:r>
              <w:rPr>
                <w:spacing w:val="-3"/>
                <w:kern w:val="0"/>
              </w:rPr>
              <w:t>经</w:t>
            </w:r>
            <w:r>
              <w:rPr>
                <w:spacing w:val="-1"/>
              </w:rPr>
              <w:t>袋式除尘器+15m排气筒（DA004）</w:t>
            </w:r>
            <w:r>
              <w:rPr>
                <w:kern w:val="0"/>
              </w:rPr>
              <w:t>排放</w:t>
            </w:r>
          </w:p>
        </w:tc>
        <w:tc>
          <w:tcPr>
            <w:tcW w:w="1297" w:type="pct"/>
            <w:vAlign w:val="center"/>
          </w:tcPr>
          <w:p w14:paraId="2E5F8CB3">
            <w:pPr>
              <w:pStyle w:val="41"/>
              <w:keepLines/>
            </w:pPr>
            <w:r>
              <w:t>无变化</w:t>
            </w:r>
          </w:p>
        </w:tc>
      </w:tr>
      <w:tr w14:paraId="000DC6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3EDD53BB">
            <w:pPr>
              <w:pStyle w:val="41"/>
              <w:keepLines/>
              <w:ind w:left="-72" w:leftChars="-30" w:right="-72" w:rightChars="-30"/>
            </w:pPr>
          </w:p>
        </w:tc>
        <w:tc>
          <w:tcPr>
            <w:tcW w:w="728" w:type="pct"/>
            <w:vMerge w:val="continue"/>
            <w:vAlign w:val="center"/>
          </w:tcPr>
          <w:p w14:paraId="4BE21456">
            <w:pPr>
              <w:pStyle w:val="41"/>
              <w:keepLines/>
              <w:ind w:left="-72" w:leftChars="-30" w:right="-72" w:rightChars="-30"/>
            </w:pPr>
          </w:p>
        </w:tc>
        <w:tc>
          <w:tcPr>
            <w:tcW w:w="1001" w:type="pct"/>
            <w:vAlign w:val="center"/>
          </w:tcPr>
          <w:p w14:paraId="3B32F432">
            <w:pPr>
              <w:pStyle w:val="41"/>
              <w:keepLines/>
            </w:pPr>
            <w:r>
              <w:t>烧结废气</w:t>
            </w:r>
          </w:p>
        </w:tc>
        <w:tc>
          <w:tcPr>
            <w:tcW w:w="1669" w:type="pct"/>
            <w:vAlign w:val="center"/>
          </w:tcPr>
          <w:p w14:paraId="2CCEEA8C">
            <w:pPr>
              <w:pStyle w:val="41"/>
              <w:keepLines/>
            </w:pPr>
            <w:r>
              <w:rPr>
                <w:spacing w:val="-1"/>
                <w:kern w:val="0"/>
              </w:rPr>
              <w:t>经SCR脱硝+多</w:t>
            </w:r>
            <w:r>
              <w:rPr>
                <w:kern w:val="0"/>
              </w:rPr>
              <w:t>管加布袋除尘器除尘+双碱法脱硫处理后通过55m排气筒</w:t>
            </w:r>
            <w:r>
              <w:rPr>
                <w:spacing w:val="-1"/>
              </w:rPr>
              <w:t>（DA002）</w:t>
            </w:r>
            <w:r>
              <w:rPr>
                <w:kern w:val="0"/>
              </w:rPr>
              <w:t>排放</w:t>
            </w:r>
          </w:p>
        </w:tc>
        <w:tc>
          <w:tcPr>
            <w:tcW w:w="1297" w:type="pct"/>
            <w:vAlign w:val="center"/>
          </w:tcPr>
          <w:p w14:paraId="1908C22C">
            <w:pPr>
              <w:pStyle w:val="41"/>
              <w:keepLines/>
            </w:pPr>
            <w:r>
              <w:t>无变化</w:t>
            </w:r>
          </w:p>
        </w:tc>
      </w:tr>
      <w:tr w14:paraId="27EAB6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2B76F060">
            <w:pPr>
              <w:pStyle w:val="41"/>
              <w:keepLines/>
              <w:ind w:left="-72" w:leftChars="-30" w:right="-72" w:rightChars="-30"/>
            </w:pPr>
          </w:p>
        </w:tc>
        <w:tc>
          <w:tcPr>
            <w:tcW w:w="728" w:type="pct"/>
            <w:vMerge w:val="continue"/>
            <w:vAlign w:val="center"/>
          </w:tcPr>
          <w:p w14:paraId="0CF06D8B">
            <w:pPr>
              <w:pStyle w:val="41"/>
              <w:keepLines/>
              <w:ind w:left="-72" w:leftChars="-30" w:right="-72" w:rightChars="-30"/>
            </w:pPr>
          </w:p>
        </w:tc>
        <w:tc>
          <w:tcPr>
            <w:tcW w:w="1001" w:type="pct"/>
            <w:vAlign w:val="center"/>
          </w:tcPr>
          <w:p w14:paraId="7EA7265D">
            <w:pPr>
              <w:pStyle w:val="41"/>
              <w:keepLines/>
            </w:pPr>
            <w:r>
              <w:t>动力车间</w:t>
            </w:r>
          </w:p>
        </w:tc>
        <w:tc>
          <w:tcPr>
            <w:tcW w:w="1669" w:type="pct"/>
            <w:vAlign w:val="center"/>
          </w:tcPr>
          <w:p w14:paraId="6D77B8D1">
            <w:pPr>
              <w:pStyle w:val="41"/>
              <w:keepLines/>
            </w:pPr>
            <w:r>
              <w:t>采取双室四电场静电除尘器+炉内干法喷钙脱硫设施+SNCR烟气脱硝设施+100m排气筒（DA001）</w:t>
            </w:r>
          </w:p>
        </w:tc>
        <w:tc>
          <w:tcPr>
            <w:tcW w:w="1297" w:type="pct"/>
            <w:vAlign w:val="center"/>
          </w:tcPr>
          <w:p w14:paraId="24FA0DA8">
            <w:pPr>
              <w:pStyle w:val="41"/>
              <w:keepLines/>
            </w:pPr>
            <w:r>
              <w:t>无变化</w:t>
            </w:r>
          </w:p>
        </w:tc>
      </w:tr>
      <w:tr w14:paraId="021232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305" w:type="pct"/>
            <w:vMerge w:val="continue"/>
            <w:vAlign w:val="center"/>
          </w:tcPr>
          <w:p w14:paraId="7276AF33">
            <w:pPr>
              <w:pStyle w:val="41"/>
              <w:keepLines/>
              <w:ind w:left="-72" w:leftChars="-30" w:right="-72" w:rightChars="-30"/>
            </w:pPr>
          </w:p>
        </w:tc>
        <w:tc>
          <w:tcPr>
            <w:tcW w:w="728" w:type="pct"/>
            <w:vMerge w:val="continue"/>
            <w:vAlign w:val="center"/>
          </w:tcPr>
          <w:p w14:paraId="4E2C3315">
            <w:pPr>
              <w:pStyle w:val="41"/>
              <w:keepLines/>
              <w:ind w:left="-72" w:leftChars="-30" w:right="-72" w:rightChars="-30"/>
            </w:pPr>
          </w:p>
        </w:tc>
        <w:tc>
          <w:tcPr>
            <w:tcW w:w="1001" w:type="pct"/>
            <w:vAlign w:val="center"/>
          </w:tcPr>
          <w:p w14:paraId="10B09AB4">
            <w:pPr>
              <w:pStyle w:val="41"/>
              <w:keepLines/>
              <w:ind w:left="-120" w:leftChars="-50" w:right="-120" w:rightChars="-50"/>
            </w:pPr>
            <w:r>
              <w:t>矿棉生产车间（保温、集棉、成型工段）</w:t>
            </w:r>
          </w:p>
        </w:tc>
        <w:tc>
          <w:tcPr>
            <w:tcW w:w="1669" w:type="pct"/>
            <w:vAlign w:val="center"/>
          </w:tcPr>
          <w:p w14:paraId="622B9859">
            <w:pPr>
              <w:pStyle w:val="41"/>
              <w:keepLines/>
            </w:pPr>
            <w:r>
              <w:t>岩棉板过滤除尘器+烟道喷淋+40m排口（DA005）</w:t>
            </w:r>
          </w:p>
        </w:tc>
        <w:tc>
          <w:tcPr>
            <w:tcW w:w="1297" w:type="pct"/>
            <w:vAlign w:val="center"/>
          </w:tcPr>
          <w:p w14:paraId="3D806792">
            <w:pPr>
              <w:pStyle w:val="41"/>
              <w:keepLines/>
            </w:pPr>
            <w:r>
              <w:t>无变化</w:t>
            </w:r>
          </w:p>
        </w:tc>
      </w:tr>
      <w:tr w14:paraId="43A513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0F2F844C">
            <w:pPr>
              <w:pStyle w:val="41"/>
              <w:keepLines/>
              <w:ind w:left="-72" w:leftChars="-30" w:right="-72" w:rightChars="-30"/>
            </w:pPr>
          </w:p>
        </w:tc>
        <w:tc>
          <w:tcPr>
            <w:tcW w:w="728" w:type="pct"/>
            <w:vMerge w:val="continue"/>
            <w:vAlign w:val="center"/>
          </w:tcPr>
          <w:p w14:paraId="2CF322D7">
            <w:pPr>
              <w:pStyle w:val="41"/>
              <w:keepLines/>
              <w:ind w:left="-72" w:leftChars="-30" w:right="-72" w:rightChars="-30"/>
            </w:pPr>
          </w:p>
        </w:tc>
        <w:tc>
          <w:tcPr>
            <w:tcW w:w="1001" w:type="pct"/>
            <w:vAlign w:val="center"/>
          </w:tcPr>
          <w:p w14:paraId="068C6AAD">
            <w:pPr>
              <w:pStyle w:val="41"/>
              <w:keepLines/>
            </w:pPr>
            <w:r>
              <w:t>矿棉生产车间（固化、切割工段）</w:t>
            </w:r>
          </w:p>
        </w:tc>
        <w:tc>
          <w:tcPr>
            <w:tcW w:w="1669" w:type="pct"/>
            <w:vAlign w:val="center"/>
          </w:tcPr>
          <w:p w14:paraId="53E516C9">
            <w:pPr>
              <w:pStyle w:val="41"/>
              <w:keepLines/>
            </w:pPr>
            <w:r>
              <w:t>岩棉板过滤除尘器+烟道喷淋+25m排口（DA007）</w:t>
            </w:r>
          </w:p>
        </w:tc>
        <w:tc>
          <w:tcPr>
            <w:tcW w:w="1297" w:type="pct"/>
            <w:vAlign w:val="center"/>
          </w:tcPr>
          <w:p w14:paraId="16A7EFBE">
            <w:pPr>
              <w:pStyle w:val="41"/>
              <w:keepLines/>
            </w:pPr>
            <w:r>
              <w:t>无变化</w:t>
            </w:r>
          </w:p>
        </w:tc>
      </w:tr>
      <w:tr w14:paraId="5A1425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2EF87FFF">
            <w:pPr>
              <w:pStyle w:val="41"/>
              <w:keepLines/>
              <w:ind w:left="-72" w:leftChars="-30" w:right="-72" w:rightChars="-30"/>
            </w:pPr>
          </w:p>
        </w:tc>
        <w:tc>
          <w:tcPr>
            <w:tcW w:w="728" w:type="pct"/>
            <w:vMerge w:val="restart"/>
            <w:vAlign w:val="center"/>
          </w:tcPr>
          <w:p w14:paraId="0E532AA3">
            <w:pPr>
              <w:pStyle w:val="41"/>
              <w:keepLines/>
              <w:ind w:left="-72" w:leftChars="-30" w:right="-72" w:rightChars="-30"/>
            </w:pPr>
            <w:r>
              <w:t>废水</w:t>
            </w:r>
          </w:p>
        </w:tc>
        <w:tc>
          <w:tcPr>
            <w:tcW w:w="1001" w:type="pct"/>
            <w:vAlign w:val="center"/>
          </w:tcPr>
          <w:p w14:paraId="27977041">
            <w:pPr>
              <w:pStyle w:val="41"/>
              <w:keepLines/>
            </w:pPr>
            <w:r>
              <w:t>工业用水</w:t>
            </w:r>
          </w:p>
        </w:tc>
        <w:tc>
          <w:tcPr>
            <w:tcW w:w="1669" w:type="pct"/>
            <w:vAlign w:val="center"/>
          </w:tcPr>
          <w:p w14:paraId="77BA3A90">
            <w:pPr>
              <w:pStyle w:val="41"/>
              <w:keepLines/>
            </w:pPr>
            <w:r>
              <w:t>全厂工业用水全部循环使用，不外排</w:t>
            </w:r>
          </w:p>
        </w:tc>
        <w:tc>
          <w:tcPr>
            <w:tcW w:w="1297" w:type="pct"/>
            <w:vAlign w:val="center"/>
          </w:tcPr>
          <w:p w14:paraId="3E65950F">
            <w:pPr>
              <w:pStyle w:val="41"/>
              <w:keepLines/>
            </w:pPr>
            <w:r>
              <w:t>无变化</w:t>
            </w:r>
          </w:p>
        </w:tc>
      </w:tr>
      <w:tr w14:paraId="618EAF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51FF1DBB">
            <w:pPr>
              <w:pStyle w:val="41"/>
              <w:keepLines/>
              <w:ind w:left="-72" w:leftChars="-30" w:right="-72" w:rightChars="-30"/>
            </w:pPr>
          </w:p>
        </w:tc>
        <w:tc>
          <w:tcPr>
            <w:tcW w:w="728" w:type="pct"/>
            <w:vMerge w:val="continue"/>
            <w:vAlign w:val="center"/>
          </w:tcPr>
          <w:p w14:paraId="432470B7">
            <w:pPr>
              <w:pStyle w:val="41"/>
              <w:keepLines/>
              <w:ind w:left="-72" w:leftChars="-30" w:right="-72" w:rightChars="-30"/>
            </w:pPr>
          </w:p>
        </w:tc>
        <w:tc>
          <w:tcPr>
            <w:tcW w:w="1001" w:type="pct"/>
            <w:vAlign w:val="center"/>
          </w:tcPr>
          <w:p w14:paraId="6804F7E4">
            <w:pPr>
              <w:pStyle w:val="41"/>
              <w:keepLines/>
            </w:pPr>
            <w:r>
              <w:t>生活污水</w:t>
            </w:r>
          </w:p>
        </w:tc>
        <w:tc>
          <w:tcPr>
            <w:tcW w:w="1669" w:type="pct"/>
            <w:vAlign w:val="center"/>
          </w:tcPr>
          <w:p w14:paraId="21A6D6BF">
            <w:pPr>
              <w:pStyle w:val="41"/>
              <w:keepLines/>
            </w:pPr>
            <w:r>
              <w:t>生活污水采用地埋式化粪池处理后排入园区污水管网。</w:t>
            </w:r>
          </w:p>
        </w:tc>
        <w:tc>
          <w:tcPr>
            <w:tcW w:w="1297" w:type="pct"/>
            <w:vAlign w:val="center"/>
          </w:tcPr>
          <w:p w14:paraId="18892CF7">
            <w:pPr>
              <w:pStyle w:val="41"/>
              <w:keepLines/>
            </w:pPr>
            <w:r>
              <w:t>无变化</w:t>
            </w:r>
          </w:p>
        </w:tc>
      </w:tr>
      <w:tr w14:paraId="4D65E4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39EE1065">
            <w:pPr>
              <w:pStyle w:val="41"/>
              <w:keepLines/>
              <w:ind w:left="-72" w:leftChars="-30" w:right="-72" w:rightChars="-30"/>
            </w:pPr>
          </w:p>
        </w:tc>
        <w:tc>
          <w:tcPr>
            <w:tcW w:w="728" w:type="pct"/>
            <w:vMerge w:val="restart"/>
            <w:vAlign w:val="center"/>
          </w:tcPr>
          <w:p w14:paraId="7CF7B3F3">
            <w:pPr>
              <w:pStyle w:val="41"/>
              <w:keepLines/>
              <w:ind w:left="-72" w:leftChars="-30" w:right="-72" w:rightChars="-30"/>
            </w:pPr>
            <w:r>
              <w:t>固体废物</w:t>
            </w:r>
          </w:p>
        </w:tc>
        <w:tc>
          <w:tcPr>
            <w:tcW w:w="1001" w:type="pct"/>
            <w:vAlign w:val="center"/>
          </w:tcPr>
          <w:p w14:paraId="45BF797F">
            <w:pPr>
              <w:pStyle w:val="41"/>
              <w:keepLines/>
            </w:pPr>
            <w:r>
              <w:t>危险废物</w:t>
            </w:r>
          </w:p>
        </w:tc>
        <w:tc>
          <w:tcPr>
            <w:tcW w:w="1669" w:type="pct"/>
            <w:vAlign w:val="center"/>
          </w:tcPr>
          <w:p w14:paraId="5DA4DFAA">
            <w:pPr>
              <w:pStyle w:val="41"/>
              <w:keepLines/>
            </w:pPr>
            <w:r>
              <w:t>集中收集后在危废暂存间暂存，统一由新疆福克油品股份有限公司回收处理</w:t>
            </w:r>
          </w:p>
        </w:tc>
        <w:tc>
          <w:tcPr>
            <w:tcW w:w="1297" w:type="pct"/>
            <w:vAlign w:val="center"/>
          </w:tcPr>
          <w:p w14:paraId="1925777E">
            <w:pPr>
              <w:pStyle w:val="41"/>
              <w:keepLines/>
            </w:pPr>
            <w:r>
              <w:t>无变化</w:t>
            </w:r>
          </w:p>
        </w:tc>
      </w:tr>
      <w:tr w14:paraId="751B1F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05" w:type="pct"/>
            <w:vMerge w:val="continue"/>
            <w:vAlign w:val="center"/>
          </w:tcPr>
          <w:p w14:paraId="58FB1601">
            <w:pPr>
              <w:pStyle w:val="41"/>
              <w:keepLines/>
              <w:ind w:left="-72" w:leftChars="-30" w:right="-72" w:rightChars="-30"/>
            </w:pPr>
          </w:p>
        </w:tc>
        <w:tc>
          <w:tcPr>
            <w:tcW w:w="728" w:type="pct"/>
            <w:vMerge w:val="continue"/>
            <w:vAlign w:val="center"/>
          </w:tcPr>
          <w:p w14:paraId="3387FD9B">
            <w:pPr>
              <w:pStyle w:val="41"/>
              <w:keepLines/>
              <w:ind w:left="-72" w:leftChars="-30" w:right="-72" w:rightChars="-30"/>
            </w:pPr>
          </w:p>
        </w:tc>
        <w:tc>
          <w:tcPr>
            <w:tcW w:w="1001" w:type="pct"/>
            <w:vAlign w:val="center"/>
          </w:tcPr>
          <w:p w14:paraId="0318E39A">
            <w:pPr>
              <w:pStyle w:val="41"/>
              <w:keepLines/>
            </w:pPr>
            <w:r>
              <w:t>锅炉炉渣、粉煤灰</w:t>
            </w:r>
          </w:p>
        </w:tc>
        <w:tc>
          <w:tcPr>
            <w:tcW w:w="1669" w:type="pct"/>
            <w:vAlign w:val="center"/>
          </w:tcPr>
          <w:p w14:paraId="6CE03893">
            <w:pPr>
              <w:pStyle w:val="41"/>
              <w:keepLines/>
            </w:pPr>
            <w:r>
              <w:t>统一由奎屯鼎坤环保科技有限公司回收处理</w:t>
            </w:r>
          </w:p>
        </w:tc>
        <w:tc>
          <w:tcPr>
            <w:tcW w:w="1297" w:type="pct"/>
            <w:vAlign w:val="center"/>
          </w:tcPr>
          <w:p w14:paraId="70E750FE">
            <w:pPr>
              <w:pStyle w:val="41"/>
              <w:keepLines/>
              <w:ind w:left="-120" w:leftChars="-50" w:right="-120" w:rightChars="-50"/>
            </w:pPr>
            <w:r>
              <w:t>无变化</w:t>
            </w:r>
          </w:p>
        </w:tc>
      </w:tr>
      <w:tr w14:paraId="5AF96B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05" w:type="pct"/>
            <w:vMerge w:val="continue"/>
            <w:vAlign w:val="center"/>
          </w:tcPr>
          <w:p w14:paraId="2C8BBC23">
            <w:pPr>
              <w:pStyle w:val="41"/>
              <w:keepLines/>
              <w:ind w:left="-72" w:leftChars="-30" w:right="-72" w:rightChars="-30"/>
            </w:pPr>
          </w:p>
        </w:tc>
        <w:tc>
          <w:tcPr>
            <w:tcW w:w="728" w:type="pct"/>
            <w:vMerge w:val="continue"/>
            <w:vAlign w:val="center"/>
          </w:tcPr>
          <w:p w14:paraId="07BD605D">
            <w:pPr>
              <w:pStyle w:val="41"/>
              <w:keepLines/>
              <w:ind w:left="-72" w:leftChars="-30" w:right="-72" w:rightChars="-30"/>
            </w:pPr>
          </w:p>
        </w:tc>
        <w:tc>
          <w:tcPr>
            <w:tcW w:w="1001" w:type="pct"/>
            <w:vAlign w:val="center"/>
          </w:tcPr>
          <w:p w14:paraId="07267481">
            <w:pPr>
              <w:pStyle w:val="41"/>
              <w:keepLines/>
            </w:pPr>
            <w:r>
              <w:t>矿渣、渣球、收尘灰、废岩棉板</w:t>
            </w:r>
          </w:p>
        </w:tc>
        <w:tc>
          <w:tcPr>
            <w:tcW w:w="1669" w:type="pct"/>
            <w:vAlign w:val="center"/>
          </w:tcPr>
          <w:p w14:paraId="69502C7D">
            <w:pPr>
              <w:pStyle w:val="41"/>
              <w:keepLines/>
            </w:pPr>
            <w:r>
              <w:t>作为原料回收利用</w:t>
            </w:r>
          </w:p>
        </w:tc>
        <w:tc>
          <w:tcPr>
            <w:tcW w:w="1297" w:type="pct"/>
            <w:vAlign w:val="center"/>
          </w:tcPr>
          <w:p w14:paraId="43C79705">
            <w:pPr>
              <w:pStyle w:val="41"/>
              <w:keepLines/>
              <w:ind w:left="-120" w:leftChars="-50" w:right="-120" w:rightChars="-50"/>
            </w:pPr>
            <w:r>
              <w:t>无变化</w:t>
            </w:r>
          </w:p>
        </w:tc>
      </w:tr>
      <w:tr w14:paraId="72D8DA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05" w:type="pct"/>
            <w:vMerge w:val="continue"/>
            <w:vAlign w:val="center"/>
          </w:tcPr>
          <w:p w14:paraId="2DAFB1B5">
            <w:pPr>
              <w:pStyle w:val="41"/>
              <w:keepLines/>
              <w:ind w:left="-72" w:leftChars="-30" w:right="-72" w:rightChars="-30"/>
            </w:pPr>
          </w:p>
        </w:tc>
        <w:tc>
          <w:tcPr>
            <w:tcW w:w="728" w:type="pct"/>
            <w:vMerge w:val="continue"/>
            <w:vAlign w:val="center"/>
          </w:tcPr>
          <w:p w14:paraId="48413177">
            <w:pPr>
              <w:pStyle w:val="41"/>
              <w:keepLines/>
              <w:ind w:left="-72" w:leftChars="-30" w:right="-72" w:rightChars="-30"/>
            </w:pPr>
          </w:p>
        </w:tc>
        <w:tc>
          <w:tcPr>
            <w:tcW w:w="1001" w:type="pct"/>
            <w:vAlign w:val="center"/>
          </w:tcPr>
          <w:p w14:paraId="08136B5D">
            <w:pPr>
              <w:pStyle w:val="41"/>
              <w:keepLines/>
            </w:pPr>
            <w:r>
              <w:t>切割边角料</w:t>
            </w:r>
          </w:p>
        </w:tc>
        <w:tc>
          <w:tcPr>
            <w:tcW w:w="1669" w:type="pct"/>
            <w:vAlign w:val="center"/>
          </w:tcPr>
          <w:p w14:paraId="6C0A8D0C">
            <w:pPr>
              <w:pStyle w:val="41"/>
              <w:keepLines/>
            </w:pPr>
            <w:r>
              <w:t>粉碎后通过风管送至集棉鼓回用</w:t>
            </w:r>
          </w:p>
        </w:tc>
        <w:tc>
          <w:tcPr>
            <w:tcW w:w="1297" w:type="pct"/>
            <w:vAlign w:val="center"/>
          </w:tcPr>
          <w:p w14:paraId="6BD20363">
            <w:pPr>
              <w:pStyle w:val="41"/>
              <w:keepLines/>
              <w:ind w:left="-120" w:leftChars="-50" w:right="-120" w:rightChars="-50"/>
            </w:pPr>
            <w:r>
              <w:t>无变化</w:t>
            </w:r>
          </w:p>
        </w:tc>
      </w:tr>
      <w:tr w14:paraId="1E4C16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05" w:type="pct"/>
            <w:vMerge w:val="continue"/>
            <w:vAlign w:val="center"/>
          </w:tcPr>
          <w:p w14:paraId="0451FBED">
            <w:pPr>
              <w:pStyle w:val="41"/>
              <w:keepLines/>
              <w:ind w:left="-72" w:leftChars="-30" w:right="-72" w:rightChars="-30"/>
            </w:pPr>
          </w:p>
        </w:tc>
        <w:tc>
          <w:tcPr>
            <w:tcW w:w="728" w:type="pct"/>
            <w:vMerge w:val="continue"/>
            <w:vAlign w:val="center"/>
          </w:tcPr>
          <w:p w14:paraId="583A7542">
            <w:pPr>
              <w:pStyle w:val="41"/>
              <w:keepLines/>
              <w:ind w:left="-72" w:leftChars="-30" w:right="-72" w:rightChars="-30"/>
            </w:pPr>
          </w:p>
        </w:tc>
        <w:tc>
          <w:tcPr>
            <w:tcW w:w="1001" w:type="pct"/>
            <w:vAlign w:val="center"/>
          </w:tcPr>
          <w:p w14:paraId="55B14DBA">
            <w:pPr>
              <w:pStyle w:val="41"/>
              <w:keepLines/>
            </w:pPr>
            <w:r>
              <w:t>沉淀池底泥、岩棉板过滤残渣</w:t>
            </w:r>
          </w:p>
        </w:tc>
        <w:tc>
          <w:tcPr>
            <w:tcW w:w="1669" w:type="pct"/>
            <w:vAlign w:val="center"/>
          </w:tcPr>
          <w:p w14:paraId="0DFFAFDD">
            <w:pPr>
              <w:pStyle w:val="41"/>
              <w:keepLines/>
            </w:pPr>
            <w:r>
              <w:t>送至奎屯市固废填埋场</w:t>
            </w:r>
          </w:p>
        </w:tc>
        <w:tc>
          <w:tcPr>
            <w:tcW w:w="1297" w:type="pct"/>
            <w:vAlign w:val="center"/>
          </w:tcPr>
          <w:p w14:paraId="250A7C37">
            <w:pPr>
              <w:pStyle w:val="41"/>
              <w:keepLines/>
            </w:pPr>
            <w:r>
              <w:t>无变化</w:t>
            </w:r>
          </w:p>
        </w:tc>
      </w:tr>
      <w:tr w14:paraId="7B8D0B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05" w:type="pct"/>
            <w:vMerge w:val="continue"/>
            <w:vAlign w:val="center"/>
          </w:tcPr>
          <w:p w14:paraId="67F618C1">
            <w:pPr>
              <w:pStyle w:val="41"/>
              <w:keepLines/>
              <w:ind w:left="-72" w:leftChars="-30" w:right="-72" w:rightChars="-30"/>
            </w:pPr>
          </w:p>
        </w:tc>
        <w:tc>
          <w:tcPr>
            <w:tcW w:w="728" w:type="pct"/>
            <w:vMerge w:val="continue"/>
            <w:vAlign w:val="center"/>
          </w:tcPr>
          <w:p w14:paraId="67209ADF">
            <w:pPr>
              <w:pStyle w:val="41"/>
              <w:keepLines/>
              <w:ind w:left="-72" w:leftChars="-30" w:right="-72" w:rightChars="-30"/>
            </w:pPr>
          </w:p>
        </w:tc>
        <w:tc>
          <w:tcPr>
            <w:tcW w:w="1001" w:type="pct"/>
            <w:vAlign w:val="center"/>
          </w:tcPr>
          <w:p w14:paraId="68E25964">
            <w:pPr>
              <w:pStyle w:val="41"/>
              <w:keepLines/>
            </w:pPr>
            <w:r>
              <w:t>生活垃圾</w:t>
            </w:r>
          </w:p>
        </w:tc>
        <w:tc>
          <w:tcPr>
            <w:tcW w:w="1669" w:type="pct"/>
            <w:vAlign w:val="center"/>
          </w:tcPr>
          <w:p w14:paraId="4E8C3F3F">
            <w:pPr>
              <w:pStyle w:val="41"/>
              <w:keepLines/>
            </w:pPr>
            <w:r>
              <w:t>集中收集后委托环卫部门清运</w:t>
            </w:r>
          </w:p>
        </w:tc>
        <w:tc>
          <w:tcPr>
            <w:tcW w:w="1297" w:type="pct"/>
            <w:vAlign w:val="center"/>
          </w:tcPr>
          <w:p w14:paraId="75633FA1">
            <w:pPr>
              <w:pStyle w:val="41"/>
              <w:keepLines/>
            </w:pPr>
            <w:r>
              <w:t>无变化</w:t>
            </w:r>
          </w:p>
        </w:tc>
      </w:tr>
      <w:tr w14:paraId="23253D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6CF8A1DB">
            <w:pPr>
              <w:pStyle w:val="41"/>
              <w:keepLines/>
              <w:ind w:left="-72" w:leftChars="-30" w:right="-72" w:rightChars="-30"/>
            </w:pPr>
          </w:p>
        </w:tc>
        <w:tc>
          <w:tcPr>
            <w:tcW w:w="728" w:type="pct"/>
            <w:vAlign w:val="center"/>
          </w:tcPr>
          <w:p w14:paraId="196630A4">
            <w:pPr>
              <w:pStyle w:val="41"/>
              <w:keepLines/>
              <w:ind w:left="-72" w:leftChars="-30" w:right="-72" w:rightChars="-30"/>
            </w:pPr>
            <w:r>
              <w:t>噪声</w:t>
            </w:r>
          </w:p>
        </w:tc>
        <w:tc>
          <w:tcPr>
            <w:tcW w:w="1001" w:type="pct"/>
            <w:vAlign w:val="center"/>
          </w:tcPr>
          <w:p w14:paraId="0064D494">
            <w:pPr>
              <w:pStyle w:val="41"/>
              <w:keepLines/>
            </w:pPr>
            <w:r>
              <w:t>工业噪声</w:t>
            </w:r>
          </w:p>
        </w:tc>
        <w:tc>
          <w:tcPr>
            <w:tcW w:w="1669" w:type="pct"/>
            <w:vAlign w:val="center"/>
          </w:tcPr>
          <w:p w14:paraId="373BF2CE">
            <w:pPr>
              <w:pStyle w:val="41"/>
              <w:keepLines/>
            </w:pPr>
            <w:r>
              <w:t>全厂噪声部位分别设置隔声、减震措施。</w:t>
            </w:r>
          </w:p>
        </w:tc>
        <w:tc>
          <w:tcPr>
            <w:tcW w:w="1297" w:type="pct"/>
            <w:vAlign w:val="center"/>
          </w:tcPr>
          <w:p w14:paraId="11DE95CB">
            <w:pPr>
              <w:pStyle w:val="41"/>
              <w:keepLines/>
            </w:pPr>
            <w:r>
              <w:t>无变化</w:t>
            </w:r>
          </w:p>
        </w:tc>
      </w:tr>
      <w:tr w14:paraId="71EED7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66A7C1AE">
            <w:pPr>
              <w:pStyle w:val="41"/>
              <w:keepLines/>
              <w:ind w:left="-72" w:leftChars="-30" w:right="-72" w:rightChars="-30"/>
            </w:pPr>
          </w:p>
        </w:tc>
        <w:tc>
          <w:tcPr>
            <w:tcW w:w="728" w:type="pct"/>
            <w:vMerge w:val="restart"/>
            <w:vAlign w:val="center"/>
          </w:tcPr>
          <w:p w14:paraId="4CBE191C">
            <w:pPr>
              <w:pStyle w:val="41"/>
              <w:keepLines/>
              <w:ind w:left="-72" w:leftChars="-30" w:right="-72" w:rightChars="-30"/>
            </w:pPr>
            <w:r>
              <w:t>环境风险</w:t>
            </w:r>
          </w:p>
        </w:tc>
        <w:tc>
          <w:tcPr>
            <w:tcW w:w="1001" w:type="pct"/>
            <w:vAlign w:val="center"/>
          </w:tcPr>
          <w:p w14:paraId="33D62C67">
            <w:pPr>
              <w:pStyle w:val="41"/>
            </w:pPr>
            <w:r>
              <w:t>分区防渗措施</w:t>
            </w:r>
          </w:p>
        </w:tc>
        <w:tc>
          <w:tcPr>
            <w:tcW w:w="1669" w:type="pct"/>
            <w:vAlign w:val="center"/>
          </w:tcPr>
          <w:p w14:paraId="3A722E1B">
            <w:pPr>
              <w:pStyle w:val="41"/>
              <w:jc w:val="left"/>
            </w:pPr>
            <w:r>
              <w:t>项目对厂址区域采取分区防渗，生产装置区，危废暂存间区划定为重点防渗区，其防渗性能满足《危险废物贮存污染控制标准》（GB18597-2023）防渗要求，并设置防渗检漏系统；其它生产区域划分为一般防渗区采用“地面夯实+抗渗混凝土”，防渗层的防渗性能不低于1.5m厚渗透系数为1.0×10</w:t>
            </w:r>
            <w:r>
              <w:rPr>
                <w:vertAlign w:val="superscript"/>
              </w:rPr>
              <w:t>-7</w:t>
            </w:r>
            <w:r>
              <w:t>cm/s的黏土层的防渗性能；办公生活区划定为简单防渗区，采用“地面夯实+混凝土”。</w:t>
            </w:r>
          </w:p>
        </w:tc>
        <w:tc>
          <w:tcPr>
            <w:tcW w:w="1297" w:type="pct"/>
            <w:vAlign w:val="center"/>
          </w:tcPr>
          <w:p w14:paraId="495F8E9C">
            <w:pPr>
              <w:pStyle w:val="41"/>
            </w:pPr>
            <w:r>
              <w:t>无变化</w:t>
            </w:r>
          </w:p>
        </w:tc>
      </w:tr>
      <w:tr w14:paraId="4E15CA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vAlign w:val="center"/>
          </w:tcPr>
          <w:p w14:paraId="72CD573B">
            <w:pPr>
              <w:pStyle w:val="41"/>
              <w:keepLines/>
              <w:ind w:left="-72" w:leftChars="-30" w:right="-72" w:rightChars="-30"/>
            </w:pPr>
          </w:p>
        </w:tc>
        <w:tc>
          <w:tcPr>
            <w:tcW w:w="728" w:type="pct"/>
            <w:vMerge w:val="continue"/>
            <w:vAlign w:val="center"/>
          </w:tcPr>
          <w:p w14:paraId="4A9872A3">
            <w:pPr>
              <w:pStyle w:val="41"/>
              <w:keepLines/>
              <w:ind w:left="-72" w:leftChars="-30" w:right="-72" w:rightChars="-30"/>
            </w:pPr>
          </w:p>
        </w:tc>
        <w:tc>
          <w:tcPr>
            <w:tcW w:w="1001" w:type="pct"/>
            <w:vAlign w:val="center"/>
          </w:tcPr>
          <w:p w14:paraId="5572A8F6">
            <w:pPr>
              <w:pStyle w:val="41"/>
              <w:keepLines/>
            </w:pPr>
            <w:r>
              <w:t>环境风险防控措施</w:t>
            </w:r>
          </w:p>
        </w:tc>
        <w:tc>
          <w:tcPr>
            <w:tcW w:w="1669" w:type="pct"/>
            <w:vAlign w:val="center"/>
          </w:tcPr>
          <w:p w14:paraId="2AC8C5BA">
            <w:pPr>
              <w:pStyle w:val="41"/>
              <w:keepLines/>
            </w:pPr>
            <w:r>
              <w:t>安装相关的在线监测设备和环保分析采样设备，包括在线监测设备仪器等。</w:t>
            </w:r>
          </w:p>
        </w:tc>
        <w:tc>
          <w:tcPr>
            <w:tcW w:w="1297" w:type="pct"/>
            <w:vAlign w:val="center"/>
          </w:tcPr>
          <w:p w14:paraId="73563AAC">
            <w:pPr>
              <w:pStyle w:val="41"/>
              <w:keepLines/>
            </w:pPr>
            <w:r>
              <w:t>无变化</w:t>
            </w:r>
          </w:p>
        </w:tc>
      </w:tr>
    </w:tbl>
    <w:p w14:paraId="3518A147">
      <w:pPr>
        <w:widowControl/>
        <w:ind w:firstLine="480" w:firstLineChars="200"/>
        <w:jc w:val="left"/>
      </w:pPr>
      <w:r>
        <w:t>本次技改工程主要建构筑物见下表：</w:t>
      </w:r>
    </w:p>
    <w:p w14:paraId="0CEFED13">
      <w:pPr>
        <w:pStyle w:val="40"/>
        <w:spacing w:before="120"/>
      </w:pPr>
      <w:r>
        <w:t>表4.1-2  主要建构筑物一览表</w:t>
      </w:r>
    </w:p>
    <w:tbl>
      <w:tblPr>
        <w:tblStyle w:val="4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446"/>
        <w:gridCol w:w="763"/>
        <w:gridCol w:w="914"/>
        <w:gridCol w:w="947"/>
        <w:gridCol w:w="1130"/>
        <w:gridCol w:w="1018"/>
        <w:gridCol w:w="1222"/>
        <w:gridCol w:w="901"/>
      </w:tblGrid>
      <w:tr w14:paraId="5CDAE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6B66A1EE">
            <w:pPr>
              <w:pStyle w:val="34"/>
              <w:rPr>
                <w:rFonts w:ascii="Calibri" w:hAnsi="Calibri"/>
              </w:rPr>
            </w:pPr>
            <w:r>
              <w:rPr>
                <w:rFonts w:ascii="Calibri" w:hAnsi="Calibri"/>
              </w:rPr>
              <w:t>序号</w:t>
            </w:r>
          </w:p>
        </w:tc>
        <w:tc>
          <w:tcPr>
            <w:tcW w:w="817" w:type="pct"/>
            <w:vAlign w:val="center"/>
          </w:tcPr>
          <w:p w14:paraId="5B5F11DC">
            <w:pPr>
              <w:pStyle w:val="34"/>
              <w:rPr>
                <w:rFonts w:ascii="Calibri" w:hAnsi="Calibri"/>
              </w:rPr>
            </w:pPr>
            <w:r>
              <w:rPr>
                <w:rFonts w:ascii="Calibri" w:hAnsi="Calibri"/>
                <w:spacing w:val="-2"/>
              </w:rPr>
              <w:t>建构筑物名称</w:t>
            </w:r>
          </w:p>
        </w:tc>
        <w:tc>
          <w:tcPr>
            <w:tcW w:w="431" w:type="pct"/>
            <w:vAlign w:val="center"/>
          </w:tcPr>
          <w:p w14:paraId="693CFC10">
            <w:pPr>
              <w:pStyle w:val="34"/>
              <w:rPr>
                <w:rFonts w:ascii="Calibri" w:hAnsi="Calibri"/>
              </w:rPr>
            </w:pPr>
            <w:r>
              <w:rPr>
                <w:rFonts w:ascii="Calibri" w:hAnsi="Calibri"/>
                <w:spacing w:val="-4"/>
              </w:rPr>
              <w:t>层数</w:t>
            </w:r>
          </w:p>
        </w:tc>
        <w:tc>
          <w:tcPr>
            <w:tcW w:w="516" w:type="pct"/>
            <w:vAlign w:val="center"/>
          </w:tcPr>
          <w:p w14:paraId="639ED52A">
            <w:pPr>
              <w:pStyle w:val="34"/>
              <w:rPr>
                <w:rFonts w:ascii="Calibri" w:hAnsi="Calibri"/>
              </w:rPr>
            </w:pPr>
            <w:r>
              <w:rPr>
                <w:rFonts w:ascii="Calibri" w:hAnsi="Calibri"/>
              </w:rPr>
              <w:t>高度（</w:t>
            </w:r>
            <w:r>
              <w:rPr>
                <w:rFonts w:ascii="Calibri" w:hAnsi="Calibri" w:eastAsia="等线"/>
              </w:rPr>
              <w:t>m</w:t>
            </w:r>
            <w:r>
              <w:rPr>
                <w:rFonts w:ascii="Calibri" w:hAnsi="Calibri"/>
              </w:rPr>
              <w:t>）</w:t>
            </w:r>
          </w:p>
        </w:tc>
        <w:tc>
          <w:tcPr>
            <w:tcW w:w="535" w:type="pct"/>
            <w:vAlign w:val="center"/>
          </w:tcPr>
          <w:p w14:paraId="5F64A6EA">
            <w:pPr>
              <w:pStyle w:val="34"/>
              <w:rPr>
                <w:rFonts w:ascii="Calibri" w:hAnsi="Calibri"/>
              </w:rPr>
            </w:pPr>
            <w:r>
              <w:rPr>
                <w:rFonts w:ascii="Calibri" w:hAnsi="Calibri"/>
                <w:spacing w:val="-9"/>
              </w:rPr>
              <w:t>占地面积m</w:t>
            </w:r>
            <w:r>
              <w:rPr>
                <w:rFonts w:ascii="Calibri" w:hAnsi="Calibri"/>
                <w:spacing w:val="-9"/>
                <w:vertAlign w:val="superscript"/>
              </w:rPr>
              <w:t>2</w:t>
            </w:r>
          </w:p>
        </w:tc>
        <w:tc>
          <w:tcPr>
            <w:tcW w:w="638" w:type="pct"/>
            <w:vAlign w:val="center"/>
          </w:tcPr>
          <w:p w14:paraId="3364461C">
            <w:pPr>
              <w:pStyle w:val="34"/>
              <w:rPr>
                <w:rFonts w:ascii="Calibri" w:hAnsi="Calibri"/>
              </w:rPr>
            </w:pPr>
            <w:r>
              <w:rPr>
                <w:rFonts w:ascii="Calibri" w:hAnsi="Calibri"/>
                <w:spacing w:val="-2"/>
              </w:rPr>
              <w:t>建筑基底面积m</w:t>
            </w:r>
            <w:r>
              <w:rPr>
                <w:rFonts w:ascii="Calibri" w:hAnsi="Calibri"/>
                <w:spacing w:val="-2"/>
                <w:vertAlign w:val="superscript"/>
              </w:rPr>
              <w:t>2</w:t>
            </w:r>
          </w:p>
        </w:tc>
        <w:tc>
          <w:tcPr>
            <w:tcW w:w="575" w:type="pct"/>
            <w:vAlign w:val="center"/>
          </w:tcPr>
          <w:p w14:paraId="28E2779D">
            <w:pPr>
              <w:pStyle w:val="34"/>
              <w:rPr>
                <w:rFonts w:ascii="Calibri" w:hAnsi="Calibri"/>
              </w:rPr>
            </w:pPr>
            <w:r>
              <w:rPr>
                <w:rFonts w:ascii="Calibri" w:hAnsi="Calibri"/>
              </w:rPr>
              <w:t>建筑面积m</w:t>
            </w:r>
            <w:r>
              <w:rPr>
                <w:rFonts w:ascii="Calibri" w:hAnsi="Calibri"/>
                <w:vertAlign w:val="superscript"/>
              </w:rPr>
              <w:t>2</w:t>
            </w:r>
          </w:p>
        </w:tc>
        <w:tc>
          <w:tcPr>
            <w:tcW w:w="690" w:type="pct"/>
            <w:vAlign w:val="center"/>
          </w:tcPr>
          <w:p w14:paraId="13139AE7">
            <w:pPr>
              <w:pStyle w:val="34"/>
              <w:rPr>
                <w:rFonts w:ascii="Calibri" w:hAnsi="Calibri"/>
              </w:rPr>
            </w:pPr>
            <w:r>
              <w:rPr>
                <w:rFonts w:ascii="Calibri" w:hAnsi="Calibri"/>
                <w:spacing w:val="-1"/>
              </w:rPr>
              <w:t>计容建筑面积m</w:t>
            </w:r>
            <w:r>
              <w:rPr>
                <w:rFonts w:ascii="Calibri" w:hAnsi="Calibri"/>
                <w:spacing w:val="-1"/>
                <w:vertAlign w:val="superscript"/>
              </w:rPr>
              <w:t>2</w:t>
            </w:r>
          </w:p>
        </w:tc>
        <w:tc>
          <w:tcPr>
            <w:tcW w:w="509" w:type="pct"/>
            <w:vAlign w:val="center"/>
          </w:tcPr>
          <w:p w14:paraId="722A53BA">
            <w:pPr>
              <w:pStyle w:val="34"/>
              <w:rPr>
                <w:rFonts w:ascii="Calibri" w:hAnsi="Calibri"/>
              </w:rPr>
            </w:pPr>
            <w:r>
              <w:rPr>
                <w:rFonts w:ascii="Calibri" w:hAnsi="Calibri"/>
                <w:spacing w:val="-5"/>
              </w:rPr>
              <w:t>备注</w:t>
            </w:r>
          </w:p>
        </w:tc>
      </w:tr>
      <w:tr w14:paraId="33E11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56163457">
            <w:pPr>
              <w:pStyle w:val="34"/>
              <w:rPr>
                <w:rFonts w:ascii="Calibri" w:hAnsi="Calibri" w:eastAsia="等线"/>
              </w:rPr>
            </w:pPr>
            <w:r>
              <w:rPr>
                <w:rFonts w:ascii="Calibri" w:hAnsi="Calibri" w:eastAsia="等线"/>
              </w:rPr>
              <w:t>1</w:t>
            </w:r>
          </w:p>
        </w:tc>
        <w:tc>
          <w:tcPr>
            <w:tcW w:w="817" w:type="pct"/>
            <w:vAlign w:val="center"/>
          </w:tcPr>
          <w:p w14:paraId="2CE2C0C7">
            <w:pPr>
              <w:pStyle w:val="34"/>
              <w:rPr>
                <w:rFonts w:ascii="Calibri" w:hAnsi="Calibri"/>
              </w:rPr>
            </w:pPr>
            <w:r>
              <w:rPr>
                <w:rFonts w:ascii="Calibri" w:hAnsi="Calibri"/>
                <w:spacing w:val="-2"/>
              </w:rPr>
              <w:t>精炼车间</w:t>
            </w:r>
          </w:p>
        </w:tc>
        <w:tc>
          <w:tcPr>
            <w:tcW w:w="431" w:type="pct"/>
            <w:vAlign w:val="center"/>
          </w:tcPr>
          <w:p w14:paraId="120A5D99">
            <w:pPr>
              <w:pStyle w:val="34"/>
              <w:rPr>
                <w:rFonts w:ascii="Calibri" w:hAnsi="Calibri" w:eastAsia="等线"/>
              </w:rPr>
            </w:pPr>
            <w:r>
              <w:rPr>
                <w:rFonts w:ascii="Calibri" w:hAnsi="Calibri" w:eastAsia="等线"/>
              </w:rPr>
              <w:t>3</w:t>
            </w:r>
          </w:p>
        </w:tc>
        <w:tc>
          <w:tcPr>
            <w:tcW w:w="516" w:type="pct"/>
            <w:vAlign w:val="center"/>
          </w:tcPr>
          <w:p w14:paraId="32B57F1D">
            <w:pPr>
              <w:pStyle w:val="34"/>
              <w:rPr>
                <w:rFonts w:ascii="Calibri" w:hAnsi="Calibri" w:eastAsia="等线"/>
              </w:rPr>
            </w:pPr>
            <w:r>
              <w:rPr>
                <w:rFonts w:ascii="Calibri" w:hAnsi="Calibri" w:eastAsia="等线"/>
                <w:spacing w:val="-1"/>
              </w:rPr>
              <w:t>22.4</w:t>
            </w:r>
          </w:p>
        </w:tc>
        <w:tc>
          <w:tcPr>
            <w:tcW w:w="535" w:type="pct"/>
            <w:vAlign w:val="center"/>
          </w:tcPr>
          <w:p w14:paraId="77DA4EC7">
            <w:pPr>
              <w:pStyle w:val="34"/>
              <w:rPr>
                <w:rFonts w:ascii="Calibri" w:hAnsi="Calibri" w:eastAsia="等线"/>
              </w:rPr>
            </w:pPr>
            <w:r>
              <w:rPr>
                <w:rFonts w:ascii="Calibri" w:hAnsi="Calibri" w:eastAsia="等线"/>
                <w:spacing w:val="-4"/>
              </w:rPr>
              <w:t>1547.00</w:t>
            </w:r>
          </w:p>
        </w:tc>
        <w:tc>
          <w:tcPr>
            <w:tcW w:w="638" w:type="pct"/>
            <w:vAlign w:val="center"/>
          </w:tcPr>
          <w:p w14:paraId="0D0D20EE">
            <w:pPr>
              <w:pStyle w:val="34"/>
              <w:rPr>
                <w:rFonts w:ascii="Calibri" w:hAnsi="Calibri" w:eastAsia="等线"/>
              </w:rPr>
            </w:pPr>
            <w:r>
              <w:rPr>
                <w:rFonts w:ascii="Calibri" w:hAnsi="Calibri" w:eastAsia="等线"/>
                <w:spacing w:val="-4"/>
              </w:rPr>
              <w:t>1547.00</w:t>
            </w:r>
          </w:p>
        </w:tc>
        <w:tc>
          <w:tcPr>
            <w:tcW w:w="575" w:type="pct"/>
            <w:vAlign w:val="center"/>
          </w:tcPr>
          <w:p w14:paraId="4BB50F05">
            <w:pPr>
              <w:pStyle w:val="34"/>
              <w:rPr>
                <w:rFonts w:ascii="Calibri" w:hAnsi="Calibri" w:eastAsia="等线"/>
              </w:rPr>
            </w:pPr>
            <w:r>
              <w:rPr>
                <w:rFonts w:ascii="Calibri" w:hAnsi="Calibri" w:eastAsia="等线"/>
                <w:spacing w:val="-1"/>
              </w:rPr>
              <w:t>3213.00</w:t>
            </w:r>
          </w:p>
        </w:tc>
        <w:tc>
          <w:tcPr>
            <w:tcW w:w="690" w:type="pct"/>
            <w:vAlign w:val="center"/>
          </w:tcPr>
          <w:p w14:paraId="7C0E145F">
            <w:pPr>
              <w:pStyle w:val="34"/>
              <w:rPr>
                <w:rFonts w:ascii="Calibri" w:hAnsi="Calibri" w:eastAsia="等线"/>
              </w:rPr>
            </w:pPr>
            <w:r>
              <w:rPr>
                <w:rFonts w:ascii="Calibri" w:hAnsi="Calibri" w:eastAsia="等线"/>
                <w:spacing w:val="-1"/>
              </w:rPr>
              <w:t>4095.00</w:t>
            </w:r>
          </w:p>
        </w:tc>
        <w:tc>
          <w:tcPr>
            <w:tcW w:w="509" w:type="pct"/>
            <w:vAlign w:val="center"/>
          </w:tcPr>
          <w:p w14:paraId="43306D62">
            <w:pPr>
              <w:pStyle w:val="34"/>
              <w:rPr>
                <w:rFonts w:ascii="Calibri" w:hAnsi="Calibri"/>
              </w:rPr>
            </w:pPr>
            <w:r>
              <w:rPr>
                <w:rFonts w:ascii="Calibri" w:hAnsi="Calibri"/>
                <w:spacing w:val="-4"/>
              </w:rPr>
              <w:t>新建</w:t>
            </w:r>
          </w:p>
        </w:tc>
      </w:tr>
      <w:tr w14:paraId="088AB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5E85DFA3">
            <w:pPr>
              <w:pStyle w:val="34"/>
              <w:rPr>
                <w:rFonts w:ascii="Calibri" w:hAnsi="Calibri" w:eastAsia="等线"/>
              </w:rPr>
            </w:pPr>
            <w:r>
              <w:rPr>
                <w:rFonts w:ascii="Calibri" w:hAnsi="Calibri" w:eastAsia="等线"/>
              </w:rPr>
              <w:t>2</w:t>
            </w:r>
          </w:p>
        </w:tc>
        <w:tc>
          <w:tcPr>
            <w:tcW w:w="817" w:type="pct"/>
            <w:vAlign w:val="center"/>
          </w:tcPr>
          <w:p w14:paraId="50E14CC0">
            <w:pPr>
              <w:pStyle w:val="34"/>
              <w:rPr>
                <w:rFonts w:ascii="Calibri" w:hAnsi="Calibri"/>
              </w:rPr>
            </w:pPr>
            <w:r>
              <w:rPr>
                <w:rFonts w:ascii="Calibri" w:hAnsi="Calibri"/>
              </w:rPr>
              <w:t>配料站</w:t>
            </w:r>
          </w:p>
        </w:tc>
        <w:tc>
          <w:tcPr>
            <w:tcW w:w="431" w:type="pct"/>
            <w:vAlign w:val="center"/>
          </w:tcPr>
          <w:p w14:paraId="6E4A4819">
            <w:pPr>
              <w:pStyle w:val="34"/>
              <w:rPr>
                <w:rFonts w:ascii="Calibri" w:hAnsi="Calibri" w:eastAsia="等线"/>
              </w:rPr>
            </w:pPr>
            <w:r>
              <w:rPr>
                <w:rFonts w:ascii="Calibri" w:hAnsi="Calibri" w:eastAsia="等线"/>
              </w:rPr>
              <w:t>3</w:t>
            </w:r>
          </w:p>
        </w:tc>
        <w:tc>
          <w:tcPr>
            <w:tcW w:w="516" w:type="pct"/>
            <w:vAlign w:val="center"/>
          </w:tcPr>
          <w:p w14:paraId="32BCEBEE">
            <w:pPr>
              <w:pStyle w:val="34"/>
              <w:rPr>
                <w:rFonts w:ascii="Calibri" w:hAnsi="Calibri" w:eastAsia="等线"/>
              </w:rPr>
            </w:pPr>
            <w:r>
              <w:rPr>
                <w:rFonts w:ascii="Calibri" w:hAnsi="Calibri" w:eastAsia="等线"/>
              </w:rPr>
              <w:t>/</w:t>
            </w:r>
          </w:p>
        </w:tc>
        <w:tc>
          <w:tcPr>
            <w:tcW w:w="535" w:type="pct"/>
            <w:vAlign w:val="center"/>
          </w:tcPr>
          <w:p w14:paraId="14B3E540">
            <w:pPr>
              <w:pStyle w:val="34"/>
              <w:rPr>
                <w:rFonts w:ascii="Calibri" w:hAnsi="Calibri" w:eastAsia="等线"/>
              </w:rPr>
            </w:pPr>
            <w:r>
              <w:rPr>
                <w:rFonts w:ascii="Calibri" w:hAnsi="Calibri" w:eastAsia="等线"/>
                <w:spacing w:val="-4"/>
              </w:rPr>
              <w:t>163.20</w:t>
            </w:r>
          </w:p>
        </w:tc>
        <w:tc>
          <w:tcPr>
            <w:tcW w:w="638" w:type="pct"/>
            <w:vAlign w:val="center"/>
          </w:tcPr>
          <w:p w14:paraId="546E8F48">
            <w:pPr>
              <w:pStyle w:val="34"/>
              <w:rPr>
                <w:rFonts w:ascii="Calibri" w:hAnsi="Calibri" w:eastAsia="等线"/>
              </w:rPr>
            </w:pPr>
            <w:r>
              <w:rPr>
                <w:rFonts w:ascii="Calibri" w:hAnsi="Calibri" w:eastAsia="等线"/>
                <w:spacing w:val="-4"/>
              </w:rPr>
              <w:t>163.20</w:t>
            </w:r>
          </w:p>
        </w:tc>
        <w:tc>
          <w:tcPr>
            <w:tcW w:w="575" w:type="pct"/>
            <w:vAlign w:val="center"/>
          </w:tcPr>
          <w:p w14:paraId="307B9E7D">
            <w:pPr>
              <w:pStyle w:val="34"/>
              <w:rPr>
                <w:rFonts w:ascii="Calibri" w:hAnsi="Calibri" w:eastAsia="等线"/>
              </w:rPr>
            </w:pPr>
            <w:r>
              <w:rPr>
                <w:rFonts w:ascii="Calibri" w:hAnsi="Calibri" w:eastAsia="等线"/>
                <w:spacing w:val="-1"/>
              </w:rPr>
              <w:t>489.60</w:t>
            </w:r>
          </w:p>
        </w:tc>
        <w:tc>
          <w:tcPr>
            <w:tcW w:w="690" w:type="pct"/>
            <w:vAlign w:val="center"/>
          </w:tcPr>
          <w:p w14:paraId="117BF961">
            <w:pPr>
              <w:pStyle w:val="34"/>
              <w:rPr>
                <w:rFonts w:ascii="Calibri" w:hAnsi="Calibri" w:eastAsia="等线"/>
              </w:rPr>
            </w:pPr>
            <w:r>
              <w:rPr>
                <w:rFonts w:ascii="Calibri" w:hAnsi="Calibri" w:eastAsia="等线"/>
                <w:spacing w:val="-1"/>
              </w:rPr>
              <w:t>489.60</w:t>
            </w:r>
          </w:p>
        </w:tc>
        <w:tc>
          <w:tcPr>
            <w:tcW w:w="509" w:type="pct"/>
            <w:vAlign w:val="center"/>
          </w:tcPr>
          <w:p w14:paraId="5C1ABB27">
            <w:pPr>
              <w:pStyle w:val="34"/>
              <w:rPr>
                <w:rFonts w:ascii="Calibri" w:hAnsi="Calibri"/>
              </w:rPr>
            </w:pPr>
            <w:r>
              <w:rPr>
                <w:rFonts w:ascii="Calibri" w:hAnsi="Calibri"/>
                <w:spacing w:val="-4"/>
              </w:rPr>
              <w:t>新建</w:t>
            </w:r>
          </w:p>
        </w:tc>
      </w:tr>
      <w:tr w14:paraId="4FB72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4D2F4EC8">
            <w:pPr>
              <w:pStyle w:val="34"/>
              <w:rPr>
                <w:rFonts w:ascii="Calibri" w:hAnsi="Calibri" w:eastAsia="等线"/>
              </w:rPr>
            </w:pPr>
            <w:r>
              <w:rPr>
                <w:rFonts w:ascii="Calibri" w:hAnsi="Calibri" w:eastAsia="等线"/>
              </w:rPr>
              <w:t>3</w:t>
            </w:r>
          </w:p>
        </w:tc>
        <w:tc>
          <w:tcPr>
            <w:tcW w:w="817" w:type="pct"/>
            <w:vAlign w:val="center"/>
          </w:tcPr>
          <w:p w14:paraId="2AEE25B9">
            <w:pPr>
              <w:pStyle w:val="34"/>
              <w:rPr>
                <w:rFonts w:ascii="Calibri" w:hAnsi="Calibri"/>
              </w:rPr>
            </w:pPr>
            <w:r>
              <w:rPr>
                <w:rFonts w:ascii="Calibri" w:hAnsi="Calibri"/>
                <w:spacing w:val="-4"/>
              </w:rPr>
              <w:t>皮带廊</w:t>
            </w:r>
          </w:p>
        </w:tc>
        <w:tc>
          <w:tcPr>
            <w:tcW w:w="431" w:type="pct"/>
            <w:vAlign w:val="center"/>
          </w:tcPr>
          <w:p w14:paraId="0D2A0699">
            <w:pPr>
              <w:pStyle w:val="34"/>
              <w:rPr>
                <w:rFonts w:ascii="Calibri" w:hAnsi="Calibri" w:eastAsia="等线"/>
              </w:rPr>
            </w:pPr>
            <w:r>
              <w:rPr>
                <w:rFonts w:ascii="Calibri" w:hAnsi="Calibri" w:eastAsia="等线"/>
              </w:rPr>
              <w:t>1</w:t>
            </w:r>
          </w:p>
        </w:tc>
        <w:tc>
          <w:tcPr>
            <w:tcW w:w="516" w:type="pct"/>
            <w:vAlign w:val="center"/>
          </w:tcPr>
          <w:p w14:paraId="204BCDA3">
            <w:pPr>
              <w:pStyle w:val="34"/>
              <w:rPr>
                <w:rFonts w:ascii="Calibri" w:hAnsi="Calibri" w:eastAsia="等线"/>
              </w:rPr>
            </w:pPr>
            <w:r>
              <w:rPr>
                <w:rFonts w:ascii="Calibri" w:hAnsi="Calibri" w:eastAsia="等线"/>
                <w:spacing w:val="-4"/>
              </w:rPr>
              <w:t>3</w:t>
            </w:r>
          </w:p>
        </w:tc>
        <w:tc>
          <w:tcPr>
            <w:tcW w:w="535" w:type="pct"/>
            <w:vAlign w:val="center"/>
          </w:tcPr>
          <w:p w14:paraId="171CA695">
            <w:pPr>
              <w:pStyle w:val="34"/>
              <w:rPr>
                <w:rFonts w:ascii="Calibri" w:hAnsi="Calibri" w:eastAsia="等线"/>
              </w:rPr>
            </w:pPr>
            <w:r>
              <w:rPr>
                <w:rFonts w:ascii="Calibri" w:hAnsi="Calibri" w:eastAsia="等线"/>
                <w:spacing w:val="-4"/>
              </w:rPr>
              <w:t>119.70</w:t>
            </w:r>
          </w:p>
        </w:tc>
        <w:tc>
          <w:tcPr>
            <w:tcW w:w="638" w:type="pct"/>
            <w:vAlign w:val="center"/>
          </w:tcPr>
          <w:p w14:paraId="412F56BB">
            <w:pPr>
              <w:pStyle w:val="34"/>
              <w:rPr>
                <w:rFonts w:ascii="Calibri" w:hAnsi="Calibri" w:eastAsia="等线"/>
              </w:rPr>
            </w:pPr>
            <w:r>
              <w:rPr>
                <w:rFonts w:ascii="Calibri" w:hAnsi="Calibri" w:eastAsia="等线"/>
              </w:rPr>
              <w:t>/</w:t>
            </w:r>
          </w:p>
        </w:tc>
        <w:tc>
          <w:tcPr>
            <w:tcW w:w="575" w:type="pct"/>
            <w:vAlign w:val="center"/>
          </w:tcPr>
          <w:p w14:paraId="501F0B0A">
            <w:pPr>
              <w:pStyle w:val="34"/>
              <w:rPr>
                <w:rFonts w:ascii="Calibri" w:hAnsi="Calibri" w:eastAsia="等线"/>
              </w:rPr>
            </w:pPr>
            <w:r>
              <w:rPr>
                <w:rFonts w:ascii="Calibri" w:hAnsi="Calibri" w:eastAsia="等线"/>
                <w:spacing w:val="-4"/>
              </w:rPr>
              <w:t>119.70</w:t>
            </w:r>
          </w:p>
        </w:tc>
        <w:tc>
          <w:tcPr>
            <w:tcW w:w="690" w:type="pct"/>
            <w:vAlign w:val="center"/>
          </w:tcPr>
          <w:p w14:paraId="51F766EF">
            <w:pPr>
              <w:pStyle w:val="34"/>
              <w:rPr>
                <w:rFonts w:ascii="Calibri" w:hAnsi="Calibri" w:eastAsia="等线"/>
              </w:rPr>
            </w:pPr>
            <w:r>
              <w:rPr>
                <w:rFonts w:ascii="Calibri" w:hAnsi="Calibri" w:eastAsia="等线"/>
                <w:spacing w:val="-6"/>
              </w:rPr>
              <w:t>119.70</w:t>
            </w:r>
          </w:p>
        </w:tc>
        <w:tc>
          <w:tcPr>
            <w:tcW w:w="509" w:type="pct"/>
            <w:vAlign w:val="center"/>
          </w:tcPr>
          <w:p w14:paraId="1B34B2AC">
            <w:pPr>
              <w:pStyle w:val="34"/>
              <w:rPr>
                <w:rFonts w:ascii="Calibri" w:hAnsi="Calibri"/>
              </w:rPr>
            </w:pPr>
            <w:r>
              <w:rPr>
                <w:rFonts w:ascii="Calibri" w:hAnsi="Calibri"/>
                <w:spacing w:val="-4"/>
              </w:rPr>
              <w:t>新建</w:t>
            </w:r>
          </w:p>
        </w:tc>
      </w:tr>
      <w:tr w14:paraId="17808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4163F519">
            <w:pPr>
              <w:pStyle w:val="34"/>
              <w:rPr>
                <w:rFonts w:ascii="Calibri" w:hAnsi="Calibri" w:eastAsia="等线"/>
              </w:rPr>
            </w:pPr>
            <w:r>
              <w:rPr>
                <w:rFonts w:ascii="Calibri" w:hAnsi="Calibri" w:eastAsia="等线"/>
              </w:rPr>
              <w:t>4</w:t>
            </w:r>
          </w:p>
        </w:tc>
        <w:tc>
          <w:tcPr>
            <w:tcW w:w="817" w:type="pct"/>
            <w:vAlign w:val="center"/>
          </w:tcPr>
          <w:p w14:paraId="32BE96B3">
            <w:pPr>
              <w:pStyle w:val="34"/>
              <w:rPr>
                <w:rFonts w:ascii="Calibri" w:hAnsi="Calibri"/>
              </w:rPr>
            </w:pPr>
            <w:r>
              <w:rPr>
                <w:rFonts w:ascii="Calibri" w:hAnsi="Calibri"/>
                <w:spacing w:val="-1"/>
              </w:rPr>
              <w:t>循环及消防水泵房</w:t>
            </w:r>
          </w:p>
        </w:tc>
        <w:tc>
          <w:tcPr>
            <w:tcW w:w="431" w:type="pct"/>
            <w:vAlign w:val="center"/>
          </w:tcPr>
          <w:p w14:paraId="54A829F7">
            <w:pPr>
              <w:pStyle w:val="34"/>
              <w:rPr>
                <w:rFonts w:ascii="Calibri" w:hAnsi="Calibri" w:eastAsia="等线"/>
              </w:rPr>
            </w:pPr>
            <w:r>
              <w:rPr>
                <w:rFonts w:ascii="Calibri" w:hAnsi="Calibri" w:eastAsia="等线"/>
              </w:rPr>
              <w:t>-1</w:t>
            </w:r>
            <w:r>
              <w:rPr>
                <w:rFonts w:ascii="Calibri" w:hAnsi="Calibri"/>
              </w:rPr>
              <w:t>，</w:t>
            </w:r>
            <w:r>
              <w:rPr>
                <w:rFonts w:ascii="Calibri" w:hAnsi="Calibri" w:eastAsia="等线"/>
              </w:rPr>
              <w:t>1</w:t>
            </w:r>
          </w:p>
        </w:tc>
        <w:tc>
          <w:tcPr>
            <w:tcW w:w="516" w:type="pct"/>
            <w:vAlign w:val="center"/>
          </w:tcPr>
          <w:p w14:paraId="525ED9DF">
            <w:pPr>
              <w:pStyle w:val="34"/>
              <w:rPr>
                <w:rFonts w:ascii="Calibri" w:hAnsi="Calibri" w:eastAsia="等线"/>
              </w:rPr>
            </w:pPr>
            <w:r>
              <w:rPr>
                <w:rFonts w:ascii="Calibri" w:hAnsi="Calibri" w:eastAsia="等线"/>
              </w:rPr>
              <w:t>6.8</w:t>
            </w:r>
          </w:p>
        </w:tc>
        <w:tc>
          <w:tcPr>
            <w:tcW w:w="535" w:type="pct"/>
            <w:vAlign w:val="center"/>
          </w:tcPr>
          <w:p w14:paraId="1BD9247E">
            <w:pPr>
              <w:pStyle w:val="34"/>
              <w:rPr>
                <w:rFonts w:ascii="Calibri" w:hAnsi="Calibri" w:eastAsia="等线"/>
              </w:rPr>
            </w:pPr>
            <w:r>
              <w:rPr>
                <w:rFonts w:ascii="Calibri" w:hAnsi="Calibri" w:eastAsia="等线"/>
                <w:spacing w:val="-2"/>
              </w:rPr>
              <w:t>337.70</w:t>
            </w:r>
          </w:p>
        </w:tc>
        <w:tc>
          <w:tcPr>
            <w:tcW w:w="638" w:type="pct"/>
            <w:vAlign w:val="center"/>
          </w:tcPr>
          <w:p w14:paraId="7459BF80">
            <w:pPr>
              <w:pStyle w:val="34"/>
              <w:rPr>
                <w:rFonts w:ascii="Calibri" w:hAnsi="Calibri" w:eastAsia="等线"/>
              </w:rPr>
            </w:pPr>
            <w:r>
              <w:rPr>
                <w:rFonts w:ascii="Calibri" w:hAnsi="Calibri" w:eastAsia="等线"/>
                <w:spacing w:val="-4"/>
              </w:rPr>
              <w:t>185.00</w:t>
            </w:r>
          </w:p>
        </w:tc>
        <w:tc>
          <w:tcPr>
            <w:tcW w:w="575" w:type="pct"/>
            <w:vAlign w:val="center"/>
          </w:tcPr>
          <w:p w14:paraId="32148783">
            <w:pPr>
              <w:pStyle w:val="34"/>
              <w:rPr>
                <w:rFonts w:ascii="Calibri" w:hAnsi="Calibri" w:eastAsia="等线"/>
              </w:rPr>
            </w:pPr>
            <w:r>
              <w:rPr>
                <w:rFonts w:ascii="Calibri" w:hAnsi="Calibri" w:eastAsia="等线"/>
                <w:spacing w:val="-4"/>
              </w:rPr>
              <w:t>185.00</w:t>
            </w:r>
          </w:p>
        </w:tc>
        <w:tc>
          <w:tcPr>
            <w:tcW w:w="690" w:type="pct"/>
            <w:vAlign w:val="center"/>
          </w:tcPr>
          <w:p w14:paraId="589F89B9">
            <w:pPr>
              <w:pStyle w:val="34"/>
              <w:rPr>
                <w:rFonts w:ascii="Calibri" w:hAnsi="Calibri" w:eastAsia="等线"/>
              </w:rPr>
            </w:pPr>
            <w:r>
              <w:rPr>
                <w:rFonts w:ascii="Calibri" w:hAnsi="Calibri" w:eastAsia="等线"/>
                <w:spacing w:val="-2"/>
              </w:rPr>
              <w:t>337.70</w:t>
            </w:r>
          </w:p>
        </w:tc>
        <w:tc>
          <w:tcPr>
            <w:tcW w:w="509" w:type="pct"/>
            <w:vAlign w:val="center"/>
          </w:tcPr>
          <w:p w14:paraId="7B7375F0">
            <w:pPr>
              <w:pStyle w:val="34"/>
              <w:rPr>
                <w:rFonts w:ascii="Calibri" w:hAnsi="Calibri"/>
              </w:rPr>
            </w:pPr>
            <w:r>
              <w:rPr>
                <w:rFonts w:ascii="Calibri" w:hAnsi="Calibri"/>
                <w:spacing w:val="-4"/>
              </w:rPr>
              <w:t>新建</w:t>
            </w:r>
          </w:p>
        </w:tc>
      </w:tr>
      <w:tr w14:paraId="12B7F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381894BF">
            <w:pPr>
              <w:pStyle w:val="34"/>
              <w:rPr>
                <w:rFonts w:ascii="Calibri" w:hAnsi="Calibri" w:eastAsia="等线"/>
              </w:rPr>
            </w:pPr>
            <w:r>
              <w:rPr>
                <w:rFonts w:ascii="Calibri" w:hAnsi="Calibri" w:eastAsia="等线"/>
              </w:rPr>
              <w:t>5</w:t>
            </w:r>
          </w:p>
        </w:tc>
        <w:tc>
          <w:tcPr>
            <w:tcW w:w="817" w:type="pct"/>
            <w:vAlign w:val="center"/>
          </w:tcPr>
          <w:p w14:paraId="220F349C">
            <w:pPr>
              <w:pStyle w:val="34"/>
              <w:rPr>
                <w:rFonts w:ascii="Calibri" w:hAnsi="Calibri"/>
              </w:rPr>
            </w:pPr>
            <w:r>
              <w:rPr>
                <w:rFonts w:ascii="Calibri" w:hAnsi="Calibri"/>
                <w:spacing w:val="-4"/>
              </w:rPr>
              <w:t>合计</w:t>
            </w:r>
          </w:p>
        </w:tc>
        <w:tc>
          <w:tcPr>
            <w:tcW w:w="431" w:type="pct"/>
            <w:vAlign w:val="center"/>
          </w:tcPr>
          <w:p w14:paraId="3C621A9D">
            <w:pPr>
              <w:pStyle w:val="34"/>
              <w:rPr>
                <w:rFonts w:ascii="Calibri" w:hAnsi="Calibri"/>
              </w:rPr>
            </w:pPr>
          </w:p>
        </w:tc>
        <w:tc>
          <w:tcPr>
            <w:tcW w:w="516" w:type="pct"/>
            <w:vAlign w:val="center"/>
          </w:tcPr>
          <w:p w14:paraId="1AA3DFFD">
            <w:pPr>
              <w:pStyle w:val="34"/>
              <w:rPr>
                <w:rFonts w:ascii="Calibri" w:hAnsi="Calibri"/>
              </w:rPr>
            </w:pPr>
          </w:p>
        </w:tc>
        <w:tc>
          <w:tcPr>
            <w:tcW w:w="535" w:type="pct"/>
            <w:vAlign w:val="center"/>
          </w:tcPr>
          <w:p w14:paraId="1BD4B66B">
            <w:pPr>
              <w:pStyle w:val="34"/>
              <w:rPr>
                <w:rFonts w:ascii="Calibri" w:hAnsi="Calibri" w:eastAsia="等线"/>
                <w:sz w:val="19"/>
                <w:szCs w:val="19"/>
              </w:rPr>
            </w:pPr>
            <w:r>
              <w:rPr>
                <w:rFonts w:ascii="Calibri" w:hAnsi="Calibri" w:eastAsia="等线"/>
                <w:spacing w:val="4"/>
                <w:sz w:val="19"/>
                <w:szCs w:val="19"/>
              </w:rPr>
              <w:t>2167.60</w:t>
            </w:r>
          </w:p>
        </w:tc>
        <w:tc>
          <w:tcPr>
            <w:tcW w:w="638" w:type="pct"/>
            <w:vAlign w:val="center"/>
          </w:tcPr>
          <w:p w14:paraId="4A66E19D">
            <w:pPr>
              <w:pStyle w:val="34"/>
              <w:rPr>
                <w:rFonts w:ascii="Calibri" w:hAnsi="Calibri" w:eastAsia="等线"/>
                <w:sz w:val="19"/>
                <w:szCs w:val="19"/>
              </w:rPr>
            </w:pPr>
            <w:r>
              <w:rPr>
                <w:rFonts w:ascii="Calibri" w:hAnsi="Calibri" w:eastAsia="等线"/>
                <w:spacing w:val="1"/>
                <w:sz w:val="19"/>
                <w:szCs w:val="19"/>
              </w:rPr>
              <w:t>1895.20</w:t>
            </w:r>
          </w:p>
        </w:tc>
        <w:tc>
          <w:tcPr>
            <w:tcW w:w="575" w:type="pct"/>
            <w:vAlign w:val="center"/>
          </w:tcPr>
          <w:p w14:paraId="67EA2D75">
            <w:pPr>
              <w:pStyle w:val="34"/>
              <w:rPr>
                <w:rFonts w:ascii="Calibri" w:hAnsi="Calibri" w:eastAsia="等线"/>
                <w:sz w:val="19"/>
                <w:szCs w:val="19"/>
              </w:rPr>
            </w:pPr>
            <w:r>
              <w:rPr>
                <w:rFonts w:ascii="Calibri" w:hAnsi="Calibri" w:eastAsia="等线"/>
                <w:spacing w:val="3"/>
                <w:sz w:val="19"/>
                <w:szCs w:val="19"/>
              </w:rPr>
              <w:t>3907.30</w:t>
            </w:r>
          </w:p>
        </w:tc>
        <w:tc>
          <w:tcPr>
            <w:tcW w:w="690" w:type="pct"/>
            <w:vAlign w:val="center"/>
          </w:tcPr>
          <w:p w14:paraId="1DDED126">
            <w:pPr>
              <w:pStyle w:val="34"/>
              <w:rPr>
                <w:rFonts w:ascii="Calibri" w:hAnsi="Calibri" w:eastAsia="等线"/>
                <w:sz w:val="19"/>
                <w:szCs w:val="19"/>
              </w:rPr>
            </w:pPr>
            <w:r>
              <w:rPr>
                <w:rFonts w:ascii="Calibri" w:hAnsi="Calibri" w:eastAsia="等线"/>
                <w:spacing w:val="3"/>
                <w:sz w:val="19"/>
                <w:szCs w:val="19"/>
              </w:rPr>
              <w:t>5041.40</w:t>
            </w:r>
          </w:p>
        </w:tc>
        <w:tc>
          <w:tcPr>
            <w:tcW w:w="509" w:type="pct"/>
            <w:vAlign w:val="center"/>
          </w:tcPr>
          <w:p w14:paraId="080A6B03">
            <w:pPr>
              <w:pStyle w:val="34"/>
              <w:rPr>
                <w:rFonts w:ascii="Calibri" w:hAnsi="Calibri"/>
              </w:rPr>
            </w:pPr>
          </w:p>
        </w:tc>
      </w:tr>
    </w:tbl>
    <w:p w14:paraId="372ACF53">
      <w:pPr>
        <w:widowControl/>
        <w:ind w:firstLine="480" w:firstLineChars="200"/>
        <w:jc w:val="left"/>
      </w:pPr>
      <w:r>
        <w:t>现有工程生产锰铁合金作为本次技改生产原料使用，技改后全厂产品方案变化情况见下表：</w:t>
      </w:r>
    </w:p>
    <w:p w14:paraId="006079EC">
      <w:pPr>
        <w:pStyle w:val="40"/>
        <w:spacing w:before="120"/>
      </w:pPr>
      <w:bookmarkStart w:id="132" w:name="_Hlk171894184"/>
      <w:bookmarkStart w:id="133" w:name="_Hlk172073752"/>
      <w:r>
        <w:t>表4.1-3    现有工程规模与产品方案一览表</w:t>
      </w:r>
    </w:p>
    <w:tbl>
      <w:tblPr>
        <w:tblStyle w:val="28"/>
        <w:tblW w:w="492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241"/>
        <w:gridCol w:w="671"/>
        <w:gridCol w:w="853"/>
        <w:gridCol w:w="1244"/>
        <w:gridCol w:w="1661"/>
        <w:gridCol w:w="2624"/>
      </w:tblGrid>
      <w:tr w14:paraId="1FDDB5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39" w:type="pct"/>
            <w:vAlign w:val="center"/>
          </w:tcPr>
          <w:p w14:paraId="10321340">
            <w:pPr>
              <w:pStyle w:val="41"/>
              <w:keepLines/>
            </w:pPr>
            <w:r>
              <w:t>序号</w:t>
            </w:r>
          </w:p>
        </w:tc>
        <w:tc>
          <w:tcPr>
            <w:tcW w:w="713" w:type="pct"/>
            <w:vAlign w:val="center"/>
          </w:tcPr>
          <w:p w14:paraId="6C1940C9">
            <w:pPr>
              <w:pStyle w:val="41"/>
              <w:keepLines/>
            </w:pPr>
            <w:r>
              <w:t>名称</w:t>
            </w:r>
          </w:p>
        </w:tc>
        <w:tc>
          <w:tcPr>
            <w:tcW w:w="386" w:type="pct"/>
            <w:vAlign w:val="center"/>
          </w:tcPr>
          <w:p w14:paraId="1FD7529E">
            <w:pPr>
              <w:pStyle w:val="41"/>
              <w:keepLines/>
            </w:pPr>
            <w:r>
              <w:t>单位</w:t>
            </w:r>
          </w:p>
        </w:tc>
        <w:tc>
          <w:tcPr>
            <w:tcW w:w="490" w:type="pct"/>
            <w:vAlign w:val="center"/>
          </w:tcPr>
          <w:p w14:paraId="22893D29">
            <w:pPr>
              <w:pStyle w:val="41"/>
              <w:keepLines/>
            </w:pPr>
            <w:r>
              <w:t>现有工程规模</w:t>
            </w:r>
          </w:p>
        </w:tc>
        <w:tc>
          <w:tcPr>
            <w:tcW w:w="714" w:type="pct"/>
            <w:vAlign w:val="center"/>
          </w:tcPr>
          <w:p w14:paraId="05FC057F">
            <w:pPr>
              <w:pStyle w:val="41"/>
              <w:keepLines/>
            </w:pPr>
            <w:r>
              <w:t>本次技改工程变化情况</w:t>
            </w:r>
          </w:p>
        </w:tc>
        <w:tc>
          <w:tcPr>
            <w:tcW w:w="953" w:type="pct"/>
            <w:vAlign w:val="center"/>
          </w:tcPr>
          <w:p w14:paraId="306B8412">
            <w:pPr>
              <w:pStyle w:val="41"/>
              <w:keepLines/>
            </w:pPr>
            <w:r>
              <w:t>技改工程实施后全厂生产规模</w:t>
            </w:r>
          </w:p>
        </w:tc>
        <w:tc>
          <w:tcPr>
            <w:tcW w:w="1505" w:type="pct"/>
            <w:vAlign w:val="center"/>
          </w:tcPr>
          <w:p w14:paraId="27B68374">
            <w:pPr>
              <w:pStyle w:val="41"/>
              <w:keepLines/>
            </w:pPr>
            <w:r>
              <w:t>产品去向</w:t>
            </w:r>
          </w:p>
        </w:tc>
      </w:tr>
      <w:tr w14:paraId="12935B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39" w:type="pct"/>
            <w:vAlign w:val="center"/>
          </w:tcPr>
          <w:p w14:paraId="178CEB8E">
            <w:pPr>
              <w:pStyle w:val="41"/>
              <w:keepLines/>
            </w:pPr>
            <w:r>
              <w:t>1</w:t>
            </w:r>
          </w:p>
        </w:tc>
        <w:tc>
          <w:tcPr>
            <w:tcW w:w="713" w:type="pct"/>
            <w:vAlign w:val="center"/>
          </w:tcPr>
          <w:p w14:paraId="14355DD0">
            <w:pPr>
              <w:pStyle w:val="41"/>
              <w:keepLines/>
            </w:pPr>
            <w:r>
              <w:t>中低碳锰铁</w:t>
            </w:r>
          </w:p>
        </w:tc>
        <w:tc>
          <w:tcPr>
            <w:tcW w:w="386" w:type="pct"/>
            <w:vAlign w:val="center"/>
          </w:tcPr>
          <w:p w14:paraId="5E5CA304">
            <w:pPr>
              <w:pStyle w:val="41"/>
              <w:keepLines/>
            </w:pPr>
            <w:r>
              <w:t>万t/a</w:t>
            </w:r>
          </w:p>
        </w:tc>
        <w:tc>
          <w:tcPr>
            <w:tcW w:w="490" w:type="pct"/>
            <w:vAlign w:val="center"/>
          </w:tcPr>
          <w:p w14:paraId="22E6C1F9">
            <w:pPr>
              <w:pStyle w:val="41"/>
              <w:keepLines/>
            </w:pPr>
            <w:r>
              <w:t>/</w:t>
            </w:r>
          </w:p>
        </w:tc>
        <w:tc>
          <w:tcPr>
            <w:tcW w:w="714" w:type="pct"/>
            <w:vAlign w:val="center"/>
          </w:tcPr>
          <w:p w14:paraId="09AC280E">
            <w:pPr>
              <w:pStyle w:val="41"/>
              <w:keepLines/>
            </w:pPr>
            <w:r>
              <w:t>3.5</w:t>
            </w:r>
          </w:p>
        </w:tc>
        <w:tc>
          <w:tcPr>
            <w:tcW w:w="953" w:type="pct"/>
            <w:vAlign w:val="center"/>
          </w:tcPr>
          <w:p w14:paraId="2C895636">
            <w:pPr>
              <w:pStyle w:val="41"/>
              <w:keepLines/>
            </w:pPr>
            <w:r>
              <w:t>3.5</w:t>
            </w:r>
          </w:p>
        </w:tc>
        <w:tc>
          <w:tcPr>
            <w:tcW w:w="1505" w:type="pct"/>
            <w:vAlign w:val="center"/>
          </w:tcPr>
          <w:p w14:paraId="2BBD2724">
            <w:pPr>
              <w:pStyle w:val="41"/>
              <w:keepLines/>
            </w:pPr>
            <w:r>
              <w:t>外售</w:t>
            </w:r>
          </w:p>
        </w:tc>
      </w:tr>
      <w:tr w14:paraId="002550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39" w:type="pct"/>
            <w:vAlign w:val="center"/>
          </w:tcPr>
          <w:p w14:paraId="3A2B46E0">
            <w:pPr>
              <w:pStyle w:val="41"/>
              <w:keepLines/>
            </w:pPr>
            <w:r>
              <w:t>2</w:t>
            </w:r>
          </w:p>
        </w:tc>
        <w:tc>
          <w:tcPr>
            <w:tcW w:w="713" w:type="pct"/>
            <w:vAlign w:val="center"/>
          </w:tcPr>
          <w:p w14:paraId="294ACA61">
            <w:pPr>
              <w:pStyle w:val="41"/>
              <w:keepLines/>
            </w:pPr>
            <w:r>
              <w:t>锰铁合金</w:t>
            </w:r>
          </w:p>
        </w:tc>
        <w:tc>
          <w:tcPr>
            <w:tcW w:w="386" w:type="pct"/>
            <w:vAlign w:val="center"/>
          </w:tcPr>
          <w:p w14:paraId="3542BE43">
            <w:pPr>
              <w:pStyle w:val="41"/>
              <w:keepLines/>
            </w:pPr>
            <w:r>
              <w:t>万t/a</w:t>
            </w:r>
          </w:p>
        </w:tc>
        <w:tc>
          <w:tcPr>
            <w:tcW w:w="490" w:type="pct"/>
            <w:vAlign w:val="center"/>
          </w:tcPr>
          <w:p w14:paraId="5C89CDB4">
            <w:pPr>
              <w:pStyle w:val="41"/>
              <w:keepLines/>
            </w:pPr>
            <w:r>
              <w:t>5</w:t>
            </w:r>
          </w:p>
        </w:tc>
        <w:tc>
          <w:tcPr>
            <w:tcW w:w="714" w:type="pct"/>
            <w:vAlign w:val="center"/>
          </w:tcPr>
          <w:p w14:paraId="2DA56987">
            <w:pPr>
              <w:pStyle w:val="41"/>
              <w:keepLines/>
            </w:pPr>
            <w:r>
              <w:t>-3.5</w:t>
            </w:r>
          </w:p>
        </w:tc>
        <w:tc>
          <w:tcPr>
            <w:tcW w:w="953" w:type="pct"/>
            <w:vAlign w:val="center"/>
          </w:tcPr>
          <w:p w14:paraId="3DCE328A">
            <w:pPr>
              <w:pStyle w:val="41"/>
              <w:keepLines/>
            </w:pPr>
            <w:r>
              <w:t>1.5</w:t>
            </w:r>
          </w:p>
        </w:tc>
        <w:tc>
          <w:tcPr>
            <w:tcW w:w="1505" w:type="pct"/>
            <w:vAlign w:val="center"/>
          </w:tcPr>
          <w:p w14:paraId="2A75B173">
            <w:pPr>
              <w:pStyle w:val="41"/>
              <w:keepLines/>
            </w:pPr>
            <w:r>
              <w:t>外售</w:t>
            </w:r>
          </w:p>
        </w:tc>
      </w:tr>
      <w:tr w14:paraId="2E64A9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39" w:type="pct"/>
            <w:vAlign w:val="center"/>
          </w:tcPr>
          <w:p w14:paraId="327C3925">
            <w:pPr>
              <w:pStyle w:val="41"/>
              <w:keepLines/>
            </w:pPr>
            <w:r>
              <w:t>3</w:t>
            </w:r>
          </w:p>
        </w:tc>
        <w:tc>
          <w:tcPr>
            <w:tcW w:w="713" w:type="pct"/>
            <w:vAlign w:val="center"/>
          </w:tcPr>
          <w:p w14:paraId="62A90C0B">
            <w:pPr>
              <w:pStyle w:val="41"/>
              <w:keepLines/>
            </w:pPr>
            <w:r>
              <w:t>矿棉</w:t>
            </w:r>
          </w:p>
        </w:tc>
        <w:tc>
          <w:tcPr>
            <w:tcW w:w="386" w:type="pct"/>
            <w:vAlign w:val="center"/>
          </w:tcPr>
          <w:p w14:paraId="0A3FF4CA">
            <w:pPr>
              <w:pStyle w:val="41"/>
              <w:keepLines/>
            </w:pPr>
            <w:r>
              <w:t>万t/a</w:t>
            </w:r>
          </w:p>
        </w:tc>
        <w:tc>
          <w:tcPr>
            <w:tcW w:w="490" w:type="pct"/>
            <w:vAlign w:val="center"/>
          </w:tcPr>
          <w:p w14:paraId="529EA759">
            <w:pPr>
              <w:pStyle w:val="41"/>
              <w:keepLines/>
            </w:pPr>
            <w:r>
              <w:t>3</w:t>
            </w:r>
          </w:p>
        </w:tc>
        <w:tc>
          <w:tcPr>
            <w:tcW w:w="714" w:type="pct"/>
            <w:vAlign w:val="center"/>
          </w:tcPr>
          <w:p w14:paraId="2B86E37D">
            <w:pPr>
              <w:pStyle w:val="41"/>
              <w:keepLines/>
            </w:pPr>
            <w:r>
              <w:t>/</w:t>
            </w:r>
          </w:p>
        </w:tc>
        <w:tc>
          <w:tcPr>
            <w:tcW w:w="953" w:type="pct"/>
            <w:vAlign w:val="center"/>
          </w:tcPr>
          <w:p w14:paraId="70D20A4C">
            <w:pPr>
              <w:pStyle w:val="41"/>
              <w:keepLines/>
            </w:pPr>
            <w:r>
              <w:t>3</w:t>
            </w:r>
          </w:p>
        </w:tc>
        <w:tc>
          <w:tcPr>
            <w:tcW w:w="1505" w:type="pct"/>
            <w:vAlign w:val="center"/>
          </w:tcPr>
          <w:p w14:paraId="44E20849">
            <w:pPr>
              <w:pStyle w:val="41"/>
              <w:keepLines/>
            </w:pPr>
            <w:r>
              <w:t>外售</w:t>
            </w:r>
          </w:p>
        </w:tc>
      </w:tr>
      <w:bookmarkEnd w:id="132"/>
      <w:bookmarkEnd w:id="133"/>
    </w:tbl>
    <w:p w14:paraId="6A276E67">
      <w:pPr>
        <w:pStyle w:val="5"/>
        <w:spacing w:before="120"/>
      </w:pPr>
      <w:r>
        <w:t>设备清单</w:t>
      </w:r>
    </w:p>
    <w:p w14:paraId="05C35BBC">
      <w:pPr>
        <w:pStyle w:val="6"/>
        <w:spacing w:before="120" w:after="120"/>
        <w:rPr>
          <w:kern w:val="0"/>
          <w:sz w:val="21"/>
          <w:szCs w:val="21"/>
        </w:rPr>
      </w:pPr>
      <w:r>
        <w:t>精炼电炉</w:t>
      </w:r>
    </w:p>
    <w:p w14:paraId="32A2E781">
      <w:pPr>
        <w:pStyle w:val="49"/>
      </w:pPr>
      <w:r>
        <w:t>根据《产业结构调整目录（2024年本）》中限制类钢铁类：第十四条：3000千伏安及以上，未采用热装热兑工艺的中低碳锰铁、电炉金属锰和中低微碳铬铁精炼电炉。本项目采用精炼电炉6300千伏安，采用热装热兑工艺，不属于限制类，符合规范要求。</w:t>
      </w:r>
    </w:p>
    <w:p w14:paraId="36E230E4">
      <w:pPr>
        <w:pStyle w:val="5"/>
        <w:spacing w:before="120"/>
      </w:pPr>
      <w:r>
        <w:t>原料来源保障性分析</w:t>
      </w:r>
    </w:p>
    <w:p w14:paraId="1E7A5D4B">
      <w:pPr>
        <w:pStyle w:val="49"/>
        <w:ind w:firstLine="476"/>
      </w:pPr>
      <w:r>
        <w:rPr>
          <w:spacing w:val="-1"/>
        </w:rPr>
        <w:t>本项目冶炼所用原料为锰矿和现有项目产品（锰硅合金</w:t>
      </w:r>
      <w:r>
        <w:rPr>
          <w:spacing w:val="-7"/>
        </w:rPr>
        <w:t>），</w:t>
      </w:r>
      <w:r>
        <w:rPr>
          <w:spacing w:val="-1"/>
        </w:rPr>
        <w:t>本项目锰矿</w:t>
      </w:r>
      <w:r>
        <w:rPr>
          <w:spacing w:val="-3"/>
        </w:rPr>
        <w:t>主要成分为Mn、SiO及Fe等，主要成分详见表4.1-8，</w:t>
      </w:r>
      <w:r>
        <w:t>现有项目主要产品为牌号FeMn68Si18的锰硅合金，主要成分详见表4.1-9</w:t>
      </w:r>
      <w:r>
        <w:rPr>
          <w:spacing w:val="-3"/>
        </w:rPr>
        <w:t>；项目所</w:t>
      </w:r>
      <w:r>
        <w:rPr>
          <w:spacing w:val="2"/>
        </w:rPr>
        <w:t>用辅料为石灰和电极材料，其中石灰主要成分详见表4.1-10</w:t>
      </w:r>
      <w:r>
        <w:rPr>
          <w:spacing w:val="1"/>
        </w:rPr>
        <w:t>，电极糊主要成分详见表</w:t>
      </w:r>
      <w:r>
        <w:t>4.1-11。</w:t>
      </w:r>
    </w:p>
    <w:p w14:paraId="53D563EF">
      <w:pPr>
        <w:pStyle w:val="5"/>
        <w:spacing w:before="120"/>
      </w:pPr>
      <w:r>
        <w:t>公用工程</w:t>
      </w:r>
    </w:p>
    <w:p w14:paraId="3C67B824">
      <w:pPr>
        <w:pStyle w:val="58"/>
        <w:ind w:firstLine="480"/>
        <w:rPr>
          <w:rFonts w:cs="Times New Roman"/>
        </w:rPr>
      </w:pPr>
      <w:r>
        <w:rPr>
          <w:rFonts w:cs="Times New Roman"/>
        </w:rPr>
        <w:t>本次技改项目给排水、供电、供热、消防等公用工程均与现状一致。</w:t>
      </w:r>
    </w:p>
    <w:p w14:paraId="721021A1">
      <w:pPr>
        <w:pStyle w:val="58"/>
        <w:ind w:firstLine="480"/>
        <w:rPr>
          <w:rFonts w:cs="Times New Roman"/>
          <w:kern w:val="0"/>
        </w:rPr>
      </w:pPr>
      <w:r>
        <w:rPr>
          <w:rFonts w:cs="Times New Roman"/>
          <w:kern w:val="0"/>
        </w:rPr>
        <w:t>（1）供电</w:t>
      </w:r>
    </w:p>
    <w:p w14:paraId="6FE7148C">
      <w:pPr>
        <w:pStyle w:val="58"/>
        <w:ind w:firstLine="480"/>
        <w:rPr>
          <w:rFonts w:cs="Times New Roman"/>
          <w:kern w:val="0"/>
        </w:rPr>
      </w:pPr>
      <w:r>
        <w:rPr>
          <w:rFonts w:cs="Times New Roman"/>
          <w:kern w:val="0"/>
        </w:rPr>
        <w:t>本项目动力车间发电以自发自用，不上网。本次技改工程依托厂区现有供电系统富余电力，厂区原有35kV变电站，不足部分接入市政供电电网。</w:t>
      </w:r>
    </w:p>
    <w:p w14:paraId="0F0C30D4">
      <w:pPr>
        <w:pStyle w:val="58"/>
        <w:ind w:firstLine="480"/>
        <w:rPr>
          <w:rFonts w:cs="Times New Roman"/>
          <w:kern w:val="0"/>
        </w:rPr>
      </w:pPr>
      <w:r>
        <w:rPr>
          <w:rFonts w:cs="Times New Roman"/>
          <w:kern w:val="0"/>
        </w:rPr>
        <w:t>厂区110kV变电站的接线110kV为线路变压器组接线，35kV为单母线分段接线，10kV为单母线接线。据此接线，为保证铁合金厂和动力车间一级负荷，确定厂区10kV负荷由园区电网供电，35kV主要负荷由电厂供给，原35kV母线进线与110kV主变35kV侧解列。</w:t>
      </w:r>
    </w:p>
    <w:p w14:paraId="61B9F321">
      <w:pPr>
        <w:pStyle w:val="3"/>
        <w:ind w:firstLine="480"/>
      </w:pPr>
      <w:r>
        <w:t>（2）给排水</w:t>
      </w:r>
    </w:p>
    <w:p w14:paraId="35B12915">
      <w:pPr>
        <w:pStyle w:val="3"/>
        <w:ind w:firstLine="480"/>
      </w:pPr>
      <w:r>
        <w:t>本次技改工程用水依托厂区内现有供水设施，供水来源跃进水库由绿交投净水厂集中单一恒压供水，供水压力2.5Mpa-3Mpa。</w:t>
      </w:r>
    </w:p>
    <w:p w14:paraId="0991D65F">
      <w:pPr>
        <w:pStyle w:val="58"/>
        <w:ind w:firstLine="480"/>
        <w:rPr>
          <w:rFonts w:cs="Times New Roman"/>
        </w:rPr>
      </w:pPr>
      <w:r>
        <w:rPr>
          <w:rFonts w:cs="Times New Roman"/>
        </w:rPr>
        <w:t>冷却塔外循环喷淋系统的排污水中含有不同程度的悬浮物、各种盐类、金属氧化物、阻垢缓蚀剂、杀生剂等。循环冷却系统排污水可直接汇集后以重力流的方式排入界区内的污水排放管网最终进入厂区内的污水处理系统，经中水处理、三效或多效蒸发处理后，回用于绿化及道路洒水降尘、外循环补充水等。</w:t>
      </w:r>
    </w:p>
    <w:p w14:paraId="3AD9B27C">
      <w:pPr>
        <w:pStyle w:val="58"/>
        <w:ind w:firstLine="480"/>
        <w:rPr>
          <w:rFonts w:cs="Times New Roman"/>
        </w:rPr>
      </w:pPr>
      <w:r>
        <w:rPr>
          <w:rFonts w:cs="Times New Roman"/>
        </w:rPr>
        <w:t>（3）采暖</w:t>
      </w:r>
    </w:p>
    <w:p w14:paraId="4CA11853">
      <w:pPr>
        <w:pStyle w:val="58"/>
        <w:ind w:firstLine="480"/>
        <w:rPr>
          <w:rFonts w:cs="Times New Roman"/>
        </w:rPr>
      </w:pPr>
      <w:r>
        <w:rPr>
          <w:rFonts w:cs="Times New Roman"/>
        </w:rPr>
        <w:t>本项目采暖热源为装置区内动力车间蒸汽换热后的热水，生产厂房散热器的供水温度为75℃，回水温度50℃，地板辐射采暖系统的供水温度为50℃，回水温度40℃。</w:t>
      </w:r>
    </w:p>
    <w:p w14:paraId="5B2EFF11">
      <w:pPr>
        <w:pStyle w:val="58"/>
        <w:ind w:firstLine="480"/>
        <w:rPr>
          <w:rFonts w:cs="Times New Roman"/>
        </w:rPr>
      </w:pPr>
      <w:r>
        <w:rPr>
          <w:rFonts w:cs="Times New Roman"/>
        </w:rPr>
        <w:t>生产厂房室内采暖管道采用明装敷设，散热器选用钢制柱型散热器，采暖管道采用焊接钢管，焊接钢管的连接，管径小于或等于32mm，应采用螺纹连接，管径大于32mm，采用焊接。散热器调节阀采用内螺纹截止阀，采暖系统入口切断阀采用法兰截止阀；办公、居住建筑采用地板辐射采暖系统，供热盘管采用耐热聚乙烯(PE-RT)管卷材De20管，管材使用条件级别为4级，管系列为S(4)系列，工作温度不大于60℃，工作压力为0.8MPa，使用寿命不小于50年，De20壁厚</w:t>
      </w:r>
      <w:r>
        <w:rPr>
          <w:rFonts w:ascii="Cambria Math" w:hAnsi="Cambria Math" w:cs="Cambria Math"/>
        </w:rPr>
        <w:t>≮</w:t>
      </w:r>
      <w:r>
        <w:rPr>
          <w:rFonts w:cs="Times New Roman"/>
        </w:rPr>
        <w:t>2.0mm，De25壁厚</w:t>
      </w:r>
      <w:r>
        <w:rPr>
          <w:rFonts w:ascii="Cambria Math" w:hAnsi="Cambria Math" w:cs="Cambria Math"/>
        </w:rPr>
        <w:t>≮</w:t>
      </w:r>
      <w:r>
        <w:rPr>
          <w:rFonts w:cs="Times New Roman"/>
        </w:rPr>
        <w:t>2.3mm，De32壁厚</w:t>
      </w:r>
      <w:r>
        <w:rPr>
          <w:rFonts w:ascii="Cambria Math" w:hAnsi="Cambria Math" w:cs="Cambria Math"/>
        </w:rPr>
        <w:t>≮</w:t>
      </w:r>
      <w:r>
        <w:rPr>
          <w:rFonts w:cs="Times New Roman"/>
        </w:rPr>
        <w:t>2.9mm，面层内管道不得有接头，与钢管连接为扩口卡式活接管件连接；采暖管道采用焊接钢管，焊接钢管的连接，管径小于或等于32mm，应采用螺纹连接，管径大于32mm，采用焊接。</w:t>
      </w:r>
    </w:p>
    <w:p w14:paraId="34FC23FD">
      <w:pPr>
        <w:pStyle w:val="58"/>
        <w:ind w:firstLine="480"/>
        <w:rPr>
          <w:rFonts w:cs="Times New Roman"/>
        </w:rPr>
      </w:pPr>
      <w:r>
        <w:rPr>
          <w:rFonts w:cs="Times New Roman"/>
        </w:rPr>
        <w:t>（4）通风</w:t>
      </w:r>
    </w:p>
    <w:p w14:paraId="47FD8191">
      <w:pPr>
        <w:pStyle w:val="58"/>
        <w:ind w:firstLine="480"/>
        <w:rPr>
          <w:rFonts w:cs="Times New Roman"/>
        </w:rPr>
      </w:pPr>
      <w:r>
        <w:rPr>
          <w:rFonts w:cs="Times New Roman"/>
        </w:rPr>
        <w:t>本次技改工程建筑物的通风一般优先考虑采用自然通风方式；在自然通风无法保证通风效果的情况下，考虑采用机械通风。</w:t>
      </w:r>
    </w:p>
    <w:p w14:paraId="63607DA7">
      <w:pPr>
        <w:pStyle w:val="58"/>
        <w:ind w:firstLine="480"/>
        <w:rPr>
          <w:rFonts w:cs="Times New Roman"/>
        </w:rPr>
      </w:pPr>
      <w:r>
        <w:rPr>
          <w:rFonts w:cs="Times New Roman"/>
        </w:rPr>
        <w:t>厂房有机械通风要求的房间、配电室、冷冻站及循环水泵房均设轴流风机进行通风换气和排除余热。有爆炸危险的房间通风采用防爆型通风设备。</w:t>
      </w:r>
    </w:p>
    <w:p w14:paraId="07C151AE">
      <w:pPr>
        <w:pStyle w:val="58"/>
        <w:ind w:firstLine="480"/>
        <w:rPr>
          <w:rFonts w:cs="Times New Roman"/>
        </w:rPr>
      </w:pPr>
      <w:r>
        <w:rPr>
          <w:rFonts w:cs="Times New Roman"/>
        </w:rPr>
        <w:t>（5）消防</w:t>
      </w:r>
    </w:p>
    <w:p w14:paraId="1E6723CE">
      <w:pPr>
        <w:pStyle w:val="58"/>
        <w:ind w:firstLine="480"/>
        <w:rPr>
          <w:rFonts w:cs="Times New Roman"/>
        </w:rPr>
      </w:pPr>
      <w:r>
        <w:rPr>
          <w:rFonts w:cs="Times New Roman"/>
        </w:rPr>
        <w:t>根据《建筑设计防火规范》和《消防给水及消火栓系统技术规范》的规定，全厂同一时间内火灾次数按一次计。企业目前消防水补水由园区生产和生活给水管网供给，供水可靠。</w:t>
      </w:r>
    </w:p>
    <w:p w14:paraId="75D55406">
      <w:pPr>
        <w:pStyle w:val="58"/>
        <w:ind w:firstLine="480"/>
        <w:rPr>
          <w:rFonts w:cs="Times New Roman"/>
        </w:rPr>
      </w:pPr>
      <w:r>
        <w:rPr>
          <w:rFonts w:cs="Times New Roman"/>
        </w:rPr>
        <w:t>本项目设计消防用水量为15L/S，其中室外消防用水量按5L/S考虑，室内消防用水量按10L/S考虑，火灾延续时间为3小时。局部电缆</w:t>
      </w:r>
      <w:r>
        <w:rPr>
          <w:rFonts w:hint="eastAsia" w:cs="Times New Roman"/>
          <w:lang w:eastAsia="zh-CN"/>
        </w:rPr>
        <w:t>隧道</w:t>
      </w:r>
      <w:r>
        <w:rPr>
          <w:rFonts w:cs="Times New Roman"/>
        </w:rPr>
        <w:t>、电缆夹层、电气地下室及地下液压站等特殊部位均采用细水雾消防，细水雾消防供水设施设在矿热炉循环泵站内，消防水量25L/s，火灾延续时间0.4小时。</w:t>
      </w:r>
    </w:p>
    <w:p w14:paraId="1405613E">
      <w:pPr>
        <w:pStyle w:val="58"/>
        <w:ind w:firstLine="480"/>
        <w:rPr>
          <w:rFonts w:cs="Times New Roman"/>
        </w:rPr>
      </w:pPr>
      <w:r>
        <w:rPr>
          <w:rFonts w:cs="Times New Roman"/>
        </w:rPr>
        <w:t>室外消火栓系统管网呈环状网布置，并采用阀门分成若干独立段，每段内室外消火栓的数量不宜超过5个。室外消火栓的保护半径不应超过150m，间距不应大于120m。距路边不宜小于0.5m，并不应大于2.0m。距建筑外墙或外墙边缘不宜小于5.0m。</w:t>
      </w:r>
    </w:p>
    <w:p w14:paraId="2D705321">
      <w:pPr>
        <w:pStyle w:val="58"/>
        <w:ind w:firstLine="480"/>
        <w:rPr>
          <w:rFonts w:cs="Times New Roman"/>
        </w:rPr>
      </w:pPr>
      <w:r>
        <w:rPr>
          <w:rFonts w:cs="Times New Roman"/>
        </w:rPr>
        <w:t>厂区采用稳高压消防系统。平时由稳压泵维持消防管网的压力，火灾时由消防泵加压供消防用水。</w:t>
      </w:r>
    </w:p>
    <w:p w14:paraId="4931D707">
      <w:pPr>
        <w:pStyle w:val="58"/>
        <w:ind w:firstLine="480"/>
        <w:rPr>
          <w:rFonts w:cs="Times New Roman"/>
        </w:rPr>
      </w:pPr>
      <w:r>
        <w:rPr>
          <w:rFonts w:cs="Times New Roman"/>
        </w:rPr>
        <w:t>给水管采用钢丝网骨架塑料复合管，其聚乙烯原材料等级为PE100，内环向应力为8.0MPa，连接方式为可靠的电熔连接或机械连接。管材公称压力1.6MPa。</w:t>
      </w:r>
    </w:p>
    <w:p w14:paraId="181310AC">
      <w:pPr>
        <w:pStyle w:val="58"/>
        <w:ind w:firstLine="480"/>
        <w:rPr>
          <w:rFonts w:cs="Times New Roman"/>
        </w:rPr>
      </w:pPr>
      <w:r>
        <w:rPr>
          <w:rFonts w:cs="Times New Roman"/>
        </w:rPr>
        <w:t>按《建筑灭火器配置设计规范》要求，在工厂内各类场所配置ABC类手提干粉灭火器及推车式干粉灭火器，用以扑救小型初始火灾。</w:t>
      </w:r>
    </w:p>
    <w:p w14:paraId="2E7343E4">
      <w:pPr>
        <w:pStyle w:val="5"/>
        <w:spacing w:before="120"/>
      </w:pPr>
      <w:r>
        <w:t xml:space="preserve">平面布置 </w:t>
      </w:r>
    </w:p>
    <w:p w14:paraId="17005E84">
      <w:pPr>
        <w:pStyle w:val="3"/>
        <w:ind w:firstLine="480"/>
      </w:pPr>
      <w:r>
        <w:t>根据本项目工艺流程及生产特点，结合地理位置情况等，将各项目总体上分为四个功能分区布置。分别为冶炼车间区域、烧结车间区域、岩棉车间区域、动力车间区域。</w:t>
      </w:r>
    </w:p>
    <w:p w14:paraId="0436BBE2">
      <w:pPr>
        <w:pStyle w:val="3"/>
        <w:ind w:firstLine="480"/>
      </w:pPr>
      <w:r>
        <w:t>冶炼车间区域包括冶炼跨及精整、浇筑跨、除尘设备、配料站及皮带廊、配电室循环水泵房、原料库等。本次技改在原有配料站的西侧新建配料站，利用原有的皮带廊从原料库进行上料，在原有的冶炼车间西侧(现为成品库)新增精炼炉利用大倾角皮带廊从配料站送料，在原有循环水泵房的东侧新增精炼炉的循环水系统并合用消防水系统。</w:t>
      </w:r>
    </w:p>
    <w:p w14:paraId="42D27CFB">
      <w:pPr>
        <w:pStyle w:val="3"/>
        <w:ind w:firstLine="480"/>
      </w:pPr>
      <w:r>
        <w:t>烧结车间区域包括烧结间、配电室、转运站、混料室、压球车间、原料库等。岩棉车间区域包括生产车间、除尘设备、岩棉成品库房、机修间、库房、休息室等。</w:t>
      </w:r>
    </w:p>
    <w:p w14:paraId="201185A6">
      <w:pPr>
        <w:pStyle w:val="3"/>
        <w:ind w:firstLine="480"/>
      </w:pPr>
      <w:r>
        <w:t>动力车间区域包括发电车间、空压机房、水泵房、化水车间、除尘设备、皮带廊配电室等。</w:t>
      </w:r>
    </w:p>
    <w:p w14:paraId="5B40EA53">
      <w:pPr>
        <w:pStyle w:val="3"/>
        <w:ind w:firstLine="480"/>
      </w:pPr>
      <w:r>
        <w:t>本次技改工程新建冶炼车间位于现有冶炼车间东侧，烧结车间依托现有车间，不新增建筑。</w:t>
      </w:r>
    </w:p>
    <w:p w14:paraId="5E4271D0">
      <w:pPr>
        <w:pStyle w:val="42"/>
      </w:pPr>
    </w:p>
    <w:p w14:paraId="36152283">
      <w:pPr>
        <w:pStyle w:val="4"/>
      </w:pPr>
      <w:bookmarkStart w:id="134" w:name="_Toc30917"/>
      <w:bookmarkStart w:id="135" w:name="_Toc20387"/>
      <w:bookmarkStart w:id="136" w:name="_Toc207208387"/>
      <w:r>
        <w:t>环境影响因素分析</w:t>
      </w:r>
      <w:bookmarkEnd w:id="134"/>
      <w:bookmarkEnd w:id="135"/>
      <w:bookmarkEnd w:id="136"/>
    </w:p>
    <w:p w14:paraId="63D9CF48">
      <w:pPr>
        <w:pStyle w:val="5"/>
        <w:spacing w:before="120"/>
      </w:pPr>
      <w:bookmarkStart w:id="137" w:name="_Hlk171960928"/>
      <w:r>
        <w:t>工艺流程及产污环节</w:t>
      </w:r>
    </w:p>
    <w:p w14:paraId="35F1F93D">
      <w:pPr>
        <w:pStyle w:val="6"/>
        <w:spacing w:before="120" w:after="120"/>
      </w:pPr>
      <w:r>
        <w:t>技改工艺流程</w:t>
      </w:r>
    </w:p>
    <w:p w14:paraId="1EF36B35">
      <w:pPr>
        <w:pStyle w:val="49"/>
        <w:rPr>
          <w:kern w:val="0"/>
        </w:rPr>
      </w:pPr>
      <w:r>
        <w:t>（1）原料工序</w:t>
      </w:r>
    </w:p>
    <w:p w14:paraId="7B64A61E">
      <w:pPr>
        <w:pStyle w:val="49"/>
        <w:ind w:firstLine="472"/>
      </w:pPr>
      <w:r>
        <w:rPr>
          <w:rFonts w:ascii="Cambria Math" w:hAnsi="Cambria Math" w:cs="Cambria Math"/>
          <w:spacing w:val="-2"/>
        </w:rPr>
        <w:t>①</w:t>
      </w:r>
      <w:r>
        <w:rPr>
          <w:spacing w:val="-2"/>
        </w:rPr>
        <w:t>原料入场及预处理阶段</w:t>
      </w:r>
    </w:p>
    <w:p w14:paraId="5F45D33E">
      <w:pPr>
        <w:pStyle w:val="49"/>
        <w:ind w:firstLine="472"/>
      </w:pPr>
      <w:r>
        <w:rPr>
          <w:spacing w:val="-2"/>
        </w:rPr>
        <w:t>中低碳锰铁合金冶炼主要原料有石灰石、硅石、焦炭，</w:t>
      </w:r>
      <w:r>
        <w:rPr>
          <w:spacing w:val="-3"/>
        </w:rPr>
        <w:t>由汽车经地磅运进原料库</w:t>
      </w:r>
      <w:r>
        <w:rPr>
          <w:spacing w:val="-2"/>
        </w:rPr>
        <w:t>内进行卸料。外购散装锰矿进场卸料后，由卸车机送至烧结车间进行预处理。首先将</w:t>
      </w:r>
      <w:r>
        <w:rPr>
          <w:spacing w:val="-6"/>
        </w:rPr>
        <w:t>锰矿在圆振筛中用水清洗，去除泥土等杂质，合格品通过输</w:t>
      </w:r>
      <w:r>
        <w:rPr>
          <w:spacing w:val="-7"/>
        </w:rPr>
        <w:t>送皮带直接进入烧结车间；</w:t>
      </w:r>
      <w:r>
        <w:rPr>
          <w:spacing w:val="-1"/>
        </w:rPr>
        <w:t>不合格品经破碎机进行破碎，破碎后通过输送皮带运输到配料站。</w:t>
      </w:r>
    </w:p>
    <w:p w14:paraId="14C5E597">
      <w:pPr>
        <w:pStyle w:val="49"/>
        <w:ind w:firstLine="468"/>
      </w:pPr>
      <w:r>
        <w:rPr>
          <w:rFonts w:ascii="Cambria Math" w:hAnsi="Cambria Math" w:cs="Cambria Math"/>
          <w:spacing w:val="-3"/>
        </w:rPr>
        <w:t>②</w:t>
      </w:r>
      <w:r>
        <w:rPr>
          <w:spacing w:val="-3"/>
        </w:rPr>
        <w:t>配料、上料系统</w:t>
      </w:r>
    </w:p>
    <w:p w14:paraId="07059332">
      <w:pPr>
        <w:pStyle w:val="49"/>
        <w:ind w:firstLine="472"/>
      </w:pPr>
      <w:r>
        <w:rPr>
          <w:spacing w:val="-2"/>
        </w:rPr>
        <w:t>原料库内的原料由地下廊道经皮带给料机输送，至配料站内进行配料。本项目电炉配料采用全自动配料的方式进行，每个配料站设6个料仓，各种物料按要求由仓下振动给料机送至相应配料称，经计量后用给料机进行配料。给料、称量、配料过程均</w:t>
      </w:r>
      <w:r>
        <w:rPr>
          <w:spacing w:val="1"/>
        </w:rPr>
        <w:t>采用</w:t>
      </w:r>
      <w:r>
        <w:t>DCS</w:t>
      </w:r>
      <w:r>
        <w:rPr>
          <w:spacing w:val="1"/>
        </w:rPr>
        <w:t>自动控制。经配料后的混合料由大倾角</w:t>
      </w:r>
      <w:r>
        <w:t>上料皮带机送至电炉平台，再由环形布料小车卸至炉顶料仓。炉料经料管间断</w:t>
      </w:r>
      <w:r>
        <w:rPr>
          <w:spacing w:val="-1"/>
        </w:rPr>
        <w:t>加入炉内，连续冶炼。</w:t>
      </w:r>
    </w:p>
    <w:p w14:paraId="7BECA79F">
      <w:pPr>
        <w:pStyle w:val="49"/>
        <w:ind w:firstLine="456"/>
      </w:pPr>
      <w:r>
        <w:rPr>
          <w:spacing w:val="-6"/>
        </w:rPr>
        <w:t>（2）冶炼工序</w:t>
      </w:r>
    </w:p>
    <w:p w14:paraId="40E78363">
      <w:pPr>
        <w:pStyle w:val="49"/>
        <w:ind w:firstLine="468"/>
      </w:pPr>
      <w:r>
        <w:rPr>
          <w:rFonts w:ascii="Cambria Math" w:hAnsi="Cambria Math" w:cs="Cambria Math"/>
          <w:spacing w:val="-3"/>
        </w:rPr>
        <w:t>①</w:t>
      </w:r>
      <w:r>
        <w:rPr>
          <w:spacing w:val="-3"/>
        </w:rPr>
        <w:t>精炼炉冶炼</w:t>
      </w:r>
    </w:p>
    <w:p w14:paraId="0CA833ED">
      <w:pPr>
        <w:pStyle w:val="49"/>
        <w:ind w:firstLine="472"/>
      </w:pPr>
      <w:r>
        <w:rPr>
          <w:spacing w:val="-2"/>
        </w:rPr>
        <w:t>配料完成后混匀料通过下料管顶料仓及下料管重力自流至电炉内进行冶炼。根据生产需求情况，炉料分批次加入电炉中，由电极通入电流，在电极与炉料间产生高温</w:t>
      </w:r>
      <w:r>
        <w:rPr>
          <w:spacing w:val="-1"/>
        </w:rPr>
        <w:t>电弧（1800℃~2200℃），炉料被加热、熔化，并发生还原反应。在冶炼过程中</w:t>
      </w:r>
      <w:r>
        <w:rPr>
          <w:spacing w:val="-2"/>
        </w:rPr>
        <w:t>，为增加炉料的电阻，改善炉料的透气性，加快化料速度，需根据料面粘结情况进行捣炉操作，本项目采用捣炉车在三个操作大面进行捣炉。冶炼过程中，电极不断被消耗，</w:t>
      </w:r>
      <w:r>
        <w:rPr>
          <w:spacing w:val="2"/>
        </w:rPr>
        <w:t>需定期接长电极为补充不断消耗的石墨电极，石墨电极由20t悬挂起重机从±0.00m提升至接电极平台进行电极接长。1台电炉设3个出口，交替使用，电炉每隔2～3h</w:t>
      </w:r>
      <w:r>
        <w:t>出一次合金液（每次约4～6t）。当炉底存有一定量的液态Si时，用开炉眼机打开出</w:t>
      </w:r>
      <w:r>
        <w:rPr>
          <w:spacing w:val="-2"/>
        </w:rPr>
        <w:t>电炉口，锰铁合金液直接重力流入包车内，再通过吊车倒入摇包机内产出液态低碳锰</w:t>
      </w:r>
      <w:r>
        <w:t>硅，液态低碳锰硅倒入精炼炉再次进行精炼反应，从而</w:t>
      </w:r>
      <w:r>
        <w:rPr>
          <w:spacing w:val="-1"/>
        </w:rPr>
        <w:t>得到中低碳锰铁合金。</w:t>
      </w:r>
    </w:p>
    <w:p w14:paraId="2BDCBF19">
      <w:pPr>
        <w:pStyle w:val="49"/>
        <w:ind w:firstLine="460"/>
      </w:pPr>
      <w:r>
        <w:rPr>
          <w:rFonts w:ascii="Cambria Math" w:hAnsi="Cambria Math" w:cs="Cambria Math"/>
          <w:spacing w:val="-5"/>
        </w:rPr>
        <w:t>②</w:t>
      </w:r>
      <w:r>
        <w:rPr>
          <w:spacing w:val="-5"/>
        </w:rPr>
        <w:t>摇炉</w:t>
      </w:r>
    </w:p>
    <w:p w14:paraId="4E9BFE2B">
      <w:pPr>
        <w:pStyle w:val="49"/>
        <w:ind w:firstLine="472"/>
        <w:rPr>
          <w:spacing w:val="-2"/>
        </w:rPr>
      </w:pPr>
      <w:r>
        <w:rPr>
          <w:spacing w:val="-2"/>
        </w:rPr>
        <w:t>原理：摇炉是一种将渣与铁水放人摇包内进行摇动，改善其动力学条件，使渣铁混合，增大反应界面，加速扩散过程，缩短反应时间的设备。它是三炉联动的关键设备之一。摇炉设备主要由摇包、摇架、偏心摇动装置、传动装置、倾翻装置、润滑系统、控制系统等组成。在偏心轴的带动作用下，摇包作水平偏心平动。由于摇包壁的作用和液态熔体的惯性及摇包内产生特殊的运动，液态合金和炉渣发生相对于包体的摆动和转动。影响摇包内界面运动的主要因素有:转速、偏心距、液面高度、上下液体比、摇包直径等。其中，转速是最主要的影响因素，其次是偏心距，而液体高度和上下液体比是较次要因素。</w:t>
      </w:r>
    </w:p>
    <w:p w14:paraId="51729A87">
      <w:pPr>
        <w:pStyle w:val="49"/>
        <w:ind w:firstLine="472"/>
        <w:rPr>
          <w:spacing w:val="-2"/>
        </w:rPr>
      </w:pPr>
      <w:r>
        <w:rPr>
          <w:spacing w:val="-2"/>
        </w:rPr>
        <w:t>过程简述：锰硅合金电炉、精炼电炉和摇炉三炉联动作业。精炼电炉为间断操作，锰硅合金电炉为连续操作，精炼电炉和锰硅合金电炉同时出炉，精炼电炉产出的液态锰硅炉渣(Mn20%左右)倒人摇炉内，产出的铁水作为产品，即液态低碳锰硅。锰硅合金电炉炼出的锰硅合金熔体经过称重兑人摇炉。摇炉以一定转速旋转，在良好的动力学条件下，锰硅合金中的Si快速地还原了中低碳锰铁渣中的MnO，从而达到增锰脱硅的目的，待渣中的MnO贫化到一定要求后倾炉倒出废渣。而脱去部分硅后的中间合金熔体重新兑入精炼电炉进一步精炼。</w:t>
      </w:r>
    </w:p>
    <w:p w14:paraId="349EFDE4">
      <w:pPr>
        <w:pStyle w:val="49"/>
        <w:ind w:firstLine="472"/>
        <w:rPr>
          <w:spacing w:val="-2"/>
        </w:rPr>
      </w:pPr>
      <w:r>
        <w:rPr>
          <w:spacing w:val="-2"/>
        </w:rPr>
        <w:t>精炼电炉在出铁完成后，重新装人总配料量二分之一的高品位锰矿和石灰进行熔化，待兑完经摇炉预精炼的中间合金后，再将余下二分之一的锰矿和石灰加人炉内，进一步脱碳升锰精炼，待取样分析合格后出炉，从而完成一个周期性作业。</w:t>
      </w:r>
    </w:p>
    <w:p w14:paraId="527EED4B">
      <w:pPr>
        <w:pStyle w:val="49"/>
        <w:ind w:firstLine="472"/>
        <w:rPr>
          <w:spacing w:val="-2"/>
        </w:rPr>
      </w:pPr>
      <w:r>
        <w:rPr>
          <w:rFonts w:ascii="Cambria Math" w:hAnsi="Cambria Math" w:cs="Cambria Math"/>
          <w:spacing w:val="-2"/>
        </w:rPr>
        <w:t>③</w:t>
      </w:r>
      <w:r>
        <w:rPr>
          <w:spacing w:val="-2"/>
        </w:rPr>
        <w:t>浇铸</w:t>
      </w:r>
    </w:p>
    <w:p w14:paraId="6A622B70">
      <w:pPr>
        <w:pStyle w:val="49"/>
        <w:ind w:firstLine="472"/>
        <w:rPr>
          <w:spacing w:val="-2"/>
        </w:rPr>
      </w:pPr>
      <w:r>
        <w:rPr>
          <w:spacing w:val="-2"/>
        </w:rPr>
        <w:t>精炼炉设备车间放置1台6300KVA精炼炉，每个精炼炉有3个出口，每台矿热炉共设计2套摇包机用于定点摇包，互为备用；2套拉包车系统，用于锰硅合金的转运，拉包车可以实现在弧形的炉子周围自动拐弯，其中一台为备用，应对突发情况。在锰硅合金倾翻浇铸机前设计1套牵引锭模车生产线，依次轮流浇注在锭模上，浇铸完成后等待冷却一段时间，在原地由脱模机进行脱模，料块由叉车送到精整车间以便下一步破碎。</w:t>
      </w:r>
    </w:p>
    <w:p w14:paraId="532955AE">
      <w:pPr>
        <w:pStyle w:val="49"/>
        <w:ind w:firstLine="472"/>
        <w:rPr>
          <w:spacing w:val="-2"/>
        </w:rPr>
      </w:pPr>
      <w:r>
        <w:rPr>
          <w:spacing w:val="-2"/>
        </w:rPr>
        <w:t>（3）成品加工工序</w:t>
      </w:r>
    </w:p>
    <w:p w14:paraId="73C8E6EC">
      <w:pPr>
        <w:pStyle w:val="49"/>
        <w:ind w:firstLine="472"/>
        <w:rPr>
          <w:rFonts w:eastAsia="等线"/>
          <w:sz w:val="21"/>
          <w:szCs w:val="21"/>
        </w:rPr>
      </w:pPr>
      <w:r>
        <w:rPr>
          <w:spacing w:val="-2"/>
        </w:rPr>
        <w:t>转运车将料块送到精整车间，通过网格式锥型扎破机进行破碎，破碎完成后通过皮带机运输至耐磨溜筛（网格间隙10mm）进行筛分处理。成品粒度分为两个等级：0-10mm、10mm以上（其中10-100mm</w:t>
      </w:r>
      <w:r>
        <w:rPr>
          <w:rFonts w:ascii="Cambria Math" w:hAnsi="Cambria Math" w:cs="Cambria Math"/>
          <w:spacing w:val="-2"/>
        </w:rPr>
        <w:t>≧</w:t>
      </w:r>
      <w:r>
        <w:rPr>
          <w:spacing w:val="-2"/>
        </w:rPr>
        <w:t>90%）。0-10mm筛分后进行吨袋自动称重包装；100mm以上返回破碎机再破碎。</w:t>
      </w:r>
    </w:p>
    <w:p w14:paraId="7D4FEF74">
      <w:pPr>
        <w:pStyle w:val="6"/>
        <w:spacing w:before="120" w:after="120"/>
      </w:pPr>
      <w:r>
        <w:t>烧结车间设备改造后工艺流程简述</w:t>
      </w:r>
    </w:p>
    <w:p w14:paraId="6772C48B">
      <w:pPr>
        <w:pStyle w:val="49"/>
      </w:pPr>
      <w:r>
        <w:t>原料厂的溶剂、铁矿粉、燃料、杂料按不同比例混合，然后送到混料机进行混匀和造球，由皮带运输机送到烧结机混料仓，完成供料工艺，铺底料装置先把底料均匀的铺在台车的篦条上，混好的料由布料器铺到烧结台车上进行点火烧结，从台车上卸下的烧结矿翻到破碎机进行破碎，烧结过程中产生的废气经除尘器除尘后，经风机</w:t>
      </w:r>
      <w:r>
        <w:rPr>
          <w:spacing w:val="-1"/>
        </w:rPr>
        <w:t>抽入烟囱，排入大气。</w:t>
      </w:r>
    </w:p>
    <w:p w14:paraId="38EAF225">
      <w:pPr>
        <w:pStyle w:val="6"/>
        <w:spacing w:before="120" w:after="120"/>
      </w:pPr>
      <w:r>
        <w:t>技改后全厂工艺流程变化情况</w:t>
      </w:r>
    </w:p>
    <w:p w14:paraId="285853A1">
      <w:pPr>
        <w:pStyle w:val="49"/>
        <w:rPr>
          <w:kern w:val="0"/>
        </w:rPr>
      </w:pPr>
      <w:r>
        <w:t>该工艺流程主要设备有：6300kVA</w:t>
      </w:r>
      <w:r>
        <w:rPr>
          <w:spacing w:val="-2"/>
        </w:rPr>
        <w:t>精炼电炉、20立方摇包、配上料系统、63吨</w:t>
      </w:r>
      <w:r>
        <w:t>行车、铁水包、热装罐、渣包、出炉车、浇铸系统、水淬渣系统。</w:t>
      </w:r>
    </w:p>
    <w:p w14:paraId="5F8D0753">
      <w:pPr>
        <w:pStyle w:val="49"/>
        <w:ind w:firstLine="472"/>
      </w:pPr>
      <w:r>
        <w:rPr>
          <w:spacing w:val="-2"/>
        </w:rPr>
        <w:t>技改工程实施后全厂冶炼流程如下：</w:t>
      </w:r>
    </w:p>
    <w:p w14:paraId="405EF210">
      <w:pPr>
        <w:pStyle w:val="49"/>
      </w:pPr>
      <w:r>
        <w:t>（1）锰硅合金出炉，待渣、铁除完后，利用石灰石和卤粉搭配的堵眼料进行炉眼补堵。堵眼完成后，将出炉车用卷扬机拉出，将锰硅合金吊运至浇铸处进行浇铸；</w:t>
      </w:r>
    </w:p>
    <w:p w14:paraId="157933C5">
      <w:pPr>
        <w:pStyle w:val="49"/>
      </w:pPr>
      <w:r>
        <w:t>（2）精炼炉进行布料，将部分料加入炉内，等待冶炼出液态精炼炉炉渣至摇包；</w:t>
      </w:r>
    </w:p>
    <w:p w14:paraId="65C3CBE1">
      <w:pPr>
        <w:pStyle w:val="49"/>
        <w:ind w:firstLine="464"/>
      </w:pPr>
      <w:r>
        <w:rPr>
          <w:spacing w:val="-4"/>
        </w:rPr>
        <w:t>（3）锰硅炉出炉扒渣、将液态锰硅合金利用行车上计量称进行称重，并做好</w:t>
      </w:r>
      <w:r>
        <w:rPr>
          <w:spacing w:val="-5"/>
        </w:rPr>
        <w:t>记录；</w:t>
      </w:r>
    </w:p>
    <w:p w14:paraId="2371633D">
      <w:pPr>
        <w:pStyle w:val="49"/>
        <w:ind w:firstLine="472"/>
      </w:pPr>
      <w:r>
        <w:rPr>
          <w:spacing w:val="-2"/>
        </w:rPr>
        <w:t>（4）行车将矿热炉产生液态锰铁合金吊运至摇包区域；</w:t>
      </w:r>
    </w:p>
    <w:p w14:paraId="4FF8CF3C">
      <w:pPr>
        <w:pStyle w:val="49"/>
        <w:ind w:firstLine="468"/>
      </w:pPr>
      <w:r>
        <w:rPr>
          <w:spacing w:val="-3"/>
        </w:rPr>
        <w:t>（5）通过二步法液态精炼炉炉渣和液态的锰硅合金</w:t>
      </w:r>
      <w:r>
        <w:rPr>
          <w:spacing w:val="-4"/>
        </w:rPr>
        <w:t>加入到摇包中，然后进行摇动；</w:t>
      </w:r>
    </w:p>
    <w:p w14:paraId="173313DB">
      <w:pPr>
        <w:pStyle w:val="49"/>
        <w:ind w:firstLine="472"/>
      </w:pPr>
      <w:r>
        <w:rPr>
          <w:spacing w:val="-2"/>
        </w:rPr>
        <w:t>（6）揺完后液态渣变成含锰低于5%的贫渣用于生产岩棉；</w:t>
      </w:r>
    </w:p>
    <w:p w14:paraId="1D8D70FB">
      <w:pPr>
        <w:pStyle w:val="49"/>
      </w:pPr>
      <w:r>
        <w:t>（7）将液态低碳锰硅装罐用行车吊起，箅渣，加入到精炼炉中</w:t>
      </w:r>
      <w:r>
        <w:rPr>
          <w:spacing w:val="-2"/>
        </w:rPr>
        <w:t>热装热兑；</w:t>
      </w:r>
    </w:p>
    <w:p w14:paraId="3A58A766">
      <w:pPr>
        <w:pStyle w:val="49"/>
        <w:ind w:firstLine="472"/>
      </w:pPr>
      <w:r>
        <w:rPr>
          <w:spacing w:val="-2"/>
        </w:rPr>
        <w:t>（8）热装后，精炼炉送电，从而得到中低碳锰铁合金。</w:t>
      </w:r>
      <w:bookmarkEnd w:id="137"/>
      <w:r>
        <w:t>产、排污情况整理</w:t>
      </w:r>
    </w:p>
    <w:p w14:paraId="761AD529">
      <w:pPr>
        <w:pStyle w:val="3"/>
        <w:ind w:firstLine="480"/>
      </w:pPr>
      <w:r>
        <w:t>对本项目产、排污情况整理如下表：</w:t>
      </w:r>
    </w:p>
    <w:p w14:paraId="7E706F51">
      <w:pPr>
        <w:pStyle w:val="40"/>
        <w:spacing w:before="120"/>
      </w:pPr>
      <w:r>
        <w:t>表4.2-1    本次技改工程涉及生产工艺及其他环节产、排污环节一览表</w:t>
      </w:r>
    </w:p>
    <w:tbl>
      <w:tblPr>
        <w:tblStyle w:val="28"/>
        <w:tblW w:w="512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14"/>
        <w:gridCol w:w="540"/>
        <w:gridCol w:w="1801"/>
        <w:gridCol w:w="1988"/>
        <w:gridCol w:w="1767"/>
        <w:gridCol w:w="540"/>
        <w:gridCol w:w="1765"/>
      </w:tblGrid>
      <w:tr w14:paraId="64C50C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blHeader/>
        </w:trPr>
        <w:tc>
          <w:tcPr>
            <w:tcW w:w="288" w:type="pct"/>
            <w:vAlign w:val="center"/>
          </w:tcPr>
          <w:p w14:paraId="3A6B6625">
            <w:pPr>
              <w:pStyle w:val="41"/>
              <w:snapToGrid w:val="0"/>
            </w:pPr>
            <w:r>
              <w:t>污染类型</w:t>
            </w:r>
          </w:p>
        </w:tc>
        <w:tc>
          <w:tcPr>
            <w:tcW w:w="303" w:type="pct"/>
            <w:vAlign w:val="center"/>
          </w:tcPr>
          <w:p w14:paraId="453A6CB0">
            <w:pPr>
              <w:pStyle w:val="41"/>
              <w:snapToGrid w:val="0"/>
            </w:pPr>
            <w:r>
              <w:t>序号</w:t>
            </w:r>
          </w:p>
        </w:tc>
        <w:tc>
          <w:tcPr>
            <w:tcW w:w="1010" w:type="pct"/>
            <w:vAlign w:val="center"/>
          </w:tcPr>
          <w:p w14:paraId="6D686E35">
            <w:pPr>
              <w:pStyle w:val="41"/>
              <w:snapToGrid w:val="0"/>
            </w:pPr>
            <w:r>
              <w:t>产生工段</w:t>
            </w:r>
          </w:p>
        </w:tc>
        <w:tc>
          <w:tcPr>
            <w:tcW w:w="1115" w:type="pct"/>
            <w:vAlign w:val="center"/>
          </w:tcPr>
          <w:p w14:paraId="5A58D207">
            <w:pPr>
              <w:pStyle w:val="41"/>
              <w:snapToGrid w:val="0"/>
            </w:pPr>
            <w:r>
              <w:t>治理措施/排口名称</w:t>
            </w:r>
          </w:p>
        </w:tc>
        <w:tc>
          <w:tcPr>
            <w:tcW w:w="991" w:type="pct"/>
            <w:vAlign w:val="center"/>
          </w:tcPr>
          <w:p w14:paraId="1C7E2A3E">
            <w:pPr>
              <w:pStyle w:val="41"/>
              <w:snapToGrid w:val="0"/>
            </w:pPr>
            <w:r>
              <w:t>污染物种类</w:t>
            </w:r>
          </w:p>
        </w:tc>
        <w:tc>
          <w:tcPr>
            <w:tcW w:w="303" w:type="pct"/>
            <w:vAlign w:val="center"/>
          </w:tcPr>
          <w:p w14:paraId="2F273BE1">
            <w:pPr>
              <w:pStyle w:val="41"/>
              <w:snapToGrid w:val="0"/>
            </w:pPr>
            <w:r>
              <w:t>排放特征</w:t>
            </w:r>
          </w:p>
        </w:tc>
        <w:tc>
          <w:tcPr>
            <w:tcW w:w="990" w:type="pct"/>
            <w:vAlign w:val="center"/>
          </w:tcPr>
          <w:p w14:paraId="0F30F8CA">
            <w:pPr>
              <w:pStyle w:val="41"/>
              <w:snapToGrid w:val="0"/>
            </w:pPr>
            <w:r>
              <w:t>排放去向</w:t>
            </w:r>
          </w:p>
        </w:tc>
      </w:tr>
      <w:tr w14:paraId="6CA216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restart"/>
            <w:vAlign w:val="center"/>
          </w:tcPr>
          <w:p w14:paraId="768C4072">
            <w:pPr>
              <w:pStyle w:val="41"/>
              <w:snapToGrid w:val="0"/>
            </w:pPr>
            <w:r>
              <w:t>废气</w:t>
            </w:r>
          </w:p>
        </w:tc>
        <w:tc>
          <w:tcPr>
            <w:tcW w:w="303" w:type="pct"/>
            <w:vAlign w:val="center"/>
          </w:tcPr>
          <w:p w14:paraId="7D914966">
            <w:pPr>
              <w:pStyle w:val="41"/>
              <w:snapToGrid w:val="0"/>
            </w:pPr>
            <w:r>
              <w:t>G1</w:t>
            </w:r>
          </w:p>
        </w:tc>
        <w:tc>
          <w:tcPr>
            <w:tcW w:w="1010" w:type="pct"/>
            <w:vAlign w:val="center"/>
          </w:tcPr>
          <w:p w14:paraId="49B9D526">
            <w:pPr>
              <w:pStyle w:val="41"/>
              <w:snapToGrid w:val="0"/>
            </w:pPr>
            <w:r>
              <w:t>配料工段</w:t>
            </w:r>
          </w:p>
        </w:tc>
        <w:tc>
          <w:tcPr>
            <w:tcW w:w="1115" w:type="pct"/>
            <w:vAlign w:val="center"/>
          </w:tcPr>
          <w:p w14:paraId="7932FFD2">
            <w:pPr>
              <w:pStyle w:val="41"/>
              <w:snapToGrid w:val="0"/>
            </w:pPr>
            <w:r>
              <w:t>多管旋风除尘器+15m排气筒（DA006）</w:t>
            </w:r>
          </w:p>
        </w:tc>
        <w:tc>
          <w:tcPr>
            <w:tcW w:w="991" w:type="pct"/>
            <w:vAlign w:val="center"/>
          </w:tcPr>
          <w:p w14:paraId="348D2682">
            <w:pPr>
              <w:pStyle w:val="41"/>
              <w:snapToGrid w:val="0"/>
            </w:pPr>
            <w:r>
              <w:t>颗粒物</w:t>
            </w:r>
          </w:p>
        </w:tc>
        <w:tc>
          <w:tcPr>
            <w:tcW w:w="303" w:type="pct"/>
            <w:vAlign w:val="center"/>
          </w:tcPr>
          <w:p w14:paraId="260B0F96">
            <w:pPr>
              <w:pStyle w:val="41"/>
              <w:snapToGrid w:val="0"/>
            </w:pPr>
            <w:r>
              <w:t>连续</w:t>
            </w:r>
          </w:p>
        </w:tc>
        <w:tc>
          <w:tcPr>
            <w:tcW w:w="990" w:type="pct"/>
            <w:vMerge w:val="restart"/>
            <w:vAlign w:val="center"/>
          </w:tcPr>
          <w:p w14:paraId="1161B67A">
            <w:pPr>
              <w:pStyle w:val="41"/>
              <w:snapToGrid w:val="0"/>
            </w:pPr>
            <w:r>
              <w:t>大气环境</w:t>
            </w:r>
          </w:p>
        </w:tc>
      </w:tr>
      <w:tr w14:paraId="3FB3F8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214BBE37">
            <w:pPr>
              <w:pStyle w:val="41"/>
              <w:snapToGrid w:val="0"/>
            </w:pPr>
          </w:p>
        </w:tc>
        <w:tc>
          <w:tcPr>
            <w:tcW w:w="303" w:type="pct"/>
            <w:vMerge w:val="restart"/>
            <w:vAlign w:val="center"/>
          </w:tcPr>
          <w:p w14:paraId="71CD0AA3">
            <w:pPr>
              <w:pStyle w:val="41"/>
              <w:snapToGrid w:val="0"/>
            </w:pPr>
            <w:r>
              <w:t>G2</w:t>
            </w:r>
          </w:p>
        </w:tc>
        <w:tc>
          <w:tcPr>
            <w:tcW w:w="1010" w:type="pct"/>
            <w:vAlign w:val="center"/>
          </w:tcPr>
          <w:p w14:paraId="621DF411">
            <w:pPr>
              <w:pStyle w:val="41"/>
              <w:snapToGrid w:val="0"/>
            </w:pPr>
            <w:r>
              <w:t>混合布料工段</w:t>
            </w:r>
          </w:p>
        </w:tc>
        <w:tc>
          <w:tcPr>
            <w:tcW w:w="1115" w:type="pct"/>
            <w:vMerge w:val="restart"/>
            <w:vAlign w:val="center"/>
          </w:tcPr>
          <w:p w14:paraId="32291CE6">
            <w:pPr>
              <w:pStyle w:val="41"/>
              <w:snapToGrid w:val="0"/>
            </w:pPr>
            <w:r>
              <w:rPr>
                <w:color w:val="000000"/>
                <w:spacing w:val="-1"/>
              </w:rPr>
              <w:t>SCR脱硝+</w:t>
            </w:r>
            <w:r>
              <w:rPr>
                <w:color w:val="000000"/>
                <w:spacing w:val="-1"/>
                <w:szCs w:val="20"/>
              </w:rPr>
              <w:t>石灰石-石膏法脱硫</w:t>
            </w:r>
            <w:r>
              <w:rPr>
                <w:color w:val="000000"/>
                <w:spacing w:val="-1"/>
              </w:rPr>
              <w:t>+</w:t>
            </w:r>
            <w:r>
              <w:rPr>
                <w:color w:val="000000"/>
                <w:spacing w:val="-1"/>
                <w:szCs w:val="20"/>
              </w:rPr>
              <w:t>多管除尘+湿电除尘</w:t>
            </w:r>
            <w:r>
              <w:rPr>
                <w:color w:val="000000"/>
              </w:rPr>
              <w:t>处理后通过55m排气筒</w:t>
            </w:r>
            <w:r>
              <w:rPr>
                <w:spacing w:val="-1"/>
              </w:rPr>
              <w:t>（DA002）</w:t>
            </w:r>
            <w:r>
              <w:rPr>
                <w:color w:val="000000"/>
              </w:rPr>
              <w:t>排放</w:t>
            </w:r>
          </w:p>
        </w:tc>
        <w:tc>
          <w:tcPr>
            <w:tcW w:w="991" w:type="pct"/>
            <w:vMerge w:val="restart"/>
            <w:vAlign w:val="center"/>
          </w:tcPr>
          <w:p w14:paraId="6E466C88">
            <w:pPr>
              <w:pStyle w:val="41"/>
              <w:snapToGrid w:val="0"/>
            </w:pPr>
            <w:r>
              <w:t>颗粒物、二氧化硫、氮氧化物、氟化物、二噁英类</w:t>
            </w:r>
          </w:p>
        </w:tc>
        <w:tc>
          <w:tcPr>
            <w:tcW w:w="303" w:type="pct"/>
            <w:vMerge w:val="restart"/>
            <w:vAlign w:val="center"/>
          </w:tcPr>
          <w:p w14:paraId="1EBE9A77">
            <w:pPr>
              <w:pStyle w:val="41"/>
              <w:snapToGrid w:val="0"/>
            </w:pPr>
            <w:r>
              <w:t>连续</w:t>
            </w:r>
          </w:p>
        </w:tc>
        <w:tc>
          <w:tcPr>
            <w:tcW w:w="990" w:type="pct"/>
            <w:vMerge w:val="continue"/>
            <w:vAlign w:val="center"/>
          </w:tcPr>
          <w:p w14:paraId="113880DA">
            <w:pPr>
              <w:pStyle w:val="41"/>
              <w:snapToGrid w:val="0"/>
            </w:pPr>
          </w:p>
        </w:tc>
      </w:tr>
      <w:tr w14:paraId="4DE9AA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765D7105">
            <w:pPr>
              <w:pStyle w:val="41"/>
              <w:snapToGrid w:val="0"/>
            </w:pPr>
          </w:p>
        </w:tc>
        <w:tc>
          <w:tcPr>
            <w:tcW w:w="303" w:type="pct"/>
            <w:vMerge w:val="continue"/>
            <w:vAlign w:val="center"/>
          </w:tcPr>
          <w:p w14:paraId="79C5B9C2">
            <w:pPr>
              <w:pStyle w:val="41"/>
              <w:snapToGrid w:val="0"/>
            </w:pPr>
          </w:p>
        </w:tc>
        <w:tc>
          <w:tcPr>
            <w:tcW w:w="1010" w:type="pct"/>
            <w:vAlign w:val="center"/>
          </w:tcPr>
          <w:p w14:paraId="31744BE0">
            <w:pPr>
              <w:pStyle w:val="41"/>
              <w:snapToGrid w:val="0"/>
            </w:pPr>
            <w:r>
              <w:t>烧结工段</w:t>
            </w:r>
          </w:p>
        </w:tc>
        <w:tc>
          <w:tcPr>
            <w:tcW w:w="1115" w:type="pct"/>
            <w:vMerge w:val="continue"/>
            <w:vAlign w:val="center"/>
          </w:tcPr>
          <w:p w14:paraId="558FA8B7">
            <w:pPr>
              <w:pStyle w:val="41"/>
              <w:snapToGrid w:val="0"/>
            </w:pPr>
          </w:p>
        </w:tc>
        <w:tc>
          <w:tcPr>
            <w:tcW w:w="991" w:type="pct"/>
            <w:vMerge w:val="continue"/>
            <w:vAlign w:val="center"/>
          </w:tcPr>
          <w:p w14:paraId="0348543E">
            <w:pPr>
              <w:pStyle w:val="41"/>
              <w:snapToGrid w:val="0"/>
            </w:pPr>
          </w:p>
        </w:tc>
        <w:tc>
          <w:tcPr>
            <w:tcW w:w="303" w:type="pct"/>
            <w:vMerge w:val="continue"/>
            <w:vAlign w:val="center"/>
          </w:tcPr>
          <w:p w14:paraId="08D4873F">
            <w:pPr>
              <w:pStyle w:val="41"/>
              <w:snapToGrid w:val="0"/>
            </w:pPr>
          </w:p>
        </w:tc>
        <w:tc>
          <w:tcPr>
            <w:tcW w:w="990" w:type="pct"/>
            <w:vMerge w:val="continue"/>
            <w:vAlign w:val="center"/>
          </w:tcPr>
          <w:p w14:paraId="5C55429F">
            <w:pPr>
              <w:pStyle w:val="41"/>
              <w:snapToGrid w:val="0"/>
            </w:pPr>
          </w:p>
        </w:tc>
      </w:tr>
      <w:tr w14:paraId="437309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1833D015">
            <w:pPr>
              <w:pStyle w:val="41"/>
              <w:snapToGrid w:val="0"/>
            </w:pPr>
          </w:p>
        </w:tc>
        <w:tc>
          <w:tcPr>
            <w:tcW w:w="303" w:type="pct"/>
            <w:vAlign w:val="center"/>
          </w:tcPr>
          <w:p w14:paraId="16C26FC7">
            <w:pPr>
              <w:pStyle w:val="41"/>
              <w:snapToGrid w:val="0"/>
            </w:pPr>
            <w:r>
              <w:t>G3</w:t>
            </w:r>
          </w:p>
        </w:tc>
        <w:tc>
          <w:tcPr>
            <w:tcW w:w="1010" w:type="pct"/>
            <w:vAlign w:val="center"/>
          </w:tcPr>
          <w:p w14:paraId="3C46D6F9">
            <w:pPr>
              <w:pStyle w:val="41"/>
              <w:snapToGrid w:val="0"/>
            </w:pPr>
            <w:r>
              <w:t>热破碎、冷却、筛分工段</w:t>
            </w:r>
          </w:p>
        </w:tc>
        <w:tc>
          <w:tcPr>
            <w:tcW w:w="1115" w:type="pct"/>
            <w:vAlign w:val="center"/>
          </w:tcPr>
          <w:p w14:paraId="04B1D259">
            <w:pPr>
              <w:pStyle w:val="41"/>
              <w:snapToGrid w:val="0"/>
            </w:pPr>
            <w:r>
              <w:rPr>
                <w:spacing w:val="-3"/>
              </w:rPr>
              <w:t>多管</w:t>
            </w:r>
            <w:r>
              <w:rPr>
                <w:spacing w:val="-4"/>
              </w:rPr>
              <w:t>除尘</w:t>
            </w:r>
            <w:r>
              <w:rPr>
                <w:spacing w:val="-5"/>
              </w:rPr>
              <w:t>器+湿式电除尘+30m</w:t>
            </w:r>
            <w:r>
              <w:rPr>
                <w:spacing w:val="-1"/>
              </w:rPr>
              <w:t>排气筒（DA008）</w:t>
            </w:r>
            <w:r>
              <w:t>排放</w:t>
            </w:r>
          </w:p>
        </w:tc>
        <w:tc>
          <w:tcPr>
            <w:tcW w:w="991" w:type="pct"/>
            <w:vAlign w:val="center"/>
          </w:tcPr>
          <w:p w14:paraId="34DF432D">
            <w:pPr>
              <w:pStyle w:val="41"/>
              <w:snapToGrid w:val="0"/>
            </w:pPr>
            <w:r>
              <w:t>颗粒物</w:t>
            </w:r>
          </w:p>
        </w:tc>
        <w:tc>
          <w:tcPr>
            <w:tcW w:w="303" w:type="pct"/>
            <w:vAlign w:val="center"/>
          </w:tcPr>
          <w:p w14:paraId="7420DA94">
            <w:pPr>
              <w:pStyle w:val="41"/>
              <w:snapToGrid w:val="0"/>
            </w:pPr>
            <w:r>
              <w:t>连续</w:t>
            </w:r>
          </w:p>
        </w:tc>
        <w:tc>
          <w:tcPr>
            <w:tcW w:w="990" w:type="pct"/>
            <w:vMerge w:val="continue"/>
            <w:vAlign w:val="center"/>
          </w:tcPr>
          <w:p w14:paraId="2B6E59AD">
            <w:pPr>
              <w:pStyle w:val="41"/>
              <w:snapToGrid w:val="0"/>
            </w:pPr>
          </w:p>
        </w:tc>
      </w:tr>
      <w:tr w14:paraId="11E71E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2F481FA6">
            <w:pPr>
              <w:pStyle w:val="41"/>
              <w:snapToGrid w:val="0"/>
            </w:pPr>
          </w:p>
        </w:tc>
        <w:tc>
          <w:tcPr>
            <w:tcW w:w="303" w:type="pct"/>
            <w:vAlign w:val="center"/>
          </w:tcPr>
          <w:p w14:paraId="7CF2F44C">
            <w:pPr>
              <w:pStyle w:val="41"/>
              <w:snapToGrid w:val="0"/>
            </w:pPr>
            <w:r>
              <w:t>G4</w:t>
            </w:r>
          </w:p>
        </w:tc>
        <w:tc>
          <w:tcPr>
            <w:tcW w:w="1010" w:type="pct"/>
            <w:vAlign w:val="center"/>
          </w:tcPr>
          <w:p w14:paraId="0F931561">
            <w:pPr>
              <w:pStyle w:val="41"/>
              <w:snapToGrid w:val="0"/>
            </w:pPr>
            <w:r>
              <w:t>浇筑工段</w:t>
            </w:r>
          </w:p>
        </w:tc>
        <w:tc>
          <w:tcPr>
            <w:tcW w:w="1115" w:type="pct"/>
            <w:vAlign w:val="center"/>
          </w:tcPr>
          <w:p w14:paraId="18A7D0D4">
            <w:pPr>
              <w:pStyle w:val="41"/>
              <w:snapToGrid w:val="0"/>
            </w:pPr>
            <w:r>
              <w:rPr>
                <w:spacing w:val="-1"/>
              </w:rPr>
              <w:t>袋式除尘器+15m排气筒（DA003）</w:t>
            </w:r>
          </w:p>
        </w:tc>
        <w:tc>
          <w:tcPr>
            <w:tcW w:w="991" w:type="pct"/>
            <w:vAlign w:val="center"/>
          </w:tcPr>
          <w:p w14:paraId="79031D65">
            <w:pPr>
              <w:pStyle w:val="41"/>
              <w:snapToGrid w:val="0"/>
            </w:pPr>
            <w:r>
              <w:t>颗粒物</w:t>
            </w:r>
          </w:p>
        </w:tc>
        <w:tc>
          <w:tcPr>
            <w:tcW w:w="303" w:type="pct"/>
            <w:vAlign w:val="center"/>
          </w:tcPr>
          <w:p w14:paraId="078B975E">
            <w:pPr>
              <w:pStyle w:val="41"/>
              <w:snapToGrid w:val="0"/>
            </w:pPr>
            <w:r>
              <w:t>连续</w:t>
            </w:r>
          </w:p>
        </w:tc>
        <w:tc>
          <w:tcPr>
            <w:tcW w:w="990" w:type="pct"/>
            <w:vMerge w:val="continue"/>
            <w:vAlign w:val="center"/>
          </w:tcPr>
          <w:p w14:paraId="113AA560">
            <w:pPr>
              <w:pStyle w:val="41"/>
              <w:snapToGrid w:val="0"/>
            </w:pPr>
          </w:p>
        </w:tc>
      </w:tr>
      <w:tr w14:paraId="7AF5B3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5" w:hRule="atLeast"/>
        </w:trPr>
        <w:tc>
          <w:tcPr>
            <w:tcW w:w="288" w:type="pct"/>
            <w:vMerge w:val="continue"/>
            <w:vAlign w:val="center"/>
          </w:tcPr>
          <w:p w14:paraId="6A8A1167">
            <w:pPr>
              <w:pStyle w:val="41"/>
              <w:snapToGrid w:val="0"/>
            </w:pPr>
          </w:p>
        </w:tc>
        <w:tc>
          <w:tcPr>
            <w:tcW w:w="303" w:type="pct"/>
            <w:vAlign w:val="center"/>
          </w:tcPr>
          <w:p w14:paraId="4DCA94C1">
            <w:pPr>
              <w:pStyle w:val="41"/>
              <w:snapToGrid w:val="0"/>
            </w:pPr>
            <w:r>
              <w:t>G5</w:t>
            </w:r>
          </w:p>
        </w:tc>
        <w:tc>
          <w:tcPr>
            <w:tcW w:w="1010" w:type="pct"/>
            <w:vAlign w:val="center"/>
          </w:tcPr>
          <w:p w14:paraId="6FB97F03">
            <w:pPr>
              <w:pStyle w:val="41"/>
              <w:snapToGrid w:val="0"/>
            </w:pPr>
            <w:r>
              <w:t>破碎精整工段</w:t>
            </w:r>
          </w:p>
        </w:tc>
        <w:tc>
          <w:tcPr>
            <w:tcW w:w="1115" w:type="pct"/>
            <w:vAlign w:val="center"/>
          </w:tcPr>
          <w:p w14:paraId="3A4A7A32">
            <w:pPr>
              <w:pStyle w:val="41"/>
              <w:snapToGrid w:val="0"/>
            </w:pPr>
            <w:r>
              <w:rPr>
                <w:spacing w:val="-1"/>
              </w:rPr>
              <w:t>袋式除尘器+15m排气筒（DA004）</w:t>
            </w:r>
          </w:p>
        </w:tc>
        <w:tc>
          <w:tcPr>
            <w:tcW w:w="991" w:type="pct"/>
            <w:vAlign w:val="center"/>
          </w:tcPr>
          <w:p w14:paraId="563E9D6A">
            <w:pPr>
              <w:pStyle w:val="41"/>
              <w:snapToGrid w:val="0"/>
            </w:pPr>
            <w:r>
              <w:t>颗粒物</w:t>
            </w:r>
          </w:p>
        </w:tc>
        <w:tc>
          <w:tcPr>
            <w:tcW w:w="303" w:type="pct"/>
            <w:vAlign w:val="center"/>
          </w:tcPr>
          <w:p w14:paraId="3B29CFC3">
            <w:pPr>
              <w:pStyle w:val="41"/>
              <w:snapToGrid w:val="0"/>
            </w:pPr>
            <w:r>
              <w:t>连续</w:t>
            </w:r>
          </w:p>
        </w:tc>
        <w:tc>
          <w:tcPr>
            <w:tcW w:w="990" w:type="pct"/>
            <w:vMerge w:val="continue"/>
            <w:vAlign w:val="center"/>
          </w:tcPr>
          <w:p w14:paraId="4E144707">
            <w:pPr>
              <w:pStyle w:val="41"/>
              <w:snapToGrid w:val="0"/>
            </w:pPr>
          </w:p>
        </w:tc>
      </w:tr>
      <w:tr w14:paraId="56E6CB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3EF62A86">
            <w:pPr>
              <w:pStyle w:val="41"/>
              <w:snapToGrid w:val="0"/>
            </w:pPr>
          </w:p>
        </w:tc>
        <w:tc>
          <w:tcPr>
            <w:tcW w:w="303" w:type="pct"/>
            <w:vAlign w:val="center"/>
          </w:tcPr>
          <w:p w14:paraId="04CA2BBA">
            <w:pPr>
              <w:pStyle w:val="41"/>
              <w:snapToGrid w:val="0"/>
            </w:pPr>
            <w:r>
              <w:t>G6</w:t>
            </w:r>
          </w:p>
        </w:tc>
        <w:tc>
          <w:tcPr>
            <w:tcW w:w="1010" w:type="pct"/>
            <w:vAlign w:val="center"/>
          </w:tcPr>
          <w:p w14:paraId="5AFC3844">
            <w:pPr>
              <w:pStyle w:val="41"/>
              <w:snapToGrid w:val="0"/>
            </w:pPr>
            <w:r>
              <w:t>技改新增浇筑、破碎、精整工段</w:t>
            </w:r>
          </w:p>
        </w:tc>
        <w:tc>
          <w:tcPr>
            <w:tcW w:w="1115" w:type="pct"/>
            <w:vAlign w:val="center"/>
          </w:tcPr>
          <w:p w14:paraId="19075D4D">
            <w:pPr>
              <w:pStyle w:val="41"/>
              <w:snapToGrid w:val="0"/>
            </w:pPr>
            <w:r>
              <w:rPr>
                <w:spacing w:val="-1"/>
              </w:rPr>
              <w:t>袋式除尘器+15m排气筒（DA009）</w:t>
            </w:r>
          </w:p>
        </w:tc>
        <w:tc>
          <w:tcPr>
            <w:tcW w:w="991" w:type="pct"/>
            <w:vAlign w:val="center"/>
          </w:tcPr>
          <w:p w14:paraId="4A930938">
            <w:pPr>
              <w:pStyle w:val="41"/>
              <w:snapToGrid w:val="0"/>
            </w:pPr>
            <w:r>
              <w:t>颗粒物</w:t>
            </w:r>
          </w:p>
        </w:tc>
        <w:tc>
          <w:tcPr>
            <w:tcW w:w="303" w:type="pct"/>
            <w:vAlign w:val="center"/>
          </w:tcPr>
          <w:p w14:paraId="05D596AB">
            <w:pPr>
              <w:pStyle w:val="41"/>
              <w:snapToGrid w:val="0"/>
            </w:pPr>
            <w:r>
              <w:t>连续</w:t>
            </w:r>
          </w:p>
        </w:tc>
        <w:tc>
          <w:tcPr>
            <w:tcW w:w="990" w:type="pct"/>
            <w:vMerge w:val="continue"/>
            <w:vAlign w:val="center"/>
          </w:tcPr>
          <w:p w14:paraId="6E01D21E">
            <w:pPr>
              <w:pStyle w:val="41"/>
              <w:snapToGrid w:val="0"/>
            </w:pPr>
          </w:p>
        </w:tc>
      </w:tr>
      <w:tr w14:paraId="0B7AA0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6F13F84F">
            <w:pPr>
              <w:pStyle w:val="41"/>
              <w:snapToGrid w:val="0"/>
            </w:pPr>
          </w:p>
        </w:tc>
        <w:tc>
          <w:tcPr>
            <w:tcW w:w="303" w:type="pct"/>
            <w:vMerge w:val="restart"/>
            <w:vAlign w:val="center"/>
          </w:tcPr>
          <w:p w14:paraId="6C29ECE0">
            <w:pPr>
              <w:pStyle w:val="41"/>
              <w:snapToGrid w:val="0"/>
            </w:pPr>
            <w:r>
              <w:t>G7</w:t>
            </w:r>
          </w:p>
        </w:tc>
        <w:tc>
          <w:tcPr>
            <w:tcW w:w="1010" w:type="pct"/>
            <w:vAlign w:val="center"/>
          </w:tcPr>
          <w:p w14:paraId="1F714915">
            <w:pPr>
              <w:pStyle w:val="41"/>
              <w:snapToGrid w:val="0"/>
            </w:pPr>
            <w:r>
              <w:t>保温工段</w:t>
            </w:r>
          </w:p>
        </w:tc>
        <w:tc>
          <w:tcPr>
            <w:tcW w:w="1115" w:type="pct"/>
            <w:vMerge w:val="restart"/>
            <w:vAlign w:val="center"/>
          </w:tcPr>
          <w:p w14:paraId="580D8045">
            <w:pPr>
              <w:pStyle w:val="41"/>
              <w:snapToGrid w:val="0"/>
            </w:pPr>
            <w:r>
              <w:t>岩棉板过滤除尘器+烟道喷淋+40m排口（DA005）</w:t>
            </w:r>
          </w:p>
        </w:tc>
        <w:tc>
          <w:tcPr>
            <w:tcW w:w="991" w:type="pct"/>
            <w:vMerge w:val="restart"/>
            <w:vAlign w:val="center"/>
          </w:tcPr>
          <w:p w14:paraId="18FEC883">
            <w:pPr>
              <w:pStyle w:val="41"/>
              <w:snapToGrid w:val="0"/>
            </w:pPr>
            <w:r>
              <w:t>颗粒物、二氧化硫、氮氧化物、非甲烷总烃、甲醛、酚类</w:t>
            </w:r>
          </w:p>
        </w:tc>
        <w:tc>
          <w:tcPr>
            <w:tcW w:w="303" w:type="pct"/>
            <w:vMerge w:val="restart"/>
            <w:vAlign w:val="center"/>
          </w:tcPr>
          <w:p w14:paraId="015EFD38">
            <w:pPr>
              <w:pStyle w:val="41"/>
              <w:snapToGrid w:val="0"/>
            </w:pPr>
            <w:r>
              <w:t>连续</w:t>
            </w:r>
          </w:p>
        </w:tc>
        <w:tc>
          <w:tcPr>
            <w:tcW w:w="990" w:type="pct"/>
            <w:vMerge w:val="continue"/>
            <w:vAlign w:val="center"/>
          </w:tcPr>
          <w:p w14:paraId="34250697">
            <w:pPr>
              <w:pStyle w:val="41"/>
              <w:snapToGrid w:val="0"/>
            </w:pPr>
          </w:p>
        </w:tc>
      </w:tr>
      <w:tr w14:paraId="7CCE7F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7A5920D6">
            <w:pPr>
              <w:pStyle w:val="41"/>
              <w:snapToGrid w:val="0"/>
            </w:pPr>
          </w:p>
        </w:tc>
        <w:tc>
          <w:tcPr>
            <w:tcW w:w="303" w:type="pct"/>
            <w:vMerge w:val="continue"/>
            <w:vAlign w:val="center"/>
          </w:tcPr>
          <w:p w14:paraId="484DAB77">
            <w:pPr>
              <w:pStyle w:val="41"/>
              <w:snapToGrid w:val="0"/>
            </w:pPr>
          </w:p>
        </w:tc>
        <w:tc>
          <w:tcPr>
            <w:tcW w:w="1010" w:type="pct"/>
            <w:vAlign w:val="center"/>
          </w:tcPr>
          <w:p w14:paraId="66B7BDE2">
            <w:pPr>
              <w:pStyle w:val="41"/>
              <w:snapToGrid w:val="0"/>
            </w:pPr>
            <w:r>
              <w:t>集棉工段</w:t>
            </w:r>
          </w:p>
        </w:tc>
        <w:tc>
          <w:tcPr>
            <w:tcW w:w="1115" w:type="pct"/>
            <w:vMerge w:val="continue"/>
            <w:vAlign w:val="center"/>
          </w:tcPr>
          <w:p w14:paraId="31FC7625">
            <w:pPr>
              <w:pStyle w:val="41"/>
              <w:snapToGrid w:val="0"/>
            </w:pPr>
          </w:p>
        </w:tc>
        <w:tc>
          <w:tcPr>
            <w:tcW w:w="991" w:type="pct"/>
            <w:vMerge w:val="continue"/>
            <w:vAlign w:val="center"/>
          </w:tcPr>
          <w:p w14:paraId="3D4D4AA0">
            <w:pPr>
              <w:pStyle w:val="41"/>
              <w:snapToGrid w:val="0"/>
            </w:pPr>
          </w:p>
        </w:tc>
        <w:tc>
          <w:tcPr>
            <w:tcW w:w="303" w:type="pct"/>
            <w:vMerge w:val="continue"/>
            <w:vAlign w:val="center"/>
          </w:tcPr>
          <w:p w14:paraId="5934A627">
            <w:pPr>
              <w:pStyle w:val="41"/>
              <w:snapToGrid w:val="0"/>
            </w:pPr>
          </w:p>
        </w:tc>
        <w:tc>
          <w:tcPr>
            <w:tcW w:w="990" w:type="pct"/>
            <w:vMerge w:val="continue"/>
            <w:vAlign w:val="center"/>
          </w:tcPr>
          <w:p w14:paraId="53D711B0">
            <w:pPr>
              <w:pStyle w:val="41"/>
              <w:snapToGrid w:val="0"/>
            </w:pPr>
          </w:p>
        </w:tc>
      </w:tr>
      <w:tr w14:paraId="4365C6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190CA6A5">
            <w:pPr>
              <w:pStyle w:val="41"/>
              <w:snapToGrid w:val="0"/>
            </w:pPr>
          </w:p>
        </w:tc>
        <w:tc>
          <w:tcPr>
            <w:tcW w:w="303" w:type="pct"/>
            <w:vMerge w:val="continue"/>
            <w:vAlign w:val="center"/>
          </w:tcPr>
          <w:p w14:paraId="1561BB92">
            <w:pPr>
              <w:pStyle w:val="41"/>
              <w:snapToGrid w:val="0"/>
            </w:pPr>
          </w:p>
        </w:tc>
        <w:tc>
          <w:tcPr>
            <w:tcW w:w="1010" w:type="pct"/>
            <w:vAlign w:val="center"/>
          </w:tcPr>
          <w:p w14:paraId="61658948">
            <w:pPr>
              <w:pStyle w:val="41"/>
              <w:snapToGrid w:val="0"/>
            </w:pPr>
            <w:r>
              <w:t>成型工段</w:t>
            </w:r>
          </w:p>
        </w:tc>
        <w:tc>
          <w:tcPr>
            <w:tcW w:w="1115" w:type="pct"/>
            <w:vMerge w:val="continue"/>
            <w:vAlign w:val="center"/>
          </w:tcPr>
          <w:p w14:paraId="0F5086AC">
            <w:pPr>
              <w:pStyle w:val="41"/>
              <w:snapToGrid w:val="0"/>
            </w:pPr>
          </w:p>
        </w:tc>
        <w:tc>
          <w:tcPr>
            <w:tcW w:w="991" w:type="pct"/>
            <w:vMerge w:val="continue"/>
            <w:vAlign w:val="center"/>
          </w:tcPr>
          <w:p w14:paraId="1F4B1D19">
            <w:pPr>
              <w:pStyle w:val="41"/>
              <w:snapToGrid w:val="0"/>
            </w:pPr>
          </w:p>
        </w:tc>
        <w:tc>
          <w:tcPr>
            <w:tcW w:w="303" w:type="pct"/>
            <w:vMerge w:val="continue"/>
            <w:vAlign w:val="center"/>
          </w:tcPr>
          <w:p w14:paraId="1FA80CCB">
            <w:pPr>
              <w:pStyle w:val="41"/>
              <w:snapToGrid w:val="0"/>
            </w:pPr>
          </w:p>
        </w:tc>
        <w:tc>
          <w:tcPr>
            <w:tcW w:w="990" w:type="pct"/>
            <w:vMerge w:val="continue"/>
            <w:vAlign w:val="center"/>
          </w:tcPr>
          <w:p w14:paraId="0CFF90E1">
            <w:pPr>
              <w:pStyle w:val="41"/>
              <w:snapToGrid w:val="0"/>
            </w:pPr>
          </w:p>
        </w:tc>
      </w:tr>
      <w:tr w14:paraId="76E900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832" w:hRule="atLeast"/>
        </w:trPr>
        <w:tc>
          <w:tcPr>
            <w:tcW w:w="288" w:type="pct"/>
            <w:vMerge w:val="continue"/>
            <w:vAlign w:val="center"/>
          </w:tcPr>
          <w:p w14:paraId="3269EC08">
            <w:pPr>
              <w:pStyle w:val="41"/>
              <w:snapToGrid w:val="0"/>
            </w:pPr>
          </w:p>
        </w:tc>
        <w:tc>
          <w:tcPr>
            <w:tcW w:w="303" w:type="pct"/>
            <w:vAlign w:val="center"/>
          </w:tcPr>
          <w:p w14:paraId="2490B651">
            <w:pPr>
              <w:pStyle w:val="41"/>
              <w:snapToGrid w:val="0"/>
            </w:pPr>
            <w:r>
              <w:t>G8</w:t>
            </w:r>
          </w:p>
        </w:tc>
        <w:tc>
          <w:tcPr>
            <w:tcW w:w="1010" w:type="pct"/>
            <w:vAlign w:val="center"/>
          </w:tcPr>
          <w:p w14:paraId="5EAEF8DF">
            <w:pPr>
              <w:pStyle w:val="41"/>
              <w:snapToGrid w:val="0"/>
            </w:pPr>
            <w:r>
              <w:rPr>
                <w:spacing w:val="-2"/>
              </w:rPr>
              <w:t>固化、切割工段</w:t>
            </w:r>
          </w:p>
        </w:tc>
        <w:tc>
          <w:tcPr>
            <w:tcW w:w="1115" w:type="pct"/>
            <w:vAlign w:val="center"/>
          </w:tcPr>
          <w:p w14:paraId="798E6CBB">
            <w:pPr>
              <w:pStyle w:val="41"/>
              <w:snapToGrid w:val="0"/>
            </w:pPr>
            <w:r>
              <w:t>岩棉板过滤除尘器+烟道喷淋+25m排口（DA007）</w:t>
            </w:r>
          </w:p>
        </w:tc>
        <w:tc>
          <w:tcPr>
            <w:tcW w:w="991" w:type="pct"/>
            <w:vAlign w:val="center"/>
          </w:tcPr>
          <w:p w14:paraId="67EE4D73">
            <w:pPr>
              <w:pStyle w:val="41"/>
              <w:snapToGrid w:val="0"/>
            </w:pPr>
            <w:r>
              <w:t>颗粒物</w:t>
            </w:r>
          </w:p>
        </w:tc>
        <w:tc>
          <w:tcPr>
            <w:tcW w:w="303" w:type="pct"/>
            <w:vAlign w:val="center"/>
          </w:tcPr>
          <w:p w14:paraId="3C1E1702">
            <w:pPr>
              <w:pStyle w:val="41"/>
              <w:snapToGrid w:val="0"/>
            </w:pPr>
            <w:r>
              <w:t>连续</w:t>
            </w:r>
          </w:p>
        </w:tc>
        <w:tc>
          <w:tcPr>
            <w:tcW w:w="990" w:type="pct"/>
            <w:vMerge w:val="continue"/>
            <w:vAlign w:val="center"/>
          </w:tcPr>
          <w:p w14:paraId="69658695">
            <w:pPr>
              <w:pStyle w:val="41"/>
              <w:snapToGrid w:val="0"/>
            </w:pPr>
          </w:p>
        </w:tc>
      </w:tr>
      <w:tr w14:paraId="531E4B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restart"/>
            <w:vAlign w:val="center"/>
          </w:tcPr>
          <w:p w14:paraId="63CC0B65">
            <w:pPr>
              <w:pStyle w:val="41"/>
              <w:snapToGrid w:val="0"/>
            </w:pPr>
            <w:r>
              <w:t>噪声</w:t>
            </w:r>
          </w:p>
        </w:tc>
        <w:tc>
          <w:tcPr>
            <w:tcW w:w="303" w:type="pct"/>
            <w:vAlign w:val="center"/>
          </w:tcPr>
          <w:p w14:paraId="25DE0905">
            <w:pPr>
              <w:pStyle w:val="41"/>
              <w:snapToGrid w:val="0"/>
            </w:pPr>
            <w:r>
              <w:t>N1</w:t>
            </w:r>
          </w:p>
        </w:tc>
        <w:tc>
          <w:tcPr>
            <w:tcW w:w="1010" w:type="pct"/>
            <w:vAlign w:val="center"/>
          </w:tcPr>
          <w:p w14:paraId="520CCACC">
            <w:pPr>
              <w:pStyle w:val="41"/>
              <w:snapToGrid w:val="0"/>
            </w:pPr>
            <w:r>
              <w:t>配料输送工序</w:t>
            </w:r>
          </w:p>
        </w:tc>
        <w:tc>
          <w:tcPr>
            <w:tcW w:w="1115" w:type="pct"/>
            <w:vAlign w:val="center"/>
          </w:tcPr>
          <w:p w14:paraId="4FCCE6F9">
            <w:pPr>
              <w:pStyle w:val="41"/>
              <w:snapToGrid w:val="0"/>
            </w:pPr>
            <w:r>
              <w:t>设备噪声</w:t>
            </w:r>
          </w:p>
        </w:tc>
        <w:tc>
          <w:tcPr>
            <w:tcW w:w="991" w:type="pct"/>
            <w:vAlign w:val="center"/>
          </w:tcPr>
          <w:p w14:paraId="02C5C9C2">
            <w:pPr>
              <w:pStyle w:val="41"/>
              <w:snapToGrid w:val="0"/>
            </w:pPr>
            <w:r>
              <w:t>/</w:t>
            </w:r>
          </w:p>
        </w:tc>
        <w:tc>
          <w:tcPr>
            <w:tcW w:w="303" w:type="pct"/>
            <w:vAlign w:val="center"/>
          </w:tcPr>
          <w:p w14:paraId="78D9CF25">
            <w:pPr>
              <w:pStyle w:val="41"/>
              <w:snapToGrid w:val="0"/>
            </w:pPr>
            <w:r>
              <w:t>连续</w:t>
            </w:r>
          </w:p>
        </w:tc>
        <w:tc>
          <w:tcPr>
            <w:tcW w:w="990" w:type="pct"/>
            <w:vMerge w:val="restart"/>
            <w:vAlign w:val="center"/>
          </w:tcPr>
          <w:p w14:paraId="56ECBD12">
            <w:pPr>
              <w:pStyle w:val="41"/>
              <w:snapToGrid w:val="0"/>
            </w:pPr>
            <w:r>
              <w:t>周围环境</w:t>
            </w:r>
          </w:p>
        </w:tc>
      </w:tr>
      <w:tr w14:paraId="797D16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4C3FB5E3">
            <w:pPr>
              <w:pStyle w:val="41"/>
              <w:snapToGrid w:val="0"/>
            </w:pPr>
          </w:p>
        </w:tc>
        <w:tc>
          <w:tcPr>
            <w:tcW w:w="303" w:type="pct"/>
            <w:vAlign w:val="center"/>
          </w:tcPr>
          <w:p w14:paraId="4331AEE4">
            <w:pPr>
              <w:pStyle w:val="41"/>
              <w:snapToGrid w:val="0"/>
            </w:pPr>
            <w:r>
              <w:t>N2</w:t>
            </w:r>
          </w:p>
        </w:tc>
        <w:tc>
          <w:tcPr>
            <w:tcW w:w="1010" w:type="pct"/>
            <w:vAlign w:val="center"/>
          </w:tcPr>
          <w:p w14:paraId="640F2A1B">
            <w:pPr>
              <w:pStyle w:val="41"/>
              <w:snapToGrid w:val="0"/>
            </w:pPr>
            <w:r>
              <w:t>烧结工序</w:t>
            </w:r>
          </w:p>
        </w:tc>
        <w:tc>
          <w:tcPr>
            <w:tcW w:w="1115" w:type="pct"/>
            <w:vAlign w:val="center"/>
          </w:tcPr>
          <w:p w14:paraId="34CF4060">
            <w:pPr>
              <w:pStyle w:val="41"/>
              <w:snapToGrid w:val="0"/>
            </w:pPr>
            <w:r>
              <w:t>设备噪声</w:t>
            </w:r>
          </w:p>
        </w:tc>
        <w:tc>
          <w:tcPr>
            <w:tcW w:w="991" w:type="pct"/>
            <w:vAlign w:val="center"/>
          </w:tcPr>
          <w:p w14:paraId="0DE5724D">
            <w:pPr>
              <w:pStyle w:val="41"/>
              <w:snapToGrid w:val="0"/>
            </w:pPr>
            <w:r>
              <w:t>/</w:t>
            </w:r>
          </w:p>
        </w:tc>
        <w:tc>
          <w:tcPr>
            <w:tcW w:w="303" w:type="pct"/>
            <w:vAlign w:val="center"/>
          </w:tcPr>
          <w:p w14:paraId="365EBC21">
            <w:pPr>
              <w:pStyle w:val="41"/>
              <w:snapToGrid w:val="0"/>
            </w:pPr>
            <w:r>
              <w:t>连续</w:t>
            </w:r>
          </w:p>
        </w:tc>
        <w:tc>
          <w:tcPr>
            <w:tcW w:w="990" w:type="pct"/>
            <w:vMerge w:val="continue"/>
            <w:vAlign w:val="center"/>
          </w:tcPr>
          <w:p w14:paraId="6B6414C1">
            <w:pPr>
              <w:pStyle w:val="41"/>
              <w:snapToGrid w:val="0"/>
            </w:pPr>
          </w:p>
        </w:tc>
      </w:tr>
      <w:tr w14:paraId="2D3084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4EE7D0E2">
            <w:pPr>
              <w:pStyle w:val="41"/>
              <w:snapToGrid w:val="0"/>
            </w:pPr>
          </w:p>
        </w:tc>
        <w:tc>
          <w:tcPr>
            <w:tcW w:w="303" w:type="pct"/>
            <w:vAlign w:val="center"/>
          </w:tcPr>
          <w:p w14:paraId="2E455A60">
            <w:pPr>
              <w:pStyle w:val="41"/>
              <w:snapToGrid w:val="0"/>
            </w:pPr>
            <w:r>
              <w:t>N3</w:t>
            </w:r>
          </w:p>
        </w:tc>
        <w:tc>
          <w:tcPr>
            <w:tcW w:w="1010" w:type="pct"/>
            <w:vAlign w:val="center"/>
          </w:tcPr>
          <w:p w14:paraId="35A8DA69">
            <w:pPr>
              <w:pStyle w:val="41"/>
              <w:snapToGrid w:val="0"/>
            </w:pPr>
            <w:r>
              <w:t>烧结工序</w:t>
            </w:r>
          </w:p>
        </w:tc>
        <w:tc>
          <w:tcPr>
            <w:tcW w:w="1115" w:type="pct"/>
            <w:vAlign w:val="center"/>
          </w:tcPr>
          <w:p w14:paraId="29CFB734">
            <w:pPr>
              <w:pStyle w:val="41"/>
              <w:snapToGrid w:val="0"/>
            </w:pPr>
            <w:r>
              <w:t>风机、泵类噪声</w:t>
            </w:r>
          </w:p>
        </w:tc>
        <w:tc>
          <w:tcPr>
            <w:tcW w:w="991" w:type="pct"/>
            <w:vAlign w:val="center"/>
          </w:tcPr>
          <w:p w14:paraId="20B3FD31">
            <w:pPr>
              <w:pStyle w:val="41"/>
              <w:snapToGrid w:val="0"/>
            </w:pPr>
            <w:r>
              <w:t>/</w:t>
            </w:r>
          </w:p>
        </w:tc>
        <w:tc>
          <w:tcPr>
            <w:tcW w:w="303" w:type="pct"/>
            <w:vAlign w:val="center"/>
          </w:tcPr>
          <w:p w14:paraId="3404F63A">
            <w:pPr>
              <w:pStyle w:val="41"/>
              <w:snapToGrid w:val="0"/>
            </w:pPr>
            <w:r>
              <w:t>连续</w:t>
            </w:r>
          </w:p>
        </w:tc>
        <w:tc>
          <w:tcPr>
            <w:tcW w:w="990" w:type="pct"/>
            <w:vMerge w:val="continue"/>
            <w:vAlign w:val="center"/>
          </w:tcPr>
          <w:p w14:paraId="3D66D61A">
            <w:pPr>
              <w:pStyle w:val="41"/>
              <w:snapToGrid w:val="0"/>
            </w:pPr>
          </w:p>
        </w:tc>
      </w:tr>
      <w:tr w14:paraId="2CE9EB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39629E42">
            <w:pPr>
              <w:pStyle w:val="41"/>
              <w:snapToGrid w:val="0"/>
            </w:pPr>
          </w:p>
        </w:tc>
        <w:tc>
          <w:tcPr>
            <w:tcW w:w="303" w:type="pct"/>
            <w:vAlign w:val="center"/>
          </w:tcPr>
          <w:p w14:paraId="175E2D42">
            <w:pPr>
              <w:pStyle w:val="41"/>
              <w:snapToGrid w:val="0"/>
            </w:pPr>
            <w:r>
              <w:t>N4</w:t>
            </w:r>
          </w:p>
        </w:tc>
        <w:tc>
          <w:tcPr>
            <w:tcW w:w="1010" w:type="pct"/>
            <w:vAlign w:val="center"/>
          </w:tcPr>
          <w:p w14:paraId="12FB0A4E">
            <w:pPr>
              <w:pStyle w:val="41"/>
              <w:snapToGrid w:val="0"/>
            </w:pPr>
            <w:r>
              <w:t>冶炼工序</w:t>
            </w:r>
          </w:p>
        </w:tc>
        <w:tc>
          <w:tcPr>
            <w:tcW w:w="1115" w:type="pct"/>
            <w:vAlign w:val="center"/>
          </w:tcPr>
          <w:p w14:paraId="43C71732">
            <w:pPr>
              <w:pStyle w:val="41"/>
              <w:snapToGrid w:val="0"/>
            </w:pPr>
            <w:r>
              <w:t>风机、泵类噪声</w:t>
            </w:r>
          </w:p>
        </w:tc>
        <w:tc>
          <w:tcPr>
            <w:tcW w:w="991" w:type="pct"/>
            <w:vAlign w:val="center"/>
          </w:tcPr>
          <w:p w14:paraId="47D1B03B">
            <w:pPr>
              <w:pStyle w:val="41"/>
              <w:snapToGrid w:val="0"/>
            </w:pPr>
            <w:r>
              <w:t>/</w:t>
            </w:r>
          </w:p>
        </w:tc>
        <w:tc>
          <w:tcPr>
            <w:tcW w:w="303" w:type="pct"/>
            <w:vMerge w:val="restart"/>
            <w:vAlign w:val="center"/>
          </w:tcPr>
          <w:p w14:paraId="5262A3D2">
            <w:pPr>
              <w:pStyle w:val="41"/>
              <w:snapToGrid w:val="0"/>
            </w:pPr>
            <w:r>
              <w:t>连续</w:t>
            </w:r>
          </w:p>
        </w:tc>
        <w:tc>
          <w:tcPr>
            <w:tcW w:w="990" w:type="pct"/>
            <w:vMerge w:val="continue"/>
            <w:vAlign w:val="center"/>
          </w:tcPr>
          <w:p w14:paraId="2D3387B5">
            <w:pPr>
              <w:pStyle w:val="41"/>
              <w:snapToGrid w:val="0"/>
            </w:pPr>
          </w:p>
        </w:tc>
      </w:tr>
      <w:tr w14:paraId="468EB4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24EDB8DD">
            <w:pPr>
              <w:pStyle w:val="41"/>
              <w:snapToGrid w:val="0"/>
            </w:pPr>
          </w:p>
        </w:tc>
        <w:tc>
          <w:tcPr>
            <w:tcW w:w="303" w:type="pct"/>
            <w:vAlign w:val="center"/>
          </w:tcPr>
          <w:p w14:paraId="4ED9BD64">
            <w:pPr>
              <w:pStyle w:val="41"/>
              <w:snapToGrid w:val="0"/>
            </w:pPr>
            <w:r>
              <w:t>N5</w:t>
            </w:r>
          </w:p>
        </w:tc>
        <w:tc>
          <w:tcPr>
            <w:tcW w:w="1010" w:type="pct"/>
            <w:vAlign w:val="center"/>
          </w:tcPr>
          <w:p w14:paraId="12438DA2">
            <w:pPr>
              <w:pStyle w:val="41"/>
              <w:snapToGrid w:val="0"/>
            </w:pPr>
            <w:r>
              <w:t>岩棉生产过程</w:t>
            </w:r>
          </w:p>
        </w:tc>
        <w:tc>
          <w:tcPr>
            <w:tcW w:w="1115" w:type="pct"/>
            <w:vAlign w:val="center"/>
          </w:tcPr>
          <w:p w14:paraId="449D2D55">
            <w:pPr>
              <w:pStyle w:val="41"/>
              <w:snapToGrid w:val="0"/>
            </w:pPr>
            <w:r>
              <w:t>设备噪声、风机、泵类噪声</w:t>
            </w:r>
          </w:p>
        </w:tc>
        <w:tc>
          <w:tcPr>
            <w:tcW w:w="991" w:type="pct"/>
            <w:vAlign w:val="center"/>
          </w:tcPr>
          <w:p w14:paraId="5CE0F988">
            <w:pPr>
              <w:pStyle w:val="41"/>
              <w:snapToGrid w:val="0"/>
            </w:pPr>
            <w:r>
              <w:t>/</w:t>
            </w:r>
          </w:p>
        </w:tc>
        <w:tc>
          <w:tcPr>
            <w:tcW w:w="303" w:type="pct"/>
            <w:vMerge w:val="continue"/>
            <w:vAlign w:val="center"/>
          </w:tcPr>
          <w:p w14:paraId="3DD1C693">
            <w:pPr>
              <w:pStyle w:val="41"/>
              <w:snapToGrid w:val="0"/>
            </w:pPr>
          </w:p>
        </w:tc>
        <w:tc>
          <w:tcPr>
            <w:tcW w:w="990" w:type="pct"/>
            <w:vMerge w:val="continue"/>
            <w:vAlign w:val="center"/>
          </w:tcPr>
          <w:p w14:paraId="33BBCC05">
            <w:pPr>
              <w:pStyle w:val="41"/>
              <w:snapToGrid w:val="0"/>
            </w:pPr>
          </w:p>
        </w:tc>
      </w:tr>
      <w:tr w14:paraId="5A8440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restart"/>
            <w:vAlign w:val="center"/>
          </w:tcPr>
          <w:p w14:paraId="6BB94141">
            <w:pPr>
              <w:pStyle w:val="41"/>
              <w:snapToGrid w:val="0"/>
            </w:pPr>
            <w:r>
              <w:t>废水</w:t>
            </w:r>
          </w:p>
        </w:tc>
        <w:tc>
          <w:tcPr>
            <w:tcW w:w="303" w:type="pct"/>
            <w:vAlign w:val="center"/>
          </w:tcPr>
          <w:p w14:paraId="3D093F18">
            <w:pPr>
              <w:pStyle w:val="41"/>
              <w:snapToGrid w:val="0"/>
            </w:pPr>
            <w:r>
              <w:t>W1</w:t>
            </w:r>
          </w:p>
        </w:tc>
        <w:tc>
          <w:tcPr>
            <w:tcW w:w="1010" w:type="pct"/>
            <w:vAlign w:val="center"/>
          </w:tcPr>
          <w:p w14:paraId="26C64586">
            <w:pPr>
              <w:pStyle w:val="41"/>
              <w:snapToGrid w:val="0"/>
            </w:pPr>
            <w:r>
              <w:t>硅锰合金烧结-冶炼生产线冶炼车间变压器和炉体冷却水</w:t>
            </w:r>
          </w:p>
        </w:tc>
        <w:tc>
          <w:tcPr>
            <w:tcW w:w="1115" w:type="pct"/>
            <w:vMerge w:val="restart"/>
            <w:vAlign w:val="center"/>
          </w:tcPr>
          <w:p w14:paraId="1F65FC4D">
            <w:pPr>
              <w:pStyle w:val="41"/>
              <w:snapToGrid w:val="0"/>
            </w:pPr>
            <w:r>
              <w:t>经循环池收集后循环利用不外排</w:t>
            </w:r>
          </w:p>
        </w:tc>
        <w:tc>
          <w:tcPr>
            <w:tcW w:w="991" w:type="pct"/>
            <w:vAlign w:val="center"/>
          </w:tcPr>
          <w:p w14:paraId="268CC88D">
            <w:pPr>
              <w:pStyle w:val="41"/>
              <w:snapToGrid w:val="0"/>
            </w:pPr>
            <w:r>
              <w:t>pH、总汞、总镉、总砷、总铅</w:t>
            </w:r>
          </w:p>
        </w:tc>
        <w:tc>
          <w:tcPr>
            <w:tcW w:w="303" w:type="pct"/>
            <w:vAlign w:val="center"/>
          </w:tcPr>
          <w:p w14:paraId="01F69401">
            <w:pPr>
              <w:pStyle w:val="41"/>
              <w:snapToGrid w:val="0"/>
            </w:pPr>
            <w:r>
              <w:t>连续</w:t>
            </w:r>
          </w:p>
        </w:tc>
        <w:tc>
          <w:tcPr>
            <w:tcW w:w="990" w:type="pct"/>
            <w:vMerge w:val="restart"/>
            <w:vAlign w:val="center"/>
          </w:tcPr>
          <w:p w14:paraId="6B98A87A">
            <w:pPr>
              <w:pStyle w:val="41"/>
              <w:snapToGrid w:val="0"/>
            </w:pPr>
            <w:r>
              <w:t>全部循环利用，不外排。</w:t>
            </w:r>
          </w:p>
        </w:tc>
      </w:tr>
      <w:tr w14:paraId="109F86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1EA8093D">
            <w:pPr>
              <w:pStyle w:val="41"/>
              <w:snapToGrid w:val="0"/>
            </w:pPr>
          </w:p>
        </w:tc>
        <w:tc>
          <w:tcPr>
            <w:tcW w:w="303" w:type="pct"/>
            <w:vAlign w:val="center"/>
          </w:tcPr>
          <w:p w14:paraId="2F771DC3">
            <w:pPr>
              <w:pStyle w:val="41"/>
              <w:snapToGrid w:val="0"/>
            </w:pPr>
            <w:r>
              <w:t>W2</w:t>
            </w:r>
          </w:p>
        </w:tc>
        <w:tc>
          <w:tcPr>
            <w:tcW w:w="1010" w:type="pct"/>
            <w:vAlign w:val="center"/>
          </w:tcPr>
          <w:p w14:paraId="07BD88F3">
            <w:pPr>
              <w:pStyle w:val="41"/>
              <w:snapToGrid w:val="0"/>
            </w:pPr>
            <w:r>
              <w:t>烧结车间脱硫排水</w:t>
            </w:r>
          </w:p>
        </w:tc>
        <w:tc>
          <w:tcPr>
            <w:tcW w:w="1115" w:type="pct"/>
            <w:vMerge w:val="continue"/>
            <w:vAlign w:val="center"/>
          </w:tcPr>
          <w:p w14:paraId="0D3B9438">
            <w:pPr>
              <w:pStyle w:val="41"/>
              <w:snapToGrid w:val="0"/>
            </w:pPr>
          </w:p>
        </w:tc>
        <w:tc>
          <w:tcPr>
            <w:tcW w:w="991" w:type="pct"/>
            <w:vAlign w:val="center"/>
          </w:tcPr>
          <w:p w14:paraId="41B1D5D3">
            <w:pPr>
              <w:pStyle w:val="41"/>
              <w:snapToGrid w:val="0"/>
            </w:pPr>
            <w:r>
              <w:t>/</w:t>
            </w:r>
          </w:p>
        </w:tc>
        <w:tc>
          <w:tcPr>
            <w:tcW w:w="303" w:type="pct"/>
            <w:vAlign w:val="center"/>
          </w:tcPr>
          <w:p w14:paraId="5E64E34E">
            <w:pPr>
              <w:pStyle w:val="41"/>
              <w:snapToGrid w:val="0"/>
            </w:pPr>
            <w:r>
              <w:t>连续</w:t>
            </w:r>
          </w:p>
        </w:tc>
        <w:tc>
          <w:tcPr>
            <w:tcW w:w="990" w:type="pct"/>
            <w:vMerge w:val="continue"/>
            <w:vAlign w:val="center"/>
          </w:tcPr>
          <w:p w14:paraId="5F711781">
            <w:pPr>
              <w:pStyle w:val="41"/>
              <w:snapToGrid w:val="0"/>
            </w:pPr>
          </w:p>
        </w:tc>
      </w:tr>
      <w:tr w14:paraId="1289A5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52F6F59F">
            <w:pPr>
              <w:pStyle w:val="41"/>
              <w:snapToGrid w:val="0"/>
            </w:pPr>
          </w:p>
        </w:tc>
        <w:tc>
          <w:tcPr>
            <w:tcW w:w="303" w:type="pct"/>
            <w:vAlign w:val="center"/>
          </w:tcPr>
          <w:p w14:paraId="6739C5E7">
            <w:pPr>
              <w:pStyle w:val="41"/>
              <w:snapToGrid w:val="0"/>
            </w:pPr>
            <w:r>
              <w:t>W3</w:t>
            </w:r>
          </w:p>
        </w:tc>
        <w:tc>
          <w:tcPr>
            <w:tcW w:w="1010" w:type="pct"/>
            <w:vAlign w:val="center"/>
          </w:tcPr>
          <w:p w14:paraId="2E6A1366">
            <w:pPr>
              <w:pStyle w:val="41"/>
              <w:snapToGrid w:val="0"/>
            </w:pPr>
            <w:r>
              <w:t>办公生活过程</w:t>
            </w:r>
          </w:p>
        </w:tc>
        <w:tc>
          <w:tcPr>
            <w:tcW w:w="1115" w:type="pct"/>
            <w:vAlign w:val="center"/>
          </w:tcPr>
          <w:p w14:paraId="3676F9C9">
            <w:pPr>
              <w:pStyle w:val="41"/>
              <w:snapToGrid w:val="0"/>
            </w:pPr>
            <w:r>
              <w:t>化粪池处理后排入园区污水管网</w:t>
            </w:r>
          </w:p>
        </w:tc>
        <w:tc>
          <w:tcPr>
            <w:tcW w:w="991" w:type="pct"/>
            <w:vAlign w:val="center"/>
          </w:tcPr>
          <w:p w14:paraId="0D5963AC">
            <w:pPr>
              <w:pStyle w:val="41"/>
              <w:snapToGrid w:val="0"/>
            </w:pPr>
            <w:r>
              <w:t>pH值、CODcr、BOD</w:t>
            </w:r>
            <w:r>
              <w:rPr>
                <w:vertAlign w:val="subscript"/>
              </w:rPr>
              <w:t>5</w:t>
            </w:r>
            <w:r>
              <w:t>、SS、氨氮、动植物油</w:t>
            </w:r>
          </w:p>
        </w:tc>
        <w:tc>
          <w:tcPr>
            <w:tcW w:w="303" w:type="pct"/>
            <w:vAlign w:val="center"/>
          </w:tcPr>
          <w:p w14:paraId="3951742F">
            <w:pPr>
              <w:pStyle w:val="41"/>
              <w:snapToGrid w:val="0"/>
            </w:pPr>
            <w:r>
              <w:t>连续</w:t>
            </w:r>
          </w:p>
        </w:tc>
        <w:tc>
          <w:tcPr>
            <w:tcW w:w="990" w:type="pct"/>
            <w:vAlign w:val="center"/>
          </w:tcPr>
          <w:p w14:paraId="04E2F97B">
            <w:pPr>
              <w:pStyle w:val="41"/>
              <w:snapToGrid w:val="0"/>
            </w:pPr>
            <w:r>
              <w:t>排入园区污水管网，最终进入园区污水处理厂。</w:t>
            </w:r>
          </w:p>
        </w:tc>
      </w:tr>
      <w:tr w14:paraId="3594EC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restart"/>
            <w:vAlign w:val="center"/>
          </w:tcPr>
          <w:p w14:paraId="45981920">
            <w:pPr>
              <w:pStyle w:val="41"/>
              <w:snapToGrid w:val="0"/>
            </w:pPr>
            <w:r>
              <w:t>固废</w:t>
            </w:r>
          </w:p>
        </w:tc>
        <w:tc>
          <w:tcPr>
            <w:tcW w:w="303" w:type="pct"/>
            <w:vAlign w:val="center"/>
          </w:tcPr>
          <w:p w14:paraId="7708AE66">
            <w:pPr>
              <w:pStyle w:val="41"/>
              <w:snapToGrid w:val="0"/>
            </w:pPr>
            <w:r>
              <w:t>S1</w:t>
            </w:r>
          </w:p>
        </w:tc>
        <w:tc>
          <w:tcPr>
            <w:tcW w:w="1010" w:type="pct"/>
            <w:vAlign w:val="center"/>
          </w:tcPr>
          <w:p w14:paraId="23176DBA">
            <w:pPr>
              <w:pStyle w:val="41"/>
              <w:snapToGrid w:val="0"/>
            </w:pPr>
            <w:r>
              <w:t>冶炼工序</w:t>
            </w:r>
          </w:p>
        </w:tc>
        <w:tc>
          <w:tcPr>
            <w:tcW w:w="1115" w:type="pct"/>
            <w:vAlign w:val="center"/>
          </w:tcPr>
          <w:p w14:paraId="54D936FC">
            <w:pPr>
              <w:pStyle w:val="41"/>
              <w:snapToGrid w:val="0"/>
            </w:pPr>
            <w:r>
              <w:t>冶炼渣</w:t>
            </w:r>
          </w:p>
        </w:tc>
        <w:tc>
          <w:tcPr>
            <w:tcW w:w="991" w:type="pct"/>
            <w:vAlign w:val="center"/>
          </w:tcPr>
          <w:p w14:paraId="2C1F4727">
            <w:pPr>
              <w:pStyle w:val="41"/>
              <w:snapToGrid w:val="0"/>
            </w:pPr>
            <w:r>
              <w:t>/</w:t>
            </w:r>
          </w:p>
        </w:tc>
        <w:tc>
          <w:tcPr>
            <w:tcW w:w="303" w:type="pct"/>
            <w:vAlign w:val="center"/>
          </w:tcPr>
          <w:p w14:paraId="46F96255">
            <w:pPr>
              <w:pStyle w:val="41"/>
              <w:snapToGrid w:val="0"/>
            </w:pPr>
            <w:r>
              <w:t>间断</w:t>
            </w:r>
          </w:p>
        </w:tc>
        <w:tc>
          <w:tcPr>
            <w:tcW w:w="990" w:type="pct"/>
            <w:vAlign w:val="center"/>
          </w:tcPr>
          <w:p w14:paraId="683E3570">
            <w:pPr>
              <w:pStyle w:val="41"/>
              <w:snapToGrid w:val="0"/>
            </w:pPr>
            <w:r>
              <w:t>部分作为岩棉生产线原料回收再利用，剩余外售处置</w:t>
            </w:r>
          </w:p>
        </w:tc>
      </w:tr>
      <w:tr w14:paraId="6E68B0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2D3CB475">
            <w:pPr>
              <w:pStyle w:val="41"/>
              <w:snapToGrid w:val="0"/>
            </w:pPr>
          </w:p>
        </w:tc>
        <w:tc>
          <w:tcPr>
            <w:tcW w:w="303" w:type="pct"/>
            <w:vAlign w:val="center"/>
          </w:tcPr>
          <w:p w14:paraId="0CE3ABF9">
            <w:pPr>
              <w:pStyle w:val="41"/>
              <w:snapToGrid w:val="0"/>
            </w:pPr>
            <w:r>
              <w:t>S2</w:t>
            </w:r>
          </w:p>
        </w:tc>
        <w:tc>
          <w:tcPr>
            <w:tcW w:w="1010" w:type="pct"/>
            <w:vAlign w:val="center"/>
          </w:tcPr>
          <w:p w14:paraId="15491D2B">
            <w:pPr>
              <w:pStyle w:val="41"/>
              <w:snapToGrid w:val="0"/>
            </w:pPr>
            <w:r>
              <w:t>冶炼、烧结工序</w:t>
            </w:r>
          </w:p>
        </w:tc>
        <w:tc>
          <w:tcPr>
            <w:tcW w:w="1115" w:type="pct"/>
            <w:vAlign w:val="center"/>
          </w:tcPr>
          <w:p w14:paraId="30F0A675">
            <w:pPr>
              <w:pStyle w:val="41"/>
              <w:snapToGrid w:val="0"/>
            </w:pPr>
            <w:r>
              <w:t>除尘器收集粉尘</w:t>
            </w:r>
          </w:p>
        </w:tc>
        <w:tc>
          <w:tcPr>
            <w:tcW w:w="991" w:type="pct"/>
            <w:vAlign w:val="center"/>
          </w:tcPr>
          <w:p w14:paraId="1B2E93F3">
            <w:pPr>
              <w:pStyle w:val="41"/>
              <w:snapToGrid w:val="0"/>
            </w:pPr>
            <w:r>
              <w:t>/</w:t>
            </w:r>
          </w:p>
        </w:tc>
        <w:tc>
          <w:tcPr>
            <w:tcW w:w="303" w:type="pct"/>
            <w:vAlign w:val="center"/>
          </w:tcPr>
          <w:p w14:paraId="64EE82A7">
            <w:pPr>
              <w:pStyle w:val="41"/>
              <w:snapToGrid w:val="0"/>
            </w:pPr>
            <w:r>
              <w:t>间断</w:t>
            </w:r>
          </w:p>
        </w:tc>
        <w:tc>
          <w:tcPr>
            <w:tcW w:w="990" w:type="pct"/>
            <w:vAlign w:val="center"/>
          </w:tcPr>
          <w:p w14:paraId="2D173568">
            <w:pPr>
              <w:pStyle w:val="41"/>
              <w:snapToGrid w:val="0"/>
            </w:pPr>
            <w:r>
              <w:t>全部回收再利用</w:t>
            </w:r>
          </w:p>
        </w:tc>
      </w:tr>
      <w:tr w14:paraId="2A7534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4146D5B1">
            <w:pPr>
              <w:pStyle w:val="41"/>
              <w:snapToGrid w:val="0"/>
            </w:pPr>
          </w:p>
        </w:tc>
        <w:tc>
          <w:tcPr>
            <w:tcW w:w="303" w:type="pct"/>
            <w:vAlign w:val="center"/>
          </w:tcPr>
          <w:p w14:paraId="5580C8EE">
            <w:pPr>
              <w:pStyle w:val="41"/>
              <w:snapToGrid w:val="0"/>
            </w:pPr>
            <w:r>
              <w:t>S3</w:t>
            </w:r>
          </w:p>
        </w:tc>
        <w:tc>
          <w:tcPr>
            <w:tcW w:w="1010" w:type="pct"/>
            <w:vAlign w:val="center"/>
          </w:tcPr>
          <w:p w14:paraId="48A9464D">
            <w:pPr>
              <w:pStyle w:val="41"/>
              <w:snapToGrid w:val="0"/>
            </w:pPr>
            <w:r>
              <w:t>脱硫工序</w:t>
            </w:r>
          </w:p>
        </w:tc>
        <w:tc>
          <w:tcPr>
            <w:tcW w:w="1115" w:type="pct"/>
            <w:vAlign w:val="center"/>
          </w:tcPr>
          <w:p w14:paraId="20FACAC5">
            <w:pPr>
              <w:pStyle w:val="41"/>
              <w:snapToGrid w:val="0"/>
            </w:pPr>
            <w:r>
              <w:t>脱硫石膏</w:t>
            </w:r>
          </w:p>
        </w:tc>
        <w:tc>
          <w:tcPr>
            <w:tcW w:w="991" w:type="pct"/>
            <w:vAlign w:val="center"/>
          </w:tcPr>
          <w:p w14:paraId="5041B664">
            <w:pPr>
              <w:pStyle w:val="41"/>
              <w:snapToGrid w:val="0"/>
            </w:pPr>
            <w:r>
              <w:t>/</w:t>
            </w:r>
          </w:p>
        </w:tc>
        <w:tc>
          <w:tcPr>
            <w:tcW w:w="303" w:type="pct"/>
            <w:vAlign w:val="center"/>
          </w:tcPr>
          <w:p w14:paraId="03FEF778">
            <w:pPr>
              <w:pStyle w:val="41"/>
              <w:snapToGrid w:val="0"/>
            </w:pPr>
            <w:r>
              <w:t>间断</w:t>
            </w:r>
          </w:p>
        </w:tc>
        <w:tc>
          <w:tcPr>
            <w:tcW w:w="990" w:type="pct"/>
            <w:vAlign w:val="center"/>
          </w:tcPr>
          <w:p w14:paraId="6768619A">
            <w:pPr>
              <w:pStyle w:val="41"/>
              <w:snapToGrid w:val="0"/>
            </w:pPr>
            <w:r>
              <w:t>外售</w:t>
            </w:r>
          </w:p>
        </w:tc>
      </w:tr>
      <w:tr w14:paraId="2C023A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6D78615C">
            <w:pPr>
              <w:pStyle w:val="41"/>
              <w:snapToGrid w:val="0"/>
            </w:pPr>
          </w:p>
        </w:tc>
        <w:tc>
          <w:tcPr>
            <w:tcW w:w="303" w:type="pct"/>
            <w:vAlign w:val="center"/>
          </w:tcPr>
          <w:p w14:paraId="3E3BF70A">
            <w:pPr>
              <w:pStyle w:val="41"/>
              <w:snapToGrid w:val="0"/>
            </w:pPr>
            <w:r>
              <w:t>S4</w:t>
            </w:r>
          </w:p>
        </w:tc>
        <w:tc>
          <w:tcPr>
            <w:tcW w:w="1010" w:type="pct"/>
            <w:vAlign w:val="center"/>
          </w:tcPr>
          <w:p w14:paraId="1D8114C6">
            <w:pPr>
              <w:pStyle w:val="41"/>
              <w:snapToGrid w:val="0"/>
            </w:pPr>
            <w:r>
              <w:t>设备检修</w:t>
            </w:r>
          </w:p>
        </w:tc>
        <w:tc>
          <w:tcPr>
            <w:tcW w:w="1115" w:type="pct"/>
            <w:vAlign w:val="center"/>
          </w:tcPr>
          <w:p w14:paraId="7C06B71C">
            <w:pPr>
              <w:pStyle w:val="41"/>
              <w:snapToGrid w:val="0"/>
            </w:pPr>
            <w:r>
              <w:t>废矿物油（危险废物）</w:t>
            </w:r>
          </w:p>
        </w:tc>
        <w:tc>
          <w:tcPr>
            <w:tcW w:w="991" w:type="pct"/>
            <w:vAlign w:val="center"/>
          </w:tcPr>
          <w:p w14:paraId="28AB9C71">
            <w:pPr>
              <w:pStyle w:val="41"/>
              <w:snapToGrid w:val="0"/>
            </w:pPr>
            <w:r>
              <w:t>/</w:t>
            </w:r>
          </w:p>
        </w:tc>
        <w:tc>
          <w:tcPr>
            <w:tcW w:w="303" w:type="pct"/>
            <w:vAlign w:val="center"/>
          </w:tcPr>
          <w:p w14:paraId="5A9D6AD9">
            <w:pPr>
              <w:pStyle w:val="41"/>
              <w:snapToGrid w:val="0"/>
            </w:pPr>
            <w:r>
              <w:t>间断</w:t>
            </w:r>
          </w:p>
        </w:tc>
        <w:tc>
          <w:tcPr>
            <w:tcW w:w="990" w:type="pct"/>
            <w:vMerge w:val="restart"/>
            <w:vAlign w:val="center"/>
          </w:tcPr>
          <w:p w14:paraId="6418F1D4">
            <w:pPr>
              <w:pStyle w:val="41"/>
              <w:snapToGrid w:val="0"/>
            </w:pPr>
            <w:r>
              <w:t>委托新疆创蓝环保科技有限责任公司处置</w:t>
            </w:r>
          </w:p>
        </w:tc>
      </w:tr>
      <w:tr w14:paraId="2AB60B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6C8CA8E1">
            <w:pPr>
              <w:pStyle w:val="41"/>
              <w:snapToGrid w:val="0"/>
            </w:pPr>
          </w:p>
        </w:tc>
        <w:tc>
          <w:tcPr>
            <w:tcW w:w="303" w:type="pct"/>
            <w:vAlign w:val="center"/>
          </w:tcPr>
          <w:p w14:paraId="6B37BD64">
            <w:pPr>
              <w:pStyle w:val="41"/>
              <w:snapToGrid w:val="0"/>
            </w:pPr>
            <w:r>
              <w:t>S5</w:t>
            </w:r>
          </w:p>
        </w:tc>
        <w:tc>
          <w:tcPr>
            <w:tcW w:w="1010" w:type="pct"/>
            <w:vAlign w:val="center"/>
          </w:tcPr>
          <w:p w14:paraId="546996B2">
            <w:pPr>
              <w:pStyle w:val="41"/>
              <w:snapToGrid w:val="0"/>
            </w:pPr>
            <w:r>
              <w:t>设备检修</w:t>
            </w:r>
          </w:p>
        </w:tc>
        <w:tc>
          <w:tcPr>
            <w:tcW w:w="1115" w:type="pct"/>
            <w:vAlign w:val="center"/>
          </w:tcPr>
          <w:p w14:paraId="71C6FDC2">
            <w:pPr>
              <w:pStyle w:val="41"/>
              <w:snapToGrid w:val="0"/>
            </w:pPr>
            <w:r>
              <w:t>废油桶（危险废物）</w:t>
            </w:r>
          </w:p>
        </w:tc>
        <w:tc>
          <w:tcPr>
            <w:tcW w:w="991" w:type="pct"/>
            <w:vAlign w:val="center"/>
          </w:tcPr>
          <w:p w14:paraId="7A01E62C">
            <w:pPr>
              <w:pStyle w:val="41"/>
              <w:snapToGrid w:val="0"/>
            </w:pPr>
            <w:r>
              <w:t>/</w:t>
            </w:r>
          </w:p>
        </w:tc>
        <w:tc>
          <w:tcPr>
            <w:tcW w:w="303" w:type="pct"/>
            <w:vAlign w:val="center"/>
          </w:tcPr>
          <w:p w14:paraId="35E81900">
            <w:pPr>
              <w:pStyle w:val="41"/>
              <w:snapToGrid w:val="0"/>
            </w:pPr>
            <w:r>
              <w:t>间断</w:t>
            </w:r>
          </w:p>
        </w:tc>
        <w:tc>
          <w:tcPr>
            <w:tcW w:w="990" w:type="pct"/>
            <w:vMerge w:val="continue"/>
            <w:vAlign w:val="center"/>
          </w:tcPr>
          <w:p w14:paraId="2413E7F3">
            <w:pPr>
              <w:pStyle w:val="41"/>
              <w:snapToGrid w:val="0"/>
            </w:pPr>
          </w:p>
        </w:tc>
      </w:tr>
      <w:tr w14:paraId="02291F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Pr>
        <w:tc>
          <w:tcPr>
            <w:tcW w:w="288" w:type="pct"/>
            <w:vMerge w:val="continue"/>
            <w:vAlign w:val="center"/>
          </w:tcPr>
          <w:p w14:paraId="24EAC0BE">
            <w:pPr>
              <w:pStyle w:val="41"/>
              <w:snapToGrid w:val="0"/>
            </w:pPr>
          </w:p>
        </w:tc>
        <w:tc>
          <w:tcPr>
            <w:tcW w:w="303" w:type="pct"/>
            <w:vAlign w:val="center"/>
          </w:tcPr>
          <w:p w14:paraId="5CF10B25">
            <w:pPr>
              <w:pStyle w:val="41"/>
              <w:snapToGrid w:val="0"/>
            </w:pPr>
            <w:r>
              <w:t>/</w:t>
            </w:r>
          </w:p>
        </w:tc>
        <w:tc>
          <w:tcPr>
            <w:tcW w:w="1010" w:type="pct"/>
            <w:vAlign w:val="center"/>
          </w:tcPr>
          <w:p w14:paraId="26456748">
            <w:pPr>
              <w:pStyle w:val="41"/>
              <w:snapToGrid w:val="0"/>
            </w:pPr>
            <w:r>
              <w:t>办公生活过程</w:t>
            </w:r>
          </w:p>
        </w:tc>
        <w:tc>
          <w:tcPr>
            <w:tcW w:w="1115" w:type="pct"/>
            <w:vAlign w:val="center"/>
          </w:tcPr>
          <w:p w14:paraId="4F97EAA8">
            <w:pPr>
              <w:pStyle w:val="41"/>
              <w:snapToGrid w:val="0"/>
            </w:pPr>
            <w:r>
              <w:t>生活垃圾</w:t>
            </w:r>
          </w:p>
        </w:tc>
        <w:tc>
          <w:tcPr>
            <w:tcW w:w="991" w:type="pct"/>
            <w:vAlign w:val="center"/>
          </w:tcPr>
          <w:p w14:paraId="1211FD09">
            <w:pPr>
              <w:pStyle w:val="41"/>
              <w:snapToGrid w:val="0"/>
            </w:pPr>
            <w:r>
              <w:t>/</w:t>
            </w:r>
          </w:p>
        </w:tc>
        <w:tc>
          <w:tcPr>
            <w:tcW w:w="303" w:type="pct"/>
            <w:vAlign w:val="center"/>
          </w:tcPr>
          <w:p w14:paraId="5724F91E">
            <w:pPr>
              <w:pStyle w:val="41"/>
              <w:snapToGrid w:val="0"/>
            </w:pPr>
            <w:r>
              <w:t>间断</w:t>
            </w:r>
          </w:p>
        </w:tc>
        <w:tc>
          <w:tcPr>
            <w:tcW w:w="990" w:type="pct"/>
            <w:vAlign w:val="center"/>
          </w:tcPr>
          <w:p w14:paraId="4075CC3D">
            <w:pPr>
              <w:pStyle w:val="41"/>
              <w:snapToGrid w:val="0"/>
            </w:pPr>
            <w:r>
              <w:t>生活垃圾集中收集，委托环卫部门定期清理。</w:t>
            </w:r>
          </w:p>
        </w:tc>
      </w:tr>
    </w:tbl>
    <w:p w14:paraId="7EBA5974">
      <w:pPr>
        <w:pStyle w:val="5"/>
        <w:spacing w:before="120"/>
      </w:pPr>
      <w:bookmarkStart w:id="138" w:name="_Hlk172058402"/>
      <w:r>
        <w:t>物料平衡</w:t>
      </w:r>
    </w:p>
    <w:bookmarkEnd w:id="138"/>
    <w:p w14:paraId="4E06A43D">
      <w:pPr>
        <w:pStyle w:val="6"/>
        <w:spacing w:before="120" w:after="120"/>
      </w:pPr>
      <w:r>
        <w:t>物料平衡</w:t>
      </w:r>
    </w:p>
    <w:p w14:paraId="6FD794B2">
      <w:pPr>
        <w:widowControl/>
        <w:adjustRightInd w:val="0"/>
        <w:snapToGrid w:val="0"/>
        <w:ind w:firstLine="480" w:firstLineChars="200"/>
        <w:jc w:val="left"/>
      </w:pPr>
      <w:bookmarkStart w:id="139" w:name="_Hlk172047422"/>
      <w:bookmarkStart w:id="140" w:name="_Hlk172058313"/>
      <w:r>
        <w:t>本次技改工程实施后物料平衡情况表见4.2-2及图4.2-4。技改前后物料平衡变化情况见表4.2-3。</w:t>
      </w:r>
    </w:p>
    <w:bookmarkEnd w:id="139"/>
    <w:bookmarkEnd w:id="140"/>
    <w:p w14:paraId="2B9D8DE6">
      <w:pPr>
        <w:pStyle w:val="6"/>
        <w:spacing w:before="120" w:after="120"/>
      </w:pPr>
      <w:r>
        <w:t>水平衡</w:t>
      </w:r>
    </w:p>
    <w:p w14:paraId="56597351">
      <w:pPr>
        <w:ind w:firstLine="420"/>
        <w:jc w:val="left"/>
      </w:pPr>
      <w:bookmarkStart w:id="141" w:name="_Hlk171976583"/>
      <w:r>
        <w:t>本次技改工程未新增劳动定员全厂生活用水量无变化。</w:t>
      </w:r>
      <w:bookmarkEnd w:id="141"/>
      <w:bookmarkStart w:id="142" w:name="_Toc10695"/>
      <w:bookmarkStart w:id="143" w:name="_Toc14678"/>
      <w:r>
        <w:t>冷却塔外循环喷淋系统的排污水中含有不同程度的悬浮物、各种盐类、金属氧化物、阻垢缓蚀剂、杀生剂等。循环冷却系统排污水可直接汇集后以重力流的方式排入界区内的污水排放管网最终进入厂区内的污水处理系统，经中水处理、三效或多效蒸发处理后，回用于绿化及道路洒水降尘、外循环补充水等。</w:t>
      </w:r>
    </w:p>
    <w:p w14:paraId="40A9BE32">
      <w:pPr>
        <w:pStyle w:val="4"/>
      </w:pPr>
      <w:bookmarkStart w:id="144" w:name="_Toc207208388"/>
      <w:r>
        <w:t>污染源源强核算</w:t>
      </w:r>
      <w:bookmarkEnd w:id="142"/>
      <w:bookmarkEnd w:id="143"/>
      <w:bookmarkEnd w:id="144"/>
    </w:p>
    <w:p w14:paraId="4AF260DA">
      <w:pPr>
        <w:pStyle w:val="5"/>
        <w:spacing w:before="120"/>
      </w:pPr>
      <w:r>
        <w:t>施工期污染源源强核算</w:t>
      </w:r>
    </w:p>
    <w:p w14:paraId="4F7A591F">
      <w:pPr>
        <w:pStyle w:val="6"/>
        <w:spacing w:before="120" w:after="120"/>
      </w:pPr>
      <w:r>
        <w:t>施工期废气污染源源强</w:t>
      </w:r>
    </w:p>
    <w:p w14:paraId="23B9D082">
      <w:pPr>
        <w:pStyle w:val="3"/>
        <w:ind w:firstLine="480"/>
      </w:pPr>
      <w:r>
        <w:t>施工期大气污染物主要为扬尘和施工机械尾气。</w:t>
      </w:r>
    </w:p>
    <w:p w14:paraId="2A80C154">
      <w:pPr>
        <w:pStyle w:val="3"/>
        <w:ind w:firstLine="480"/>
      </w:pPr>
      <w:r>
        <w:t>扬尘主要来自于施工过程中散装物料装卸、堆放、运输和土体开挖环节，施工和运输车辆产生的扬尘源强与施工强度、路面状况和天气情况有关，扬尘随距离的增加而减小，难以定量，均为无组织排放；燃油废气来自于施工机械车辆，主要污染因子为THC、CO、NO</w:t>
      </w:r>
      <w:r>
        <w:rPr>
          <w:vertAlign w:val="subscript"/>
        </w:rPr>
        <w:t>X</w:t>
      </w:r>
      <w:r>
        <w:t>，为无组织排放。</w:t>
      </w:r>
    </w:p>
    <w:p w14:paraId="28856C8A">
      <w:pPr>
        <w:pStyle w:val="3"/>
        <w:ind w:firstLine="480"/>
      </w:pPr>
      <w:r>
        <w:t>一般建筑施工扬尘为施工期主要污染物，对大气环境影响较大。根据类比调查资料，在施工现场，接近地面的颗粒物浓度一般为1.5~30mg/m</w:t>
      </w:r>
      <w:r>
        <w:rPr>
          <w:vertAlign w:val="superscript"/>
        </w:rPr>
        <w:t>2</w:t>
      </w:r>
      <w:r>
        <w:t>，施工扬尘影响范围下风向可达150~200m，在距其200m处TSP浓度可降至1.00mg/m</w:t>
      </w:r>
      <w:r>
        <w:rPr>
          <w:vertAlign w:val="superscript"/>
        </w:rPr>
        <w:t>2</w:t>
      </w:r>
      <w:r>
        <w:t>以下；运输车辆引起的扬尘对路边30m范围以内影响较大，路边的TSP浓度可达10mg/m</w:t>
      </w:r>
      <w:r>
        <w:rPr>
          <w:vertAlign w:val="superscript"/>
        </w:rPr>
        <w:t>2</w:t>
      </w:r>
      <w:r>
        <w:t>以上。</w:t>
      </w:r>
    </w:p>
    <w:p w14:paraId="21A1A661">
      <w:pPr>
        <w:pStyle w:val="6"/>
        <w:spacing w:before="120" w:after="120"/>
      </w:pPr>
      <w:r>
        <w:t>施工期废水污染源源强</w:t>
      </w:r>
    </w:p>
    <w:p w14:paraId="51788C36">
      <w:pPr>
        <w:pStyle w:val="3"/>
        <w:ind w:firstLine="480"/>
      </w:pPr>
      <w:r>
        <w:t>施工期废水主要为生产废水和生活污水。</w:t>
      </w:r>
    </w:p>
    <w:p w14:paraId="18A7DD92">
      <w:pPr>
        <w:pStyle w:val="3"/>
        <w:ind w:firstLine="480"/>
      </w:pPr>
      <w:r>
        <w:t>施工期产生的生产废水主要为施工设备冲洗过程中产生的废水和水泥养护废水等，主要污染物为SS、石油类，施工场地设置隔油沉淀池，施工废水经沉淀后用于场地洒水降尘。</w:t>
      </w:r>
    </w:p>
    <w:p w14:paraId="7AEBD75E">
      <w:pPr>
        <w:pStyle w:val="3"/>
        <w:ind w:firstLine="480"/>
      </w:pPr>
      <w:r>
        <w:t>生活污水主要是施工人员生活过程产生的废水，主要污染物为CODcr、BOD</w:t>
      </w:r>
      <w:r>
        <w:rPr>
          <w:vertAlign w:val="subscript"/>
        </w:rPr>
        <w:t>5</w:t>
      </w:r>
      <w:r>
        <w:t>、NH</w:t>
      </w:r>
      <w:r>
        <w:rPr>
          <w:vertAlign w:val="subscript"/>
        </w:rPr>
        <w:t>3</w:t>
      </w:r>
      <w:r>
        <w:t>-N、SS等。工程施工时施工人员生活污水排入市政污水管网，最终进入园区污水处理厂集中处置。</w:t>
      </w:r>
    </w:p>
    <w:p w14:paraId="44B22D3B">
      <w:pPr>
        <w:pStyle w:val="6"/>
        <w:spacing w:before="120" w:after="120"/>
      </w:pPr>
      <w:r>
        <w:t>施工期噪声污染源源强</w:t>
      </w:r>
    </w:p>
    <w:p w14:paraId="027E027C">
      <w:pPr>
        <w:pStyle w:val="3"/>
        <w:ind w:firstLine="480"/>
      </w:pPr>
      <w:r>
        <w:t>本项目施工期噪声主要是土体开挖、基础建设、结构装修、设备安装、材料运输等过程产生的施工机械噪声。根据《环境噪声与振动控制工程技术导则》（HJ2034-2013），施工期主要噪声源及源强统计见下表。</w:t>
      </w:r>
    </w:p>
    <w:p w14:paraId="3731FE8D">
      <w:pPr>
        <w:pStyle w:val="40"/>
        <w:spacing w:before="120"/>
      </w:pPr>
      <w:r>
        <w:t>表4.3-1    常见施工设备不同距离声压级   单位：dB（A）</w:t>
      </w:r>
    </w:p>
    <w:tbl>
      <w:tblPr>
        <w:tblStyle w:val="28"/>
        <w:tblW w:w="89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1724"/>
        <w:gridCol w:w="1092"/>
        <w:gridCol w:w="2429"/>
        <w:gridCol w:w="1991"/>
      </w:tblGrid>
      <w:tr w14:paraId="40F6A5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701" w:type="dxa"/>
            <w:tcBorders>
              <w:tl2br w:val="nil"/>
              <w:tr2bl w:val="nil"/>
            </w:tcBorders>
            <w:vAlign w:val="center"/>
          </w:tcPr>
          <w:p w14:paraId="13FF4736">
            <w:pPr>
              <w:pStyle w:val="34"/>
            </w:pPr>
            <w:r>
              <w:t>设备名称</w:t>
            </w:r>
          </w:p>
        </w:tc>
        <w:tc>
          <w:tcPr>
            <w:tcW w:w="1724" w:type="dxa"/>
            <w:tcBorders>
              <w:tl2br w:val="nil"/>
              <w:tr2bl w:val="nil"/>
            </w:tcBorders>
            <w:vAlign w:val="center"/>
          </w:tcPr>
          <w:p w14:paraId="435BA0E2">
            <w:pPr>
              <w:pStyle w:val="34"/>
            </w:pPr>
            <w:r>
              <w:t>与声源距离/m</w:t>
            </w:r>
          </w:p>
        </w:tc>
        <w:tc>
          <w:tcPr>
            <w:tcW w:w="1092" w:type="dxa"/>
            <w:tcBorders>
              <w:tl2br w:val="nil"/>
              <w:tr2bl w:val="nil"/>
            </w:tcBorders>
            <w:vAlign w:val="center"/>
          </w:tcPr>
          <w:p w14:paraId="2D37D5C5">
            <w:pPr>
              <w:pStyle w:val="34"/>
            </w:pPr>
            <w:r>
              <w:t>噪声值</w:t>
            </w:r>
          </w:p>
        </w:tc>
        <w:tc>
          <w:tcPr>
            <w:tcW w:w="2429" w:type="dxa"/>
            <w:tcBorders>
              <w:tl2br w:val="nil"/>
              <w:tr2bl w:val="nil"/>
            </w:tcBorders>
            <w:vAlign w:val="center"/>
          </w:tcPr>
          <w:p w14:paraId="5210ADF9">
            <w:pPr>
              <w:pStyle w:val="34"/>
            </w:pPr>
            <w:r>
              <w:t>施工阶段</w:t>
            </w:r>
          </w:p>
        </w:tc>
        <w:tc>
          <w:tcPr>
            <w:tcW w:w="1991" w:type="dxa"/>
            <w:tcBorders>
              <w:tl2br w:val="nil"/>
              <w:tr2bl w:val="nil"/>
            </w:tcBorders>
            <w:vAlign w:val="center"/>
          </w:tcPr>
          <w:p w14:paraId="64EF0744">
            <w:pPr>
              <w:pStyle w:val="34"/>
            </w:pPr>
            <w:r>
              <w:t>声源特性</w:t>
            </w:r>
          </w:p>
        </w:tc>
      </w:tr>
      <w:tr w14:paraId="3FCEB3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51352BC0">
            <w:pPr>
              <w:pStyle w:val="34"/>
            </w:pPr>
            <w:r>
              <w:t>挖掘机</w:t>
            </w:r>
          </w:p>
        </w:tc>
        <w:tc>
          <w:tcPr>
            <w:tcW w:w="1724" w:type="dxa"/>
            <w:tcBorders>
              <w:tl2br w:val="nil"/>
              <w:tr2bl w:val="nil"/>
            </w:tcBorders>
            <w:vAlign w:val="center"/>
          </w:tcPr>
          <w:p w14:paraId="7FDC46D4">
            <w:pPr>
              <w:pStyle w:val="34"/>
            </w:pPr>
            <w:r>
              <w:t>5</w:t>
            </w:r>
          </w:p>
        </w:tc>
        <w:tc>
          <w:tcPr>
            <w:tcW w:w="1092" w:type="dxa"/>
            <w:tcBorders>
              <w:tl2br w:val="nil"/>
              <w:tr2bl w:val="nil"/>
            </w:tcBorders>
            <w:vAlign w:val="center"/>
          </w:tcPr>
          <w:p w14:paraId="40962A4D">
            <w:pPr>
              <w:pStyle w:val="34"/>
            </w:pPr>
            <w:r>
              <w:t>82～90</w:t>
            </w:r>
          </w:p>
        </w:tc>
        <w:tc>
          <w:tcPr>
            <w:tcW w:w="2429" w:type="dxa"/>
            <w:tcBorders>
              <w:tl2br w:val="nil"/>
              <w:tr2bl w:val="nil"/>
            </w:tcBorders>
            <w:vAlign w:val="center"/>
          </w:tcPr>
          <w:p w14:paraId="5BE1AC67">
            <w:pPr>
              <w:pStyle w:val="34"/>
            </w:pPr>
            <w:r>
              <w:t>土体开挖</w:t>
            </w:r>
          </w:p>
        </w:tc>
        <w:tc>
          <w:tcPr>
            <w:tcW w:w="1991" w:type="dxa"/>
            <w:vMerge w:val="restart"/>
            <w:tcBorders>
              <w:tl2br w:val="nil"/>
              <w:tr2bl w:val="nil"/>
            </w:tcBorders>
            <w:vAlign w:val="center"/>
          </w:tcPr>
          <w:p w14:paraId="7B9FE2DA">
            <w:pPr>
              <w:pStyle w:val="34"/>
            </w:pPr>
            <w:r>
              <w:t>声源种类多样（多具有移动属性），作业面大，影响范围广，噪声频谱、时域特性复杂</w:t>
            </w:r>
          </w:p>
        </w:tc>
      </w:tr>
      <w:tr w14:paraId="18868D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77CB8A94">
            <w:pPr>
              <w:pStyle w:val="34"/>
            </w:pPr>
            <w:r>
              <w:t>装载机</w:t>
            </w:r>
          </w:p>
        </w:tc>
        <w:tc>
          <w:tcPr>
            <w:tcW w:w="1724" w:type="dxa"/>
            <w:tcBorders>
              <w:tl2br w:val="nil"/>
              <w:tr2bl w:val="nil"/>
            </w:tcBorders>
            <w:vAlign w:val="center"/>
          </w:tcPr>
          <w:p w14:paraId="569045DA">
            <w:pPr>
              <w:pStyle w:val="34"/>
            </w:pPr>
            <w:r>
              <w:t>5</w:t>
            </w:r>
          </w:p>
        </w:tc>
        <w:tc>
          <w:tcPr>
            <w:tcW w:w="1092" w:type="dxa"/>
            <w:tcBorders>
              <w:tl2br w:val="nil"/>
              <w:tr2bl w:val="nil"/>
            </w:tcBorders>
            <w:vAlign w:val="center"/>
          </w:tcPr>
          <w:p w14:paraId="77D4A039">
            <w:pPr>
              <w:pStyle w:val="34"/>
            </w:pPr>
            <w:r>
              <w:t>90～95</w:t>
            </w:r>
          </w:p>
        </w:tc>
        <w:tc>
          <w:tcPr>
            <w:tcW w:w="2429" w:type="dxa"/>
            <w:tcBorders>
              <w:tl2br w:val="nil"/>
              <w:tr2bl w:val="nil"/>
            </w:tcBorders>
            <w:vAlign w:val="center"/>
          </w:tcPr>
          <w:p w14:paraId="3313975B">
            <w:pPr>
              <w:pStyle w:val="34"/>
            </w:pPr>
            <w:r>
              <w:t>土体开挖、基础建设</w:t>
            </w:r>
          </w:p>
        </w:tc>
        <w:tc>
          <w:tcPr>
            <w:tcW w:w="1991" w:type="dxa"/>
            <w:vMerge w:val="continue"/>
            <w:tcBorders>
              <w:tl2br w:val="nil"/>
              <w:tr2bl w:val="nil"/>
            </w:tcBorders>
            <w:vAlign w:val="center"/>
          </w:tcPr>
          <w:p w14:paraId="11A24039">
            <w:pPr>
              <w:pStyle w:val="34"/>
            </w:pPr>
          </w:p>
        </w:tc>
      </w:tr>
      <w:tr w14:paraId="0707E9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7CDFA902">
            <w:pPr>
              <w:pStyle w:val="34"/>
            </w:pPr>
            <w:r>
              <w:t>推土机</w:t>
            </w:r>
          </w:p>
        </w:tc>
        <w:tc>
          <w:tcPr>
            <w:tcW w:w="1724" w:type="dxa"/>
            <w:tcBorders>
              <w:tl2br w:val="nil"/>
              <w:tr2bl w:val="nil"/>
            </w:tcBorders>
            <w:vAlign w:val="center"/>
          </w:tcPr>
          <w:p w14:paraId="2B63A305">
            <w:pPr>
              <w:pStyle w:val="34"/>
            </w:pPr>
            <w:r>
              <w:t>5</w:t>
            </w:r>
          </w:p>
        </w:tc>
        <w:tc>
          <w:tcPr>
            <w:tcW w:w="1092" w:type="dxa"/>
            <w:tcBorders>
              <w:tl2br w:val="nil"/>
              <w:tr2bl w:val="nil"/>
            </w:tcBorders>
            <w:vAlign w:val="center"/>
          </w:tcPr>
          <w:p w14:paraId="2871C2DF">
            <w:pPr>
              <w:pStyle w:val="34"/>
            </w:pPr>
            <w:r>
              <w:t>83～88</w:t>
            </w:r>
          </w:p>
        </w:tc>
        <w:tc>
          <w:tcPr>
            <w:tcW w:w="2429" w:type="dxa"/>
            <w:tcBorders>
              <w:tl2br w:val="nil"/>
              <w:tr2bl w:val="nil"/>
            </w:tcBorders>
            <w:vAlign w:val="center"/>
          </w:tcPr>
          <w:p w14:paraId="2F4DA680">
            <w:pPr>
              <w:pStyle w:val="34"/>
            </w:pPr>
            <w:r>
              <w:t>基础建设</w:t>
            </w:r>
          </w:p>
        </w:tc>
        <w:tc>
          <w:tcPr>
            <w:tcW w:w="1991" w:type="dxa"/>
            <w:vMerge w:val="continue"/>
            <w:tcBorders>
              <w:tl2br w:val="nil"/>
              <w:tr2bl w:val="nil"/>
            </w:tcBorders>
            <w:vAlign w:val="center"/>
          </w:tcPr>
          <w:p w14:paraId="50F94CE6">
            <w:pPr>
              <w:pStyle w:val="34"/>
            </w:pPr>
          </w:p>
        </w:tc>
      </w:tr>
      <w:tr w14:paraId="18D1FF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559873F5">
            <w:pPr>
              <w:pStyle w:val="34"/>
            </w:pPr>
            <w:r>
              <w:t>压路机</w:t>
            </w:r>
          </w:p>
        </w:tc>
        <w:tc>
          <w:tcPr>
            <w:tcW w:w="1724" w:type="dxa"/>
            <w:tcBorders>
              <w:tl2br w:val="nil"/>
              <w:tr2bl w:val="nil"/>
            </w:tcBorders>
            <w:vAlign w:val="center"/>
          </w:tcPr>
          <w:p w14:paraId="54A569C0">
            <w:pPr>
              <w:pStyle w:val="34"/>
            </w:pPr>
            <w:r>
              <w:t>5</w:t>
            </w:r>
          </w:p>
        </w:tc>
        <w:tc>
          <w:tcPr>
            <w:tcW w:w="1092" w:type="dxa"/>
            <w:tcBorders>
              <w:tl2br w:val="nil"/>
              <w:tr2bl w:val="nil"/>
            </w:tcBorders>
            <w:vAlign w:val="center"/>
          </w:tcPr>
          <w:p w14:paraId="68D6CC3B">
            <w:pPr>
              <w:pStyle w:val="34"/>
            </w:pPr>
            <w:r>
              <w:t>80～90</w:t>
            </w:r>
          </w:p>
        </w:tc>
        <w:tc>
          <w:tcPr>
            <w:tcW w:w="2429" w:type="dxa"/>
            <w:tcBorders>
              <w:tl2br w:val="nil"/>
              <w:tr2bl w:val="nil"/>
            </w:tcBorders>
            <w:vAlign w:val="center"/>
          </w:tcPr>
          <w:p w14:paraId="1365D957">
            <w:pPr>
              <w:pStyle w:val="34"/>
            </w:pPr>
            <w:r>
              <w:t>基础建设</w:t>
            </w:r>
          </w:p>
        </w:tc>
        <w:tc>
          <w:tcPr>
            <w:tcW w:w="1991" w:type="dxa"/>
            <w:vMerge w:val="continue"/>
            <w:tcBorders>
              <w:tl2br w:val="nil"/>
              <w:tr2bl w:val="nil"/>
            </w:tcBorders>
            <w:vAlign w:val="center"/>
          </w:tcPr>
          <w:p w14:paraId="454F9348">
            <w:pPr>
              <w:pStyle w:val="34"/>
            </w:pPr>
          </w:p>
        </w:tc>
      </w:tr>
      <w:tr w14:paraId="1E4CDC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4B395E9D">
            <w:pPr>
              <w:pStyle w:val="34"/>
            </w:pPr>
            <w:r>
              <w:t>重型运输车</w:t>
            </w:r>
          </w:p>
        </w:tc>
        <w:tc>
          <w:tcPr>
            <w:tcW w:w="1724" w:type="dxa"/>
            <w:tcBorders>
              <w:tl2br w:val="nil"/>
              <w:tr2bl w:val="nil"/>
            </w:tcBorders>
            <w:vAlign w:val="center"/>
          </w:tcPr>
          <w:p w14:paraId="72EF8140">
            <w:pPr>
              <w:pStyle w:val="34"/>
            </w:pPr>
            <w:r>
              <w:t>5</w:t>
            </w:r>
          </w:p>
        </w:tc>
        <w:tc>
          <w:tcPr>
            <w:tcW w:w="1092" w:type="dxa"/>
            <w:tcBorders>
              <w:tl2br w:val="nil"/>
              <w:tr2bl w:val="nil"/>
            </w:tcBorders>
            <w:vAlign w:val="center"/>
          </w:tcPr>
          <w:p w14:paraId="693E7ABE">
            <w:pPr>
              <w:pStyle w:val="34"/>
            </w:pPr>
            <w:r>
              <w:t>82～90</w:t>
            </w:r>
          </w:p>
        </w:tc>
        <w:tc>
          <w:tcPr>
            <w:tcW w:w="2429" w:type="dxa"/>
            <w:tcBorders>
              <w:tl2br w:val="nil"/>
              <w:tr2bl w:val="nil"/>
            </w:tcBorders>
            <w:vAlign w:val="center"/>
          </w:tcPr>
          <w:p w14:paraId="1CF7CD07">
            <w:pPr>
              <w:pStyle w:val="34"/>
            </w:pPr>
            <w:r>
              <w:t>土体开挖、基础建设</w:t>
            </w:r>
          </w:p>
        </w:tc>
        <w:tc>
          <w:tcPr>
            <w:tcW w:w="1991" w:type="dxa"/>
            <w:vMerge w:val="continue"/>
            <w:tcBorders>
              <w:tl2br w:val="nil"/>
              <w:tr2bl w:val="nil"/>
            </w:tcBorders>
            <w:vAlign w:val="center"/>
          </w:tcPr>
          <w:p w14:paraId="69813EA3">
            <w:pPr>
              <w:pStyle w:val="34"/>
            </w:pPr>
          </w:p>
        </w:tc>
      </w:tr>
      <w:tr w14:paraId="2F3A0F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05BF089A">
            <w:pPr>
              <w:pStyle w:val="34"/>
            </w:pPr>
            <w:r>
              <w:t>夯锤</w:t>
            </w:r>
          </w:p>
        </w:tc>
        <w:tc>
          <w:tcPr>
            <w:tcW w:w="1724" w:type="dxa"/>
            <w:tcBorders>
              <w:tl2br w:val="nil"/>
              <w:tr2bl w:val="nil"/>
            </w:tcBorders>
            <w:vAlign w:val="center"/>
          </w:tcPr>
          <w:p w14:paraId="0CB9BFE9">
            <w:pPr>
              <w:pStyle w:val="34"/>
            </w:pPr>
            <w:r>
              <w:t>5</w:t>
            </w:r>
          </w:p>
        </w:tc>
        <w:tc>
          <w:tcPr>
            <w:tcW w:w="1092" w:type="dxa"/>
            <w:tcBorders>
              <w:tl2br w:val="nil"/>
              <w:tr2bl w:val="nil"/>
            </w:tcBorders>
            <w:vAlign w:val="center"/>
          </w:tcPr>
          <w:p w14:paraId="4D03F774">
            <w:pPr>
              <w:pStyle w:val="34"/>
            </w:pPr>
            <w:r>
              <w:t>92～100</w:t>
            </w:r>
          </w:p>
        </w:tc>
        <w:tc>
          <w:tcPr>
            <w:tcW w:w="2429" w:type="dxa"/>
            <w:tcBorders>
              <w:tl2br w:val="nil"/>
              <w:tr2bl w:val="nil"/>
            </w:tcBorders>
            <w:vAlign w:val="center"/>
          </w:tcPr>
          <w:p w14:paraId="2C39049E">
            <w:pPr>
              <w:pStyle w:val="34"/>
            </w:pPr>
            <w:r>
              <w:t>基础建设</w:t>
            </w:r>
          </w:p>
        </w:tc>
        <w:tc>
          <w:tcPr>
            <w:tcW w:w="1991" w:type="dxa"/>
            <w:vMerge w:val="continue"/>
            <w:tcBorders>
              <w:tl2br w:val="nil"/>
              <w:tr2bl w:val="nil"/>
            </w:tcBorders>
            <w:vAlign w:val="center"/>
          </w:tcPr>
          <w:p w14:paraId="2272F552">
            <w:pPr>
              <w:pStyle w:val="34"/>
            </w:pPr>
          </w:p>
        </w:tc>
      </w:tr>
      <w:tr w14:paraId="62903F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61602B67">
            <w:pPr>
              <w:pStyle w:val="34"/>
            </w:pPr>
            <w:r>
              <w:t>打桩机</w:t>
            </w:r>
          </w:p>
        </w:tc>
        <w:tc>
          <w:tcPr>
            <w:tcW w:w="1724" w:type="dxa"/>
            <w:tcBorders>
              <w:tl2br w:val="nil"/>
              <w:tr2bl w:val="nil"/>
            </w:tcBorders>
            <w:vAlign w:val="center"/>
          </w:tcPr>
          <w:p w14:paraId="416E0BC6">
            <w:pPr>
              <w:pStyle w:val="34"/>
            </w:pPr>
            <w:r>
              <w:t>5</w:t>
            </w:r>
          </w:p>
        </w:tc>
        <w:tc>
          <w:tcPr>
            <w:tcW w:w="1092" w:type="dxa"/>
            <w:tcBorders>
              <w:tl2br w:val="nil"/>
              <w:tr2bl w:val="nil"/>
            </w:tcBorders>
            <w:vAlign w:val="center"/>
          </w:tcPr>
          <w:p w14:paraId="35C68059">
            <w:pPr>
              <w:pStyle w:val="34"/>
            </w:pPr>
            <w:r>
              <w:t>100～110</w:t>
            </w:r>
          </w:p>
        </w:tc>
        <w:tc>
          <w:tcPr>
            <w:tcW w:w="2429" w:type="dxa"/>
            <w:tcBorders>
              <w:tl2br w:val="nil"/>
              <w:tr2bl w:val="nil"/>
            </w:tcBorders>
            <w:vAlign w:val="center"/>
          </w:tcPr>
          <w:p w14:paraId="1B36B2DF">
            <w:pPr>
              <w:pStyle w:val="34"/>
            </w:pPr>
            <w:r>
              <w:t>基础建设</w:t>
            </w:r>
          </w:p>
        </w:tc>
        <w:tc>
          <w:tcPr>
            <w:tcW w:w="1991" w:type="dxa"/>
            <w:vMerge w:val="continue"/>
            <w:tcBorders>
              <w:tl2br w:val="nil"/>
              <w:tr2bl w:val="nil"/>
            </w:tcBorders>
            <w:vAlign w:val="center"/>
          </w:tcPr>
          <w:p w14:paraId="1C78D501">
            <w:pPr>
              <w:pStyle w:val="34"/>
            </w:pPr>
          </w:p>
        </w:tc>
      </w:tr>
      <w:tr w14:paraId="33E379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52E053C2">
            <w:pPr>
              <w:pStyle w:val="34"/>
            </w:pPr>
            <w:r>
              <w:t>商砼搅拌车</w:t>
            </w:r>
          </w:p>
        </w:tc>
        <w:tc>
          <w:tcPr>
            <w:tcW w:w="1724" w:type="dxa"/>
            <w:tcBorders>
              <w:tl2br w:val="nil"/>
              <w:tr2bl w:val="nil"/>
            </w:tcBorders>
            <w:vAlign w:val="center"/>
          </w:tcPr>
          <w:p w14:paraId="02FA1FE8">
            <w:pPr>
              <w:pStyle w:val="34"/>
            </w:pPr>
            <w:r>
              <w:t>5</w:t>
            </w:r>
          </w:p>
        </w:tc>
        <w:tc>
          <w:tcPr>
            <w:tcW w:w="1092" w:type="dxa"/>
            <w:tcBorders>
              <w:tl2br w:val="nil"/>
              <w:tr2bl w:val="nil"/>
            </w:tcBorders>
            <w:vAlign w:val="center"/>
          </w:tcPr>
          <w:p w14:paraId="50A6C65F">
            <w:pPr>
              <w:pStyle w:val="34"/>
            </w:pPr>
            <w:r>
              <w:t>85～90</w:t>
            </w:r>
          </w:p>
        </w:tc>
        <w:tc>
          <w:tcPr>
            <w:tcW w:w="2429" w:type="dxa"/>
            <w:tcBorders>
              <w:tl2br w:val="nil"/>
              <w:tr2bl w:val="nil"/>
            </w:tcBorders>
            <w:vAlign w:val="center"/>
          </w:tcPr>
          <w:p w14:paraId="2915021B">
            <w:pPr>
              <w:pStyle w:val="34"/>
            </w:pPr>
            <w:r>
              <w:t>基础建设</w:t>
            </w:r>
          </w:p>
        </w:tc>
        <w:tc>
          <w:tcPr>
            <w:tcW w:w="1991" w:type="dxa"/>
            <w:vMerge w:val="continue"/>
            <w:tcBorders>
              <w:tl2br w:val="nil"/>
              <w:tr2bl w:val="nil"/>
            </w:tcBorders>
            <w:vAlign w:val="center"/>
          </w:tcPr>
          <w:p w14:paraId="25FE9D40">
            <w:pPr>
              <w:pStyle w:val="34"/>
            </w:pPr>
          </w:p>
        </w:tc>
      </w:tr>
      <w:tr w14:paraId="00684C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701" w:type="dxa"/>
            <w:tcBorders>
              <w:tl2br w:val="nil"/>
              <w:tr2bl w:val="nil"/>
            </w:tcBorders>
            <w:vAlign w:val="center"/>
          </w:tcPr>
          <w:p w14:paraId="38AA37B6">
            <w:pPr>
              <w:pStyle w:val="34"/>
            </w:pPr>
            <w:r>
              <w:t>木工电锯</w:t>
            </w:r>
          </w:p>
        </w:tc>
        <w:tc>
          <w:tcPr>
            <w:tcW w:w="1724" w:type="dxa"/>
            <w:tcBorders>
              <w:tl2br w:val="nil"/>
              <w:tr2bl w:val="nil"/>
            </w:tcBorders>
            <w:vAlign w:val="center"/>
          </w:tcPr>
          <w:p w14:paraId="7528035A">
            <w:pPr>
              <w:pStyle w:val="34"/>
            </w:pPr>
            <w:r>
              <w:t>5</w:t>
            </w:r>
          </w:p>
        </w:tc>
        <w:tc>
          <w:tcPr>
            <w:tcW w:w="1092" w:type="dxa"/>
            <w:tcBorders>
              <w:tl2br w:val="nil"/>
              <w:tr2bl w:val="nil"/>
            </w:tcBorders>
            <w:vAlign w:val="center"/>
          </w:tcPr>
          <w:p w14:paraId="1B15836A">
            <w:pPr>
              <w:pStyle w:val="34"/>
            </w:pPr>
            <w:r>
              <w:t>93～99</w:t>
            </w:r>
          </w:p>
        </w:tc>
        <w:tc>
          <w:tcPr>
            <w:tcW w:w="2429" w:type="dxa"/>
            <w:tcBorders>
              <w:tl2br w:val="nil"/>
              <w:tr2bl w:val="nil"/>
            </w:tcBorders>
            <w:vAlign w:val="center"/>
          </w:tcPr>
          <w:p w14:paraId="235F4CC1">
            <w:pPr>
              <w:pStyle w:val="34"/>
            </w:pPr>
            <w:r>
              <w:t>结构装修、设备安装</w:t>
            </w:r>
          </w:p>
        </w:tc>
        <w:tc>
          <w:tcPr>
            <w:tcW w:w="1991" w:type="dxa"/>
            <w:vMerge w:val="continue"/>
            <w:tcBorders>
              <w:tl2br w:val="nil"/>
              <w:tr2bl w:val="nil"/>
            </w:tcBorders>
            <w:vAlign w:val="center"/>
          </w:tcPr>
          <w:p w14:paraId="1A105A63">
            <w:pPr>
              <w:pStyle w:val="34"/>
            </w:pPr>
          </w:p>
        </w:tc>
      </w:tr>
    </w:tbl>
    <w:p w14:paraId="3C46D27F">
      <w:pPr>
        <w:pStyle w:val="6"/>
        <w:spacing w:before="120" w:after="120"/>
      </w:pPr>
      <w:r>
        <w:t>施工期固体废物污染源源强</w:t>
      </w:r>
    </w:p>
    <w:p w14:paraId="040620E4">
      <w:pPr>
        <w:pStyle w:val="3"/>
        <w:ind w:firstLine="480"/>
      </w:pPr>
      <w:r>
        <w:t>施工期固体废物主要由施工建筑垃圾和施工人员产生的生活垃圾组成。</w:t>
      </w:r>
    </w:p>
    <w:p w14:paraId="7A288904">
      <w:pPr>
        <w:pStyle w:val="3"/>
        <w:ind w:firstLine="480"/>
      </w:pPr>
      <w:r>
        <w:t>（1）施工建筑垃圾</w:t>
      </w:r>
    </w:p>
    <w:p w14:paraId="001D5585">
      <w:pPr>
        <w:pStyle w:val="3"/>
        <w:ind w:firstLine="480"/>
      </w:pPr>
      <w:r>
        <w:t>本项目总建筑面积约为5041.40m</w:t>
      </w:r>
      <w:r>
        <w:rPr>
          <w:vertAlign w:val="superscript"/>
        </w:rPr>
        <w:t>2</w:t>
      </w:r>
      <w:r>
        <w:t>，在土建阶段产生碎砖、过剩混凝土等建筑垃圾，产生量为5kg/m</w:t>
      </w:r>
      <w:r>
        <w:rPr>
          <w:vertAlign w:val="superscript"/>
        </w:rPr>
        <w:t>2</w:t>
      </w:r>
      <w:r>
        <w:t>计，预计项目整个土建施工期建筑垃圾的产生量约为25.207t。主要包括砂石、石块、碎砖瓦、废木料、废金属、废钢筋等杂物，由施工单位将废金属、废钢筋等统一收集回收利用，其余建筑垃圾收集后堆放于指定地点，由施工方统一清运。</w:t>
      </w:r>
    </w:p>
    <w:p w14:paraId="0066748F">
      <w:pPr>
        <w:pStyle w:val="3"/>
        <w:ind w:firstLine="480"/>
      </w:pPr>
      <w:r>
        <w:t>（2）废弃土石方</w:t>
      </w:r>
    </w:p>
    <w:p w14:paraId="75924FFD">
      <w:pPr>
        <w:pStyle w:val="3"/>
        <w:ind w:firstLine="480"/>
      </w:pPr>
      <w:r>
        <w:t>由于本项目在施工过程中会产生弃渣，产生的弃方均为土壤；管网开挖过程中也会产生弃方，根据项目建设的规模，厂区工程地基的开挖以及排水管网的建设将产生土石方0.8万m</w:t>
      </w:r>
      <w:r>
        <w:rPr>
          <w:vertAlign w:val="superscript"/>
        </w:rPr>
        <w:t>3</w:t>
      </w:r>
      <w:r>
        <w:t>，主要集中于工程施工过程中，预计回填后产生废弃土方约0.2万m</w:t>
      </w:r>
      <w:r>
        <w:rPr>
          <w:vertAlign w:val="superscript"/>
        </w:rPr>
        <w:t>3</w:t>
      </w:r>
      <w:r>
        <w:t>，由施工单位优先用于厂区平整，剩余拉运至</w:t>
      </w:r>
      <w:bookmarkStart w:id="145" w:name="_Hlk117632908"/>
      <w:r>
        <w:t>环卫部门指定填埋场填埋处置</w:t>
      </w:r>
      <w:bookmarkEnd w:id="145"/>
      <w:r>
        <w:t>。</w:t>
      </w:r>
    </w:p>
    <w:p w14:paraId="0913946A">
      <w:pPr>
        <w:pStyle w:val="3"/>
        <w:ind w:firstLine="480"/>
      </w:pPr>
      <w:r>
        <w:t>（3）生活垃圾</w:t>
      </w:r>
    </w:p>
    <w:p w14:paraId="4F314980">
      <w:pPr>
        <w:pStyle w:val="3"/>
        <w:ind w:firstLine="480"/>
      </w:pPr>
      <w:r>
        <w:t>项目建设过程中同时施工的人员按50人计，总施工期为180d。根据《第一次全国污染源普查城镇生活源产排污系数手册》对五区3类城市中城镇居民生活垃圾产生系数的给定为0.44kg/人·d，则项目施工期生活垃圾产生量为3.96t。定点堆放，由环卫部门统一清运至运至生活垃圾填埋场填埋处置。</w:t>
      </w:r>
    </w:p>
    <w:p w14:paraId="30DD86AC">
      <w:pPr>
        <w:pStyle w:val="6"/>
        <w:spacing w:before="120" w:after="120"/>
      </w:pPr>
      <w:r>
        <w:t>施工期生态影响</w:t>
      </w:r>
    </w:p>
    <w:p w14:paraId="3D843FCA">
      <w:pPr>
        <w:pStyle w:val="3"/>
        <w:ind w:firstLine="480"/>
      </w:pPr>
      <w:r>
        <w:t>施工前进行场地平整，将会剥离一定厚度的表土，土方施工产生的表层土及剩余土方在场内进行临时贮存，极易形成新的水土流失源。施工期运输建筑材料、土方等均依托现有道路。运土车和混凝土搅拌车会增加周边道路的交通压力。</w:t>
      </w:r>
    </w:p>
    <w:p w14:paraId="158FF0EB">
      <w:pPr>
        <w:pStyle w:val="6"/>
        <w:spacing w:before="120" w:after="120"/>
      </w:pPr>
      <w:r>
        <w:t>防沙治沙影响分析与评价</w:t>
      </w:r>
    </w:p>
    <w:p w14:paraId="4E1A1441">
      <w:pPr>
        <w:pStyle w:val="3"/>
        <w:ind w:firstLine="480"/>
      </w:pPr>
      <w:r>
        <w:t>项目建设过程中对原地貌的扰动将降低项目占地范围内的土壤抗侵蚀能力，造成土地沙化；此外，由于项目地处内陆地区，风沙较大，空气干燥，加上地表植被覆盖度低，若未采取防尘网苫盖、洒水抑尘等措施，地表沙化的土壤及废土、废渣遇大风天气易产生严重的扬尘，形成沙尘天气。</w:t>
      </w:r>
    </w:p>
    <w:p w14:paraId="5987D3E2">
      <w:pPr>
        <w:pStyle w:val="5"/>
        <w:spacing w:before="120"/>
      </w:pPr>
      <w:r>
        <w:t>运营期污染源源强核算</w:t>
      </w:r>
    </w:p>
    <w:p w14:paraId="4AD86FE0">
      <w:pPr>
        <w:pStyle w:val="6"/>
        <w:spacing w:before="120" w:after="120"/>
      </w:pPr>
      <w:r>
        <w:t>运营期废气污染源源强核算</w:t>
      </w:r>
    </w:p>
    <w:p w14:paraId="6C48B7FE">
      <w:pPr>
        <w:ind w:firstLine="480"/>
        <w:jc w:val="left"/>
      </w:pPr>
      <w:bookmarkStart w:id="146" w:name="_Hlk172042697"/>
      <w:bookmarkStart w:id="147" w:name="_Hlk172047599"/>
      <w:r>
        <w:t>本项目新增入炉原料为富锰矿，新增精炼车间主要生产工艺与现有冶炼车间基本一致，本次评价相关污染物产排情况类比现有冶炼车间排放情况核算。</w:t>
      </w:r>
    </w:p>
    <w:p w14:paraId="261E98D1">
      <w:pPr>
        <w:ind w:firstLine="480"/>
        <w:jc w:val="left"/>
      </w:pPr>
      <w:r>
        <w:t>烧结工段将现有24平方米步进式烧结机更换为48平方米带式烧结机，配套废气治理设施不变，本次评价相关污染物产排情况参照现有设备排放情况及相关产排污系数手册核算。</w:t>
      </w:r>
      <w:bookmarkEnd w:id="146"/>
      <w:r>
        <w:t>技改工程新增用电部分使用厂区动力车间富余电力，剩余依托市政电网供电，本次技改工程不新增动力车间原辅材料消耗量。</w:t>
      </w:r>
    </w:p>
    <w:p w14:paraId="7ED941D2">
      <w:pPr>
        <w:pStyle w:val="3"/>
        <w:ind w:firstLine="480"/>
      </w:pPr>
      <w:bookmarkStart w:id="148" w:name="_Hlk172060667"/>
      <w:r>
        <w:t>技改工程实施后有组织排放变化情况见下表4.3-6。</w:t>
      </w:r>
    </w:p>
    <w:p w14:paraId="6FBF0275">
      <w:pPr>
        <w:pStyle w:val="40"/>
        <w:spacing w:before="120"/>
      </w:pPr>
      <w:bookmarkStart w:id="149" w:name="_Hlk176444765"/>
      <w:r>
        <w:t>表4.3-6    本项目技改前后大气污染物产排放变化情况一览表  单位：t/a</w:t>
      </w:r>
    </w:p>
    <w:tbl>
      <w:tblPr>
        <w:tblStyle w:val="44"/>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2605"/>
        <w:gridCol w:w="2268"/>
        <w:gridCol w:w="1254"/>
        <w:gridCol w:w="1284"/>
        <w:gridCol w:w="1005"/>
      </w:tblGrid>
      <w:tr w14:paraId="332C4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656" w:type="dxa"/>
            <w:vAlign w:val="center"/>
          </w:tcPr>
          <w:p w14:paraId="0DCE355F">
            <w:pPr>
              <w:pStyle w:val="41"/>
              <w:rPr>
                <w:rFonts w:ascii="Calibri" w:hAnsi="Calibri"/>
              </w:rPr>
            </w:pPr>
            <w:r>
              <w:rPr>
                <w:rFonts w:ascii="Calibri" w:hAnsi="Calibri"/>
              </w:rPr>
              <w:t>类别</w:t>
            </w:r>
          </w:p>
        </w:tc>
        <w:tc>
          <w:tcPr>
            <w:tcW w:w="2605" w:type="dxa"/>
            <w:vAlign w:val="center"/>
          </w:tcPr>
          <w:p w14:paraId="3AE24285">
            <w:pPr>
              <w:pStyle w:val="41"/>
              <w:rPr>
                <w:rFonts w:ascii="Calibri" w:hAnsi="Calibri"/>
              </w:rPr>
            </w:pPr>
            <w:r>
              <w:rPr>
                <w:rFonts w:ascii="Calibri" w:hAnsi="Calibri"/>
              </w:rPr>
              <w:t>排放源</w:t>
            </w:r>
          </w:p>
        </w:tc>
        <w:tc>
          <w:tcPr>
            <w:tcW w:w="2268" w:type="dxa"/>
            <w:vAlign w:val="center"/>
          </w:tcPr>
          <w:p w14:paraId="151ECD53">
            <w:pPr>
              <w:pStyle w:val="41"/>
              <w:rPr>
                <w:rFonts w:ascii="Calibri" w:hAnsi="Calibri"/>
              </w:rPr>
            </w:pPr>
            <w:r>
              <w:rPr>
                <w:rFonts w:ascii="Calibri" w:hAnsi="Calibri"/>
              </w:rPr>
              <w:t>污染物</w:t>
            </w:r>
          </w:p>
        </w:tc>
        <w:tc>
          <w:tcPr>
            <w:tcW w:w="1254" w:type="dxa"/>
            <w:vAlign w:val="center"/>
          </w:tcPr>
          <w:p w14:paraId="59B796EF">
            <w:pPr>
              <w:pStyle w:val="41"/>
              <w:rPr>
                <w:rFonts w:ascii="Calibri" w:hAnsi="Calibri"/>
              </w:rPr>
            </w:pPr>
            <w:r>
              <w:rPr>
                <w:rFonts w:ascii="Calibri" w:hAnsi="Calibri"/>
              </w:rPr>
              <w:t>现有工程排放量</w:t>
            </w:r>
          </w:p>
        </w:tc>
        <w:tc>
          <w:tcPr>
            <w:tcW w:w="1284" w:type="dxa"/>
            <w:vAlign w:val="center"/>
          </w:tcPr>
          <w:p w14:paraId="732627FC">
            <w:pPr>
              <w:pStyle w:val="41"/>
              <w:rPr>
                <w:rFonts w:ascii="Calibri" w:hAnsi="Calibri"/>
              </w:rPr>
            </w:pPr>
            <w:r>
              <w:rPr>
                <w:rFonts w:ascii="Calibri" w:hAnsi="Calibri"/>
              </w:rPr>
              <w:t>本次技术改造后排放量</w:t>
            </w:r>
          </w:p>
        </w:tc>
        <w:tc>
          <w:tcPr>
            <w:tcW w:w="1005" w:type="dxa"/>
            <w:noWrap/>
            <w:vAlign w:val="center"/>
          </w:tcPr>
          <w:p w14:paraId="19D8F499">
            <w:pPr>
              <w:pStyle w:val="41"/>
              <w:rPr>
                <w:rFonts w:ascii="Calibri" w:hAnsi="Calibri"/>
              </w:rPr>
            </w:pPr>
            <w:r>
              <w:rPr>
                <w:rFonts w:ascii="Calibri" w:hAnsi="Calibri"/>
              </w:rPr>
              <w:t>增减变化量</w:t>
            </w:r>
          </w:p>
        </w:tc>
      </w:tr>
      <w:tr w14:paraId="31089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restart"/>
            <w:vAlign w:val="center"/>
          </w:tcPr>
          <w:p w14:paraId="4422E4F7">
            <w:pPr>
              <w:pStyle w:val="41"/>
              <w:rPr>
                <w:rFonts w:ascii="Calibri" w:hAnsi="Calibri"/>
              </w:rPr>
            </w:pPr>
            <w:r>
              <w:rPr>
                <w:rFonts w:ascii="Calibri" w:hAnsi="Calibri"/>
              </w:rPr>
              <w:t>大气污染物</w:t>
            </w:r>
          </w:p>
        </w:tc>
        <w:tc>
          <w:tcPr>
            <w:tcW w:w="2605" w:type="dxa"/>
            <w:vMerge w:val="restart"/>
            <w:vAlign w:val="center"/>
          </w:tcPr>
          <w:p w14:paraId="09B6BF0F">
            <w:pPr>
              <w:pStyle w:val="41"/>
              <w:rPr>
                <w:rFonts w:ascii="Calibri" w:hAnsi="Calibri"/>
              </w:rPr>
            </w:pPr>
            <w:r>
              <w:rPr>
                <w:rFonts w:ascii="Calibri" w:hAnsi="Calibri"/>
              </w:rPr>
              <w:t>锅炉排放口（DA001）</w:t>
            </w:r>
          </w:p>
        </w:tc>
        <w:tc>
          <w:tcPr>
            <w:tcW w:w="2268" w:type="dxa"/>
            <w:vAlign w:val="center"/>
          </w:tcPr>
          <w:p w14:paraId="42CC686F">
            <w:pPr>
              <w:pStyle w:val="41"/>
              <w:rPr>
                <w:rFonts w:ascii="Calibri" w:hAnsi="Calibri"/>
              </w:rPr>
            </w:pPr>
            <w:r>
              <w:rPr>
                <w:rFonts w:ascii="Calibri" w:hAnsi="Calibri" w:eastAsia="Times New Roman"/>
                <w:spacing w:val="-5"/>
                <w:lang w:eastAsia="en-US"/>
              </w:rPr>
              <w:t>SO</w:t>
            </w:r>
            <w:r>
              <w:rPr>
                <w:rFonts w:ascii="Calibri" w:hAnsi="Calibri" w:eastAsia="Times New Roman"/>
                <w:spacing w:val="-5"/>
                <w:position w:val="-2"/>
                <w:sz w:val="14"/>
                <w:szCs w:val="14"/>
                <w:lang w:eastAsia="en-US"/>
              </w:rPr>
              <w:t>2</w:t>
            </w:r>
          </w:p>
        </w:tc>
        <w:tc>
          <w:tcPr>
            <w:tcW w:w="1254" w:type="dxa"/>
            <w:vAlign w:val="center"/>
          </w:tcPr>
          <w:p w14:paraId="36CF36D4">
            <w:pPr>
              <w:pStyle w:val="41"/>
              <w:rPr>
                <w:rFonts w:ascii="Calibri" w:hAnsi="Calibri"/>
              </w:rPr>
            </w:pPr>
            <w:r>
              <w:rPr>
                <w:rFonts w:ascii="Calibri" w:hAnsi="Calibri"/>
                <w:color w:val="000000"/>
                <w:sz w:val="22"/>
                <w:szCs w:val="22"/>
              </w:rPr>
              <w:t>1.798</w:t>
            </w:r>
          </w:p>
        </w:tc>
        <w:tc>
          <w:tcPr>
            <w:tcW w:w="1284" w:type="dxa"/>
            <w:vAlign w:val="center"/>
          </w:tcPr>
          <w:p w14:paraId="467727F3">
            <w:pPr>
              <w:pStyle w:val="41"/>
              <w:rPr>
                <w:rFonts w:ascii="Calibri" w:hAnsi="Calibri"/>
              </w:rPr>
            </w:pPr>
            <w:r>
              <w:rPr>
                <w:rFonts w:ascii="Calibri" w:hAnsi="Calibri"/>
                <w:color w:val="000000"/>
                <w:sz w:val="22"/>
                <w:szCs w:val="22"/>
              </w:rPr>
              <w:t>1.798</w:t>
            </w:r>
          </w:p>
        </w:tc>
        <w:tc>
          <w:tcPr>
            <w:tcW w:w="1005" w:type="dxa"/>
            <w:noWrap/>
            <w:vAlign w:val="center"/>
          </w:tcPr>
          <w:p w14:paraId="6444734F">
            <w:pPr>
              <w:pStyle w:val="41"/>
              <w:rPr>
                <w:rFonts w:ascii="Calibri" w:hAnsi="Calibri"/>
              </w:rPr>
            </w:pPr>
            <w:r>
              <w:rPr>
                <w:rFonts w:ascii="Calibri" w:hAnsi="Calibri"/>
                <w:color w:val="000000"/>
              </w:rPr>
              <w:t>0</w:t>
            </w:r>
          </w:p>
        </w:tc>
      </w:tr>
      <w:tr w14:paraId="55E84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32621B4F">
            <w:pPr>
              <w:pStyle w:val="41"/>
              <w:rPr>
                <w:rFonts w:ascii="Calibri" w:hAnsi="Calibri"/>
              </w:rPr>
            </w:pPr>
          </w:p>
        </w:tc>
        <w:tc>
          <w:tcPr>
            <w:tcW w:w="2605" w:type="dxa"/>
            <w:vMerge w:val="continue"/>
            <w:vAlign w:val="center"/>
          </w:tcPr>
          <w:p w14:paraId="78BE628A">
            <w:pPr>
              <w:pStyle w:val="41"/>
              <w:rPr>
                <w:rFonts w:ascii="Calibri" w:hAnsi="Calibri"/>
              </w:rPr>
            </w:pPr>
          </w:p>
        </w:tc>
        <w:tc>
          <w:tcPr>
            <w:tcW w:w="2268" w:type="dxa"/>
            <w:vAlign w:val="center"/>
          </w:tcPr>
          <w:p w14:paraId="3AD734DB">
            <w:pPr>
              <w:pStyle w:val="41"/>
              <w:rPr>
                <w:rFonts w:ascii="Calibri" w:hAnsi="Calibri"/>
              </w:rPr>
            </w:pPr>
            <w:r>
              <w:rPr>
                <w:rFonts w:ascii="Calibri" w:hAnsi="Calibri" w:eastAsia="Times New Roman"/>
                <w:lang w:eastAsia="en-US"/>
              </w:rPr>
              <w:t>NO</w:t>
            </w:r>
            <w:r>
              <w:rPr>
                <w:rFonts w:ascii="Calibri" w:hAnsi="Calibri" w:eastAsia="Times New Roman"/>
                <w:position w:val="-2"/>
                <w:sz w:val="14"/>
                <w:szCs w:val="14"/>
                <w:lang w:eastAsia="en-US"/>
              </w:rPr>
              <w:t>X</w:t>
            </w:r>
          </w:p>
        </w:tc>
        <w:tc>
          <w:tcPr>
            <w:tcW w:w="1254" w:type="dxa"/>
            <w:vAlign w:val="center"/>
          </w:tcPr>
          <w:p w14:paraId="6D137E9C">
            <w:pPr>
              <w:pStyle w:val="41"/>
              <w:rPr>
                <w:rFonts w:ascii="Calibri" w:hAnsi="Calibri"/>
              </w:rPr>
            </w:pPr>
            <w:r>
              <w:rPr>
                <w:rFonts w:ascii="Calibri" w:hAnsi="Calibri"/>
                <w:color w:val="000000"/>
                <w:sz w:val="22"/>
                <w:szCs w:val="22"/>
              </w:rPr>
              <w:t>40.402</w:t>
            </w:r>
          </w:p>
        </w:tc>
        <w:tc>
          <w:tcPr>
            <w:tcW w:w="1284" w:type="dxa"/>
            <w:vAlign w:val="center"/>
          </w:tcPr>
          <w:p w14:paraId="1FED2AB3">
            <w:pPr>
              <w:pStyle w:val="41"/>
              <w:rPr>
                <w:rFonts w:ascii="Calibri" w:hAnsi="Calibri"/>
              </w:rPr>
            </w:pPr>
            <w:r>
              <w:rPr>
                <w:rFonts w:ascii="Calibri" w:hAnsi="Calibri"/>
                <w:color w:val="000000"/>
                <w:sz w:val="22"/>
                <w:szCs w:val="22"/>
              </w:rPr>
              <w:t>40.402</w:t>
            </w:r>
          </w:p>
        </w:tc>
        <w:tc>
          <w:tcPr>
            <w:tcW w:w="1005" w:type="dxa"/>
            <w:noWrap/>
            <w:vAlign w:val="center"/>
          </w:tcPr>
          <w:p w14:paraId="688BCA99">
            <w:pPr>
              <w:pStyle w:val="41"/>
              <w:rPr>
                <w:rFonts w:ascii="Calibri" w:hAnsi="Calibri"/>
              </w:rPr>
            </w:pPr>
            <w:r>
              <w:rPr>
                <w:rFonts w:ascii="Calibri" w:hAnsi="Calibri"/>
                <w:color w:val="000000"/>
              </w:rPr>
              <w:t>0</w:t>
            </w:r>
          </w:p>
        </w:tc>
      </w:tr>
      <w:tr w14:paraId="1D22D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4B8ECC19">
            <w:pPr>
              <w:pStyle w:val="41"/>
              <w:rPr>
                <w:rFonts w:ascii="Calibri" w:hAnsi="Calibri"/>
              </w:rPr>
            </w:pPr>
          </w:p>
        </w:tc>
        <w:tc>
          <w:tcPr>
            <w:tcW w:w="2605" w:type="dxa"/>
            <w:vMerge w:val="continue"/>
            <w:vAlign w:val="center"/>
          </w:tcPr>
          <w:p w14:paraId="4038B3CC">
            <w:pPr>
              <w:pStyle w:val="41"/>
              <w:rPr>
                <w:rFonts w:ascii="Calibri" w:hAnsi="Calibri"/>
              </w:rPr>
            </w:pPr>
          </w:p>
        </w:tc>
        <w:tc>
          <w:tcPr>
            <w:tcW w:w="2268" w:type="dxa"/>
            <w:vAlign w:val="center"/>
          </w:tcPr>
          <w:p w14:paraId="5A567558">
            <w:pPr>
              <w:pStyle w:val="41"/>
              <w:rPr>
                <w:rFonts w:ascii="Calibri" w:hAnsi="Calibri"/>
              </w:rPr>
            </w:pPr>
            <w:r>
              <w:rPr>
                <w:rFonts w:ascii="Calibri" w:hAnsi="Calibri"/>
                <w:spacing w:val="-2"/>
                <w:lang w:eastAsia="en-US"/>
              </w:rPr>
              <w:t>颗粒物</w:t>
            </w:r>
          </w:p>
        </w:tc>
        <w:tc>
          <w:tcPr>
            <w:tcW w:w="1254" w:type="dxa"/>
            <w:vAlign w:val="center"/>
          </w:tcPr>
          <w:p w14:paraId="41E0A1D0">
            <w:pPr>
              <w:pStyle w:val="41"/>
              <w:rPr>
                <w:rFonts w:ascii="Calibri" w:hAnsi="Calibri"/>
              </w:rPr>
            </w:pPr>
            <w:r>
              <w:rPr>
                <w:rFonts w:ascii="Calibri" w:hAnsi="Calibri"/>
                <w:color w:val="000000"/>
                <w:sz w:val="22"/>
                <w:szCs w:val="22"/>
              </w:rPr>
              <w:t>11.224</w:t>
            </w:r>
          </w:p>
        </w:tc>
        <w:tc>
          <w:tcPr>
            <w:tcW w:w="1284" w:type="dxa"/>
            <w:vAlign w:val="center"/>
          </w:tcPr>
          <w:p w14:paraId="61AC712B">
            <w:pPr>
              <w:pStyle w:val="41"/>
              <w:rPr>
                <w:rFonts w:ascii="Calibri" w:hAnsi="Calibri"/>
              </w:rPr>
            </w:pPr>
            <w:r>
              <w:rPr>
                <w:rFonts w:ascii="Calibri" w:hAnsi="Calibri"/>
                <w:color w:val="000000"/>
                <w:sz w:val="22"/>
                <w:szCs w:val="22"/>
              </w:rPr>
              <w:t>11.224</w:t>
            </w:r>
          </w:p>
        </w:tc>
        <w:tc>
          <w:tcPr>
            <w:tcW w:w="1005" w:type="dxa"/>
            <w:noWrap/>
            <w:vAlign w:val="center"/>
          </w:tcPr>
          <w:p w14:paraId="2F7E58D6">
            <w:pPr>
              <w:pStyle w:val="41"/>
              <w:rPr>
                <w:rFonts w:ascii="Calibri" w:hAnsi="Calibri"/>
              </w:rPr>
            </w:pPr>
            <w:r>
              <w:rPr>
                <w:rFonts w:ascii="Calibri" w:hAnsi="Calibri"/>
                <w:color w:val="000000"/>
              </w:rPr>
              <w:t>0</w:t>
            </w:r>
          </w:p>
        </w:tc>
      </w:tr>
      <w:tr w14:paraId="6BFA7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5CC130F9">
            <w:pPr>
              <w:pStyle w:val="41"/>
              <w:rPr>
                <w:rFonts w:ascii="Calibri" w:hAnsi="Calibri"/>
              </w:rPr>
            </w:pPr>
          </w:p>
        </w:tc>
        <w:tc>
          <w:tcPr>
            <w:tcW w:w="2605" w:type="dxa"/>
            <w:vMerge w:val="continue"/>
            <w:vAlign w:val="center"/>
          </w:tcPr>
          <w:p w14:paraId="7A80B6EA">
            <w:pPr>
              <w:pStyle w:val="41"/>
              <w:rPr>
                <w:rFonts w:ascii="Calibri" w:hAnsi="Calibri"/>
              </w:rPr>
            </w:pPr>
          </w:p>
        </w:tc>
        <w:tc>
          <w:tcPr>
            <w:tcW w:w="2268" w:type="dxa"/>
            <w:vAlign w:val="center"/>
          </w:tcPr>
          <w:p w14:paraId="36F635E1">
            <w:pPr>
              <w:pStyle w:val="41"/>
              <w:rPr>
                <w:rFonts w:ascii="Calibri" w:hAnsi="Calibri"/>
              </w:rPr>
            </w:pPr>
            <w:r>
              <w:rPr>
                <w:rFonts w:ascii="Calibri" w:hAnsi="Calibri"/>
                <w:lang w:eastAsia="en-US"/>
              </w:rPr>
              <w:t>汞及其化合物</w:t>
            </w:r>
          </w:p>
        </w:tc>
        <w:tc>
          <w:tcPr>
            <w:tcW w:w="1254" w:type="dxa"/>
            <w:vAlign w:val="center"/>
          </w:tcPr>
          <w:p w14:paraId="1E7DD0C8">
            <w:pPr>
              <w:pStyle w:val="41"/>
              <w:rPr>
                <w:rFonts w:ascii="Calibri" w:hAnsi="Calibri"/>
              </w:rPr>
            </w:pPr>
            <w:r>
              <w:rPr>
                <w:rFonts w:ascii="Calibri" w:hAnsi="Calibri"/>
                <w:color w:val="000000"/>
                <w:sz w:val="22"/>
                <w:szCs w:val="22"/>
              </w:rPr>
              <w:t>0.005</w:t>
            </w:r>
          </w:p>
        </w:tc>
        <w:tc>
          <w:tcPr>
            <w:tcW w:w="1284" w:type="dxa"/>
            <w:vAlign w:val="center"/>
          </w:tcPr>
          <w:p w14:paraId="5BBF4C8A">
            <w:pPr>
              <w:pStyle w:val="41"/>
              <w:rPr>
                <w:rFonts w:ascii="Calibri" w:hAnsi="Calibri"/>
              </w:rPr>
            </w:pPr>
            <w:r>
              <w:rPr>
                <w:rFonts w:ascii="Calibri" w:hAnsi="Calibri"/>
                <w:color w:val="000000"/>
                <w:sz w:val="22"/>
                <w:szCs w:val="22"/>
              </w:rPr>
              <w:t>0.005</w:t>
            </w:r>
          </w:p>
        </w:tc>
        <w:tc>
          <w:tcPr>
            <w:tcW w:w="1005" w:type="dxa"/>
            <w:noWrap/>
            <w:vAlign w:val="center"/>
          </w:tcPr>
          <w:p w14:paraId="54E839B3">
            <w:pPr>
              <w:pStyle w:val="41"/>
              <w:rPr>
                <w:rFonts w:ascii="Calibri" w:hAnsi="Calibri"/>
              </w:rPr>
            </w:pPr>
            <w:r>
              <w:rPr>
                <w:rFonts w:ascii="Calibri" w:hAnsi="Calibri"/>
                <w:color w:val="000000"/>
              </w:rPr>
              <w:t>0</w:t>
            </w:r>
          </w:p>
        </w:tc>
      </w:tr>
      <w:tr w14:paraId="311B3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023294AD">
            <w:pPr>
              <w:pStyle w:val="41"/>
              <w:rPr>
                <w:rFonts w:ascii="Calibri" w:hAnsi="Calibri"/>
              </w:rPr>
            </w:pPr>
          </w:p>
        </w:tc>
        <w:tc>
          <w:tcPr>
            <w:tcW w:w="2605" w:type="dxa"/>
            <w:vMerge w:val="continue"/>
            <w:vAlign w:val="center"/>
          </w:tcPr>
          <w:p w14:paraId="697E5257">
            <w:pPr>
              <w:pStyle w:val="41"/>
              <w:rPr>
                <w:rFonts w:ascii="Calibri" w:hAnsi="Calibri"/>
              </w:rPr>
            </w:pPr>
          </w:p>
        </w:tc>
        <w:tc>
          <w:tcPr>
            <w:tcW w:w="2268" w:type="dxa"/>
            <w:vAlign w:val="center"/>
          </w:tcPr>
          <w:p w14:paraId="2E29B4DE">
            <w:pPr>
              <w:pStyle w:val="41"/>
              <w:rPr>
                <w:rFonts w:ascii="Calibri" w:hAnsi="Calibri"/>
              </w:rPr>
            </w:pPr>
            <w:r>
              <w:rPr>
                <w:rFonts w:ascii="Calibri" w:hAnsi="Calibri"/>
              </w:rPr>
              <w:t>氨</w:t>
            </w:r>
          </w:p>
        </w:tc>
        <w:tc>
          <w:tcPr>
            <w:tcW w:w="1254" w:type="dxa"/>
            <w:vAlign w:val="center"/>
          </w:tcPr>
          <w:p w14:paraId="110C6A4A">
            <w:pPr>
              <w:pStyle w:val="41"/>
              <w:rPr>
                <w:rFonts w:ascii="Calibri" w:hAnsi="Calibri"/>
              </w:rPr>
            </w:pPr>
            <w:r>
              <w:rPr>
                <w:rFonts w:ascii="Calibri" w:hAnsi="Calibri"/>
                <w:color w:val="000000"/>
                <w:sz w:val="22"/>
                <w:szCs w:val="22"/>
              </w:rPr>
              <w:t>2.235</w:t>
            </w:r>
          </w:p>
        </w:tc>
        <w:tc>
          <w:tcPr>
            <w:tcW w:w="1284" w:type="dxa"/>
            <w:vAlign w:val="center"/>
          </w:tcPr>
          <w:p w14:paraId="245650DB">
            <w:pPr>
              <w:pStyle w:val="41"/>
              <w:rPr>
                <w:rFonts w:ascii="Calibri" w:hAnsi="Calibri"/>
              </w:rPr>
            </w:pPr>
            <w:r>
              <w:rPr>
                <w:rFonts w:ascii="Calibri" w:hAnsi="Calibri"/>
                <w:color w:val="000000"/>
                <w:sz w:val="22"/>
                <w:szCs w:val="22"/>
              </w:rPr>
              <w:t>2.235</w:t>
            </w:r>
          </w:p>
        </w:tc>
        <w:tc>
          <w:tcPr>
            <w:tcW w:w="1005" w:type="dxa"/>
            <w:noWrap/>
            <w:vAlign w:val="center"/>
          </w:tcPr>
          <w:p w14:paraId="1E68AF56">
            <w:pPr>
              <w:pStyle w:val="41"/>
              <w:rPr>
                <w:rFonts w:ascii="Calibri" w:hAnsi="Calibri"/>
              </w:rPr>
            </w:pPr>
            <w:r>
              <w:rPr>
                <w:rFonts w:ascii="Calibri" w:hAnsi="Calibri"/>
                <w:color w:val="000000"/>
              </w:rPr>
              <w:t>0</w:t>
            </w:r>
          </w:p>
        </w:tc>
      </w:tr>
      <w:tr w14:paraId="20B10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6" w:type="dxa"/>
            <w:vMerge w:val="continue"/>
            <w:vAlign w:val="center"/>
          </w:tcPr>
          <w:p w14:paraId="7D3B658F">
            <w:pPr>
              <w:pStyle w:val="41"/>
              <w:rPr>
                <w:rFonts w:ascii="Calibri" w:hAnsi="Calibri"/>
              </w:rPr>
            </w:pPr>
          </w:p>
        </w:tc>
        <w:tc>
          <w:tcPr>
            <w:tcW w:w="2605" w:type="dxa"/>
            <w:vMerge w:val="restart"/>
            <w:vAlign w:val="center"/>
          </w:tcPr>
          <w:p w14:paraId="6AB423F2">
            <w:pPr>
              <w:pStyle w:val="41"/>
              <w:rPr>
                <w:rFonts w:ascii="Calibri" w:hAnsi="Calibri"/>
              </w:rPr>
            </w:pPr>
            <w:r>
              <w:rPr>
                <w:rFonts w:ascii="Calibri" w:hAnsi="Calibri"/>
              </w:rPr>
              <w:t>烧结废气排放口（DA002）</w:t>
            </w:r>
          </w:p>
        </w:tc>
        <w:tc>
          <w:tcPr>
            <w:tcW w:w="2268" w:type="dxa"/>
            <w:vAlign w:val="center"/>
          </w:tcPr>
          <w:p w14:paraId="1BD3E4A4">
            <w:pPr>
              <w:pStyle w:val="41"/>
              <w:rPr>
                <w:rFonts w:ascii="Calibri" w:hAnsi="Calibri"/>
              </w:rPr>
            </w:pPr>
            <w:r>
              <w:rPr>
                <w:rFonts w:ascii="Calibri" w:hAnsi="Calibri"/>
              </w:rPr>
              <w:t>颗粒物</w:t>
            </w:r>
          </w:p>
        </w:tc>
        <w:tc>
          <w:tcPr>
            <w:tcW w:w="1254" w:type="dxa"/>
            <w:vAlign w:val="center"/>
          </w:tcPr>
          <w:p w14:paraId="2AF7265F">
            <w:pPr>
              <w:pStyle w:val="41"/>
              <w:rPr>
                <w:rFonts w:ascii="Calibri" w:hAnsi="Calibri"/>
              </w:rPr>
            </w:pPr>
            <w:r>
              <w:rPr>
                <w:rFonts w:ascii="Calibri" w:hAnsi="Calibri"/>
                <w:color w:val="000000"/>
              </w:rPr>
              <w:t>0</w:t>
            </w:r>
          </w:p>
        </w:tc>
        <w:tc>
          <w:tcPr>
            <w:tcW w:w="1284" w:type="dxa"/>
            <w:vAlign w:val="center"/>
          </w:tcPr>
          <w:p w14:paraId="6687C63A">
            <w:pPr>
              <w:pStyle w:val="41"/>
              <w:rPr>
                <w:rFonts w:ascii="Calibri" w:hAnsi="Calibri"/>
              </w:rPr>
            </w:pPr>
            <w:r>
              <w:rPr>
                <w:rFonts w:ascii="Calibri" w:hAnsi="Calibri"/>
                <w:color w:val="000000"/>
              </w:rPr>
              <w:t>3.802</w:t>
            </w:r>
          </w:p>
        </w:tc>
        <w:tc>
          <w:tcPr>
            <w:tcW w:w="1005" w:type="dxa"/>
            <w:noWrap/>
            <w:vAlign w:val="center"/>
          </w:tcPr>
          <w:p w14:paraId="01CC965C">
            <w:pPr>
              <w:pStyle w:val="41"/>
              <w:rPr>
                <w:rFonts w:ascii="Calibri" w:hAnsi="Calibri"/>
              </w:rPr>
            </w:pPr>
            <w:r>
              <w:rPr>
                <w:rFonts w:ascii="Calibri" w:hAnsi="Calibri"/>
                <w:color w:val="000000"/>
              </w:rPr>
              <w:t>+3.802</w:t>
            </w:r>
          </w:p>
        </w:tc>
      </w:tr>
      <w:tr w14:paraId="6B771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6" w:type="dxa"/>
            <w:vMerge w:val="continue"/>
            <w:vAlign w:val="center"/>
          </w:tcPr>
          <w:p w14:paraId="41930FD9">
            <w:pPr>
              <w:pStyle w:val="41"/>
              <w:rPr>
                <w:rFonts w:ascii="Calibri" w:hAnsi="Calibri"/>
              </w:rPr>
            </w:pPr>
          </w:p>
        </w:tc>
        <w:tc>
          <w:tcPr>
            <w:tcW w:w="2605" w:type="dxa"/>
            <w:vMerge w:val="continue"/>
            <w:vAlign w:val="center"/>
          </w:tcPr>
          <w:p w14:paraId="41D3D6D7">
            <w:pPr>
              <w:pStyle w:val="41"/>
              <w:rPr>
                <w:rFonts w:ascii="Calibri" w:hAnsi="Calibri"/>
              </w:rPr>
            </w:pPr>
          </w:p>
        </w:tc>
        <w:tc>
          <w:tcPr>
            <w:tcW w:w="2268" w:type="dxa"/>
            <w:vAlign w:val="center"/>
          </w:tcPr>
          <w:p w14:paraId="76E5DC3B">
            <w:pPr>
              <w:pStyle w:val="41"/>
              <w:rPr>
                <w:rFonts w:ascii="Calibri" w:hAnsi="Calibri"/>
              </w:rPr>
            </w:pPr>
            <w:r>
              <w:rPr>
                <w:rFonts w:ascii="Calibri" w:hAnsi="Calibri"/>
              </w:rPr>
              <w:t>SO</w:t>
            </w:r>
            <w:r>
              <w:rPr>
                <w:rFonts w:ascii="Calibri" w:hAnsi="Calibri"/>
                <w:vertAlign w:val="subscript"/>
              </w:rPr>
              <w:t>2</w:t>
            </w:r>
          </w:p>
        </w:tc>
        <w:tc>
          <w:tcPr>
            <w:tcW w:w="1254" w:type="dxa"/>
            <w:vAlign w:val="center"/>
          </w:tcPr>
          <w:p w14:paraId="6B3EB360">
            <w:pPr>
              <w:pStyle w:val="41"/>
              <w:rPr>
                <w:rFonts w:ascii="Calibri" w:hAnsi="Calibri"/>
              </w:rPr>
            </w:pPr>
            <w:r>
              <w:rPr>
                <w:rFonts w:ascii="Calibri" w:hAnsi="Calibri"/>
                <w:color w:val="000000"/>
              </w:rPr>
              <w:t>0</w:t>
            </w:r>
          </w:p>
        </w:tc>
        <w:tc>
          <w:tcPr>
            <w:tcW w:w="1284" w:type="dxa"/>
            <w:vAlign w:val="center"/>
          </w:tcPr>
          <w:p w14:paraId="5F745219">
            <w:pPr>
              <w:pStyle w:val="41"/>
              <w:rPr>
                <w:rFonts w:ascii="Calibri" w:hAnsi="Calibri"/>
              </w:rPr>
            </w:pPr>
            <w:r>
              <w:rPr>
                <w:rFonts w:ascii="Calibri" w:hAnsi="Calibri"/>
                <w:color w:val="000000"/>
              </w:rPr>
              <w:t>19.008</w:t>
            </w:r>
          </w:p>
        </w:tc>
        <w:tc>
          <w:tcPr>
            <w:tcW w:w="1005" w:type="dxa"/>
            <w:noWrap/>
            <w:vAlign w:val="center"/>
          </w:tcPr>
          <w:p w14:paraId="0C7E7C66">
            <w:pPr>
              <w:pStyle w:val="41"/>
              <w:rPr>
                <w:rFonts w:ascii="Calibri" w:hAnsi="Calibri"/>
              </w:rPr>
            </w:pPr>
            <w:r>
              <w:rPr>
                <w:rFonts w:ascii="Calibri" w:hAnsi="Calibri"/>
                <w:color w:val="000000"/>
              </w:rPr>
              <w:t>+19.008</w:t>
            </w:r>
          </w:p>
        </w:tc>
      </w:tr>
      <w:tr w14:paraId="771AD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53B116FF">
            <w:pPr>
              <w:pStyle w:val="41"/>
              <w:rPr>
                <w:rFonts w:ascii="Calibri" w:hAnsi="Calibri"/>
              </w:rPr>
            </w:pPr>
          </w:p>
        </w:tc>
        <w:tc>
          <w:tcPr>
            <w:tcW w:w="2605" w:type="dxa"/>
            <w:vMerge w:val="continue"/>
            <w:vAlign w:val="center"/>
          </w:tcPr>
          <w:p w14:paraId="4BCC0F3A">
            <w:pPr>
              <w:pStyle w:val="41"/>
              <w:rPr>
                <w:rFonts w:ascii="Calibri" w:hAnsi="Calibri"/>
              </w:rPr>
            </w:pPr>
          </w:p>
        </w:tc>
        <w:tc>
          <w:tcPr>
            <w:tcW w:w="2268" w:type="dxa"/>
            <w:vAlign w:val="center"/>
          </w:tcPr>
          <w:p w14:paraId="6E70EEB2">
            <w:pPr>
              <w:pStyle w:val="41"/>
              <w:rPr>
                <w:rFonts w:ascii="Calibri" w:hAnsi="Calibri"/>
              </w:rPr>
            </w:pPr>
            <w:r>
              <w:rPr>
                <w:rFonts w:ascii="Calibri" w:hAnsi="Calibri"/>
              </w:rPr>
              <w:t>NOx</w:t>
            </w:r>
          </w:p>
        </w:tc>
        <w:tc>
          <w:tcPr>
            <w:tcW w:w="1254" w:type="dxa"/>
            <w:vAlign w:val="center"/>
          </w:tcPr>
          <w:p w14:paraId="7D821F91">
            <w:pPr>
              <w:pStyle w:val="41"/>
              <w:rPr>
                <w:rFonts w:ascii="Calibri" w:hAnsi="Calibri"/>
              </w:rPr>
            </w:pPr>
            <w:r>
              <w:rPr>
                <w:rFonts w:ascii="Calibri" w:hAnsi="Calibri"/>
                <w:color w:val="000000"/>
              </w:rPr>
              <w:t>0</w:t>
            </w:r>
          </w:p>
        </w:tc>
        <w:tc>
          <w:tcPr>
            <w:tcW w:w="1284" w:type="dxa"/>
            <w:vAlign w:val="center"/>
          </w:tcPr>
          <w:p w14:paraId="0401F617">
            <w:pPr>
              <w:pStyle w:val="41"/>
              <w:rPr>
                <w:rFonts w:ascii="Calibri" w:hAnsi="Calibri"/>
              </w:rPr>
            </w:pPr>
            <w:r>
              <w:rPr>
                <w:rFonts w:ascii="Calibri" w:hAnsi="Calibri"/>
                <w:color w:val="000000"/>
              </w:rPr>
              <w:t>42.768</w:t>
            </w:r>
          </w:p>
        </w:tc>
        <w:tc>
          <w:tcPr>
            <w:tcW w:w="1005" w:type="dxa"/>
            <w:noWrap/>
            <w:vAlign w:val="center"/>
          </w:tcPr>
          <w:p w14:paraId="5A4A7FEF">
            <w:pPr>
              <w:pStyle w:val="41"/>
              <w:rPr>
                <w:rFonts w:ascii="Calibri" w:hAnsi="Calibri"/>
              </w:rPr>
            </w:pPr>
            <w:r>
              <w:rPr>
                <w:rFonts w:ascii="Calibri" w:hAnsi="Calibri"/>
                <w:color w:val="000000"/>
              </w:rPr>
              <w:t>+42.768</w:t>
            </w:r>
          </w:p>
        </w:tc>
      </w:tr>
      <w:tr w14:paraId="0BB7F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5C47CDCC">
            <w:pPr>
              <w:pStyle w:val="41"/>
              <w:rPr>
                <w:rFonts w:ascii="Calibri" w:hAnsi="Calibri"/>
              </w:rPr>
            </w:pPr>
          </w:p>
        </w:tc>
        <w:tc>
          <w:tcPr>
            <w:tcW w:w="2605" w:type="dxa"/>
            <w:vMerge w:val="continue"/>
            <w:vAlign w:val="center"/>
          </w:tcPr>
          <w:p w14:paraId="49AEEC4B">
            <w:pPr>
              <w:pStyle w:val="41"/>
              <w:rPr>
                <w:rFonts w:ascii="Calibri" w:hAnsi="Calibri"/>
              </w:rPr>
            </w:pPr>
          </w:p>
        </w:tc>
        <w:tc>
          <w:tcPr>
            <w:tcW w:w="2268" w:type="dxa"/>
            <w:vAlign w:val="center"/>
          </w:tcPr>
          <w:p w14:paraId="56ABC346">
            <w:pPr>
              <w:pStyle w:val="41"/>
              <w:rPr>
                <w:rFonts w:ascii="Calibri" w:hAnsi="Calibri"/>
              </w:rPr>
            </w:pPr>
            <w:r>
              <w:rPr>
                <w:rFonts w:ascii="Calibri" w:hAnsi="Calibri"/>
              </w:rPr>
              <w:t>氟化物</w:t>
            </w:r>
          </w:p>
        </w:tc>
        <w:tc>
          <w:tcPr>
            <w:tcW w:w="1254" w:type="dxa"/>
            <w:vAlign w:val="center"/>
          </w:tcPr>
          <w:p w14:paraId="166F3FF4">
            <w:pPr>
              <w:pStyle w:val="41"/>
              <w:rPr>
                <w:rFonts w:ascii="Calibri" w:hAnsi="Calibri"/>
              </w:rPr>
            </w:pPr>
            <w:r>
              <w:rPr>
                <w:rFonts w:ascii="Calibri" w:hAnsi="Calibri"/>
                <w:color w:val="000000"/>
              </w:rPr>
              <w:t>0</w:t>
            </w:r>
          </w:p>
        </w:tc>
        <w:tc>
          <w:tcPr>
            <w:tcW w:w="1284" w:type="dxa"/>
            <w:vAlign w:val="center"/>
          </w:tcPr>
          <w:p w14:paraId="44F54038">
            <w:pPr>
              <w:pStyle w:val="41"/>
              <w:rPr>
                <w:rFonts w:ascii="Calibri" w:hAnsi="Calibri"/>
              </w:rPr>
            </w:pPr>
            <w:r>
              <w:rPr>
                <w:rFonts w:ascii="Calibri" w:hAnsi="Calibri"/>
                <w:color w:val="000000"/>
              </w:rPr>
              <w:t>0.0114</w:t>
            </w:r>
          </w:p>
        </w:tc>
        <w:tc>
          <w:tcPr>
            <w:tcW w:w="1005" w:type="dxa"/>
            <w:noWrap/>
            <w:vAlign w:val="center"/>
          </w:tcPr>
          <w:p w14:paraId="0FAD7040">
            <w:pPr>
              <w:pStyle w:val="41"/>
              <w:rPr>
                <w:rFonts w:ascii="Calibri" w:hAnsi="Calibri"/>
              </w:rPr>
            </w:pPr>
            <w:r>
              <w:rPr>
                <w:rFonts w:ascii="Calibri" w:hAnsi="Calibri"/>
                <w:color w:val="000000"/>
              </w:rPr>
              <w:t>+0.0114</w:t>
            </w:r>
          </w:p>
        </w:tc>
      </w:tr>
      <w:tr w14:paraId="0BC32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2C1D631D">
            <w:pPr>
              <w:pStyle w:val="41"/>
              <w:rPr>
                <w:rFonts w:ascii="Calibri" w:hAnsi="Calibri"/>
              </w:rPr>
            </w:pPr>
          </w:p>
        </w:tc>
        <w:tc>
          <w:tcPr>
            <w:tcW w:w="2605" w:type="dxa"/>
            <w:vMerge w:val="continue"/>
            <w:vAlign w:val="center"/>
          </w:tcPr>
          <w:p w14:paraId="7E7024CD">
            <w:pPr>
              <w:pStyle w:val="41"/>
              <w:rPr>
                <w:rFonts w:ascii="Calibri" w:hAnsi="Calibri"/>
              </w:rPr>
            </w:pPr>
          </w:p>
        </w:tc>
        <w:tc>
          <w:tcPr>
            <w:tcW w:w="2268" w:type="dxa"/>
            <w:vAlign w:val="center"/>
          </w:tcPr>
          <w:p w14:paraId="2F40C170">
            <w:pPr>
              <w:pStyle w:val="41"/>
              <w:rPr>
                <w:rFonts w:ascii="Calibri" w:hAnsi="Calibri"/>
              </w:rPr>
            </w:pPr>
            <w:r>
              <w:rPr>
                <w:rFonts w:ascii="Calibri" w:hAnsi="Calibri"/>
              </w:rPr>
              <w:t>二噁英类</w:t>
            </w:r>
            <w:r>
              <w:rPr>
                <w:rFonts w:ascii="Calibri" w:hAnsi="Calibri" w:eastAsiaTheme="minorEastAsia"/>
                <w:kern w:val="0"/>
              </w:rPr>
              <w:t>（gTEQ/a）</w:t>
            </w:r>
          </w:p>
        </w:tc>
        <w:tc>
          <w:tcPr>
            <w:tcW w:w="1254" w:type="dxa"/>
            <w:vAlign w:val="center"/>
          </w:tcPr>
          <w:p w14:paraId="6249ADFE">
            <w:pPr>
              <w:pStyle w:val="41"/>
              <w:rPr>
                <w:rFonts w:ascii="Calibri" w:hAnsi="Calibri"/>
              </w:rPr>
            </w:pPr>
            <w:r>
              <w:rPr>
                <w:rFonts w:ascii="Calibri" w:hAnsi="Calibri"/>
                <w:color w:val="000000"/>
              </w:rPr>
              <w:t>0</w:t>
            </w:r>
          </w:p>
        </w:tc>
        <w:tc>
          <w:tcPr>
            <w:tcW w:w="1284" w:type="dxa"/>
            <w:vAlign w:val="center"/>
          </w:tcPr>
          <w:p w14:paraId="3FA4CDFA">
            <w:pPr>
              <w:pStyle w:val="41"/>
              <w:rPr>
                <w:rFonts w:ascii="Calibri" w:hAnsi="Calibri"/>
              </w:rPr>
            </w:pPr>
            <w:r>
              <w:rPr>
                <w:rFonts w:ascii="Calibri" w:hAnsi="Calibri"/>
                <w:color w:val="000000"/>
              </w:rPr>
              <w:t>0.4277</w:t>
            </w:r>
          </w:p>
        </w:tc>
        <w:tc>
          <w:tcPr>
            <w:tcW w:w="1005" w:type="dxa"/>
            <w:noWrap/>
            <w:vAlign w:val="center"/>
          </w:tcPr>
          <w:p w14:paraId="307ECE75">
            <w:pPr>
              <w:pStyle w:val="41"/>
              <w:rPr>
                <w:rFonts w:ascii="Calibri" w:hAnsi="Calibri"/>
              </w:rPr>
            </w:pPr>
            <w:r>
              <w:rPr>
                <w:rFonts w:ascii="Calibri" w:hAnsi="Calibri"/>
                <w:color w:val="000000"/>
              </w:rPr>
              <w:t>+0.4277</w:t>
            </w:r>
          </w:p>
        </w:tc>
      </w:tr>
      <w:tr w14:paraId="11EB8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57F42091">
            <w:pPr>
              <w:pStyle w:val="41"/>
              <w:rPr>
                <w:rFonts w:ascii="Calibri" w:hAnsi="Calibri"/>
              </w:rPr>
            </w:pPr>
          </w:p>
        </w:tc>
        <w:tc>
          <w:tcPr>
            <w:tcW w:w="2605" w:type="dxa"/>
            <w:vMerge w:val="continue"/>
            <w:vAlign w:val="center"/>
          </w:tcPr>
          <w:p w14:paraId="4B9240E1">
            <w:pPr>
              <w:pStyle w:val="41"/>
              <w:rPr>
                <w:rFonts w:ascii="Calibri" w:hAnsi="Calibri"/>
              </w:rPr>
            </w:pPr>
          </w:p>
        </w:tc>
        <w:tc>
          <w:tcPr>
            <w:tcW w:w="2268" w:type="dxa"/>
            <w:vAlign w:val="center"/>
          </w:tcPr>
          <w:p w14:paraId="44CFC849">
            <w:pPr>
              <w:pStyle w:val="41"/>
              <w:rPr>
                <w:rFonts w:ascii="Calibri" w:hAnsi="Calibri"/>
              </w:rPr>
            </w:pPr>
            <w:r>
              <w:rPr>
                <w:rFonts w:ascii="Calibri" w:hAnsi="Calibri"/>
              </w:rPr>
              <w:t>氨</w:t>
            </w:r>
          </w:p>
        </w:tc>
        <w:tc>
          <w:tcPr>
            <w:tcW w:w="1254" w:type="dxa"/>
            <w:vAlign w:val="center"/>
          </w:tcPr>
          <w:p w14:paraId="72437C79">
            <w:pPr>
              <w:pStyle w:val="41"/>
              <w:rPr>
                <w:rFonts w:ascii="Calibri" w:hAnsi="Calibri"/>
              </w:rPr>
            </w:pPr>
            <w:r>
              <w:rPr>
                <w:rFonts w:ascii="Calibri" w:hAnsi="Calibri"/>
                <w:color w:val="000000"/>
              </w:rPr>
              <w:t>0</w:t>
            </w:r>
          </w:p>
        </w:tc>
        <w:tc>
          <w:tcPr>
            <w:tcW w:w="1284" w:type="dxa"/>
            <w:vAlign w:val="center"/>
          </w:tcPr>
          <w:p w14:paraId="220B13A3">
            <w:pPr>
              <w:pStyle w:val="41"/>
              <w:rPr>
                <w:rFonts w:ascii="Calibri" w:hAnsi="Calibri"/>
              </w:rPr>
            </w:pPr>
            <w:r>
              <w:rPr>
                <w:rFonts w:ascii="Calibri" w:hAnsi="Calibri"/>
                <w:color w:val="000000"/>
              </w:rPr>
              <w:t>2.17</w:t>
            </w:r>
          </w:p>
        </w:tc>
        <w:tc>
          <w:tcPr>
            <w:tcW w:w="1005" w:type="dxa"/>
            <w:noWrap/>
            <w:vAlign w:val="center"/>
          </w:tcPr>
          <w:p w14:paraId="1DFD1A6D">
            <w:pPr>
              <w:pStyle w:val="41"/>
              <w:rPr>
                <w:rFonts w:ascii="Calibri" w:hAnsi="Calibri"/>
              </w:rPr>
            </w:pPr>
            <w:r>
              <w:rPr>
                <w:rFonts w:ascii="Calibri" w:hAnsi="Calibri"/>
                <w:color w:val="000000"/>
              </w:rPr>
              <w:t>+2.17</w:t>
            </w:r>
          </w:p>
        </w:tc>
      </w:tr>
      <w:tr w14:paraId="3237A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12FFAC84">
            <w:pPr>
              <w:pStyle w:val="41"/>
              <w:rPr>
                <w:rFonts w:ascii="Calibri" w:hAnsi="Calibri"/>
              </w:rPr>
            </w:pPr>
          </w:p>
        </w:tc>
        <w:tc>
          <w:tcPr>
            <w:tcW w:w="2605" w:type="dxa"/>
            <w:vAlign w:val="center"/>
          </w:tcPr>
          <w:p w14:paraId="7589FCBF">
            <w:pPr>
              <w:pStyle w:val="41"/>
              <w:rPr>
                <w:rFonts w:ascii="Calibri" w:hAnsi="Calibri"/>
              </w:rPr>
            </w:pPr>
            <w:r>
              <w:rPr>
                <w:rFonts w:ascii="Calibri" w:hAnsi="Calibri"/>
              </w:rPr>
              <w:t>浇铸废气排放口（DA003）</w:t>
            </w:r>
          </w:p>
        </w:tc>
        <w:tc>
          <w:tcPr>
            <w:tcW w:w="2268" w:type="dxa"/>
            <w:vAlign w:val="center"/>
          </w:tcPr>
          <w:p w14:paraId="49B21F73">
            <w:pPr>
              <w:pStyle w:val="41"/>
              <w:rPr>
                <w:rFonts w:ascii="Calibri" w:hAnsi="Calibri"/>
              </w:rPr>
            </w:pPr>
            <w:r>
              <w:rPr>
                <w:rFonts w:ascii="Calibri" w:hAnsi="Calibri"/>
              </w:rPr>
              <w:t>颗粒物</w:t>
            </w:r>
          </w:p>
        </w:tc>
        <w:tc>
          <w:tcPr>
            <w:tcW w:w="1254" w:type="dxa"/>
            <w:vAlign w:val="center"/>
          </w:tcPr>
          <w:p w14:paraId="516D668D">
            <w:pPr>
              <w:pStyle w:val="41"/>
              <w:rPr>
                <w:rFonts w:ascii="Calibri" w:hAnsi="Calibri"/>
              </w:rPr>
            </w:pPr>
            <w:r>
              <w:rPr>
                <w:rFonts w:ascii="Calibri" w:hAnsi="Calibri"/>
                <w:color w:val="000000"/>
                <w:sz w:val="22"/>
                <w:szCs w:val="22"/>
              </w:rPr>
              <w:t>1.203</w:t>
            </w:r>
          </w:p>
        </w:tc>
        <w:tc>
          <w:tcPr>
            <w:tcW w:w="1284" w:type="dxa"/>
            <w:vAlign w:val="center"/>
          </w:tcPr>
          <w:p w14:paraId="6D041F03">
            <w:pPr>
              <w:pStyle w:val="41"/>
              <w:rPr>
                <w:rFonts w:ascii="Calibri" w:hAnsi="Calibri"/>
              </w:rPr>
            </w:pPr>
            <w:r>
              <w:rPr>
                <w:rFonts w:ascii="Calibri" w:hAnsi="Calibri"/>
                <w:color w:val="000000"/>
              </w:rPr>
              <w:t>1.203</w:t>
            </w:r>
          </w:p>
        </w:tc>
        <w:tc>
          <w:tcPr>
            <w:tcW w:w="1005" w:type="dxa"/>
            <w:noWrap/>
            <w:vAlign w:val="center"/>
          </w:tcPr>
          <w:p w14:paraId="5226B697">
            <w:pPr>
              <w:pStyle w:val="41"/>
              <w:rPr>
                <w:rFonts w:ascii="Calibri" w:hAnsi="Calibri"/>
              </w:rPr>
            </w:pPr>
            <w:r>
              <w:rPr>
                <w:rFonts w:ascii="Calibri" w:hAnsi="Calibri"/>
                <w:color w:val="000000"/>
              </w:rPr>
              <w:t>0</w:t>
            </w:r>
          </w:p>
        </w:tc>
      </w:tr>
      <w:tr w14:paraId="63CEB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1CE09432">
            <w:pPr>
              <w:pStyle w:val="41"/>
              <w:rPr>
                <w:rFonts w:ascii="Calibri" w:hAnsi="Calibri"/>
              </w:rPr>
            </w:pPr>
          </w:p>
        </w:tc>
        <w:tc>
          <w:tcPr>
            <w:tcW w:w="2605" w:type="dxa"/>
            <w:vAlign w:val="center"/>
          </w:tcPr>
          <w:p w14:paraId="6EA20DC4">
            <w:pPr>
              <w:pStyle w:val="41"/>
              <w:rPr>
                <w:rFonts w:ascii="Calibri" w:hAnsi="Calibri"/>
              </w:rPr>
            </w:pPr>
            <w:r>
              <w:rPr>
                <w:rFonts w:ascii="Calibri" w:hAnsi="Calibri"/>
              </w:rPr>
              <w:t>破碎、筛分排放口（DA004）</w:t>
            </w:r>
          </w:p>
        </w:tc>
        <w:tc>
          <w:tcPr>
            <w:tcW w:w="2268" w:type="dxa"/>
            <w:vAlign w:val="center"/>
          </w:tcPr>
          <w:p w14:paraId="59F6FC9B">
            <w:pPr>
              <w:pStyle w:val="41"/>
              <w:rPr>
                <w:rFonts w:ascii="Calibri" w:hAnsi="Calibri"/>
              </w:rPr>
            </w:pPr>
            <w:r>
              <w:rPr>
                <w:rFonts w:ascii="Calibri" w:hAnsi="Calibri"/>
              </w:rPr>
              <w:t>颗粒物</w:t>
            </w:r>
          </w:p>
        </w:tc>
        <w:tc>
          <w:tcPr>
            <w:tcW w:w="1254" w:type="dxa"/>
            <w:vAlign w:val="center"/>
          </w:tcPr>
          <w:p w14:paraId="7345AF6E">
            <w:pPr>
              <w:pStyle w:val="41"/>
              <w:rPr>
                <w:rFonts w:ascii="Calibri" w:hAnsi="Calibri"/>
              </w:rPr>
            </w:pPr>
            <w:r>
              <w:rPr>
                <w:rFonts w:ascii="Calibri" w:hAnsi="Calibri"/>
                <w:color w:val="000000"/>
                <w:sz w:val="22"/>
                <w:szCs w:val="22"/>
              </w:rPr>
              <w:t>0.716</w:t>
            </w:r>
          </w:p>
        </w:tc>
        <w:tc>
          <w:tcPr>
            <w:tcW w:w="1284" w:type="dxa"/>
            <w:vAlign w:val="center"/>
          </w:tcPr>
          <w:p w14:paraId="53680918">
            <w:pPr>
              <w:pStyle w:val="41"/>
              <w:rPr>
                <w:rFonts w:ascii="Calibri" w:hAnsi="Calibri"/>
              </w:rPr>
            </w:pPr>
            <w:r>
              <w:rPr>
                <w:rFonts w:ascii="Calibri" w:hAnsi="Calibri"/>
                <w:color w:val="000000"/>
              </w:rPr>
              <w:t>0.716</w:t>
            </w:r>
          </w:p>
        </w:tc>
        <w:tc>
          <w:tcPr>
            <w:tcW w:w="1005" w:type="dxa"/>
            <w:noWrap/>
            <w:vAlign w:val="center"/>
          </w:tcPr>
          <w:p w14:paraId="5931BA8E">
            <w:pPr>
              <w:pStyle w:val="41"/>
              <w:rPr>
                <w:rFonts w:ascii="Calibri" w:hAnsi="Calibri"/>
              </w:rPr>
            </w:pPr>
            <w:r>
              <w:rPr>
                <w:rFonts w:ascii="Calibri" w:hAnsi="Calibri"/>
                <w:color w:val="000000"/>
              </w:rPr>
              <w:t>0</w:t>
            </w:r>
          </w:p>
        </w:tc>
      </w:tr>
      <w:tr w14:paraId="6CB71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6" w:type="dxa"/>
            <w:vMerge w:val="continue"/>
            <w:vAlign w:val="center"/>
          </w:tcPr>
          <w:p w14:paraId="0C13CAC8">
            <w:pPr>
              <w:pStyle w:val="41"/>
              <w:rPr>
                <w:rFonts w:ascii="Calibri" w:hAnsi="Calibri"/>
              </w:rPr>
            </w:pPr>
          </w:p>
        </w:tc>
        <w:tc>
          <w:tcPr>
            <w:tcW w:w="2605" w:type="dxa"/>
            <w:vMerge w:val="restart"/>
            <w:vAlign w:val="center"/>
          </w:tcPr>
          <w:p w14:paraId="6E571180">
            <w:pPr>
              <w:pStyle w:val="41"/>
              <w:rPr>
                <w:rFonts w:ascii="Calibri" w:hAnsi="Calibri"/>
              </w:rPr>
            </w:pPr>
            <w:r>
              <w:rPr>
                <w:rFonts w:ascii="Calibri" w:hAnsi="Calibri"/>
              </w:rPr>
              <w:t>保温炉、集棉、固化综合废气排口（DA005）</w:t>
            </w:r>
          </w:p>
        </w:tc>
        <w:tc>
          <w:tcPr>
            <w:tcW w:w="2268" w:type="dxa"/>
            <w:vAlign w:val="center"/>
          </w:tcPr>
          <w:p w14:paraId="1D475A35">
            <w:pPr>
              <w:pStyle w:val="41"/>
              <w:rPr>
                <w:rFonts w:ascii="Calibri" w:hAnsi="Calibri"/>
              </w:rPr>
            </w:pPr>
            <w:r>
              <w:rPr>
                <w:rFonts w:ascii="Calibri" w:hAnsi="Calibri"/>
              </w:rPr>
              <w:t>颗粒物</w:t>
            </w:r>
          </w:p>
        </w:tc>
        <w:tc>
          <w:tcPr>
            <w:tcW w:w="1254" w:type="dxa"/>
            <w:vAlign w:val="center"/>
          </w:tcPr>
          <w:p w14:paraId="555C5CB9">
            <w:pPr>
              <w:pStyle w:val="41"/>
              <w:rPr>
                <w:rFonts w:ascii="Calibri" w:hAnsi="Calibri"/>
              </w:rPr>
            </w:pPr>
            <w:r>
              <w:rPr>
                <w:rFonts w:ascii="Calibri" w:hAnsi="Calibri"/>
                <w:color w:val="000000"/>
                <w:sz w:val="22"/>
                <w:szCs w:val="22"/>
              </w:rPr>
              <w:t>9.985</w:t>
            </w:r>
          </w:p>
        </w:tc>
        <w:tc>
          <w:tcPr>
            <w:tcW w:w="1284" w:type="dxa"/>
            <w:vAlign w:val="center"/>
          </w:tcPr>
          <w:p w14:paraId="535E0B42">
            <w:pPr>
              <w:pStyle w:val="41"/>
              <w:rPr>
                <w:rFonts w:ascii="Calibri" w:hAnsi="Calibri"/>
              </w:rPr>
            </w:pPr>
            <w:r>
              <w:rPr>
                <w:rFonts w:ascii="Calibri" w:hAnsi="Calibri"/>
                <w:color w:val="000000"/>
              </w:rPr>
              <w:t>9.985</w:t>
            </w:r>
          </w:p>
        </w:tc>
        <w:tc>
          <w:tcPr>
            <w:tcW w:w="1005" w:type="dxa"/>
            <w:noWrap/>
            <w:vAlign w:val="center"/>
          </w:tcPr>
          <w:p w14:paraId="59E2CBF3">
            <w:pPr>
              <w:pStyle w:val="41"/>
              <w:rPr>
                <w:rFonts w:ascii="Calibri" w:hAnsi="Calibri"/>
              </w:rPr>
            </w:pPr>
            <w:r>
              <w:rPr>
                <w:rFonts w:ascii="Calibri" w:hAnsi="Calibri"/>
                <w:color w:val="000000"/>
              </w:rPr>
              <w:t>0</w:t>
            </w:r>
          </w:p>
        </w:tc>
      </w:tr>
      <w:tr w14:paraId="3A507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46BFA7E3">
            <w:pPr>
              <w:pStyle w:val="41"/>
              <w:rPr>
                <w:rFonts w:ascii="Calibri" w:hAnsi="Calibri"/>
              </w:rPr>
            </w:pPr>
          </w:p>
        </w:tc>
        <w:tc>
          <w:tcPr>
            <w:tcW w:w="2605" w:type="dxa"/>
            <w:vMerge w:val="continue"/>
            <w:vAlign w:val="center"/>
          </w:tcPr>
          <w:p w14:paraId="41987CB7">
            <w:pPr>
              <w:pStyle w:val="41"/>
              <w:rPr>
                <w:rFonts w:ascii="Calibri" w:hAnsi="Calibri"/>
              </w:rPr>
            </w:pPr>
          </w:p>
        </w:tc>
        <w:tc>
          <w:tcPr>
            <w:tcW w:w="2268" w:type="dxa"/>
            <w:vAlign w:val="center"/>
          </w:tcPr>
          <w:p w14:paraId="11F55CBD">
            <w:pPr>
              <w:pStyle w:val="41"/>
              <w:rPr>
                <w:rFonts w:ascii="Calibri" w:hAnsi="Calibri"/>
              </w:rPr>
            </w:pPr>
            <w:r>
              <w:rPr>
                <w:rFonts w:ascii="Calibri" w:hAnsi="Calibri"/>
              </w:rPr>
              <w:t>SO</w:t>
            </w:r>
            <w:r>
              <w:rPr>
                <w:rFonts w:ascii="Calibri" w:hAnsi="Calibri"/>
                <w:vertAlign w:val="subscript"/>
              </w:rPr>
              <w:t>2</w:t>
            </w:r>
          </w:p>
        </w:tc>
        <w:tc>
          <w:tcPr>
            <w:tcW w:w="1254" w:type="dxa"/>
            <w:vAlign w:val="center"/>
          </w:tcPr>
          <w:p w14:paraId="0CF3737D">
            <w:pPr>
              <w:pStyle w:val="41"/>
              <w:rPr>
                <w:rFonts w:ascii="Calibri" w:hAnsi="Calibri"/>
              </w:rPr>
            </w:pPr>
            <w:r>
              <w:rPr>
                <w:rFonts w:ascii="Calibri" w:hAnsi="Calibri"/>
                <w:color w:val="000000"/>
                <w:sz w:val="22"/>
                <w:szCs w:val="22"/>
              </w:rPr>
              <w:t>8.897</w:t>
            </w:r>
          </w:p>
        </w:tc>
        <w:tc>
          <w:tcPr>
            <w:tcW w:w="1284" w:type="dxa"/>
            <w:vAlign w:val="center"/>
          </w:tcPr>
          <w:p w14:paraId="72A2380E">
            <w:pPr>
              <w:pStyle w:val="41"/>
              <w:rPr>
                <w:rFonts w:ascii="Calibri" w:hAnsi="Calibri"/>
              </w:rPr>
            </w:pPr>
            <w:r>
              <w:rPr>
                <w:rFonts w:ascii="Calibri" w:hAnsi="Calibri"/>
                <w:color w:val="000000"/>
              </w:rPr>
              <w:t>8.897</w:t>
            </w:r>
          </w:p>
        </w:tc>
        <w:tc>
          <w:tcPr>
            <w:tcW w:w="1005" w:type="dxa"/>
            <w:noWrap/>
            <w:vAlign w:val="center"/>
          </w:tcPr>
          <w:p w14:paraId="544D7363">
            <w:pPr>
              <w:pStyle w:val="41"/>
              <w:rPr>
                <w:rFonts w:ascii="Calibri" w:hAnsi="Calibri"/>
              </w:rPr>
            </w:pPr>
            <w:r>
              <w:rPr>
                <w:rFonts w:ascii="Calibri" w:hAnsi="Calibri"/>
                <w:color w:val="000000"/>
              </w:rPr>
              <w:t>0</w:t>
            </w:r>
          </w:p>
        </w:tc>
      </w:tr>
      <w:tr w14:paraId="18484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3B3296C9">
            <w:pPr>
              <w:pStyle w:val="41"/>
              <w:rPr>
                <w:rFonts w:ascii="Calibri" w:hAnsi="Calibri"/>
              </w:rPr>
            </w:pPr>
          </w:p>
        </w:tc>
        <w:tc>
          <w:tcPr>
            <w:tcW w:w="2605" w:type="dxa"/>
            <w:vMerge w:val="continue"/>
            <w:vAlign w:val="center"/>
          </w:tcPr>
          <w:p w14:paraId="1ECF719E">
            <w:pPr>
              <w:pStyle w:val="41"/>
              <w:rPr>
                <w:rFonts w:ascii="Calibri" w:hAnsi="Calibri"/>
              </w:rPr>
            </w:pPr>
          </w:p>
        </w:tc>
        <w:tc>
          <w:tcPr>
            <w:tcW w:w="2268" w:type="dxa"/>
            <w:vAlign w:val="center"/>
          </w:tcPr>
          <w:p w14:paraId="174670A6">
            <w:pPr>
              <w:pStyle w:val="41"/>
              <w:rPr>
                <w:rFonts w:ascii="Calibri" w:hAnsi="Calibri"/>
              </w:rPr>
            </w:pPr>
            <w:r>
              <w:rPr>
                <w:rFonts w:ascii="Calibri" w:hAnsi="Calibri"/>
              </w:rPr>
              <w:t>NOx</w:t>
            </w:r>
          </w:p>
        </w:tc>
        <w:tc>
          <w:tcPr>
            <w:tcW w:w="1254" w:type="dxa"/>
            <w:vAlign w:val="center"/>
          </w:tcPr>
          <w:p w14:paraId="045C5744">
            <w:pPr>
              <w:pStyle w:val="41"/>
              <w:rPr>
                <w:rFonts w:ascii="Calibri" w:hAnsi="Calibri"/>
              </w:rPr>
            </w:pPr>
            <w:r>
              <w:rPr>
                <w:rFonts w:ascii="Calibri" w:hAnsi="Calibri"/>
                <w:color w:val="000000"/>
                <w:sz w:val="22"/>
                <w:szCs w:val="22"/>
              </w:rPr>
              <w:t>19.16</w:t>
            </w:r>
          </w:p>
        </w:tc>
        <w:tc>
          <w:tcPr>
            <w:tcW w:w="1284" w:type="dxa"/>
            <w:vAlign w:val="center"/>
          </w:tcPr>
          <w:p w14:paraId="658C7FB4">
            <w:pPr>
              <w:pStyle w:val="41"/>
              <w:rPr>
                <w:rFonts w:ascii="Calibri" w:hAnsi="Calibri"/>
              </w:rPr>
            </w:pPr>
            <w:r>
              <w:rPr>
                <w:rFonts w:ascii="Calibri" w:hAnsi="Calibri"/>
                <w:color w:val="000000"/>
              </w:rPr>
              <w:t>19.16</w:t>
            </w:r>
          </w:p>
        </w:tc>
        <w:tc>
          <w:tcPr>
            <w:tcW w:w="1005" w:type="dxa"/>
            <w:noWrap/>
            <w:vAlign w:val="center"/>
          </w:tcPr>
          <w:p w14:paraId="5A0BF87A">
            <w:pPr>
              <w:pStyle w:val="41"/>
              <w:rPr>
                <w:rFonts w:ascii="Calibri" w:hAnsi="Calibri"/>
              </w:rPr>
            </w:pPr>
            <w:r>
              <w:rPr>
                <w:rFonts w:ascii="Calibri" w:hAnsi="Calibri"/>
                <w:color w:val="000000"/>
              </w:rPr>
              <w:t>0</w:t>
            </w:r>
          </w:p>
        </w:tc>
      </w:tr>
      <w:tr w14:paraId="41B85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2747D8EB">
            <w:pPr>
              <w:pStyle w:val="41"/>
              <w:rPr>
                <w:rFonts w:ascii="Calibri" w:hAnsi="Calibri"/>
              </w:rPr>
            </w:pPr>
          </w:p>
        </w:tc>
        <w:tc>
          <w:tcPr>
            <w:tcW w:w="2605" w:type="dxa"/>
            <w:vMerge w:val="continue"/>
            <w:vAlign w:val="center"/>
          </w:tcPr>
          <w:p w14:paraId="0A5988D7">
            <w:pPr>
              <w:pStyle w:val="41"/>
              <w:rPr>
                <w:rFonts w:ascii="Calibri" w:hAnsi="Calibri"/>
              </w:rPr>
            </w:pPr>
          </w:p>
        </w:tc>
        <w:tc>
          <w:tcPr>
            <w:tcW w:w="2268" w:type="dxa"/>
            <w:vAlign w:val="center"/>
          </w:tcPr>
          <w:p w14:paraId="27E34EF0">
            <w:pPr>
              <w:pStyle w:val="41"/>
              <w:rPr>
                <w:rFonts w:ascii="Calibri" w:hAnsi="Calibri"/>
              </w:rPr>
            </w:pPr>
            <w:r>
              <w:rPr>
                <w:rFonts w:ascii="Calibri" w:hAnsi="Calibri"/>
              </w:rPr>
              <w:t>非甲烷总烃</w:t>
            </w:r>
          </w:p>
        </w:tc>
        <w:tc>
          <w:tcPr>
            <w:tcW w:w="1254" w:type="dxa"/>
            <w:vAlign w:val="center"/>
          </w:tcPr>
          <w:p w14:paraId="565814D1">
            <w:pPr>
              <w:pStyle w:val="41"/>
              <w:rPr>
                <w:rFonts w:ascii="Calibri" w:hAnsi="Calibri"/>
              </w:rPr>
            </w:pPr>
            <w:r>
              <w:rPr>
                <w:rFonts w:ascii="Calibri" w:hAnsi="Calibri"/>
                <w:color w:val="000000"/>
                <w:sz w:val="22"/>
                <w:szCs w:val="22"/>
              </w:rPr>
              <w:t>8.964</w:t>
            </w:r>
          </w:p>
        </w:tc>
        <w:tc>
          <w:tcPr>
            <w:tcW w:w="1284" w:type="dxa"/>
            <w:vAlign w:val="center"/>
          </w:tcPr>
          <w:p w14:paraId="0C2388A5">
            <w:pPr>
              <w:pStyle w:val="41"/>
              <w:rPr>
                <w:rFonts w:ascii="Calibri" w:hAnsi="Calibri"/>
              </w:rPr>
            </w:pPr>
            <w:r>
              <w:rPr>
                <w:rFonts w:ascii="Calibri" w:hAnsi="Calibri"/>
                <w:color w:val="000000"/>
              </w:rPr>
              <w:t>8.964</w:t>
            </w:r>
          </w:p>
        </w:tc>
        <w:tc>
          <w:tcPr>
            <w:tcW w:w="1005" w:type="dxa"/>
            <w:noWrap/>
            <w:vAlign w:val="center"/>
          </w:tcPr>
          <w:p w14:paraId="4A3DD8F0">
            <w:pPr>
              <w:pStyle w:val="41"/>
              <w:rPr>
                <w:rFonts w:ascii="Calibri" w:hAnsi="Calibri"/>
              </w:rPr>
            </w:pPr>
            <w:r>
              <w:rPr>
                <w:rFonts w:ascii="Calibri" w:hAnsi="Calibri"/>
                <w:color w:val="000000"/>
              </w:rPr>
              <w:t>0</w:t>
            </w:r>
          </w:p>
        </w:tc>
      </w:tr>
      <w:tr w14:paraId="6B417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57B38DBF">
            <w:pPr>
              <w:pStyle w:val="41"/>
              <w:rPr>
                <w:rFonts w:ascii="Calibri" w:hAnsi="Calibri"/>
              </w:rPr>
            </w:pPr>
          </w:p>
        </w:tc>
        <w:tc>
          <w:tcPr>
            <w:tcW w:w="2605" w:type="dxa"/>
            <w:vMerge w:val="continue"/>
            <w:vAlign w:val="center"/>
          </w:tcPr>
          <w:p w14:paraId="1E51B839">
            <w:pPr>
              <w:pStyle w:val="41"/>
              <w:rPr>
                <w:rFonts w:ascii="Calibri" w:hAnsi="Calibri"/>
              </w:rPr>
            </w:pPr>
          </w:p>
        </w:tc>
        <w:tc>
          <w:tcPr>
            <w:tcW w:w="2268" w:type="dxa"/>
            <w:vAlign w:val="center"/>
          </w:tcPr>
          <w:p w14:paraId="40152265">
            <w:pPr>
              <w:pStyle w:val="41"/>
              <w:rPr>
                <w:rFonts w:ascii="Calibri" w:hAnsi="Calibri"/>
              </w:rPr>
            </w:pPr>
            <w:r>
              <w:rPr>
                <w:rFonts w:ascii="Calibri" w:hAnsi="Calibri"/>
              </w:rPr>
              <w:t>甲醛</w:t>
            </w:r>
          </w:p>
        </w:tc>
        <w:tc>
          <w:tcPr>
            <w:tcW w:w="1254" w:type="dxa"/>
            <w:vAlign w:val="center"/>
          </w:tcPr>
          <w:p w14:paraId="05D565AB">
            <w:pPr>
              <w:pStyle w:val="41"/>
              <w:rPr>
                <w:rFonts w:ascii="Calibri" w:hAnsi="Calibri"/>
              </w:rPr>
            </w:pPr>
            <w:r>
              <w:rPr>
                <w:rFonts w:ascii="Calibri" w:hAnsi="Calibri"/>
                <w:color w:val="000000"/>
                <w:sz w:val="22"/>
                <w:szCs w:val="22"/>
              </w:rPr>
              <w:t>0.394</w:t>
            </w:r>
          </w:p>
        </w:tc>
        <w:tc>
          <w:tcPr>
            <w:tcW w:w="1284" w:type="dxa"/>
            <w:vAlign w:val="center"/>
          </w:tcPr>
          <w:p w14:paraId="66AA16F4">
            <w:pPr>
              <w:pStyle w:val="41"/>
              <w:rPr>
                <w:rFonts w:ascii="Calibri" w:hAnsi="Calibri"/>
              </w:rPr>
            </w:pPr>
            <w:r>
              <w:rPr>
                <w:rFonts w:ascii="Calibri" w:hAnsi="Calibri"/>
                <w:color w:val="000000"/>
              </w:rPr>
              <w:t>0.394</w:t>
            </w:r>
          </w:p>
        </w:tc>
        <w:tc>
          <w:tcPr>
            <w:tcW w:w="1005" w:type="dxa"/>
            <w:noWrap/>
            <w:vAlign w:val="center"/>
          </w:tcPr>
          <w:p w14:paraId="263F7392">
            <w:pPr>
              <w:pStyle w:val="41"/>
              <w:rPr>
                <w:rFonts w:ascii="Calibri" w:hAnsi="Calibri"/>
              </w:rPr>
            </w:pPr>
            <w:r>
              <w:rPr>
                <w:rFonts w:ascii="Calibri" w:hAnsi="Calibri"/>
                <w:color w:val="000000"/>
              </w:rPr>
              <w:t>0</w:t>
            </w:r>
          </w:p>
        </w:tc>
      </w:tr>
      <w:tr w14:paraId="11F15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493A9C44">
            <w:pPr>
              <w:pStyle w:val="41"/>
              <w:rPr>
                <w:rFonts w:ascii="Calibri" w:hAnsi="Calibri"/>
              </w:rPr>
            </w:pPr>
          </w:p>
        </w:tc>
        <w:tc>
          <w:tcPr>
            <w:tcW w:w="2605" w:type="dxa"/>
            <w:vMerge w:val="continue"/>
            <w:vAlign w:val="center"/>
          </w:tcPr>
          <w:p w14:paraId="6889BC16">
            <w:pPr>
              <w:pStyle w:val="41"/>
              <w:rPr>
                <w:rFonts w:ascii="Calibri" w:hAnsi="Calibri"/>
              </w:rPr>
            </w:pPr>
          </w:p>
        </w:tc>
        <w:tc>
          <w:tcPr>
            <w:tcW w:w="2268" w:type="dxa"/>
            <w:vAlign w:val="center"/>
          </w:tcPr>
          <w:p w14:paraId="07017A9A">
            <w:pPr>
              <w:pStyle w:val="41"/>
              <w:rPr>
                <w:rFonts w:ascii="Calibri" w:hAnsi="Calibri"/>
              </w:rPr>
            </w:pPr>
            <w:r>
              <w:rPr>
                <w:rFonts w:ascii="Calibri" w:hAnsi="Calibri"/>
              </w:rPr>
              <w:t>酚类</w:t>
            </w:r>
          </w:p>
        </w:tc>
        <w:tc>
          <w:tcPr>
            <w:tcW w:w="1254" w:type="dxa"/>
            <w:vAlign w:val="center"/>
          </w:tcPr>
          <w:p w14:paraId="5EC91AEB">
            <w:pPr>
              <w:pStyle w:val="41"/>
              <w:rPr>
                <w:rFonts w:ascii="Calibri" w:hAnsi="Calibri"/>
              </w:rPr>
            </w:pPr>
            <w:r>
              <w:rPr>
                <w:rFonts w:ascii="Calibri" w:hAnsi="Calibri"/>
                <w:color w:val="000000"/>
                <w:sz w:val="22"/>
                <w:szCs w:val="22"/>
              </w:rPr>
              <w:t>11.361</w:t>
            </w:r>
          </w:p>
        </w:tc>
        <w:tc>
          <w:tcPr>
            <w:tcW w:w="1284" w:type="dxa"/>
            <w:vAlign w:val="center"/>
          </w:tcPr>
          <w:p w14:paraId="641A9351">
            <w:pPr>
              <w:pStyle w:val="41"/>
              <w:rPr>
                <w:rFonts w:ascii="Calibri" w:hAnsi="Calibri"/>
              </w:rPr>
            </w:pPr>
            <w:r>
              <w:rPr>
                <w:rFonts w:ascii="Calibri" w:hAnsi="Calibri"/>
                <w:color w:val="000000"/>
              </w:rPr>
              <w:t>11.361</w:t>
            </w:r>
          </w:p>
        </w:tc>
        <w:tc>
          <w:tcPr>
            <w:tcW w:w="1005" w:type="dxa"/>
            <w:noWrap/>
            <w:vAlign w:val="center"/>
          </w:tcPr>
          <w:p w14:paraId="6A92847B">
            <w:pPr>
              <w:pStyle w:val="41"/>
              <w:rPr>
                <w:rFonts w:ascii="Calibri" w:hAnsi="Calibri"/>
              </w:rPr>
            </w:pPr>
            <w:r>
              <w:rPr>
                <w:rFonts w:ascii="Calibri" w:hAnsi="Calibri"/>
                <w:color w:val="000000"/>
              </w:rPr>
              <w:t>0</w:t>
            </w:r>
          </w:p>
        </w:tc>
      </w:tr>
      <w:tr w14:paraId="09A4D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73CD573F">
            <w:pPr>
              <w:pStyle w:val="41"/>
              <w:rPr>
                <w:rFonts w:ascii="Calibri" w:hAnsi="Calibri"/>
              </w:rPr>
            </w:pPr>
          </w:p>
        </w:tc>
        <w:tc>
          <w:tcPr>
            <w:tcW w:w="2605" w:type="dxa"/>
            <w:vAlign w:val="center"/>
          </w:tcPr>
          <w:p w14:paraId="2799081F">
            <w:pPr>
              <w:pStyle w:val="41"/>
              <w:rPr>
                <w:rFonts w:ascii="Calibri" w:hAnsi="Calibri"/>
              </w:rPr>
            </w:pPr>
            <w:r>
              <w:rPr>
                <w:rFonts w:ascii="Calibri" w:hAnsi="Calibri"/>
              </w:rPr>
              <w:t>配料站废气排放口（DA006）</w:t>
            </w:r>
          </w:p>
        </w:tc>
        <w:tc>
          <w:tcPr>
            <w:tcW w:w="2268" w:type="dxa"/>
            <w:vAlign w:val="center"/>
          </w:tcPr>
          <w:p w14:paraId="34D94708">
            <w:pPr>
              <w:pStyle w:val="41"/>
              <w:rPr>
                <w:rFonts w:ascii="Calibri" w:hAnsi="Calibri"/>
              </w:rPr>
            </w:pPr>
            <w:r>
              <w:rPr>
                <w:rFonts w:ascii="Calibri" w:hAnsi="Calibri"/>
              </w:rPr>
              <w:t>颗粒物</w:t>
            </w:r>
          </w:p>
        </w:tc>
        <w:tc>
          <w:tcPr>
            <w:tcW w:w="1254" w:type="dxa"/>
            <w:vAlign w:val="center"/>
          </w:tcPr>
          <w:p w14:paraId="0E86D979">
            <w:pPr>
              <w:pStyle w:val="41"/>
              <w:rPr>
                <w:rFonts w:ascii="Calibri" w:hAnsi="Calibri"/>
              </w:rPr>
            </w:pPr>
            <w:r>
              <w:rPr>
                <w:rFonts w:ascii="Calibri" w:hAnsi="Calibri"/>
                <w:color w:val="000000"/>
                <w:sz w:val="22"/>
                <w:szCs w:val="22"/>
              </w:rPr>
              <w:t>2.303</w:t>
            </w:r>
          </w:p>
        </w:tc>
        <w:tc>
          <w:tcPr>
            <w:tcW w:w="1284" w:type="dxa"/>
            <w:vAlign w:val="center"/>
          </w:tcPr>
          <w:p w14:paraId="6651A915">
            <w:pPr>
              <w:pStyle w:val="41"/>
              <w:rPr>
                <w:rFonts w:ascii="Calibri" w:hAnsi="Calibri"/>
              </w:rPr>
            </w:pPr>
            <w:r>
              <w:rPr>
                <w:rFonts w:ascii="Calibri" w:hAnsi="Calibri"/>
                <w:color w:val="000000"/>
              </w:rPr>
              <w:t>3.22</w:t>
            </w:r>
          </w:p>
        </w:tc>
        <w:tc>
          <w:tcPr>
            <w:tcW w:w="1005" w:type="dxa"/>
            <w:noWrap/>
            <w:vAlign w:val="center"/>
          </w:tcPr>
          <w:p w14:paraId="65D07852">
            <w:pPr>
              <w:pStyle w:val="41"/>
              <w:rPr>
                <w:rFonts w:ascii="Calibri" w:hAnsi="Calibri"/>
              </w:rPr>
            </w:pPr>
            <w:r>
              <w:rPr>
                <w:rFonts w:ascii="Calibri" w:hAnsi="Calibri"/>
                <w:color w:val="000000"/>
              </w:rPr>
              <w:t>+0.917</w:t>
            </w:r>
          </w:p>
        </w:tc>
      </w:tr>
      <w:tr w14:paraId="67077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150BA41F">
            <w:pPr>
              <w:pStyle w:val="41"/>
              <w:rPr>
                <w:rFonts w:ascii="Calibri" w:hAnsi="Calibri"/>
              </w:rPr>
            </w:pPr>
          </w:p>
        </w:tc>
        <w:tc>
          <w:tcPr>
            <w:tcW w:w="2605" w:type="dxa"/>
            <w:vAlign w:val="center"/>
          </w:tcPr>
          <w:p w14:paraId="7AA3F7AC">
            <w:pPr>
              <w:pStyle w:val="41"/>
              <w:rPr>
                <w:rFonts w:ascii="Calibri" w:hAnsi="Calibri"/>
              </w:rPr>
            </w:pPr>
            <w:r>
              <w:rPr>
                <w:rFonts w:ascii="Calibri" w:hAnsi="Calibri"/>
              </w:rPr>
              <w:t>切割废气排口（DA007）</w:t>
            </w:r>
          </w:p>
        </w:tc>
        <w:tc>
          <w:tcPr>
            <w:tcW w:w="2268" w:type="dxa"/>
            <w:vAlign w:val="center"/>
          </w:tcPr>
          <w:p w14:paraId="7F618D72">
            <w:pPr>
              <w:pStyle w:val="41"/>
              <w:rPr>
                <w:rFonts w:ascii="Calibri" w:hAnsi="Calibri"/>
              </w:rPr>
            </w:pPr>
            <w:r>
              <w:rPr>
                <w:rFonts w:ascii="Calibri" w:hAnsi="Calibri"/>
              </w:rPr>
              <w:t>颗粒物</w:t>
            </w:r>
          </w:p>
        </w:tc>
        <w:tc>
          <w:tcPr>
            <w:tcW w:w="1254" w:type="dxa"/>
            <w:vAlign w:val="center"/>
          </w:tcPr>
          <w:p w14:paraId="5C7C5A4E">
            <w:pPr>
              <w:pStyle w:val="41"/>
              <w:rPr>
                <w:rFonts w:ascii="Calibri" w:hAnsi="Calibri"/>
              </w:rPr>
            </w:pPr>
            <w:r>
              <w:rPr>
                <w:rFonts w:ascii="Calibri" w:hAnsi="Calibri"/>
                <w:color w:val="000000"/>
                <w:sz w:val="22"/>
                <w:szCs w:val="22"/>
              </w:rPr>
              <w:t>6.649</w:t>
            </w:r>
          </w:p>
        </w:tc>
        <w:tc>
          <w:tcPr>
            <w:tcW w:w="1284" w:type="dxa"/>
            <w:vAlign w:val="center"/>
          </w:tcPr>
          <w:p w14:paraId="29A140F9">
            <w:pPr>
              <w:pStyle w:val="41"/>
              <w:rPr>
                <w:rFonts w:ascii="Calibri" w:hAnsi="Calibri"/>
              </w:rPr>
            </w:pPr>
            <w:r>
              <w:rPr>
                <w:rFonts w:ascii="Calibri" w:hAnsi="Calibri"/>
                <w:color w:val="000000"/>
              </w:rPr>
              <w:t>6.649</w:t>
            </w:r>
          </w:p>
        </w:tc>
        <w:tc>
          <w:tcPr>
            <w:tcW w:w="1005" w:type="dxa"/>
            <w:noWrap/>
            <w:vAlign w:val="center"/>
          </w:tcPr>
          <w:p w14:paraId="2A4653BF">
            <w:pPr>
              <w:pStyle w:val="41"/>
              <w:rPr>
                <w:rFonts w:ascii="Calibri" w:hAnsi="Calibri"/>
              </w:rPr>
            </w:pPr>
            <w:r>
              <w:rPr>
                <w:rFonts w:ascii="Calibri" w:hAnsi="Calibri"/>
                <w:color w:val="000000"/>
              </w:rPr>
              <w:t>0</w:t>
            </w:r>
          </w:p>
        </w:tc>
      </w:tr>
      <w:tr w14:paraId="77CE2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25819D75">
            <w:pPr>
              <w:pStyle w:val="41"/>
              <w:rPr>
                <w:rFonts w:ascii="Calibri" w:hAnsi="Calibri"/>
              </w:rPr>
            </w:pPr>
          </w:p>
        </w:tc>
        <w:tc>
          <w:tcPr>
            <w:tcW w:w="2605" w:type="dxa"/>
            <w:vAlign w:val="center"/>
          </w:tcPr>
          <w:p w14:paraId="7882620C">
            <w:pPr>
              <w:pStyle w:val="41"/>
              <w:rPr>
                <w:rFonts w:ascii="Calibri" w:hAnsi="Calibri"/>
              </w:rPr>
            </w:pPr>
            <w:r>
              <w:rPr>
                <w:rFonts w:ascii="Calibri" w:hAnsi="Calibri"/>
                <w:spacing w:val="-2"/>
              </w:rPr>
              <w:t>烧结机尾废气排口</w:t>
            </w:r>
            <w:r>
              <w:rPr>
                <w:rFonts w:ascii="Calibri" w:hAnsi="Calibri"/>
              </w:rPr>
              <w:t>（DA008）</w:t>
            </w:r>
          </w:p>
        </w:tc>
        <w:tc>
          <w:tcPr>
            <w:tcW w:w="2268" w:type="dxa"/>
            <w:vAlign w:val="center"/>
          </w:tcPr>
          <w:p w14:paraId="3CF870AD">
            <w:pPr>
              <w:pStyle w:val="41"/>
              <w:rPr>
                <w:rFonts w:ascii="Calibri" w:hAnsi="Calibri"/>
              </w:rPr>
            </w:pPr>
            <w:r>
              <w:rPr>
                <w:rFonts w:ascii="Calibri" w:hAnsi="Calibri"/>
              </w:rPr>
              <w:t>颗粒物</w:t>
            </w:r>
          </w:p>
        </w:tc>
        <w:tc>
          <w:tcPr>
            <w:tcW w:w="1254" w:type="dxa"/>
            <w:vAlign w:val="center"/>
          </w:tcPr>
          <w:p w14:paraId="220782AD">
            <w:pPr>
              <w:pStyle w:val="41"/>
              <w:rPr>
                <w:rFonts w:ascii="Calibri" w:hAnsi="Calibri"/>
              </w:rPr>
            </w:pPr>
            <w:r>
              <w:rPr>
                <w:rFonts w:ascii="Calibri" w:hAnsi="Calibri"/>
                <w:color w:val="000000"/>
              </w:rPr>
              <w:t>0</w:t>
            </w:r>
          </w:p>
        </w:tc>
        <w:tc>
          <w:tcPr>
            <w:tcW w:w="1284" w:type="dxa"/>
            <w:vAlign w:val="center"/>
          </w:tcPr>
          <w:p w14:paraId="152CFAEC">
            <w:pPr>
              <w:pStyle w:val="41"/>
              <w:rPr>
                <w:rFonts w:ascii="Calibri" w:hAnsi="Calibri"/>
              </w:rPr>
            </w:pPr>
            <w:r>
              <w:rPr>
                <w:rFonts w:ascii="Calibri" w:hAnsi="Calibri"/>
                <w:color w:val="000000"/>
              </w:rPr>
              <w:t>3.168</w:t>
            </w:r>
          </w:p>
        </w:tc>
        <w:tc>
          <w:tcPr>
            <w:tcW w:w="1005" w:type="dxa"/>
            <w:noWrap/>
            <w:vAlign w:val="center"/>
          </w:tcPr>
          <w:p w14:paraId="79A2DB90">
            <w:pPr>
              <w:pStyle w:val="41"/>
              <w:rPr>
                <w:rFonts w:ascii="Calibri" w:hAnsi="Calibri"/>
              </w:rPr>
            </w:pPr>
            <w:r>
              <w:rPr>
                <w:rFonts w:ascii="Calibri" w:hAnsi="Calibri"/>
                <w:color w:val="000000"/>
              </w:rPr>
              <w:t>+3.168</w:t>
            </w:r>
          </w:p>
        </w:tc>
      </w:tr>
      <w:tr w14:paraId="7EF28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3BB39F6D">
            <w:pPr>
              <w:pStyle w:val="41"/>
              <w:rPr>
                <w:rFonts w:ascii="Calibri" w:hAnsi="Calibri"/>
              </w:rPr>
            </w:pPr>
          </w:p>
        </w:tc>
        <w:tc>
          <w:tcPr>
            <w:tcW w:w="2605" w:type="dxa"/>
            <w:vAlign w:val="center"/>
          </w:tcPr>
          <w:p w14:paraId="74F7E70B">
            <w:pPr>
              <w:pStyle w:val="41"/>
              <w:rPr>
                <w:rFonts w:ascii="Calibri" w:hAnsi="Calibri"/>
                <w:spacing w:val="-2"/>
              </w:rPr>
            </w:pPr>
            <w:r>
              <w:rPr>
                <w:rFonts w:ascii="Calibri" w:hAnsi="Calibri"/>
              </w:rPr>
              <w:t>技改新增精炼车间废气排放口（DA009）</w:t>
            </w:r>
          </w:p>
        </w:tc>
        <w:tc>
          <w:tcPr>
            <w:tcW w:w="2268" w:type="dxa"/>
            <w:vAlign w:val="center"/>
          </w:tcPr>
          <w:p w14:paraId="65679804">
            <w:pPr>
              <w:pStyle w:val="41"/>
              <w:rPr>
                <w:rFonts w:ascii="Calibri" w:hAnsi="Calibri"/>
              </w:rPr>
            </w:pPr>
            <w:r>
              <w:rPr>
                <w:rFonts w:ascii="Calibri" w:hAnsi="Calibri"/>
              </w:rPr>
              <w:t>颗粒物</w:t>
            </w:r>
          </w:p>
        </w:tc>
        <w:tc>
          <w:tcPr>
            <w:tcW w:w="1254" w:type="dxa"/>
            <w:vAlign w:val="center"/>
          </w:tcPr>
          <w:p w14:paraId="523FB794">
            <w:pPr>
              <w:pStyle w:val="41"/>
              <w:rPr>
                <w:rFonts w:ascii="Calibri" w:hAnsi="Calibri"/>
              </w:rPr>
            </w:pPr>
            <w:r>
              <w:rPr>
                <w:rFonts w:ascii="Calibri" w:hAnsi="Calibri"/>
                <w:color w:val="000000"/>
              </w:rPr>
              <w:t>0</w:t>
            </w:r>
          </w:p>
        </w:tc>
        <w:tc>
          <w:tcPr>
            <w:tcW w:w="1284" w:type="dxa"/>
            <w:vAlign w:val="center"/>
          </w:tcPr>
          <w:p w14:paraId="717298B5">
            <w:pPr>
              <w:pStyle w:val="41"/>
              <w:rPr>
                <w:rFonts w:ascii="Calibri" w:hAnsi="Calibri"/>
              </w:rPr>
            </w:pPr>
            <w:r>
              <w:rPr>
                <w:rFonts w:ascii="Calibri" w:hAnsi="Calibri"/>
                <w:color w:val="000000"/>
              </w:rPr>
              <w:t>3.168</w:t>
            </w:r>
          </w:p>
        </w:tc>
        <w:tc>
          <w:tcPr>
            <w:tcW w:w="1005" w:type="dxa"/>
            <w:noWrap/>
            <w:vAlign w:val="center"/>
          </w:tcPr>
          <w:p w14:paraId="54593FD4">
            <w:pPr>
              <w:pStyle w:val="41"/>
              <w:rPr>
                <w:rFonts w:ascii="Calibri" w:hAnsi="Calibri"/>
              </w:rPr>
            </w:pPr>
            <w:r>
              <w:rPr>
                <w:rFonts w:ascii="Calibri" w:hAnsi="Calibri"/>
                <w:color w:val="000000"/>
              </w:rPr>
              <w:t>+3.168</w:t>
            </w:r>
          </w:p>
        </w:tc>
      </w:tr>
      <w:tr w14:paraId="41D56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vAlign w:val="center"/>
          </w:tcPr>
          <w:p w14:paraId="3A272C51">
            <w:pPr>
              <w:pStyle w:val="41"/>
              <w:rPr>
                <w:rFonts w:ascii="Calibri" w:hAnsi="Calibri"/>
              </w:rPr>
            </w:pPr>
          </w:p>
        </w:tc>
        <w:tc>
          <w:tcPr>
            <w:tcW w:w="2605" w:type="dxa"/>
            <w:vMerge w:val="restart"/>
            <w:vAlign w:val="center"/>
          </w:tcPr>
          <w:p w14:paraId="0BDBE3FD">
            <w:pPr>
              <w:pStyle w:val="41"/>
              <w:rPr>
                <w:rFonts w:ascii="Calibri" w:hAnsi="Calibri"/>
              </w:rPr>
            </w:pPr>
            <w:r>
              <w:rPr>
                <w:rFonts w:ascii="Calibri" w:hAnsi="Calibri"/>
              </w:rPr>
              <w:t>合计</w:t>
            </w:r>
          </w:p>
        </w:tc>
        <w:tc>
          <w:tcPr>
            <w:tcW w:w="2268" w:type="dxa"/>
            <w:vAlign w:val="center"/>
          </w:tcPr>
          <w:p w14:paraId="0DC61C1B">
            <w:pPr>
              <w:pStyle w:val="41"/>
              <w:rPr>
                <w:rFonts w:ascii="Calibri" w:hAnsi="Calibri"/>
              </w:rPr>
            </w:pPr>
            <w:r>
              <w:rPr>
                <w:rFonts w:ascii="Calibri" w:hAnsi="Calibri"/>
              </w:rPr>
              <w:t>颗粒物</w:t>
            </w:r>
          </w:p>
        </w:tc>
        <w:tc>
          <w:tcPr>
            <w:tcW w:w="1254" w:type="dxa"/>
            <w:vAlign w:val="center"/>
          </w:tcPr>
          <w:p w14:paraId="0430FE52">
            <w:pPr>
              <w:pStyle w:val="41"/>
              <w:rPr>
                <w:rFonts w:ascii="Calibri" w:hAnsi="Calibri"/>
              </w:rPr>
            </w:pPr>
            <w:r>
              <w:rPr>
                <w:rFonts w:ascii="Calibri" w:hAnsi="Calibri"/>
                <w:color w:val="000000"/>
              </w:rPr>
              <w:t>32.08</w:t>
            </w:r>
          </w:p>
        </w:tc>
        <w:tc>
          <w:tcPr>
            <w:tcW w:w="1284" w:type="dxa"/>
            <w:vAlign w:val="center"/>
          </w:tcPr>
          <w:p w14:paraId="66994057">
            <w:pPr>
              <w:pStyle w:val="41"/>
              <w:rPr>
                <w:rFonts w:ascii="Calibri" w:hAnsi="Calibri"/>
              </w:rPr>
            </w:pPr>
            <w:r>
              <w:rPr>
                <w:rFonts w:ascii="Calibri" w:hAnsi="Calibri"/>
                <w:color w:val="000000"/>
              </w:rPr>
              <w:t>43.135</w:t>
            </w:r>
          </w:p>
        </w:tc>
        <w:tc>
          <w:tcPr>
            <w:tcW w:w="1005" w:type="dxa"/>
            <w:noWrap/>
            <w:vAlign w:val="center"/>
          </w:tcPr>
          <w:p w14:paraId="20463E6C">
            <w:pPr>
              <w:pStyle w:val="41"/>
              <w:rPr>
                <w:rFonts w:ascii="Calibri" w:hAnsi="Calibri"/>
              </w:rPr>
            </w:pPr>
            <w:r>
              <w:rPr>
                <w:rFonts w:ascii="Calibri" w:hAnsi="Calibri"/>
                <w:color w:val="000000"/>
              </w:rPr>
              <w:t>+11.055</w:t>
            </w:r>
          </w:p>
        </w:tc>
      </w:tr>
      <w:tr w14:paraId="4EA0B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6" w:type="dxa"/>
            <w:vMerge w:val="continue"/>
            <w:vAlign w:val="center"/>
          </w:tcPr>
          <w:p w14:paraId="34247405">
            <w:pPr>
              <w:pStyle w:val="41"/>
              <w:rPr>
                <w:rFonts w:ascii="Calibri" w:hAnsi="Calibri"/>
              </w:rPr>
            </w:pPr>
          </w:p>
        </w:tc>
        <w:tc>
          <w:tcPr>
            <w:tcW w:w="2605" w:type="dxa"/>
            <w:vMerge w:val="continue"/>
            <w:vAlign w:val="center"/>
          </w:tcPr>
          <w:p w14:paraId="7583C5D2">
            <w:pPr>
              <w:pStyle w:val="41"/>
              <w:rPr>
                <w:rFonts w:ascii="Calibri" w:hAnsi="Calibri"/>
              </w:rPr>
            </w:pPr>
          </w:p>
        </w:tc>
        <w:tc>
          <w:tcPr>
            <w:tcW w:w="2268" w:type="dxa"/>
            <w:vAlign w:val="center"/>
          </w:tcPr>
          <w:p w14:paraId="5B48F99B">
            <w:pPr>
              <w:pStyle w:val="41"/>
              <w:rPr>
                <w:rFonts w:ascii="Calibri" w:hAnsi="Calibri"/>
              </w:rPr>
            </w:pPr>
            <w:r>
              <w:rPr>
                <w:rFonts w:ascii="Calibri" w:hAnsi="Calibri"/>
              </w:rPr>
              <w:t>SO</w:t>
            </w:r>
            <w:r>
              <w:rPr>
                <w:rFonts w:ascii="Calibri" w:hAnsi="Calibri"/>
                <w:vertAlign w:val="subscript"/>
              </w:rPr>
              <w:t>2</w:t>
            </w:r>
          </w:p>
        </w:tc>
        <w:tc>
          <w:tcPr>
            <w:tcW w:w="1254" w:type="dxa"/>
            <w:vAlign w:val="center"/>
          </w:tcPr>
          <w:p w14:paraId="199C93F1">
            <w:pPr>
              <w:pStyle w:val="41"/>
              <w:rPr>
                <w:rFonts w:ascii="Calibri" w:hAnsi="Calibri"/>
              </w:rPr>
            </w:pPr>
            <w:r>
              <w:rPr>
                <w:rFonts w:ascii="Calibri" w:hAnsi="Calibri"/>
                <w:color w:val="000000"/>
              </w:rPr>
              <w:t>10.695</w:t>
            </w:r>
          </w:p>
        </w:tc>
        <w:tc>
          <w:tcPr>
            <w:tcW w:w="1284" w:type="dxa"/>
            <w:vAlign w:val="center"/>
          </w:tcPr>
          <w:p w14:paraId="26E435DB">
            <w:pPr>
              <w:pStyle w:val="41"/>
              <w:rPr>
                <w:rFonts w:ascii="Calibri" w:hAnsi="Calibri"/>
              </w:rPr>
            </w:pPr>
            <w:r>
              <w:rPr>
                <w:rFonts w:ascii="Calibri" w:hAnsi="Calibri"/>
                <w:color w:val="000000"/>
              </w:rPr>
              <w:t>29.703</w:t>
            </w:r>
          </w:p>
        </w:tc>
        <w:tc>
          <w:tcPr>
            <w:tcW w:w="1005" w:type="dxa"/>
            <w:noWrap/>
            <w:vAlign w:val="center"/>
          </w:tcPr>
          <w:p w14:paraId="1BF2D9F8">
            <w:pPr>
              <w:pStyle w:val="41"/>
              <w:rPr>
                <w:rFonts w:ascii="Calibri" w:hAnsi="Calibri"/>
              </w:rPr>
            </w:pPr>
            <w:r>
              <w:rPr>
                <w:rFonts w:ascii="Calibri" w:hAnsi="Calibri"/>
                <w:color w:val="000000"/>
              </w:rPr>
              <w:t>+19.008</w:t>
            </w:r>
          </w:p>
        </w:tc>
      </w:tr>
      <w:tr w14:paraId="1978A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0687B5DC">
            <w:pPr>
              <w:pStyle w:val="41"/>
              <w:rPr>
                <w:rFonts w:ascii="Calibri" w:hAnsi="Calibri"/>
              </w:rPr>
            </w:pPr>
          </w:p>
        </w:tc>
        <w:tc>
          <w:tcPr>
            <w:tcW w:w="2605" w:type="dxa"/>
            <w:vMerge w:val="continue"/>
            <w:vAlign w:val="center"/>
          </w:tcPr>
          <w:p w14:paraId="1F5877B7">
            <w:pPr>
              <w:pStyle w:val="41"/>
              <w:rPr>
                <w:rFonts w:ascii="Calibri" w:hAnsi="Calibri"/>
              </w:rPr>
            </w:pPr>
          </w:p>
        </w:tc>
        <w:tc>
          <w:tcPr>
            <w:tcW w:w="2268" w:type="dxa"/>
            <w:vAlign w:val="center"/>
          </w:tcPr>
          <w:p w14:paraId="1FF56333">
            <w:pPr>
              <w:pStyle w:val="41"/>
              <w:rPr>
                <w:rFonts w:ascii="Calibri" w:hAnsi="Calibri"/>
              </w:rPr>
            </w:pPr>
            <w:r>
              <w:rPr>
                <w:rFonts w:ascii="Calibri" w:hAnsi="Calibri"/>
              </w:rPr>
              <w:t>NOx</w:t>
            </w:r>
          </w:p>
        </w:tc>
        <w:tc>
          <w:tcPr>
            <w:tcW w:w="1254" w:type="dxa"/>
            <w:vAlign w:val="center"/>
          </w:tcPr>
          <w:p w14:paraId="23EB6C74">
            <w:pPr>
              <w:pStyle w:val="41"/>
              <w:rPr>
                <w:rFonts w:ascii="Calibri" w:hAnsi="Calibri"/>
              </w:rPr>
            </w:pPr>
            <w:r>
              <w:rPr>
                <w:rFonts w:ascii="Calibri" w:hAnsi="Calibri"/>
                <w:color w:val="000000"/>
              </w:rPr>
              <w:t>59.562</w:t>
            </w:r>
          </w:p>
        </w:tc>
        <w:tc>
          <w:tcPr>
            <w:tcW w:w="1284" w:type="dxa"/>
            <w:vAlign w:val="center"/>
          </w:tcPr>
          <w:p w14:paraId="19AC5836">
            <w:pPr>
              <w:pStyle w:val="41"/>
              <w:rPr>
                <w:rFonts w:ascii="Calibri" w:hAnsi="Calibri"/>
              </w:rPr>
            </w:pPr>
            <w:r>
              <w:rPr>
                <w:rFonts w:ascii="Calibri" w:hAnsi="Calibri"/>
                <w:color w:val="000000"/>
              </w:rPr>
              <w:t>102.33</w:t>
            </w:r>
          </w:p>
        </w:tc>
        <w:tc>
          <w:tcPr>
            <w:tcW w:w="1005" w:type="dxa"/>
            <w:noWrap/>
            <w:vAlign w:val="center"/>
          </w:tcPr>
          <w:p w14:paraId="03C0E0B2">
            <w:pPr>
              <w:pStyle w:val="41"/>
              <w:rPr>
                <w:rFonts w:ascii="Calibri" w:hAnsi="Calibri"/>
              </w:rPr>
            </w:pPr>
            <w:r>
              <w:rPr>
                <w:rFonts w:ascii="Calibri" w:hAnsi="Calibri"/>
                <w:color w:val="000000"/>
              </w:rPr>
              <w:t>+42.768</w:t>
            </w:r>
          </w:p>
        </w:tc>
      </w:tr>
      <w:tr w14:paraId="41904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45C3D588">
            <w:pPr>
              <w:pStyle w:val="41"/>
              <w:rPr>
                <w:rFonts w:ascii="Calibri" w:hAnsi="Calibri"/>
              </w:rPr>
            </w:pPr>
          </w:p>
        </w:tc>
        <w:tc>
          <w:tcPr>
            <w:tcW w:w="2605" w:type="dxa"/>
            <w:vMerge w:val="continue"/>
            <w:vAlign w:val="center"/>
          </w:tcPr>
          <w:p w14:paraId="04E38B2A">
            <w:pPr>
              <w:pStyle w:val="41"/>
              <w:rPr>
                <w:rFonts w:ascii="Calibri" w:hAnsi="Calibri"/>
              </w:rPr>
            </w:pPr>
          </w:p>
        </w:tc>
        <w:tc>
          <w:tcPr>
            <w:tcW w:w="2268" w:type="dxa"/>
            <w:vAlign w:val="center"/>
          </w:tcPr>
          <w:p w14:paraId="285E8C0C">
            <w:pPr>
              <w:pStyle w:val="41"/>
              <w:rPr>
                <w:rFonts w:ascii="Calibri" w:hAnsi="Calibri"/>
              </w:rPr>
            </w:pPr>
            <w:r>
              <w:rPr>
                <w:rFonts w:ascii="Calibri" w:hAnsi="Calibri"/>
              </w:rPr>
              <w:t>汞及其化合物</w:t>
            </w:r>
          </w:p>
        </w:tc>
        <w:tc>
          <w:tcPr>
            <w:tcW w:w="1254" w:type="dxa"/>
            <w:vAlign w:val="center"/>
          </w:tcPr>
          <w:p w14:paraId="4E2F6E44">
            <w:pPr>
              <w:pStyle w:val="41"/>
              <w:rPr>
                <w:rFonts w:ascii="Calibri" w:hAnsi="Calibri"/>
              </w:rPr>
            </w:pPr>
            <w:r>
              <w:rPr>
                <w:rFonts w:ascii="Calibri" w:hAnsi="Calibri"/>
                <w:color w:val="000000"/>
              </w:rPr>
              <w:t>0.005</w:t>
            </w:r>
          </w:p>
        </w:tc>
        <w:tc>
          <w:tcPr>
            <w:tcW w:w="1284" w:type="dxa"/>
            <w:vAlign w:val="center"/>
          </w:tcPr>
          <w:p w14:paraId="0CA6129A">
            <w:pPr>
              <w:pStyle w:val="41"/>
              <w:rPr>
                <w:rFonts w:ascii="Calibri" w:hAnsi="Calibri"/>
              </w:rPr>
            </w:pPr>
            <w:r>
              <w:rPr>
                <w:rFonts w:ascii="Calibri" w:hAnsi="Calibri"/>
                <w:color w:val="000000"/>
              </w:rPr>
              <w:t>0.005</w:t>
            </w:r>
          </w:p>
        </w:tc>
        <w:tc>
          <w:tcPr>
            <w:tcW w:w="1005" w:type="dxa"/>
            <w:noWrap/>
            <w:vAlign w:val="center"/>
          </w:tcPr>
          <w:p w14:paraId="5A246700">
            <w:pPr>
              <w:pStyle w:val="41"/>
              <w:rPr>
                <w:rFonts w:ascii="Calibri" w:hAnsi="Calibri"/>
              </w:rPr>
            </w:pPr>
            <w:r>
              <w:rPr>
                <w:rFonts w:ascii="Calibri" w:hAnsi="Calibri"/>
                <w:color w:val="000000"/>
              </w:rPr>
              <w:t>0</w:t>
            </w:r>
          </w:p>
        </w:tc>
      </w:tr>
      <w:tr w14:paraId="0EA39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5740572E">
            <w:pPr>
              <w:pStyle w:val="41"/>
              <w:rPr>
                <w:rFonts w:ascii="Calibri" w:hAnsi="Calibri"/>
              </w:rPr>
            </w:pPr>
          </w:p>
        </w:tc>
        <w:tc>
          <w:tcPr>
            <w:tcW w:w="2605" w:type="dxa"/>
            <w:vMerge w:val="continue"/>
            <w:vAlign w:val="center"/>
          </w:tcPr>
          <w:p w14:paraId="5A5D6D1B">
            <w:pPr>
              <w:pStyle w:val="41"/>
              <w:rPr>
                <w:rFonts w:ascii="Calibri" w:hAnsi="Calibri"/>
              </w:rPr>
            </w:pPr>
          </w:p>
        </w:tc>
        <w:tc>
          <w:tcPr>
            <w:tcW w:w="2268" w:type="dxa"/>
            <w:vAlign w:val="center"/>
          </w:tcPr>
          <w:p w14:paraId="4D2F8624">
            <w:pPr>
              <w:pStyle w:val="41"/>
              <w:rPr>
                <w:rFonts w:ascii="Calibri" w:hAnsi="Calibri"/>
              </w:rPr>
            </w:pPr>
            <w:r>
              <w:rPr>
                <w:rFonts w:ascii="Calibri" w:hAnsi="Calibri"/>
              </w:rPr>
              <w:t>氨</w:t>
            </w:r>
          </w:p>
        </w:tc>
        <w:tc>
          <w:tcPr>
            <w:tcW w:w="1254" w:type="dxa"/>
            <w:vAlign w:val="center"/>
          </w:tcPr>
          <w:p w14:paraId="3339EB0C">
            <w:pPr>
              <w:pStyle w:val="41"/>
              <w:rPr>
                <w:rFonts w:ascii="Calibri" w:hAnsi="Calibri"/>
              </w:rPr>
            </w:pPr>
            <w:r>
              <w:rPr>
                <w:rFonts w:ascii="Calibri" w:hAnsi="Calibri"/>
                <w:color w:val="000000"/>
              </w:rPr>
              <w:t>2.235</w:t>
            </w:r>
          </w:p>
        </w:tc>
        <w:tc>
          <w:tcPr>
            <w:tcW w:w="1284" w:type="dxa"/>
            <w:vAlign w:val="center"/>
          </w:tcPr>
          <w:p w14:paraId="4FFAE847">
            <w:pPr>
              <w:pStyle w:val="41"/>
              <w:rPr>
                <w:rFonts w:ascii="Calibri" w:hAnsi="Calibri"/>
              </w:rPr>
            </w:pPr>
            <w:r>
              <w:rPr>
                <w:rFonts w:ascii="Calibri" w:hAnsi="Calibri"/>
                <w:color w:val="000000"/>
              </w:rPr>
              <w:t>4.405</w:t>
            </w:r>
          </w:p>
        </w:tc>
        <w:tc>
          <w:tcPr>
            <w:tcW w:w="1005" w:type="dxa"/>
            <w:noWrap/>
            <w:vAlign w:val="center"/>
          </w:tcPr>
          <w:p w14:paraId="67ADB91E">
            <w:pPr>
              <w:pStyle w:val="41"/>
              <w:rPr>
                <w:rFonts w:ascii="Calibri" w:hAnsi="Calibri"/>
              </w:rPr>
            </w:pPr>
            <w:r>
              <w:rPr>
                <w:rFonts w:ascii="Calibri" w:hAnsi="Calibri"/>
                <w:color w:val="000000"/>
              </w:rPr>
              <w:t>+2.17</w:t>
            </w:r>
          </w:p>
        </w:tc>
      </w:tr>
      <w:tr w14:paraId="2FCCD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361C3F54">
            <w:pPr>
              <w:pStyle w:val="41"/>
              <w:rPr>
                <w:rFonts w:ascii="Calibri" w:hAnsi="Calibri"/>
              </w:rPr>
            </w:pPr>
          </w:p>
        </w:tc>
        <w:tc>
          <w:tcPr>
            <w:tcW w:w="2605" w:type="dxa"/>
            <w:vMerge w:val="continue"/>
            <w:vAlign w:val="center"/>
          </w:tcPr>
          <w:p w14:paraId="74B655E6">
            <w:pPr>
              <w:pStyle w:val="41"/>
              <w:rPr>
                <w:rFonts w:ascii="Calibri" w:hAnsi="Calibri"/>
              </w:rPr>
            </w:pPr>
          </w:p>
        </w:tc>
        <w:tc>
          <w:tcPr>
            <w:tcW w:w="2268" w:type="dxa"/>
            <w:vAlign w:val="center"/>
          </w:tcPr>
          <w:p w14:paraId="120A5756">
            <w:pPr>
              <w:pStyle w:val="41"/>
              <w:rPr>
                <w:rFonts w:ascii="Calibri" w:hAnsi="Calibri"/>
              </w:rPr>
            </w:pPr>
            <w:r>
              <w:rPr>
                <w:rFonts w:ascii="Calibri" w:hAnsi="Calibri"/>
              </w:rPr>
              <w:t>氟化物</w:t>
            </w:r>
          </w:p>
        </w:tc>
        <w:tc>
          <w:tcPr>
            <w:tcW w:w="1254" w:type="dxa"/>
            <w:vAlign w:val="center"/>
          </w:tcPr>
          <w:p w14:paraId="31C53E9B">
            <w:pPr>
              <w:pStyle w:val="41"/>
              <w:rPr>
                <w:rFonts w:ascii="Calibri" w:hAnsi="Calibri"/>
              </w:rPr>
            </w:pPr>
            <w:r>
              <w:rPr>
                <w:rFonts w:ascii="Calibri" w:hAnsi="Calibri"/>
                <w:color w:val="000000"/>
              </w:rPr>
              <w:t>0</w:t>
            </w:r>
          </w:p>
        </w:tc>
        <w:tc>
          <w:tcPr>
            <w:tcW w:w="1284" w:type="dxa"/>
            <w:vAlign w:val="center"/>
          </w:tcPr>
          <w:p w14:paraId="76FF9B45">
            <w:pPr>
              <w:pStyle w:val="41"/>
              <w:rPr>
                <w:rFonts w:ascii="Calibri" w:hAnsi="Calibri"/>
              </w:rPr>
            </w:pPr>
            <w:r>
              <w:rPr>
                <w:rFonts w:ascii="Calibri" w:hAnsi="Calibri"/>
                <w:color w:val="000000"/>
              </w:rPr>
              <w:t>0.0114</w:t>
            </w:r>
          </w:p>
        </w:tc>
        <w:tc>
          <w:tcPr>
            <w:tcW w:w="1005" w:type="dxa"/>
            <w:noWrap/>
            <w:vAlign w:val="center"/>
          </w:tcPr>
          <w:p w14:paraId="46F49389">
            <w:pPr>
              <w:pStyle w:val="41"/>
              <w:rPr>
                <w:rFonts w:ascii="Calibri" w:hAnsi="Calibri"/>
              </w:rPr>
            </w:pPr>
            <w:r>
              <w:rPr>
                <w:rFonts w:ascii="Calibri" w:hAnsi="Calibri"/>
                <w:color w:val="000000"/>
              </w:rPr>
              <w:t>+0.0114</w:t>
            </w:r>
          </w:p>
        </w:tc>
      </w:tr>
      <w:tr w14:paraId="2385D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60668141">
            <w:pPr>
              <w:pStyle w:val="41"/>
              <w:rPr>
                <w:rFonts w:ascii="Calibri" w:hAnsi="Calibri"/>
              </w:rPr>
            </w:pPr>
          </w:p>
        </w:tc>
        <w:tc>
          <w:tcPr>
            <w:tcW w:w="2605" w:type="dxa"/>
            <w:vMerge w:val="continue"/>
            <w:vAlign w:val="center"/>
          </w:tcPr>
          <w:p w14:paraId="57797A25">
            <w:pPr>
              <w:pStyle w:val="41"/>
              <w:rPr>
                <w:rFonts w:ascii="Calibri" w:hAnsi="Calibri"/>
              </w:rPr>
            </w:pPr>
          </w:p>
        </w:tc>
        <w:tc>
          <w:tcPr>
            <w:tcW w:w="2268" w:type="dxa"/>
            <w:vAlign w:val="center"/>
          </w:tcPr>
          <w:p w14:paraId="6A4FCDFB">
            <w:pPr>
              <w:pStyle w:val="41"/>
              <w:rPr>
                <w:rFonts w:ascii="Calibri" w:hAnsi="Calibri"/>
              </w:rPr>
            </w:pPr>
            <w:r>
              <w:rPr>
                <w:rFonts w:ascii="Calibri" w:hAnsi="Calibri"/>
              </w:rPr>
              <w:t>二噁英类（</w:t>
            </w:r>
            <w:r>
              <w:rPr>
                <w:rFonts w:ascii="Calibri" w:hAnsi="Calibri" w:eastAsiaTheme="minorEastAsia"/>
              </w:rPr>
              <w:t>gTEQ/a</w:t>
            </w:r>
            <w:r>
              <w:rPr>
                <w:rFonts w:ascii="Calibri" w:hAnsi="Calibri"/>
              </w:rPr>
              <w:t>）</w:t>
            </w:r>
          </w:p>
        </w:tc>
        <w:tc>
          <w:tcPr>
            <w:tcW w:w="1254" w:type="dxa"/>
            <w:vAlign w:val="center"/>
          </w:tcPr>
          <w:p w14:paraId="129E0FA5">
            <w:pPr>
              <w:pStyle w:val="41"/>
              <w:rPr>
                <w:rFonts w:ascii="Calibri" w:hAnsi="Calibri"/>
              </w:rPr>
            </w:pPr>
            <w:r>
              <w:rPr>
                <w:rFonts w:ascii="Calibri" w:hAnsi="Calibri"/>
                <w:color w:val="000000"/>
              </w:rPr>
              <w:t>0</w:t>
            </w:r>
          </w:p>
        </w:tc>
        <w:tc>
          <w:tcPr>
            <w:tcW w:w="1284" w:type="dxa"/>
            <w:vAlign w:val="center"/>
          </w:tcPr>
          <w:p w14:paraId="54CAF146">
            <w:pPr>
              <w:pStyle w:val="41"/>
              <w:rPr>
                <w:rFonts w:ascii="Calibri" w:hAnsi="Calibri"/>
              </w:rPr>
            </w:pPr>
            <w:r>
              <w:rPr>
                <w:rFonts w:ascii="Calibri" w:hAnsi="Calibri"/>
                <w:color w:val="000000"/>
              </w:rPr>
              <w:t>0.4277</w:t>
            </w:r>
          </w:p>
        </w:tc>
        <w:tc>
          <w:tcPr>
            <w:tcW w:w="1005" w:type="dxa"/>
            <w:noWrap/>
            <w:vAlign w:val="center"/>
          </w:tcPr>
          <w:p w14:paraId="0896FD73">
            <w:pPr>
              <w:pStyle w:val="41"/>
              <w:rPr>
                <w:rFonts w:ascii="Calibri" w:hAnsi="Calibri"/>
              </w:rPr>
            </w:pPr>
            <w:r>
              <w:rPr>
                <w:rFonts w:ascii="Calibri" w:hAnsi="Calibri"/>
                <w:color w:val="000000"/>
              </w:rPr>
              <w:t>+0.4277</w:t>
            </w:r>
          </w:p>
        </w:tc>
      </w:tr>
      <w:tr w14:paraId="56752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5FBAB350">
            <w:pPr>
              <w:pStyle w:val="41"/>
              <w:rPr>
                <w:rFonts w:ascii="Calibri" w:hAnsi="Calibri"/>
              </w:rPr>
            </w:pPr>
          </w:p>
        </w:tc>
        <w:tc>
          <w:tcPr>
            <w:tcW w:w="2605" w:type="dxa"/>
            <w:vMerge w:val="continue"/>
            <w:vAlign w:val="center"/>
          </w:tcPr>
          <w:p w14:paraId="187DDD14">
            <w:pPr>
              <w:pStyle w:val="41"/>
              <w:rPr>
                <w:rFonts w:ascii="Calibri" w:hAnsi="Calibri"/>
              </w:rPr>
            </w:pPr>
          </w:p>
        </w:tc>
        <w:tc>
          <w:tcPr>
            <w:tcW w:w="2268" w:type="dxa"/>
            <w:vAlign w:val="center"/>
          </w:tcPr>
          <w:p w14:paraId="2F971A04">
            <w:pPr>
              <w:pStyle w:val="41"/>
              <w:rPr>
                <w:rFonts w:ascii="Calibri" w:hAnsi="Calibri"/>
              </w:rPr>
            </w:pPr>
            <w:r>
              <w:rPr>
                <w:rFonts w:ascii="Calibri" w:hAnsi="Calibri"/>
              </w:rPr>
              <w:t>非甲烷总烃</w:t>
            </w:r>
          </w:p>
        </w:tc>
        <w:tc>
          <w:tcPr>
            <w:tcW w:w="1254" w:type="dxa"/>
            <w:vAlign w:val="center"/>
          </w:tcPr>
          <w:p w14:paraId="52CDC572">
            <w:pPr>
              <w:pStyle w:val="41"/>
              <w:rPr>
                <w:rFonts w:ascii="Calibri" w:hAnsi="Calibri"/>
              </w:rPr>
            </w:pPr>
            <w:r>
              <w:rPr>
                <w:rFonts w:ascii="Calibri" w:hAnsi="Calibri"/>
                <w:color w:val="000000"/>
              </w:rPr>
              <w:t>8.964</w:t>
            </w:r>
          </w:p>
        </w:tc>
        <w:tc>
          <w:tcPr>
            <w:tcW w:w="1284" w:type="dxa"/>
            <w:vAlign w:val="center"/>
          </w:tcPr>
          <w:p w14:paraId="3B1C96E2">
            <w:pPr>
              <w:pStyle w:val="41"/>
              <w:rPr>
                <w:rFonts w:ascii="Calibri" w:hAnsi="Calibri"/>
              </w:rPr>
            </w:pPr>
            <w:r>
              <w:rPr>
                <w:rFonts w:ascii="Calibri" w:hAnsi="Calibri"/>
                <w:color w:val="000000"/>
              </w:rPr>
              <w:t>8.964</w:t>
            </w:r>
          </w:p>
        </w:tc>
        <w:tc>
          <w:tcPr>
            <w:tcW w:w="1005" w:type="dxa"/>
            <w:noWrap/>
            <w:vAlign w:val="center"/>
          </w:tcPr>
          <w:p w14:paraId="52D5283A">
            <w:pPr>
              <w:pStyle w:val="41"/>
              <w:rPr>
                <w:rFonts w:ascii="Calibri" w:hAnsi="Calibri"/>
              </w:rPr>
            </w:pPr>
            <w:r>
              <w:rPr>
                <w:rFonts w:ascii="Calibri" w:hAnsi="Calibri"/>
                <w:color w:val="000000"/>
              </w:rPr>
              <w:t>0</w:t>
            </w:r>
          </w:p>
        </w:tc>
      </w:tr>
      <w:tr w14:paraId="7105C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6788221A">
            <w:pPr>
              <w:pStyle w:val="41"/>
              <w:rPr>
                <w:rFonts w:ascii="Calibri" w:hAnsi="Calibri"/>
              </w:rPr>
            </w:pPr>
          </w:p>
        </w:tc>
        <w:tc>
          <w:tcPr>
            <w:tcW w:w="2605" w:type="dxa"/>
            <w:vMerge w:val="continue"/>
            <w:vAlign w:val="center"/>
          </w:tcPr>
          <w:p w14:paraId="6C913C33">
            <w:pPr>
              <w:pStyle w:val="41"/>
              <w:rPr>
                <w:rFonts w:ascii="Calibri" w:hAnsi="Calibri"/>
              </w:rPr>
            </w:pPr>
          </w:p>
        </w:tc>
        <w:tc>
          <w:tcPr>
            <w:tcW w:w="2268" w:type="dxa"/>
            <w:vAlign w:val="center"/>
          </w:tcPr>
          <w:p w14:paraId="1ABF5AEE">
            <w:pPr>
              <w:pStyle w:val="41"/>
              <w:rPr>
                <w:rFonts w:ascii="Calibri" w:hAnsi="Calibri"/>
              </w:rPr>
            </w:pPr>
            <w:r>
              <w:rPr>
                <w:rFonts w:ascii="Calibri" w:hAnsi="Calibri"/>
              </w:rPr>
              <w:t>甲醛</w:t>
            </w:r>
          </w:p>
        </w:tc>
        <w:tc>
          <w:tcPr>
            <w:tcW w:w="1254" w:type="dxa"/>
            <w:vAlign w:val="center"/>
          </w:tcPr>
          <w:p w14:paraId="3A100D3D">
            <w:pPr>
              <w:pStyle w:val="41"/>
              <w:rPr>
                <w:rFonts w:ascii="Calibri" w:hAnsi="Calibri"/>
              </w:rPr>
            </w:pPr>
            <w:r>
              <w:rPr>
                <w:rFonts w:ascii="Calibri" w:hAnsi="Calibri"/>
                <w:color w:val="000000"/>
              </w:rPr>
              <w:t>0.394</w:t>
            </w:r>
          </w:p>
        </w:tc>
        <w:tc>
          <w:tcPr>
            <w:tcW w:w="1284" w:type="dxa"/>
            <w:vAlign w:val="center"/>
          </w:tcPr>
          <w:p w14:paraId="14D8C085">
            <w:pPr>
              <w:pStyle w:val="41"/>
              <w:rPr>
                <w:rFonts w:ascii="Calibri" w:hAnsi="Calibri"/>
              </w:rPr>
            </w:pPr>
            <w:r>
              <w:rPr>
                <w:rFonts w:ascii="Calibri" w:hAnsi="Calibri"/>
                <w:color w:val="000000"/>
              </w:rPr>
              <w:t>0.394</w:t>
            </w:r>
          </w:p>
        </w:tc>
        <w:tc>
          <w:tcPr>
            <w:tcW w:w="1005" w:type="dxa"/>
            <w:noWrap/>
            <w:vAlign w:val="center"/>
          </w:tcPr>
          <w:p w14:paraId="5A5E5C3F">
            <w:pPr>
              <w:pStyle w:val="41"/>
              <w:rPr>
                <w:rFonts w:ascii="Calibri" w:hAnsi="Calibri"/>
              </w:rPr>
            </w:pPr>
            <w:r>
              <w:rPr>
                <w:rFonts w:ascii="Calibri" w:hAnsi="Calibri"/>
                <w:color w:val="000000"/>
              </w:rPr>
              <w:t>0</w:t>
            </w:r>
          </w:p>
        </w:tc>
      </w:tr>
      <w:tr w14:paraId="573F7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053C985B">
            <w:pPr>
              <w:pStyle w:val="41"/>
              <w:rPr>
                <w:rFonts w:ascii="Calibri" w:hAnsi="Calibri"/>
              </w:rPr>
            </w:pPr>
          </w:p>
        </w:tc>
        <w:tc>
          <w:tcPr>
            <w:tcW w:w="2605" w:type="dxa"/>
            <w:vMerge w:val="continue"/>
            <w:vAlign w:val="center"/>
          </w:tcPr>
          <w:p w14:paraId="00AD8DA4">
            <w:pPr>
              <w:pStyle w:val="41"/>
              <w:rPr>
                <w:rFonts w:ascii="Calibri" w:hAnsi="Calibri"/>
              </w:rPr>
            </w:pPr>
          </w:p>
        </w:tc>
        <w:tc>
          <w:tcPr>
            <w:tcW w:w="2268" w:type="dxa"/>
            <w:vAlign w:val="center"/>
          </w:tcPr>
          <w:p w14:paraId="1D1F70FF">
            <w:pPr>
              <w:pStyle w:val="41"/>
              <w:rPr>
                <w:rFonts w:ascii="Calibri" w:hAnsi="Calibri"/>
              </w:rPr>
            </w:pPr>
            <w:r>
              <w:rPr>
                <w:rFonts w:ascii="Calibri" w:hAnsi="Calibri"/>
              </w:rPr>
              <w:t>酚类</w:t>
            </w:r>
          </w:p>
        </w:tc>
        <w:tc>
          <w:tcPr>
            <w:tcW w:w="1254" w:type="dxa"/>
            <w:vAlign w:val="center"/>
          </w:tcPr>
          <w:p w14:paraId="5A3EA4C1">
            <w:pPr>
              <w:pStyle w:val="41"/>
              <w:rPr>
                <w:rFonts w:ascii="Calibri" w:hAnsi="Calibri"/>
              </w:rPr>
            </w:pPr>
            <w:r>
              <w:rPr>
                <w:rFonts w:ascii="Calibri" w:hAnsi="Calibri"/>
                <w:color w:val="000000"/>
              </w:rPr>
              <w:t>11.361</w:t>
            </w:r>
          </w:p>
        </w:tc>
        <w:tc>
          <w:tcPr>
            <w:tcW w:w="1284" w:type="dxa"/>
            <w:vAlign w:val="center"/>
          </w:tcPr>
          <w:p w14:paraId="30435558">
            <w:pPr>
              <w:pStyle w:val="41"/>
              <w:rPr>
                <w:rFonts w:ascii="Calibri" w:hAnsi="Calibri"/>
              </w:rPr>
            </w:pPr>
            <w:r>
              <w:rPr>
                <w:rFonts w:ascii="Calibri" w:hAnsi="Calibri"/>
                <w:color w:val="000000"/>
              </w:rPr>
              <w:t>11.361</w:t>
            </w:r>
          </w:p>
        </w:tc>
        <w:tc>
          <w:tcPr>
            <w:tcW w:w="1005" w:type="dxa"/>
            <w:noWrap/>
            <w:vAlign w:val="center"/>
          </w:tcPr>
          <w:p w14:paraId="222DEF3B">
            <w:pPr>
              <w:pStyle w:val="41"/>
              <w:rPr>
                <w:rFonts w:ascii="Calibri" w:hAnsi="Calibri"/>
              </w:rPr>
            </w:pPr>
            <w:r>
              <w:rPr>
                <w:rFonts w:ascii="Calibri" w:hAnsi="Calibri"/>
                <w:color w:val="000000"/>
              </w:rPr>
              <w:t>0</w:t>
            </w:r>
          </w:p>
        </w:tc>
      </w:tr>
      <w:tr w14:paraId="7B6A0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37E823F3">
            <w:pPr>
              <w:pStyle w:val="41"/>
              <w:rPr>
                <w:rFonts w:ascii="Calibri" w:hAnsi="Calibri"/>
              </w:rPr>
            </w:pPr>
          </w:p>
        </w:tc>
        <w:tc>
          <w:tcPr>
            <w:tcW w:w="2605" w:type="dxa"/>
            <w:vMerge w:val="restart"/>
            <w:vAlign w:val="center"/>
          </w:tcPr>
          <w:p w14:paraId="5FB8059B">
            <w:pPr>
              <w:pStyle w:val="41"/>
              <w:rPr>
                <w:rFonts w:ascii="Calibri" w:hAnsi="Calibri"/>
              </w:rPr>
            </w:pPr>
            <w:r>
              <w:rPr>
                <w:rFonts w:ascii="Calibri" w:hAnsi="Calibri"/>
              </w:rPr>
              <w:t>无组织</w:t>
            </w:r>
          </w:p>
        </w:tc>
        <w:tc>
          <w:tcPr>
            <w:tcW w:w="2268" w:type="dxa"/>
            <w:vAlign w:val="center"/>
          </w:tcPr>
          <w:p w14:paraId="31BBED77">
            <w:pPr>
              <w:pStyle w:val="41"/>
              <w:rPr>
                <w:rFonts w:ascii="Calibri" w:hAnsi="Calibri"/>
              </w:rPr>
            </w:pPr>
            <w:r>
              <w:rPr>
                <w:rFonts w:ascii="Calibri" w:hAnsi="Calibri"/>
                <w:kern w:val="0"/>
              </w:rPr>
              <w:t>甲醛</w:t>
            </w:r>
          </w:p>
        </w:tc>
        <w:tc>
          <w:tcPr>
            <w:tcW w:w="1254" w:type="dxa"/>
            <w:vAlign w:val="center"/>
          </w:tcPr>
          <w:p w14:paraId="1191C620">
            <w:pPr>
              <w:pStyle w:val="41"/>
              <w:rPr>
                <w:rFonts w:ascii="Calibri" w:hAnsi="Calibri"/>
                <w:color w:val="000000"/>
              </w:rPr>
            </w:pPr>
            <w:r>
              <w:rPr>
                <w:rFonts w:ascii="Calibri" w:hAnsi="Calibri" w:eastAsiaTheme="minorEastAsia"/>
                <w:kern w:val="0"/>
              </w:rPr>
              <w:t>0.039</w:t>
            </w:r>
          </w:p>
        </w:tc>
        <w:tc>
          <w:tcPr>
            <w:tcW w:w="1284" w:type="dxa"/>
            <w:vAlign w:val="center"/>
          </w:tcPr>
          <w:p w14:paraId="206A6F93">
            <w:pPr>
              <w:pStyle w:val="41"/>
              <w:rPr>
                <w:rFonts w:ascii="Calibri" w:hAnsi="Calibri"/>
                <w:color w:val="000000"/>
              </w:rPr>
            </w:pPr>
            <w:r>
              <w:rPr>
                <w:rFonts w:ascii="Calibri" w:hAnsi="Calibri" w:eastAsiaTheme="minorEastAsia"/>
                <w:kern w:val="0"/>
              </w:rPr>
              <w:t>0.039</w:t>
            </w:r>
          </w:p>
        </w:tc>
        <w:tc>
          <w:tcPr>
            <w:tcW w:w="1005" w:type="dxa"/>
            <w:noWrap/>
            <w:vAlign w:val="center"/>
          </w:tcPr>
          <w:p w14:paraId="2E472BDA">
            <w:pPr>
              <w:pStyle w:val="41"/>
              <w:rPr>
                <w:rFonts w:ascii="Calibri" w:hAnsi="Calibri"/>
                <w:color w:val="000000"/>
              </w:rPr>
            </w:pPr>
            <w:r>
              <w:rPr>
                <w:rFonts w:ascii="Calibri" w:hAnsi="Calibri"/>
                <w:color w:val="000000"/>
              </w:rPr>
              <w:t>0</w:t>
            </w:r>
          </w:p>
        </w:tc>
      </w:tr>
      <w:tr w14:paraId="6836B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2EC203CD">
            <w:pPr>
              <w:pStyle w:val="41"/>
              <w:rPr>
                <w:rFonts w:ascii="Calibri" w:hAnsi="Calibri"/>
              </w:rPr>
            </w:pPr>
          </w:p>
        </w:tc>
        <w:tc>
          <w:tcPr>
            <w:tcW w:w="2605" w:type="dxa"/>
            <w:vMerge w:val="continue"/>
            <w:vAlign w:val="center"/>
          </w:tcPr>
          <w:p w14:paraId="64189A2D">
            <w:pPr>
              <w:pStyle w:val="41"/>
              <w:rPr>
                <w:rFonts w:ascii="Calibri" w:hAnsi="Calibri"/>
              </w:rPr>
            </w:pPr>
          </w:p>
        </w:tc>
        <w:tc>
          <w:tcPr>
            <w:tcW w:w="2268" w:type="dxa"/>
            <w:vAlign w:val="center"/>
          </w:tcPr>
          <w:p w14:paraId="1EDF8DDC">
            <w:pPr>
              <w:pStyle w:val="41"/>
              <w:rPr>
                <w:rFonts w:ascii="Calibri" w:hAnsi="Calibri"/>
              </w:rPr>
            </w:pPr>
            <w:r>
              <w:rPr>
                <w:rFonts w:ascii="Calibri" w:hAnsi="Calibri"/>
                <w:kern w:val="0"/>
              </w:rPr>
              <w:t>酚类</w:t>
            </w:r>
          </w:p>
        </w:tc>
        <w:tc>
          <w:tcPr>
            <w:tcW w:w="1254" w:type="dxa"/>
            <w:vAlign w:val="center"/>
          </w:tcPr>
          <w:p w14:paraId="0151FEC7">
            <w:pPr>
              <w:pStyle w:val="41"/>
              <w:rPr>
                <w:rFonts w:ascii="Calibri" w:hAnsi="Calibri"/>
                <w:color w:val="000000"/>
              </w:rPr>
            </w:pPr>
            <w:r>
              <w:rPr>
                <w:rFonts w:ascii="Calibri" w:hAnsi="Calibri" w:eastAsiaTheme="minorEastAsia"/>
                <w:kern w:val="0"/>
              </w:rPr>
              <w:t>0.039</w:t>
            </w:r>
          </w:p>
        </w:tc>
        <w:tc>
          <w:tcPr>
            <w:tcW w:w="1284" w:type="dxa"/>
            <w:vAlign w:val="center"/>
          </w:tcPr>
          <w:p w14:paraId="41A7C134">
            <w:pPr>
              <w:pStyle w:val="41"/>
              <w:rPr>
                <w:rFonts w:ascii="Calibri" w:hAnsi="Calibri"/>
                <w:color w:val="000000"/>
              </w:rPr>
            </w:pPr>
            <w:r>
              <w:rPr>
                <w:rFonts w:ascii="Calibri" w:hAnsi="Calibri" w:eastAsiaTheme="minorEastAsia"/>
                <w:kern w:val="0"/>
              </w:rPr>
              <w:t>0.039</w:t>
            </w:r>
          </w:p>
        </w:tc>
        <w:tc>
          <w:tcPr>
            <w:tcW w:w="1005" w:type="dxa"/>
            <w:noWrap/>
            <w:vAlign w:val="center"/>
          </w:tcPr>
          <w:p w14:paraId="5BABC879">
            <w:pPr>
              <w:pStyle w:val="41"/>
              <w:rPr>
                <w:rFonts w:ascii="Calibri" w:hAnsi="Calibri"/>
                <w:color w:val="000000"/>
              </w:rPr>
            </w:pPr>
            <w:r>
              <w:rPr>
                <w:rFonts w:ascii="Calibri" w:hAnsi="Calibri"/>
                <w:color w:val="000000"/>
              </w:rPr>
              <w:t>0</w:t>
            </w:r>
          </w:p>
        </w:tc>
      </w:tr>
      <w:tr w14:paraId="5AD8C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6" w:type="dxa"/>
            <w:vMerge w:val="continue"/>
            <w:vAlign w:val="center"/>
          </w:tcPr>
          <w:p w14:paraId="15B4BE13">
            <w:pPr>
              <w:pStyle w:val="41"/>
              <w:rPr>
                <w:rFonts w:ascii="Calibri" w:hAnsi="Calibri"/>
              </w:rPr>
            </w:pPr>
          </w:p>
        </w:tc>
        <w:tc>
          <w:tcPr>
            <w:tcW w:w="2605" w:type="dxa"/>
            <w:vMerge w:val="continue"/>
            <w:vAlign w:val="center"/>
          </w:tcPr>
          <w:p w14:paraId="51EC97C6">
            <w:pPr>
              <w:pStyle w:val="41"/>
              <w:rPr>
                <w:rFonts w:ascii="Calibri" w:hAnsi="Calibri"/>
              </w:rPr>
            </w:pPr>
          </w:p>
        </w:tc>
        <w:tc>
          <w:tcPr>
            <w:tcW w:w="2268" w:type="dxa"/>
            <w:vAlign w:val="center"/>
          </w:tcPr>
          <w:p w14:paraId="7C875B98">
            <w:pPr>
              <w:pStyle w:val="41"/>
              <w:rPr>
                <w:rFonts w:ascii="Calibri" w:hAnsi="Calibri"/>
              </w:rPr>
            </w:pPr>
            <w:r>
              <w:rPr>
                <w:rFonts w:ascii="Calibri" w:hAnsi="Calibri"/>
              </w:rPr>
              <w:t>颗粒物</w:t>
            </w:r>
          </w:p>
        </w:tc>
        <w:tc>
          <w:tcPr>
            <w:tcW w:w="1254" w:type="dxa"/>
            <w:vAlign w:val="center"/>
          </w:tcPr>
          <w:p w14:paraId="6FD1E029">
            <w:pPr>
              <w:pStyle w:val="41"/>
              <w:rPr>
                <w:rFonts w:ascii="Calibri" w:hAnsi="Calibri"/>
                <w:color w:val="000000"/>
              </w:rPr>
            </w:pPr>
            <w:r>
              <w:rPr>
                <w:rFonts w:ascii="Calibri" w:hAnsi="Calibri"/>
                <w:color w:val="000000"/>
              </w:rPr>
              <w:t>2.48</w:t>
            </w:r>
          </w:p>
        </w:tc>
        <w:tc>
          <w:tcPr>
            <w:tcW w:w="1284" w:type="dxa"/>
            <w:vAlign w:val="center"/>
          </w:tcPr>
          <w:p w14:paraId="61916E2B">
            <w:pPr>
              <w:pStyle w:val="41"/>
              <w:rPr>
                <w:rFonts w:ascii="Calibri" w:hAnsi="Calibri"/>
                <w:color w:val="000000"/>
              </w:rPr>
            </w:pPr>
            <w:r>
              <w:rPr>
                <w:rFonts w:ascii="Calibri" w:hAnsi="Calibri"/>
                <w:color w:val="000000"/>
              </w:rPr>
              <w:t>3.467</w:t>
            </w:r>
          </w:p>
        </w:tc>
        <w:tc>
          <w:tcPr>
            <w:tcW w:w="1005" w:type="dxa"/>
            <w:noWrap/>
            <w:vAlign w:val="center"/>
          </w:tcPr>
          <w:p w14:paraId="233C4968">
            <w:pPr>
              <w:pStyle w:val="41"/>
              <w:rPr>
                <w:rFonts w:ascii="Calibri" w:hAnsi="Calibri"/>
                <w:color w:val="000000"/>
              </w:rPr>
            </w:pPr>
            <w:r>
              <w:rPr>
                <w:rFonts w:ascii="Calibri" w:hAnsi="Calibri"/>
                <w:color w:val="000000"/>
              </w:rPr>
              <w:t>0.987</w:t>
            </w:r>
          </w:p>
        </w:tc>
      </w:tr>
      <w:bookmarkEnd w:id="148"/>
      <w:bookmarkEnd w:id="149"/>
    </w:tbl>
    <w:p w14:paraId="4AA9E8EF">
      <w:pPr>
        <w:ind w:firstLine="420"/>
        <w:jc w:val="left"/>
      </w:pPr>
      <w:r>
        <w:t>综上所述，本次技改工程新增大气污染物主要为精炼车间有组织颗粒物及全厂相关工段无组织扬尘排放。</w:t>
      </w:r>
    </w:p>
    <w:p w14:paraId="4BFAFF4C">
      <w:pPr>
        <w:ind w:firstLine="420"/>
        <w:jc w:val="left"/>
      </w:pPr>
      <w:r>
        <w:t>（3）废气非正常排放情况</w:t>
      </w:r>
    </w:p>
    <w:p w14:paraId="7720DE6C">
      <w:pPr>
        <w:ind w:firstLine="420"/>
        <w:jc w:val="left"/>
      </w:pPr>
      <w:r>
        <w:t>非正常排放是指项目生产运行阶段的点火、停炉、检修、一般性事故和发生泄漏时的污染物的不正常排放，本项目生产设备一般1年大修一次。</w:t>
      </w:r>
    </w:p>
    <w:p w14:paraId="4301D0F1">
      <w:pPr>
        <w:ind w:firstLine="420"/>
        <w:jc w:val="left"/>
      </w:pPr>
      <w:r>
        <w:rPr>
          <w:rFonts w:ascii="Cambria Math" w:hAnsi="Cambria Math" w:cs="Cambria Math"/>
        </w:rPr>
        <w:t>①</w:t>
      </w:r>
      <w:r>
        <w:t>废气事故工况</w:t>
      </w:r>
    </w:p>
    <w:p w14:paraId="37B98332">
      <w:pPr>
        <w:ind w:firstLine="420"/>
        <w:jc w:val="left"/>
      </w:pPr>
      <w:r>
        <w:t>非正常工况为废气处理装置失效导致废气未完全经处理达标后直接经排气筒排放。</w:t>
      </w:r>
    </w:p>
    <w:p w14:paraId="62EAE03E">
      <w:pPr>
        <w:ind w:firstLine="420"/>
        <w:jc w:val="left"/>
      </w:pPr>
      <w:r>
        <w:t>脱硫系统故障：湿法脱硫设备故障造成喷淋层减少，导致二氧化硫排放量增大。发生率每年大约1-2次，发生故障后可及时检修，更换时间最多为1小时，脱除效率按从95%降为20%计。</w:t>
      </w:r>
    </w:p>
    <w:p w14:paraId="67A98483">
      <w:pPr>
        <w:ind w:firstLine="420"/>
        <w:jc w:val="left"/>
      </w:pPr>
      <w:r>
        <w:t>除尘器事故：正常情况下，布袋可在停炉时按使用周期成批更换，运行中布袋泄漏，布袋除尘器发生泄露时，烟尘的最高浓度会增加为正常情况的3倍左右。相应的二噁英类的排放量也增加3倍左右。</w:t>
      </w:r>
    </w:p>
    <w:p w14:paraId="6D4D7532">
      <w:pPr>
        <w:ind w:firstLine="420"/>
        <w:jc w:val="left"/>
      </w:pPr>
      <w:r>
        <w:t>脱硝系统故障：点火启动、停炉熄火导致脱硝系统不能投运，脱硝效率按0计。</w:t>
      </w:r>
    </w:p>
    <w:p w14:paraId="4F95F6AD">
      <w:pPr>
        <w:ind w:firstLine="420"/>
        <w:jc w:val="left"/>
      </w:pPr>
      <w:r>
        <w:t>以上生产事故以事故发生时的环境污染程度最大，可能导致一定程度的环境污染。因此，除采用先进成熟的工艺技术和设备外，生产中还应加强管理，严格操作规程，提高工人素质，精心操作，防患于未然，将非正常排放控制到最小。</w:t>
      </w:r>
    </w:p>
    <w:p w14:paraId="472519E6">
      <w:pPr>
        <w:ind w:firstLine="420"/>
        <w:jc w:val="left"/>
      </w:pPr>
      <w:r>
        <w:t>拟建工程设计采取全厂大联锁自动控制措施，一旦发生非正常排放，立即停止生产（熔炼系统停止投料），及时进行检修，使生产系统保持正常生产状况。</w:t>
      </w:r>
    </w:p>
    <w:p w14:paraId="755F583B">
      <w:pPr>
        <w:pStyle w:val="40"/>
        <w:spacing w:before="120"/>
      </w:pPr>
      <w:r>
        <w:t>表4.3-8    非正常工况污染物排放一览表</w:t>
      </w:r>
    </w:p>
    <w:tbl>
      <w:tblPr>
        <w:tblStyle w:val="44"/>
        <w:tblW w:w="0" w:type="auto"/>
        <w:tblInd w:w="14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585"/>
        <w:gridCol w:w="1106"/>
        <w:gridCol w:w="920"/>
        <w:gridCol w:w="732"/>
        <w:gridCol w:w="758"/>
        <w:gridCol w:w="761"/>
        <w:gridCol w:w="1149"/>
        <w:gridCol w:w="938"/>
      </w:tblGrid>
      <w:tr w14:paraId="35625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65C8BACE">
            <w:pPr>
              <w:pStyle w:val="41"/>
              <w:snapToGrid w:val="0"/>
              <w:ind w:left="-72" w:leftChars="-30" w:right="-72" w:rightChars="-30"/>
              <w:rPr>
                <w:rFonts w:ascii="Calibri" w:hAnsi="Calibri"/>
              </w:rPr>
            </w:pPr>
            <w:r>
              <w:rPr>
                <w:rFonts w:ascii="Calibri" w:hAnsi="Calibri"/>
              </w:rPr>
              <w:t>非正常工况</w:t>
            </w:r>
          </w:p>
        </w:tc>
        <w:tc>
          <w:tcPr>
            <w:tcW w:w="1585" w:type="dxa"/>
            <w:vAlign w:val="center"/>
          </w:tcPr>
          <w:p w14:paraId="60B355EA">
            <w:pPr>
              <w:pStyle w:val="41"/>
              <w:snapToGrid w:val="0"/>
              <w:ind w:left="-72" w:leftChars="-30" w:right="-72" w:rightChars="-30"/>
              <w:rPr>
                <w:rFonts w:ascii="Calibri" w:hAnsi="Calibri"/>
              </w:rPr>
            </w:pPr>
            <w:r>
              <w:rPr>
                <w:rFonts w:ascii="Calibri" w:hAnsi="Calibri"/>
              </w:rPr>
              <w:t>排口编号</w:t>
            </w:r>
          </w:p>
        </w:tc>
        <w:tc>
          <w:tcPr>
            <w:tcW w:w="1106" w:type="dxa"/>
            <w:vAlign w:val="center"/>
          </w:tcPr>
          <w:p w14:paraId="5AF3CD1F">
            <w:pPr>
              <w:pStyle w:val="41"/>
              <w:snapToGrid w:val="0"/>
              <w:ind w:left="-72" w:leftChars="-30" w:right="-72" w:rightChars="-30"/>
              <w:rPr>
                <w:rFonts w:ascii="Calibri" w:hAnsi="Calibri"/>
              </w:rPr>
            </w:pPr>
            <w:r>
              <w:rPr>
                <w:rFonts w:ascii="Calibri" w:hAnsi="Calibri"/>
              </w:rPr>
              <w:t>烟气量（Nm³/h）</w:t>
            </w:r>
          </w:p>
        </w:tc>
        <w:tc>
          <w:tcPr>
            <w:tcW w:w="920" w:type="dxa"/>
            <w:vAlign w:val="center"/>
          </w:tcPr>
          <w:p w14:paraId="5610F34E">
            <w:pPr>
              <w:pStyle w:val="41"/>
              <w:snapToGrid w:val="0"/>
              <w:ind w:left="-72" w:leftChars="-30" w:right="-72" w:rightChars="-30"/>
              <w:rPr>
                <w:rFonts w:ascii="Calibri" w:hAnsi="Calibri"/>
              </w:rPr>
            </w:pPr>
            <w:r>
              <w:rPr>
                <w:rFonts w:ascii="Calibri" w:hAnsi="Calibri"/>
              </w:rPr>
              <w:t>烟气温度（℃）</w:t>
            </w:r>
          </w:p>
        </w:tc>
        <w:tc>
          <w:tcPr>
            <w:tcW w:w="732" w:type="dxa"/>
            <w:vAlign w:val="center"/>
          </w:tcPr>
          <w:p w14:paraId="6352D764">
            <w:pPr>
              <w:pStyle w:val="41"/>
              <w:snapToGrid w:val="0"/>
              <w:ind w:left="-72" w:leftChars="-30" w:right="-72" w:rightChars="-30"/>
              <w:rPr>
                <w:rFonts w:ascii="Calibri" w:hAnsi="Calibri"/>
              </w:rPr>
            </w:pPr>
            <w:r>
              <w:rPr>
                <w:rFonts w:ascii="Calibri" w:hAnsi="Calibri"/>
              </w:rPr>
              <w:t>高度（m）</w:t>
            </w:r>
          </w:p>
        </w:tc>
        <w:tc>
          <w:tcPr>
            <w:tcW w:w="758" w:type="dxa"/>
            <w:vAlign w:val="center"/>
          </w:tcPr>
          <w:p w14:paraId="7C1E1248">
            <w:pPr>
              <w:pStyle w:val="41"/>
              <w:snapToGrid w:val="0"/>
              <w:ind w:left="-72" w:leftChars="-30" w:right="-72" w:rightChars="-30"/>
              <w:rPr>
                <w:rFonts w:ascii="Calibri" w:hAnsi="Calibri"/>
              </w:rPr>
            </w:pPr>
            <w:r>
              <w:rPr>
                <w:rFonts w:ascii="Calibri" w:hAnsi="Calibri"/>
              </w:rPr>
              <w:t>内径（m）</w:t>
            </w:r>
          </w:p>
        </w:tc>
        <w:tc>
          <w:tcPr>
            <w:tcW w:w="761" w:type="dxa"/>
            <w:vAlign w:val="center"/>
          </w:tcPr>
          <w:p w14:paraId="28B05722">
            <w:pPr>
              <w:pStyle w:val="41"/>
              <w:snapToGrid w:val="0"/>
              <w:ind w:left="-72" w:leftChars="-30" w:right="-72" w:rightChars="-30"/>
              <w:rPr>
                <w:rFonts w:ascii="Calibri" w:hAnsi="Calibri"/>
              </w:rPr>
            </w:pPr>
            <w:r>
              <w:rPr>
                <w:rFonts w:ascii="Calibri" w:hAnsi="Calibri"/>
              </w:rPr>
              <w:t>污染物</w:t>
            </w:r>
          </w:p>
        </w:tc>
        <w:tc>
          <w:tcPr>
            <w:tcW w:w="1149" w:type="dxa"/>
            <w:vAlign w:val="center"/>
          </w:tcPr>
          <w:p w14:paraId="100B7A50">
            <w:pPr>
              <w:pStyle w:val="41"/>
              <w:snapToGrid w:val="0"/>
              <w:ind w:left="-72" w:leftChars="-30" w:right="-72" w:rightChars="-30"/>
              <w:rPr>
                <w:rFonts w:ascii="Calibri" w:hAnsi="Calibri"/>
              </w:rPr>
            </w:pPr>
            <w:r>
              <w:rPr>
                <w:rFonts w:ascii="Calibri" w:hAnsi="Calibri"/>
              </w:rPr>
              <w:t>排放浓度（mg/m³）</w:t>
            </w:r>
          </w:p>
        </w:tc>
        <w:tc>
          <w:tcPr>
            <w:tcW w:w="938" w:type="dxa"/>
            <w:vAlign w:val="center"/>
          </w:tcPr>
          <w:p w14:paraId="23600311">
            <w:pPr>
              <w:pStyle w:val="41"/>
              <w:snapToGrid w:val="0"/>
              <w:ind w:left="-72" w:leftChars="-30" w:right="-72" w:rightChars="-30"/>
              <w:rPr>
                <w:rFonts w:ascii="Calibri" w:hAnsi="Calibri"/>
              </w:rPr>
            </w:pPr>
            <w:r>
              <w:rPr>
                <w:rFonts w:ascii="Calibri" w:hAnsi="Calibri"/>
              </w:rPr>
              <w:t>源强（kg/h）</w:t>
            </w:r>
          </w:p>
        </w:tc>
      </w:tr>
      <w:tr w14:paraId="0668A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18F95276">
            <w:pPr>
              <w:pStyle w:val="41"/>
              <w:snapToGrid w:val="0"/>
              <w:ind w:left="-72" w:leftChars="-30" w:right="-72" w:rightChars="-30"/>
              <w:rPr>
                <w:rFonts w:ascii="Calibri" w:hAnsi="Calibri"/>
              </w:rPr>
            </w:pPr>
            <w:r>
              <w:rPr>
                <w:rFonts w:ascii="Calibri" w:hAnsi="Calibri"/>
              </w:rPr>
              <w:t>点火启动、停炉熄火</w:t>
            </w:r>
          </w:p>
        </w:tc>
        <w:tc>
          <w:tcPr>
            <w:tcW w:w="1585" w:type="dxa"/>
            <w:vAlign w:val="center"/>
          </w:tcPr>
          <w:p w14:paraId="2FDD49B7">
            <w:pPr>
              <w:pStyle w:val="41"/>
              <w:snapToGrid w:val="0"/>
              <w:ind w:left="-72" w:leftChars="-30" w:right="-72" w:rightChars="-30"/>
              <w:rPr>
                <w:rFonts w:ascii="Calibri" w:hAnsi="Calibri"/>
              </w:rPr>
            </w:pPr>
            <w:r>
              <w:rPr>
                <w:rFonts w:ascii="Calibri" w:hAnsi="Calibri"/>
              </w:rPr>
              <w:t>烧结废气排放口（DA002）</w:t>
            </w:r>
          </w:p>
        </w:tc>
        <w:tc>
          <w:tcPr>
            <w:tcW w:w="1106" w:type="dxa"/>
            <w:vAlign w:val="center"/>
          </w:tcPr>
          <w:p w14:paraId="5761CAF2">
            <w:pPr>
              <w:pStyle w:val="41"/>
              <w:snapToGrid w:val="0"/>
              <w:ind w:left="-72" w:leftChars="-30" w:right="-72" w:rightChars="-30"/>
              <w:rPr>
                <w:rFonts w:ascii="Calibri" w:hAnsi="Calibri"/>
              </w:rPr>
            </w:pPr>
            <w:r>
              <w:rPr>
                <w:rFonts w:ascii="Calibri" w:hAnsi="Calibri"/>
              </w:rPr>
              <w:t>120000</w:t>
            </w:r>
          </w:p>
        </w:tc>
        <w:tc>
          <w:tcPr>
            <w:tcW w:w="920" w:type="dxa"/>
            <w:vAlign w:val="center"/>
          </w:tcPr>
          <w:p w14:paraId="5DB37B1B">
            <w:pPr>
              <w:pStyle w:val="41"/>
              <w:snapToGrid w:val="0"/>
              <w:ind w:left="-72" w:leftChars="-30" w:right="-72" w:rightChars="-30"/>
              <w:rPr>
                <w:rFonts w:ascii="Calibri" w:hAnsi="Calibri"/>
              </w:rPr>
            </w:pPr>
            <w:r>
              <w:rPr>
                <w:rFonts w:ascii="Calibri" w:hAnsi="Calibri"/>
              </w:rPr>
              <w:t>50</w:t>
            </w:r>
          </w:p>
        </w:tc>
        <w:tc>
          <w:tcPr>
            <w:tcW w:w="732" w:type="dxa"/>
            <w:vAlign w:val="center"/>
          </w:tcPr>
          <w:p w14:paraId="4986A8CE">
            <w:pPr>
              <w:pStyle w:val="41"/>
              <w:snapToGrid w:val="0"/>
              <w:ind w:left="-72" w:leftChars="-30" w:right="-72" w:rightChars="-30"/>
              <w:rPr>
                <w:rFonts w:ascii="Calibri" w:hAnsi="Calibri"/>
              </w:rPr>
            </w:pPr>
            <w:r>
              <w:rPr>
                <w:rFonts w:ascii="Calibri" w:hAnsi="Calibri"/>
              </w:rPr>
              <w:t>55</w:t>
            </w:r>
          </w:p>
        </w:tc>
        <w:tc>
          <w:tcPr>
            <w:tcW w:w="758" w:type="dxa"/>
            <w:vAlign w:val="center"/>
          </w:tcPr>
          <w:p w14:paraId="4E06B330">
            <w:pPr>
              <w:pStyle w:val="41"/>
              <w:snapToGrid w:val="0"/>
              <w:ind w:left="-72" w:leftChars="-30" w:right="-72" w:rightChars="-30"/>
              <w:rPr>
                <w:rFonts w:ascii="Calibri" w:hAnsi="Calibri"/>
              </w:rPr>
            </w:pPr>
            <w:r>
              <w:rPr>
                <w:rFonts w:ascii="Calibri" w:hAnsi="Calibri"/>
              </w:rPr>
              <w:t>2.8</w:t>
            </w:r>
          </w:p>
        </w:tc>
        <w:tc>
          <w:tcPr>
            <w:tcW w:w="761" w:type="dxa"/>
            <w:vAlign w:val="center"/>
          </w:tcPr>
          <w:p w14:paraId="721515CC">
            <w:pPr>
              <w:pStyle w:val="41"/>
              <w:snapToGrid w:val="0"/>
              <w:ind w:left="-72" w:leftChars="-30" w:right="-72" w:rightChars="-30"/>
              <w:rPr>
                <w:rFonts w:ascii="Calibri" w:hAnsi="Calibri"/>
              </w:rPr>
            </w:pPr>
            <w:r>
              <w:rPr>
                <w:rFonts w:ascii="Calibri" w:hAnsi="Calibri"/>
              </w:rPr>
              <w:t>NOx</w:t>
            </w:r>
          </w:p>
        </w:tc>
        <w:tc>
          <w:tcPr>
            <w:tcW w:w="1149" w:type="dxa"/>
            <w:vAlign w:val="center"/>
          </w:tcPr>
          <w:p w14:paraId="2DF21963">
            <w:pPr>
              <w:pStyle w:val="41"/>
              <w:snapToGrid w:val="0"/>
              <w:ind w:left="-72" w:leftChars="-30" w:right="-72" w:rightChars="-30"/>
              <w:rPr>
                <w:rFonts w:ascii="Calibri" w:hAnsi="Calibri"/>
              </w:rPr>
            </w:pPr>
            <w:r>
              <w:rPr>
                <w:rFonts w:ascii="Calibri" w:hAnsi="Calibri"/>
              </w:rPr>
              <w:t>260</w:t>
            </w:r>
          </w:p>
        </w:tc>
        <w:tc>
          <w:tcPr>
            <w:tcW w:w="938" w:type="dxa"/>
            <w:vAlign w:val="center"/>
          </w:tcPr>
          <w:p w14:paraId="3BC4C28E">
            <w:pPr>
              <w:pStyle w:val="41"/>
              <w:snapToGrid w:val="0"/>
              <w:ind w:left="-72" w:leftChars="-30" w:right="-72" w:rightChars="-30"/>
              <w:rPr>
                <w:rFonts w:ascii="Calibri" w:hAnsi="Calibri"/>
              </w:rPr>
            </w:pPr>
            <w:r>
              <w:rPr>
                <w:rFonts w:ascii="Calibri" w:hAnsi="Calibri"/>
              </w:rPr>
              <w:t>31.2</w:t>
            </w:r>
          </w:p>
        </w:tc>
      </w:tr>
      <w:tr w14:paraId="109E0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dxa"/>
            <w:vMerge w:val="restart"/>
            <w:vAlign w:val="center"/>
          </w:tcPr>
          <w:p w14:paraId="7810BFE5">
            <w:pPr>
              <w:pStyle w:val="41"/>
              <w:snapToGrid w:val="0"/>
              <w:ind w:left="-72" w:leftChars="-30" w:right="-72" w:rightChars="-30"/>
              <w:rPr>
                <w:rFonts w:ascii="Calibri" w:hAnsi="Calibri"/>
              </w:rPr>
            </w:pPr>
            <w:r>
              <w:rPr>
                <w:rFonts w:ascii="Calibri" w:hAnsi="Calibri"/>
              </w:rPr>
              <w:t>废气处理装置故障</w:t>
            </w:r>
          </w:p>
        </w:tc>
        <w:tc>
          <w:tcPr>
            <w:tcW w:w="1585" w:type="dxa"/>
            <w:vMerge w:val="restart"/>
            <w:vAlign w:val="center"/>
          </w:tcPr>
          <w:p w14:paraId="359E9D8B">
            <w:pPr>
              <w:pStyle w:val="41"/>
              <w:snapToGrid w:val="0"/>
              <w:ind w:left="-72" w:leftChars="-30" w:right="-72" w:rightChars="-30"/>
              <w:rPr>
                <w:rFonts w:ascii="Calibri" w:hAnsi="Calibri"/>
              </w:rPr>
            </w:pPr>
            <w:r>
              <w:rPr>
                <w:rFonts w:ascii="Calibri" w:hAnsi="Calibri"/>
              </w:rPr>
              <w:t>烧结废气排放口（DA002）</w:t>
            </w:r>
          </w:p>
        </w:tc>
        <w:tc>
          <w:tcPr>
            <w:tcW w:w="1106" w:type="dxa"/>
            <w:vMerge w:val="restart"/>
            <w:vAlign w:val="center"/>
          </w:tcPr>
          <w:p w14:paraId="210E9FF6">
            <w:pPr>
              <w:pStyle w:val="41"/>
              <w:snapToGrid w:val="0"/>
              <w:ind w:left="-72" w:leftChars="-30" w:right="-72" w:rightChars="-30"/>
              <w:rPr>
                <w:rFonts w:ascii="Calibri" w:hAnsi="Calibri"/>
              </w:rPr>
            </w:pPr>
            <w:r>
              <w:rPr>
                <w:rFonts w:ascii="Calibri" w:hAnsi="Calibri"/>
              </w:rPr>
              <w:t>120000</w:t>
            </w:r>
          </w:p>
        </w:tc>
        <w:tc>
          <w:tcPr>
            <w:tcW w:w="920" w:type="dxa"/>
            <w:vMerge w:val="restart"/>
            <w:vAlign w:val="center"/>
          </w:tcPr>
          <w:p w14:paraId="491B5843">
            <w:pPr>
              <w:pStyle w:val="41"/>
              <w:snapToGrid w:val="0"/>
              <w:ind w:left="-72" w:leftChars="-30" w:right="-72" w:rightChars="-30"/>
              <w:rPr>
                <w:rFonts w:ascii="Calibri" w:hAnsi="Calibri"/>
              </w:rPr>
            </w:pPr>
            <w:r>
              <w:rPr>
                <w:rFonts w:ascii="Calibri" w:hAnsi="Calibri"/>
              </w:rPr>
              <w:t>50</w:t>
            </w:r>
          </w:p>
        </w:tc>
        <w:tc>
          <w:tcPr>
            <w:tcW w:w="732" w:type="dxa"/>
            <w:vMerge w:val="restart"/>
            <w:vAlign w:val="center"/>
          </w:tcPr>
          <w:p w14:paraId="3915EF83">
            <w:pPr>
              <w:pStyle w:val="41"/>
              <w:snapToGrid w:val="0"/>
              <w:ind w:left="-72" w:leftChars="-30" w:right="-72" w:rightChars="-30"/>
              <w:rPr>
                <w:rFonts w:ascii="Calibri" w:hAnsi="Calibri"/>
              </w:rPr>
            </w:pPr>
            <w:r>
              <w:rPr>
                <w:rFonts w:ascii="Calibri" w:hAnsi="Calibri"/>
              </w:rPr>
              <w:t>55</w:t>
            </w:r>
          </w:p>
        </w:tc>
        <w:tc>
          <w:tcPr>
            <w:tcW w:w="758" w:type="dxa"/>
            <w:vMerge w:val="restart"/>
            <w:vAlign w:val="center"/>
          </w:tcPr>
          <w:p w14:paraId="19924105">
            <w:pPr>
              <w:pStyle w:val="41"/>
              <w:snapToGrid w:val="0"/>
              <w:ind w:left="-72" w:leftChars="-30" w:right="-72" w:rightChars="-30"/>
              <w:rPr>
                <w:rFonts w:ascii="Calibri" w:hAnsi="Calibri"/>
              </w:rPr>
            </w:pPr>
            <w:r>
              <w:rPr>
                <w:rFonts w:ascii="Calibri" w:hAnsi="Calibri"/>
              </w:rPr>
              <w:t>2.8</w:t>
            </w:r>
          </w:p>
        </w:tc>
        <w:tc>
          <w:tcPr>
            <w:tcW w:w="761" w:type="dxa"/>
            <w:vAlign w:val="center"/>
          </w:tcPr>
          <w:p w14:paraId="1AD51AC9">
            <w:pPr>
              <w:pStyle w:val="41"/>
              <w:snapToGrid w:val="0"/>
              <w:ind w:left="-72" w:leftChars="-30" w:right="-72" w:rightChars="-30"/>
              <w:rPr>
                <w:rFonts w:ascii="Calibri" w:hAnsi="Calibri"/>
              </w:rPr>
            </w:pPr>
            <w:r>
              <w:rPr>
                <w:rFonts w:ascii="Calibri" w:hAnsi="Calibri"/>
              </w:rPr>
              <w:t>颗粒物</w:t>
            </w:r>
          </w:p>
        </w:tc>
        <w:tc>
          <w:tcPr>
            <w:tcW w:w="1149" w:type="dxa"/>
            <w:vAlign w:val="center"/>
          </w:tcPr>
          <w:p w14:paraId="7C714CCF">
            <w:pPr>
              <w:pStyle w:val="41"/>
              <w:snapToGrid w:val="0"/>
              <w:ind w:left="-72" w:leftChars="-30" w:right="-72" w:rightChars="-30"/>
              <w:rPr>
                <w:rFonts w:ascii="Calibri" w:hAnsi="Calibri"/>
              </w:rPr>
            </w:pPr>
            <w:r>
              <w:rPr>
                <w:rFonts w:ascii="Calibri" w:hAnsi="Calibri"/>
              </w:rPr>
              <w:t>120</w:t>
            </w:r>
          </w:p>
        </w:tc>
        <w:tc>
          <w:tcPr>
            <w:tcW w:w="938" w:type="dxa"/>
            <w:vAlign w:val="center"/>
          </w:tcPr>
          <w:p w14:paraId="219C9F75">
            <w:pPr>
              <w:pStyle w:val="41"/>
              <w:snapToGrid w:val="0"/>
              <w:ind w:left="-72" w:leftChars="-30" w:right="-72" w:rightChars="-30"/>
              <w:rPr>
                <w:rFonts w:ascii="Calibri" w:hAnsi="Calibri"/>
              </w:rPr>
            </w:pPr>
            <w:r>
              <w:rPr>
                <w:rFonts w:ascii="Calibri" w:hAnsi="Calibri"/>
              </w:rPr>
              <w:t>1.44</w:t>
            </w:r>
          </w:p>
        </w:tc>
      </w:tr>
      <w:tr w14:paraId="63FF9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14:paraId="18AD7076">
            <w:pPr>
              <w:pStyle w:val="41"/>
              <w:snapToGrid w:val="0"/>
              <w:ind w:left="-72" w:leftChars="-30" w:right="-72" w:rightChars="-30"/>
              <w:rPr>
                <w:rFonts w:ascii="Calibri" w:hAnsi="Calibri"/>
              </w:rPr>
            </w:pPr>
          </w:p>
        </w:tc>
        <w:tc>
          <w:tcPr>
            <w:tcW w:w="1585" w:type="dxa"/>
            <w:vMerge w:val="continue"/>
            <w:vAlign w:val="center"/>
          </w:tcPr>
          <w:p w14:paraId="50C01F3B">
            <w:pPr>
              <w:pStyle w:val="41"/>
              <w:snapToGrid w:val="0"/>
              <w:ind w:left="-72" w:leftChars="-30" w:right="-72" w:rightChars="-30"/>
              <w:rPr>
                <w:rFonts w:ascii="Calibri" w:hAnsi="Calibri"/>
              </w:rPr>
            </w:pPr>
          </w:p>
        </w:tc>
        <w:tc>
          <w:tcPr>
            <w:tcW w:w="1106" w:type="dxa"/>
            <w:vMerge w:val="continue"/>
            <w:vAlign w:val="center"/>
          </w:tcPr>
          <w:p w14:paraId="757AF565">
            <w:pPr>
              <w:pStyle w:val="41"/>
              <w:snapToGrid w:val="0"/>
              <w:ind w:left="-72" w:leftChars="-30" w:right="-72" w:rightChars="-30"/>
              <w:rPr>
                <w:rFonts w:ascii="Calibri" w:hAnsi="Calibri"/>
              </w:rPr>
            </w:pPr>
          </w:p>
        </w:tc>
        <w:tc>
          <w:tcPr>
            <w:tcW w:w="920" w:type="dxa"/>
            <w:vMerge w:val="continue"/>
            <w:vAlign w:val="center"/>
          </w:tcPr>
          <w:p w14:paraId="0925112A">
            <w:pPr>
              <w:pStyle w:val="41"/>
              <w:snapToGrid w:val="0"/>
              <w:ind w:left="-72" w:leftChars="-30" w:right="-72" w:rightChars="-30"/>
              <w:rPr>
                <w:rFonts w:ascii="Calibri" w:hAnsi="Calibri"/>
              </w:rPr>
            </w:pPr>
          </w:p>
        </w:tc>
        <w:tc>
          <w:tcPr>
            <w:tcW w:w="732" w:type="dxa"/>
            <w:vMerge w:val="continue"/>
            <w:vAlign w:val="center"/>
          </w:tcPr>
          <w:p w14:paraId="6E103A44">
            <w:pPr>
              <w:pStyle w:val="41"/>
              <w:snapToGrid w:val="0"/>
              <w:ind w:left="-72" w:leftChars="-30" w:right="-72" w:rightChars="-30"/>
              <w:rPr>
                <w:rFonts w:ascii="Calibri" w:hAnsi="Calibri"/>
              </w:rPr>
            </w:pPr>
          </w:p>
        </w:tc>
        <w:tc>
          <w:tcPr>
            <w:tcW w:w="758" w:type="dxa"/>
            <w:vMerge w:val="continue"/>
            <w:vAlign w:val="center"/>
          </w:tcPr>
          <w:p w14:paraId="7F9843E0">
            <w:pPr>
              <w:pStyle w:val="41"/>
              <w:snapToGrid w:val="0"/>
              <w:ind w:left="-72" w:leftChars="-30" w:right="-72" w:rightChars="-30"/>
              <w:rPr>
                <w:rFonts w:ascii="Calibri" w:hAnsi="Calibri"/>
              </w:rPr>
            </w:pPr>
          </w:p>
        </w:tc>
        <w:tc>
          <w:tcPr>
            <w:tcW w:w="761" w:type="dxa"/>
            <w:vAlign w:val="center"/>
          </w:tcPr>
          <w:p w14:paraId="0F70EE46">
            <w:pPr>
              <w:pStyle w:val="41"/>
              <w:snapToGrid w:val="0"/>
              <w:ind w:left="-72" w:leftChars="-30" w:right="-72" w:rightChars="-30"/>
              <w:rPr>
                <w:rFonts w:ascii="Calibri" w:hAnsi="Calibri"/>
              </w:rPr>
            </w:pPr>
            <w:r>
              <w:rPr>
                <w:rFonts w:ascii="Calibri" w:hAnsi="Calibri"/>
              </w:rPr>
              <w:t>SO</w:t>
            </w:r>
            <w:r>
              <w:rPr>
                <w:rFonts w:ascii="Calibri" w:hAnsi="Calibri"/>
                <w:vertAlign w:val="subscript"/>
              </w:rPr>
              <w:t>2</w:t>
            </w:r>
          </w:p>
        </w:tc>
        <w:tc>
          <w:tcPr>
            <w:tcW w:w="1149" w:type="dxa"/>
            <w:vAlign w:val="center"/>
          </w:tcPr>
          <w:p w14:paraId="7A71BDAE">
            <w:pPr>
              <w:pStyle w:val="41"/>
              <w:snapToGrid w:val="0"/>
              <w:ind w:left="-72" w:leftChars="-30" w:right="-72" w:rightChars="-30"/>
              <w:rPr>
                <w:rFonts w:ascii="Calibri" w:hAnsi="Calibri"/>
              </w:rPr>
            </w:pPr>
            <w:r>
              <w:rPr>
                <w:rFonts w:ascii="Calibri" w:hAnsi="Calibri"/>
              </w:rPr>
              <w:t>320</w:t>
            </w:r>
          </w:p>
        </w:tc>
        <w:tc>
          <w:tcPr>
            <w:tcW w:w="938" w:type="dxa"/>
            <w:vAlign w:val="center"/>
          </w:tcPr>
          <w:p w14:paraId="7886BCA3">
            <w:pPr>
              <w:pStyle w:val="41"/>
              <w:snapToGrid w:val="0"/>
              <w:ind w:left="-72" w:leftChars="-30" w:right="-72" w:rightChars="-30"/>
              <w:rPr>
                <w:rFonts w:ascii="Calibri" w:hAnsi="Calibri"/>
              </w:rPr>
            </w:pPr>
            <w:r>
              <w:rPr>
                <w:rFonts w:ascii="Calibri" w:hAnsi="Calibri"/>
              </w:rPr>
              <w:t>38.4</w:t>
            </w:r>
          </w:p>
        </w:tc>
      </w:tr>
      <w:tr w14:paraId="45B87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14:paraId="60A7BB96">
            <w:pPr>
              <w:pStyle w:val="41"/>
              <w:snapToGrid w:val="0"/>
              <w:ind w:left="-72" w:leftChars="-30" w:right="-72" w:rightChars="-30"/>
              <w:rPr>
                <w:rFonts w:ascii="Calibri" w:hAnsi="Calibri"/>
              </w:rPr>
            </w:pPr>
          </w:p>
        </w:tc>
        <w:tc>
          <w:tcPr>
            <w:tcW w:w="1585" w:type="dxa"/>
            <w:vMerge w:val="continue"/>
            <w:vAlign w:val="center"/>
          </w:tcPr>
          <w:p w14:paraId="1DD45DEF">
            <w:pPr>
              <w:pStyle w:val="41"/>
              <w:snapToGrid w:val="0"/>
              <w:ind w:left="-72" w:leftChars="-30" w:right="-72" w:rightChars="-30"/>
              <w:rPr>
                <w:rFonts w:ascii="Calibri" w:hAnsi="Calibri"/>
              </w:rPr>
            </w:pPr>
          </w:p>
        </w:tc>
        <w:tc>
          <w:tcPr>
            <w:tcW w:w="1106" w:type="dxa"/>
            <w:vMerge w:val="continue"/>
            <w:vAlign w:val="center"/>
          </w:tcPr>
          <w:p w14:paraId="772457A3">
            <w:pPr>
              <w:pStyle w:val="41"/>
              <w:snapToGrid w:val="0"/>
              <w:ind w:left="-72" w:leftChars="-30" w:right="-72" w:rightChars="-30"/>
              <w:rPr>
                <w:rFonts w:ascii="Calibri" w:hAnsi="Calibri"/>
              </w:rPr>
            </w:pPr>
          </w:p>
        </w:tc>
        <w:tc>
          <w:tcPr>
            <w:tcW w:w="920" w:type="dxa"/>
            <w:vMerge w:val="continue"/>
            <w:vAlign w:val="center"/>
          </w:tcPr>
          <w:p w14:paraId="484302CC">
            <w:pPr>
              <w:pStyle w:val="41"/>
              <w:snapToGrid w:val="0"/>
              <w:ind w:left="-72" w:leftChars="-30" w:right="-72" w:rightChars="-30"/>
              <w:rPr>
                <w:rFonts w:ascii="Calibri" w:hAnsi="Calibri"/>
              </w:rPr>
            </w:pPr>
          </w:p>
        </w:tc>
        <w:tc>
          <w:tcPr>
            <w:tcW w:w="732" w:type="dxa"/>
            <w:vMerge w:val="continue"/>
            <w:vAlign w:val="center"/>
          </w:tcPr>
          <w:p w14:paraId="4DCF2C3E">
            <w:pPr>
              <w:pStyle w:val="41"/>
              <w:snapToGrid w:val="0"/>
              <w:ind w:left="-72" w:leftChars="-30" w:right="-72" w:rightChars="-30"/>
              <w:rPr>
                <w:rFonts w:ascii="Calibri" w:hAnsi="Calibri"/>
              </w:rPr>
            </w:pPr>
          </w:p>
        </w:tc>
        <w:tc>
          <w:tcPr>
            <w:tcW w:w="758" w:type="dxa"/>
            <w:vMerge w:val="continue"/>
            <w:vAlign w:val="center"/>
          </w:tcPr>
          <w:p w14:paraId="1FE12217">
            <w:pPr>
              <w:pStyle w:val="41"/>
              <w:snapToGrid w:val="0"/>
              <w:ind w:left="-72" w:leftChars="-30" w:right="-72" w:rightChars="-30"/>
              <w:rPr>
                <w:rFonts w:ascii="Calibri" w:hAnsi="Calibri"/>
              </w:rPr>
            </w:pPr>
          </w:p>
        </w:tc>
        <w:tc>
          <w:tcPr>
            <w:tcW w:w="761" w:type="dxa"/>
            <w:vAlign w:val="center"/>
          </w:tcPr>
          <w:p w14:paraId="1AE57E7C">
            <w:pPr>
              <w:pStyle w:val="41"/>
              <w:snapToGrid w:val="0"/>
              <w:ind w:left="-72" w:leftChars="-30" w:right="-72" w:rightChars="-30"/>
              <w:rPr>
                <w:rFonts w:ascii="Calibri" w:hAnsi="Calibri"/>
              </w:rPr>
            </w:pPr>
            <w:r>
              <w:rPr>
                <w:rFonts w:ascii="Calibri" w:hAnsi="Calibri"/>
              </w:rPr>
              <w:t>二噁英类</w:t>
            </w:r>
          </w:p>
        </w:tc>
        <w:tc>
          <w:tcPr>
            <w:tcW w:w="1149" w:type="dxa"/>
            <w:vAlign w:val="center"/>
          </w:tcPr>
          <w:p w14:paraId="71322260">
            <w:pPr>
              <w:pStyle w:val="41"/>
              <w:snapToGrid w:val="0"/>
              <w:ind w:left="-72" w:leftChars="-30" w:right="-72" w:rightChars="-30"/>
              <w:rPr>
                <w:rFonts w:ascii="Calibri" w:hAnsi="Calibri"/>
              </w:rPr>
            </w:pPr>
            <w:r>
              <w:rPr>
                <w:rFonts w:ascii="Calibri" w:hAnsi="Calibri" w:eastAsiaTheme="minorEastAsia"/>
                <w:spacing w:val="-3"/>
              </w:rPr>
              <w:t>1.71n</w:t>
            </w:r>
            <w:r>
              <w:rPr>
                <w:rFonts w:ascii="Calibri" w:hAnsi="Calibri" w:eastAsiaTheme="minorEastAsia"/>
              </w:rPr>
              <w:t>gTEQ/m³</w:t>
            </w:r>
          </w:p>
        </w:tc>
        <w:tc>
          <w:tcPr>
            <w:tcW w:w="938" w:type="dxa"/>
            <w:vAlign w:val="center"/>
          </w:tcPr>
          <w:p w14:paraId="2B5DBA15">
            <w:pPr>
              <w:pStyle w:val="41"/>
              <w:snapToGrid w:val="0"/>
              <w:ind w:left="-72" w:leftChars="-30" w:right="-72" w:rightChars="-30"/>
              <w:rPr>
                <w:rFonts w:ascii="Calibri" w:hAnsi="Calibri"/>
              </w:rPr>
            </w:pPr>
            <w:r>
              <w:rPr>
                <w:rFonts w:ascii="Calibri" w:hAnsi="Calibri"/>
              </w:rPr>
              <w:t>0.21mg</w:t>
            </w:r>
            <w:r>
              <w:rPr>
                <w:rFonts w:ascii="Calibri" w:hAnsi="Calibri" w:eastAsiaTheme="minorEastAsia"/>
                <w:kern w:val="0"/>
              </w:rPr>
              <w:t>TEQ/h</w:t>
            </w:r>
          </w:p>
        </w:tc>
      </w:tr>
      <w:tr w14:paraId="71BDE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14:paraId="51F419D2">
            <w:pPr>
              <w:pStyle w:val="41"/>
              <w:snapToGrid w:val="0"/>
              <w:ind w:left="-72" w:leftChars="-30" w:right="-72" w:rightChars="-30"/>
              <w:rPr>
                <w:rFonts w:ascii="Calibri" w:hAnsi="Calibri"/>
              </w:rPr>
            </w:pPr>
          </w:p>
        </w:tc>
        <w:tc>
          <w:tcPr>
            <w:tcW w:w="1585" w:type="dxa"/>
            <w:vAlign w:val="center"/>
          </w:tcPr>
          <w:p w14:paraId="1C8F6EC6">
            <w:pPr>
              <w:pStyle w:val="41"/>
              <w:snapToGrid w:val="0"/>
              <w:ind w:left="-72" w:leftChars="-30" w:right="-72" w:rightChars="-30"/>
              <w:rPr>
                <w:rFonts w:ascii="Calibri" w:hAnsi="Calibri"/>
              </w:rPr>
            </w:pPr>
            <w:r>
              <w:rPr>
                <w:rFonts w:ascii="Calibri" w:hAnsi="Calibri"/>
                <w:spacing w:val="-2"/>
              </w:rPr>
              <w:t>烧结机尾废气排口</w:t>
            </w:r>
            <w:r>
              <w:rPr>
                <w:rFonts w:ascii="Calibri" w:hAnsi="Calibri"/>
              </w:rPr>
              <w:t>（DA008）</w:t>
            </w:r>
          </w:p>
        </w:tc>
        <w:tc>
          <w:tcPr>
            <w:tcW w:w="1106" w:type="dxa"/>
            <w:vAlign w:val="center"/>
          </w:tcPr>
          <w:p w14:paraId="45996178">
            <w:pPr>
              <w:pStyle w:val="41"/>
              <w:snapToGrid w:val="0"/>
              <w:ind w:left="-72" w:leftChars="-30" w:right="-72" w:rightChars="-30"/>
              <w:rPr>
                <w:rFonts w:ascii="Calibri" w:hAnsi="Calibri"/>
              </w:rPr>
            </w:pPr>
            <w:r>
              <w:rPr>
                <w:rFonts w:ascii="Calibri" w:hAnsi="Calibri"/>
              </w:rPr>
              <w:t>80000</w:t>
            </w:r>
          </w:p>
        </w:tc>
        <w:tc>
          <w:tcPr>
            <w:tcW w:w="920" w:type="dxa"/>
            <w:vAlign w:val="center"/>
          </w:tcPr>
          <w:p w14:paraId="283D13A2">
            <w:pPr>
              <w:pStyle w:val="41"/>
              <w:snapToGrid w:val="0"/>
              <w:ind w:left="-72" w:leftChars="-30" w:right="-72" w:rightChars="-30"/>
              <w:rPr>
                <w:rFonts w:ascii="Calibri" w:hAnsi="Calibri"/>
              </w:rPr>
            </w:pPr>
            <w:r>
              <w:rPr>
                <w:rFonts w:ascii="Calibri" w:hAnsi="Calibri"/>
              </w:rPr>
              <w:t>50</w:t>
            </w:r>
          </w:p>
        </w:tc>
        <w:tc>
          <w:tcPr>
            <w:tcW w:w="732" w:type="dxa"/>
            <w:vAlign w:val="center"/>
          </w:tcPr>
          <w:p w14:paraId="4A26FBED">
            <w:pPr>
              <w:pStyle w:val="41"/>
              <w:snapToGrid w:val="0"/>
              <w:ind w:left="-72" w:leftChars="-30" w:right="-72" w:rightChars="-30"/>
              <w:rPr>
                <w:rFonts w:ascii="Calibri" w:hAnsi="Calibri"/>
              </w:rPr>
            </w:pPr>
            <w:r>
              <w:rPr>
                <w:rFonts w:ascii="Calibri" w:hAnsi="Calibri"/>
              </w:rPr>
              <w:t>30</w:t>
            </w:r>
          </w:p>
        </w:tc>
        <w:tc>
          <w:tcPr>
            <w:tcW w:w="758" w:type="dxa"/>
            <w:vAlign w:val="center"/>
          </w:tcPr>
          <w:p w14:paraId="549B9747">
            <w:pPr>
              <w:pStyle w:val="41"/>
              <w:snapToGrid w:val="0"/>
              <w:ind w:left="-72" w:leftChars="-30" w:right="-72" w:rightChars="-30"/>
              <w:rPr>
                <w:rFonts w:ascii="Calibri" w:hAnsi="Calibri"/>
              </w:rPr>
            </w:pPr>
            <w:r>
              <w:rPr>
                <w:rFonts w:ascii="Calibri" w:hAnsi="Calibri"/>
              </w:rPr>
              <w:t>2.2</w:t>
            </w:r>
          </w:p>
        </w:tc>
        <w:tc>
          <w:tcPr>
            <w:tcW w:w="761" w:type="dxa"/>
            <w:vAlign w:val="center"/>
          </w:tcPr>
          <w:p w14:paraId="70075302">
            <w:pPr>
              <w:pStyle w:val="41"/>
              <w:snapToGrid w:val="0"/>
              <w:ind w:left="-72" w:leftChars="-30" w:right="-72" w:rightChars="-30"/>
              <w:rPr>
                <w:rFonts w:ascii="Calibri" w:hAnsi="Calibri"/>
              </w:rPr>
            </w:pPr>
            <w:r>
              <w:rPr>
                <w:rFonts w:ascii="Calibri" w:hAnsi="Calibri"/>
              </w:rPr>
              <w:t>颗粒物</w:t>
            </w:r>
          </w:p>
        </w:tc>
        <w:tc>
          <w:tcPr>
            <w:tcW w:w="1149" w:type="dxa"/>
            <w:vAlign w:val="center"/>
          </w:tcPr>
          <w:p w14:paraId="64087A39">
            <w:pPr>
              <w:pStyle w:val="41"/>
              <w:snapToGrid w:val="0"/>
              <w:ind w:left="-72" w:leftChars="-30" w:right="-72" w:rightChars="-30"/>
              <w:rPr>
                <w:rFonts w:ascii="Calibri" w:hAnsi="Calibri"/>
              </w:rPr>
            </w:pPr>
            <w:r>
              <w:rPr>
                <w:rFonts w:ascii="Calibri" w:hAnsi="Calibri"/>
              </w:rPr>
              <w:t>15</w:t>
            </w:r>
          </w:p>
        </w:tc>
        <w:tc>
          <w:tcPr>
            <w:tcW w:w="938" w:type="dxa"/>
            <w:vAlign w:val="center"/>
          </w:tcPr>
          <w:p w14:paraId="3445B858">
            <w:pPr>
              <w:pStyle w:val="41"/>
              <w:snapToGrid w:val="0"/>
              <w:ind w:left="-72" w:leftChars="-30" w:right="-72" w:rightChars="-30"/>
              <w:rPr>
                <w:rFonts w:ascii="Calibri" w:hAnsi="Calibri"/>
              </w:rPr>
            </w:pPr>
            <w:r>
              <w:rPr>
                <w:rFonts w:ascii="Calibri" w:hAnsi="Calibri"/>
              </w:rPr>
              <w:t>1.2</w:t>
            </w:r>
          </w:p>
        </w:tc>
      </w:tr>
      <w:tr w14:paraId="612C5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14:paraId="1D642A2D">
            <w:pPr>
              <w:pStyle w:val="41"/>
              <w:snapToGrid w:val="0"/>
              <w:ind w:left="-72" w:leftChars="-30" w:right="-72" w:rightChars="-30"/>
              <w:rPr>
                <w:rFonts w:ascii="Calibri" w:hAnsi="Calibri"/>
              </w:rPr>
            </w:pPr>
          </w:p>
        </w:tc>
        <w:tc>
          <w:tcPr>
            <w:tcW w:w="1585" w:type="dxa"/>
            <w:vAlign w:val="center"/>
          </w:tcPr>
          <w:p w14:paraId="26B2B147">
            <w:pPr>
              <w:pStyle w:val="41"/>
              <w:snapToGrid w:val="0"/>
              <w:ind w:left="-72" w:leftChars="-30" w:right="-72" w:rightChars="-30"/>
              <w:rPr>
                <w:rFonts w:ascii="Calibri" w:hAnsi="Calibri"/>
              </w:rPr>
            </w:pPr>
            <w:r>
              <w:rPr>
                <w:rFonts w:ascii="Calibri" w:hAnsi="Calibri"/>
              </w:rPr>
              <w:t>技改新增精炼车间废气排放口（DA009）</w:t>
            </w:r>
          </w:p>
        </w:tc>
        <w:tc>
          <w:tcPr>
            <w:tcW w:w="1106" w:type="dxa"/>
            <w:vAlign w:val="center"/>
          </w:tcPr>
          <w:p w14:paraId="3047BBB9">
            <w:pPr>
              <w:pStyle w:val="41"/>
              <w:snapToGrid w:val="0"/>
              <w:ind w:left="-72" w:leftChars="-30" w:right="-72" w:rightChars="-30"/>
              <w:rPr>
                <w:rFonts w:ascii="Calibri" w:hAnsi="Calibri"/>
              </w:rPr>
            </w:pPr>
            <w:r>
              <w:rPr>
                <w:rFonts w:ascii="Calibri" w:hAnsi="Calibri"/>
              </w:rPr>
              <w:t>80000</w:t>
            </w:r>
          </w:p>
        </w:tc>
        <w:tc>
          <w:tcPr>
            <w:tcW w:w="920" w:type="dxa"/>
            <w:vAlign w:val="center"/>
          </w:tcPr>
          <w:p w14:paraId="4AF97442">
            <w:pPr>
              <w:pStyle w:val="41"/>
              <w:snapToGrid w:val="0"/>
              <w:ind w:left="-72" w:leftChars="-30" w:right="-72" w:rightChars="-30"/>
              <w:rPr>
                <w:rFonts w:ascii="Calibri" w:hAnsi="Calibri"/>
              </w:rPr>
            </w:pPr>
            <w:r>
              <w:rPr>
                <w:rFonts w:ascii="Calibri" w:hAnsi="Calibri"/>
              </w:rPr>
              <w:t>常温</w:t>
            </w:r>
          </w:p>
        </w:tc>
        <w:tc>
          <w:tcPr>
            <w:tcW w:w="732" w:type="dxa"/>
            <w:vAlign w:val="center"/>
          </w:tcPr>
          <w:p w14:paraId="5EEDEFD3">
            <w:pPr>
              <w:pStyle w:val="41"/>
              <w:snapToGrid w:val="0"/>
              <w:ind w:left="-72" w:leftChars="-30" w:right="-72" w:rightChars="-30"/>
              <w:rPr>
                <w:rFonts w:ascii="Calibri" w:hAnsi="Calibri"/>
              </w:rPr>
            </w:pPr>
            <w:r>
              <w:rPr>
                <w:rFonts w:ascii="Calibri" w:hAnsi="Calibri"/>
              </w:rPr>
              <w:t>15</w:t>
            </w:r>
          </w:p>
        </w:tc>
        <w:tc>
          <w:tcPr>
            <w:tcW w:w="758" w:type="dxa"/>
            <w:vAlign w:val="center"/>
          </w:tcPr>
          <w:p w14:paraId="69166869">
            <w:pPr>
              <w:pStyle w:val="41"/>
              <w:snapToGrid w:val="0"/>
              <w:ind w:left="-72" w:leftChars="-30" w:right="-72" w:rightChars="-30"/>
              <w:rPr>
                <w:rFonts w:ascii="Calibri" w:hAnsi="Calibri"/>
              </w:rPr>
            </w:pPr>
            <w:r>
              <w:rPr>
                <w:rFonts w:ascii="Calibri" w:hAnsi="Calibri"/>
              </w:rPr>
              <w:t>2.0</w:t>
            </w:r>
          </w:p>
        </w:tc>
        <w:tc>
          <w:tcPr>
            <w:tcW w:w="761" w:type="dxa"/>
            <w:vAlign w:val="center"/>
          </w:tcPr>
          <w:p w14:paraId="1BB08087">
            <w:pPr>
              <w:pStyle w:val="41"/>
              <w:snapToGrid w:val="0"/>
              <w:ind w:left="-72" w:leftChars="-30" w:right="-72" w:rightChars="-30"/>
              <w:rPr>
                <w:rFonts w:ascii="Calibri" w:hAnsi="Calibri"/>
              </w:rPr>
            </w:pPr>
            <w:r>
              <w:rPr>
                <w:rFonts w:ascii="Calibri" w:hAnsi="Calibri"/>
              </w:rPr>
              <w:t>颗粒物</w:t>
            </w:r>
          </w:p>
        </w:tc>
        <w:tc>
          <w:tcPr>
            <w:tcW w:w="1149" w:type="dxa"/>
            <w:vAlign w:val="center"/>
          </w:tcPr>
          <w:p w14:paraId="5D3F8299">
            <w:pPr>
              <w:pStyle w:val="41"/>
              <w:snapToGrid w:val="0"/>
              <w:ind w:left="-72" w:leftChars="-30" w:right="-72" w:rightChars="-30"/>
              <w:rPr>
                <w:rFonts w:ascii="Calibri" w:hAnsi="Calibri"/>
              </w:rPr>
            </w:pPr>
            <w:r>
              <w:rPr>
                <w:rFonts w:ascii="Calibri" w:hAnsi="Calibri"/>
              </w:rPr>
              <w:t>15</w:t>
            </w:r>
          </w:p>
        </w:tc>
        <w:tc>
          <w:tcPr>
            <w:tcW w:w="938" w:type="dxa"/>
            <w:vAlign w:val="center"/>
          </w:tcPr>
          <w:p w14:paraId="68821354">
            <w:pPr>
              <w:pStyle w:val="41"/>
              <w:snapToGrid w:val="0"/>
              <w:ind w:left="-72" w:leftChars="-30" w:right="-72" w:rightChars="-30"/>
              <w:rPr>
                <w:rFonts w:ascii="Calibri" w:hAnsi="Calibri"/>
              </w:rPr>
            </w:pPr>
            <w:r>
              <w:rPr>
                <w:rFonts w:ascii="Calibri" w:hAnsi="Calibri"/>
              </w:rPr>
              <w:t>1.2</w:t>
            </w:r>
          </w:p>
        </w:tc>
      </w:tr>
      <w:bookmarkEnd w:id="147"/>
    </w:tbl>
    <w:p w14:paraId="7E454289">
      <w:pPr>
        <w:pStyle w:val="6"/>
        <w:spacing w:before="120" w:after="120"/>
      </w:pPr>
      <w:r>
        <w:t>运营期废水污染源源强核算</w:t>
      </w:r>
    </w:p>
    <w:p w14:paraId="4216832C">
      <w:pPr>
        <w:ind w:firstLine="420"/>
        <w:jc w:val="left"/>
      </w:pPr>
      <w:bookmarkStart w:id="150" w:name="_Hlk205397314"/>
      <w:r>
        <w:t>本项目新增用水主要为循环冷却水，全部循环使用，不外排。</w:t>
      </w:r>
      <w:bookmarkEnd w:id="150"/>
    </w:p>
    <w:p w14:paraId="74B2FD22">
      <w:pPr>
        <w:pStyle w:val="3"/>
        <w:ind w:firstLine="480"/>
      </w:pPr>
      <w:r>
        <w:t>本次技改工程未新增劳动定员全厂生活用水量无变化。</w:t>
      </w:r>
    </w:p>
    <w:p w14:paraId="11A5EC81">
      <w:pPr>
        <w:pStyle w:val="6"/>
        <w:spacing w:before="120" w:after="120"/>
      </w:pPr>
      <w:r>
        <w:t>运营期固废污染源源强核算</w:t>
      </w:r>
    </w:p>
    <w:p w14:paraId="256EBAC0">
      <w:pPr>
        <w:pStyle w:val="3"/>
        <w:ind w:firstLine="480"/>
      </w:pPr>
      <w:r>
        <w:t>本次技改后，新增固废主要为新增精炼炉精炼过程产生冶炼渣，与现有工程产生的冶炼渣一同优先送至岩棉保温炉用于岩棉生产，剩余冷却后作为一般固废外售处置。烧结废气处理过程产生的脱硫石膏作为一般固废外售处置。废气处理装置收尘灰作为原料回收再利用。</w:t>
      </w:r>
    </w:p>
    <w:p w14:paraId="23FF1FD5">
      <w:pPr>
        <w:pStyle w:val="3"/>
        <w:ind w:firstLine="480"/>
      </w:pPr>
      <w:r>
        <w:t>本次技改工程新增危废主要为设备维护过程产生的废矿物油，集中收集后在危废暂存间暂存，统一由新疆创蓝环保科技有限责任公司处置。</w:t>
      </w:r>
    </w:p>
    <w:p w14:paraId="0D74FE2E">
      <w:pPr>
        <w:pStyle w:val="3"/>
        <w:ind w:firstLine="480"/>
      </w:pPr>
      <w:r>
        <w:t>本项目不新增劳动定员，不新增生活垃圾。现有生活垃圾收集后委托环卫部门拉运至生活垃圾填埋场填埋处置。</w:t>
      </w:r>
    </w:p>
    <w:p w14:paraId="5C47EF58">
      <w:pPr>
        <w:pStyle w:val="3"/>
        <w:ind w:firstLine="480"/>
      </w:pPr>
      <w:r>
        <w:t>本次技改工程投产后，全厂固体废物产生量与现状比对情况如下表：</w:t>
      </w:r>
    </w:p>
    <w:p w14:paraId="4EB5EB7E">
      <w:pPr>
        <w:pStyle w:val="40"/>
        <w:spacing w:before="120"/>
      </w:pPr>
      <w:bookmarkStart w:id="151" w:name="_Hlk172044100"/>
      <w:r>
        <w:t>表4.3-9     本技改工程固体废物产生及处置情况与现状比对表</w:t>
      </w:r>
    </w:p>
    <w:tbl>
      <w:tblPr>
        <w:tblStyle w:val="28"/>
        <w:tblW w:w="467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6"/>
        <w:gridCol w:w="1643"/>
        <w:gridCol w:w="774"/>
        <w:gridCol w:w="2645"/>
        <w:gridCol w:w="987"/>
        <w:gridCol w:w="909"/>
        <w:gridCol w:w="652"/>
        <w:gridCol w:w="31"/>
      </w:tblGrid>
      <w:tr w14:paraId="5BDE9E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333" w:type="pct"/>
            <w:vMerge w:val="restart"/>
            <w:tcMar>
              <w:top w:w="0" w:type="dxa"/>
              <w:left w:w="57" w:type="dxa"/>
              <w:bottom w:w="0" w:type="dxa"/>
              <w:right w:w="57" w:type="dxa"/>
            </w:tcMar>
            <w:vAlign w:val="center"/>
          </w:tcPr>
          <w:p w14:paraId="34182986">
            <w:pPr>
              <w:pStyle w:val="41"/>
              <w:keepNext/>
              <w:widowControl/>
              <w:snapToGrid w:val="0"/>
            </w:pPr>
            <w:r>
              <w:t>种类</w:t>
            </w:r>
          </w:p>
        </w:tc>
        <w:tc>
          <w:tcPr>
            <w:tcW w:w="1004" w:type="pct"/>
            <w:vMerge w:val="restart"/>
            <w:tcMar>
              <w:top w:w="0" w:type="dxa"/>
              <w:left w:w="57" w:type="dxa"/>
              <w:bottom w:w="0" w:type="dxa"/>
              <w:right w:w="57" w:type="dxa"/>
            </w:tcMar>
            <w:vAlign w:val="center"/>
          </w:tcPr>
          <w:p w14:paraId="1DFDD0F9">
            <w:pPr>
              <w:pStyle w:val="41"/>
              <w:keepNext/>
              <w:widowControl/>
              <w:snapToGrid w:val="0"/>
            </w:pPr>
            <w:r>
              <w:t>名称</w:t>
            </w:r>
          </w:p>
        </w:tc>
        <w:tc>
          <w:tcPr>
            <w:tcW w:w="2088" w:type="pct"/>
            <w:gridSpan w:val="2"/>
            <w:tcMar>
              <w:top w:w="0" w:type="dxa"/>
              <w:left w:w="57" w:type="dxa"/>
              <w:bottom w:w="0" w:type="dxa"/>
              <w:right w:w="57" w:type="dxa"/>
            </w:tcMar>
            <w:vAlign w:val="center"/>
          </w:tcPr>
          <w:p w14:paraId="2D46AB63">
            <w:pPr>
              <w:pStyle w:val="41"/>
              <w:keepNext/>
              <w:widowControl/>
              <w:snapToGrid w:val="0"/>
            </w:pPr>
            <w:r>
              <w:t>现状工程</w:t>
            </w:r>
          </w:p>
        </w:tc>
        <w:tc>
          <w:tcPr>
            <w:tcW w:w="1575" w:type="pct"/>
            <w:gridSpan w:val="4"/>
            <w:tcMar>
              <w:top w:w="0" w:type="dxa"/>
              <w:left w:w="57" w:type="dxa"/>
              <w:bottom w:w="0" w:type="dxa"/>
              <w:right w:w="57" w:type="dxa"/>
            </w:tcMar>
            <w:vAlign w:val="center"/>
          </w:tcPr>
          <w:p w14:paraId="0B29C105">
            <w:pPr>
              <w:pStyle w:val="41"/>
              <w:keepNext/>
              <w:widowControl/>
              <w:snapToGrid w:val="0"/>
            </w:pPr>
            <w:r>
              <w:t>本次技改后</w:t>
            </w:r>
          </w:p>
        </w:tc>
      </w:tr>
      <w:tr w14:paraId="10527F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tblHeader/>
          <w:jc w:val="center"/>
        </w:trPr>
        <w:tc>
          <w:tcPr>
            <w:tcW w:w="333" w:type="pct"/>
            <w:vMerge w:val="continue"/>
            <w:tcMar>
              <w:top w:w="0" w:type="dxa"/>
              <w:left w:w="57" w:type="dxa"/>
              <w:bottom w:w="0" w:type="dxa"/>
              <w:right w:w="57" w:type="dxa"/>
            </w:tcMar>
            <w:vAlign w:val="center"/>
          </w:tcPr>
          <w:p w14:paraId="066BE6BD">
            <w:pPr>
              <w:pStyle w:val="41"/>
              <w:keepNext/>
              <w:widowControl/>
              <w:snapToGrid w:val="0"/>
            </w:pPr>
          </w:p>
        </w:tc>
        <w:tc>
          <w:tcPr>
            <w:tcW w:w="1004" w:type="pct"/>
            <w:vMerge w:val="continue"/>
            <w:tcMar>
              <w:top w:w="0" w:type="dxa"/>
              <w:left w:w="57" w:type="dxa"/>
              <w:bottom w:w="0" w:type="dxa"/>
              <w:right w:w="57" w:type="dxa"/>
            </w:tcMar>
            <w:vAlign w:val="center"/>
          </w:tcPr>
          <w:p w14:paraId="747F9050">
            <w:pPr>
              <w:pStyle w:val="41"/>
              <w:keepNext/>
              <w:widowControl/>
              <w:snapToGrid w:val="0"/>
            </w:pPr>
          </w:p>
        </w:tc>
        <w:tc>
          <w:tcPr>
            <w:tcW w:w="473" w:type="pct"/>
            <w:tcMar>
              <w:top w:w="0" w:type="dxa"/>
              <w:left w:w="57" w:type="dxa"/>
              <w:bottom w:w="0" w:type="dxa"/>
              <w:right w:w="57" w:type="dxa"/>
            </w:tcMar>
            <w:vAlign w:val="center"/>
          </w:tcPr>
          <w:p w14:paraId="5CD03AFB">
            <w:pPr>
              <w:pStyle w:val="41"/>
              <w:keepNext/>
              <w:widowControl/>
              <w:snapToGrid w:val="0"/>
            </w:pPr>
            <w:r>
              <w:t>产生量t/a</w:t>
            </w:r>
          </w:p>
        </w:tc>
        <w:tc>
          <w:tcPr>
            <w:tcW w:w="1615" w:type="pct"/>
            <w:tcMar>
              <w:top w:w="0" w:type="dxa"/>
              <w:left w:w="57" w:type="dxa"/>
              <w:bottom w:w="0" w:type="dxa"/>
              <w:right w:w="57" w:type="dxa"/>
            </w:tcMar>
            <w:vAlign w:val="center"/>
          </w:tcPr>
          <w:p w14:paraId="3B739B02">
            <w:pPr>
              <w:pStyle w:val="41"/>
              <w:keepNext/>
              <w:widowControl/>
              <w:snapToGrid w:val="0"/>
            </w:pPr>
            <w:r>
              <w:t>处置方式</w:t>
            </w:r>
          </w:p>
        </w:tc>
        <w:tc>
          <w:tcPr>
            <w:tcW w:w="603" w:type="pct"/>
            <w:tcMar>
              <w:top w:w="0" w:type="dxa"/>
              <w:left w:w="57" w:type="dxa"/>
              <w:bottom w:w="0" w:type="dxa"/>
              <w:right w:w="57" w:type="dxa"/>
            </w:tcMar>
            <w:vAlign w:val="center"/>
          </w:tcPr>
          <w:p w14:paraId="5D0E5DD0">
            <w:pPr>
              <w:pStyle w:val="41"/>
              <w:keepNext/>
              <w:widowControl/>
              <w:snapToGrid w:val="0"/>
            </w:pPr>
            <w:r>
              <w:t>产生量t/a</w:t>
            </w:r>
          </w:p>
        </w:tc>
        <w:tc>
          <w:tcPr>
            <w:tcW w:w="555" w:type="pct"/>
            <w:tcMar>
              <w:top w:w="0" w:type="dxa"/>
              <w:left w:w="57" w:type="dxa"/>
              <w:bottom w:w="0" w:type="dxa"/>
              <w:right w:w="57" w:type="dxa"/>
            </w:tcMar>
            <w:vAlign w:val="center"/>
          </w:tcPr>
          <w:p w14:paraId="0B31D659">
            <w:pPr>
              <w:pStyle w:val="41"/>
              <w:keepNext/>
              <w:widowControl/>
              <w:snapToGrid w:val="0"/>
            </w:pPr>
            <w:r>
              <w:t>增减变化量t/a</w:t>
            </w:r>
          </w:p>
        </w:tc>
        <w:tc>
          <w:tcPr>
            <w:tcW w:w="398" w:type="pct"/>
            <w:tcMar>
              <w:top w:w="0" w:type="dxa"/>
              <w:left w:w="57" w:type="dxa"/>
              <w:bottom w:w="0" w:type="dxa"/>
              <w:right w:w="57" w:type="dxa"/>
            </w:tcMar>
            <w:vAlign w:val="center"/>
          </w:tcPr>
          <w:p w14:paraId="11F8C962">
            <w:pPr>
              <w:pStyle w:val="41"/>
              <w:keepNext/>
              <w:widowControl/>
              <w:snapToGrid w:val="0"/>
            </w:pPr>
            <w:r>
              <w:t>处置方式</w:t>
            </w:r>
          </w:p>
        </w:tc>
      </w:tr>
      <w:tr w14:paraId="261F5E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restart"/>
            <w:tcMar>
              <w:top w:w="0" w:type="dxa"/>
              <w:left w:w="57" w:type="dxa"/>
              <w:bottom w:w="0" w:type="dxa"/>
              <w:right w:w="57" w:type="dxa"/>
            </w:tcMar>
            <w:vAlign w:val="center"/>
          </w:tcPr>
          <w:p w14:paraId="47E4F11B">
            <w:pPr>
              <w:pStyle w:val="41"/>
              <w:keepLines/>
              <w:snapToGrid w:val="0"/>
            </w:pPr>
            <w:r>
              <w:t>一般固废</w:t>
            </w:r>
          </w:p>
        </w:tc>
        <w:tc>
          <w:tcPr>
            <w:tcW w:w="1004" w:type="pct"/>
            <w:tcMar>
              <w:top w:w="0" w:type="dxa"/>
              <w:left w:w="57" w:type="dxa"/>
              <w:bottom w:w="0" w:type="dxa"/>
              <w:right w:w="57" w:type="dxa"/>
            </w:tcMar>
            <w:vAlign w:val="center"/>
          </w:tcPr>
          <w:p w14:paraId="35026EE7">
            <w:pPr>
              <w:pStyle w:val="41"/>
              <w:keepLines/>
              <w:snapToGrid w:val="0"/>
            </w:pPr>
            <w:r>
              <w:t>冶炼渣</w:t>
            </w:r>
          </w:p>
        </w:tc>
        <w:tc>
          <w:tcPr>
            <w:tcW w:w="473" w:type="pct"/>
            <w:tcMar>
              <w:top w:w="0" w:type="dxa"/>
              <w:left w:w="57" w:type="dxa"/>
              <w:bottom w:w="0" w:type="dxa"/>
              <w:right w:w="57" w:type="dxa"/>
            </w:tcMar>
            <w:vAlign w:val="center"/>
          </w:tcPr>
          <w:p w14:paraId="39656272">
            <w:pPr>
              <w:pStyle w:val="41"/>
              <w:keepLines/>
              <w:snapToGrid w:val="0"/>
            </w:pPr>
            <w:r>
              <w:rPr>
                <w:rFonts w:eastAsia="Times New Roman"/>
                <w:spacing w:val="-1"/>
                <w:lang w:eastAsia="en-US"/>
              </w:rPr>
              <w:t>4</w:t>
            </w:r>
            <w:r>
              <w:rPr>
                <w:rFonts w:eastAsiaTheme="minorEastAsia"/>
                <w:spacing w:val="-1"/>
              </w:rPr>
              <w:t>1</w:t>
            </w:r>
            <w:r>
              <w:rPr>
                <w:rFonts w:eastAsia="Times New Roman"/>
                <w:spacing w:val="-1"/>
                <w:lang w:eastAsia="en-US"/>
              </w:rPr>
              <w:t>000</w:t>
            </w:r>
          </w:p>
        </w:tc>
        <w:tc>
          <w:tcPr>
            <w:tcW w:w="1615" w:type="pct"/>
            <w:tcMar>
              <w:top w:w="0" w:type="dxa"/>
              <w:left w:w="57" w:type="dxa"/>
              <w:bottom w:w="0" w:type="dxa"/>
              <w:right w:w="57" w:type="dxa"/>
            </w:tcMar>
            <w:vAlign w:val="center"/>
          </w:tcPr>
          <w:p w14:paraId="017E70AE">
            <w:pPr>
              <w:pStyle w:val="41"/>
              <w:keepLines/>
              <w:snapToGrid w:val="0"/>
            </w:pPr>
            <w:r>
              <w:rPr>
                <w:spacing w:val="-1"/>
              </w:rPr>
              <w:t>统一交由奎屯龙之盾商贸有限公司处置</w:t>
            </w:r>
            <w:r>
              <w:t>（协议见附件）</w:t>
            </w:r>
          </w:p>
        </w:tc>
        <w:tc>
          <w:tcPr>
            <w:tcW w:w="603" w:type="pct"/>
            <w:tcMar>
              <w:top w:w="0" w:type="dxa"/>
              <w:left w:w="57" w:type="dxa"/>
              <w:bottom w:w="0" w:type="dxa"/>
              <w:right w:w="57" w:type="dxa"/>
            </w:tcMar>
            <w:vAlign w:val="center"/>
          </w:tcPr>
          <w:p w14:paraId="6AB57EB4">
            <w:pPr>
              <w:pStyle w:val="41"/>
              <w:keepLines/>
              <w:snapToGrid w:val="0"/>
            </w:pPr>
            <w:r>
              <w:t>88100</w:t>
            </w:r>
          </w:p>
        </w:tc>
        <w:tc>
          <w:tcPr>
            <w:tcW w:w="555" w:type="pct"/>
            <w:tcMar>
              <w:top w:w="0" w:type="dxa"/>
              <w:left w:w="57" w:type="dxa"/>
              <w:bottom w:w="0" w:type="dxa"/>
              <w:right w:w="57" w:type="dxa"/>
            </w:tcMar>
            <w:vAlign w:val="center"/>
          </w:tcPr>
          <w:p w14:paraId="4FCAA1C6">
            <w:pPr>
              <w:pStyle w:val="41"/>
              <w:keepLines/>
              <w:snapToGrid w:val="0"/>
            </w:pPr>
            <w:r>
              <w:t>+47100</w:t>
            </w:r>
          </w:p>
        </w:tc>
        <w:tc>
          <w:tcPr>
            <w:tcW w:w="398" w:type="pct"/>
            <w:vMerge w:val="restart"/>
            <w:tcMar>
              <w:top w:w="0" w:type="dxa"/>
              <w:left w:w="57" w:type="dxa"/>
              <w:bottom w:w="0" w:type="dxa"/>
              <w:right w:w="57" w:type="dxa"/>
            </w:tcMar>
            <w:vAlign w:val="center"/>
          </w:tcPr>
          <w:p w14:paraId="2BACFAD4">
            <w:pPr>
              <w:pStyle w:val="41"/>
              <w:keepLines/>
              <w:snapToGrid w:val="0"/>
            </w:pPr>
            <w:r>
              <w:t>与现有工程一致</w:t>
            </w:r>
          </w:p>
        </w:tc>
      </w:tr>
      <w:tr w14:paraId="6A10CB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1C8A5224">
            <w:pPr>
              <w:pStyle w:val="41"/>
              <w:keepLines/>
              <w:snapToGrid w:val="0"/>
            </w:pPr>
          </w:p>
        </w:tc>
        <w:tc>
          <w:tcPr>
            <w:tcW w:w="1004" w:type="pct"/>
            <w:tcMar>
              <w:top w:w="0" w:type="dxa"/>
              <w:left w:w="57" w:type="dxa"/>
              <w:bottom w:w="0" w:type="dxa"/>
              <w:right w:w="57" w:type="dxa"/>
            </w:tcMar>
            <w:vAlign w:val="center"/>
          </w:tcPr>
          <w:p w14:paraId="017DFBF5">
            <w:pPr>
              <w:pStyle w:val="41"/>
              <w:keepLines/>
              <w:snapToGrid w:val="0"/>
            </w:pPr>
            <w:r>
              <w:t>锅炉炉渣</w:t>
            </w:r>
          </w:p>
        </w:tc>
        <w:tc>
          <w:tcPr>
            <w:tcW w:w="473" w:type="pct"/>
            <w:tcMar>
              <w:top w:w="0" w:type="dxa"/>
              <w:left w:w="57" w:type="dxa"/>
              <w:bottom w:w="0" w:type="dxa"/>
              <w:right w:w="57" w:type="dxa"/>
            </w:tcMar>
            <w:vAlign w:val="center"/>
          </w:tcPr>
          <w:p w14:paraId="5937A76A">
            <w:pPr>
              <w:pStyle w:val="41"/>
              <w:keepLines/>
              <w:snapToGrid w:val="0"/>
            </w:pPr>
            <w:r>
              <w:t>3600</w:t>
            </w:r>
          </w:p>
        </w:tc>
        <w:tc>
          <w:tcPr>
            <w:tcW w:w="1615" w:type="pct"/>
            <w:vMerge w:val="restart"/>
            <w:tcMar>
              <w:top w:w="0" w:type="dxa"/>
              <w:left w:w="57" w:type="dxa"/>
              <w:bottom w:w="0" w:type="dxa"/>
              <w:right w:w="57" w:type="dxa"/>
            </w:tcMar>
            <w:vAlign w:val="center"/>
          </w:tcPr>
          <w:p w14:paraId="471E7D4D">
            <w:pPr>
              <w:pStyle w:val="41"/>
              <w:keepLines/>
              <w:snapToGrid w:val="0"/>
            </w:pPr>
            <w:r>
              <w:t>统一由奎屯鼎坤环保科技有限公司回收处理</w:t>
            </w:r>
          </w:p>
        </w:tc>
        <w:tc>
          <w:tcPr>
            <w:tcW w:w="603" w:type="pct"/>
            <w:tcMar>
              <w:top w:w="0" w:type="dxa"/>
              <w:left w:w="57" w:type="dxa"/>
              <w:bottom w:w="0" w:type="dxa"/>
              <w:right w:w="57" w:type="dxa"/>
            </w:tcMar>
            <w:vAlign w:val="center"/>
          </w:tcPr>
          <w:p w14:paraId="77B9D893">
            <w:pPr>
              <w:pStyle w:val="41"/>
              <w:keepLines/>
              <w:snapToGrid w:val="0"/>
            </w:pPr>
            <w:r>
              <w:t>3600</w:t>
            </w:r>
          </w:p>
        </w:tc>
        <w:tc>
          <w:tcPr>
            <w:tcW w:w="555" w:type="pct"/>
            <w:tcMar>
              <w:top w:w="0" w:type="dxa"/>
              <w:left w:w="57" w:type="dxa"/>
              <w:bottom w:w="0" w:type="dxa"/>
              <w:right w:w="57" w:type="dxa"/>
            </w:tcMar>
            <w:vAlign w:val="center"/>
          </w:tcPr>
          <w:p w14:paraId="2FB664EE">
            <w:pPr>
              <w:pStyle w:val="41"/>
              <w:keepLines/>
              <w:snapToGrid w:val="0"/>
            </w:pPr>
            <w:r>
              <w:t>0</w:t>
            </w:r>
          </w:p>
        </w:tc>
        <w:tc>
          <w:tcPr>
            <w:tcW w:w="398" w:type="pct"/>
            <w:vMerge w:val="continue"/>
            <w:tcMar>
              <w:top w:w="0" w:type="dxa"/>
              <w:left w:w="57" w:type="dxa"/>
              <w:bottom w:w="0" w:type="dxa"/>
              <w:right w:w="57" w:type="dxa"/>
            </w:tcMar>
            <w:vAlign w:val="center"/>
          </w:tcPr>
          <w:p w14:paraId="034ADD19">
            <w:pPr>
              <w:pStyle w:val="41"/>
              <w:keepLines/>
              <w:snapToGrid w:val="0"/>
            </w:pPr>
          </w:p>
        </w:tc>
      </w:tr>
      <w:tr w14:paraId="5D1181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2156B356">
            <w:pPr>
              <w:pStyle w:val="41"/>
              <w:keepLines/>
              <w:snapToGrid w:val="0"/>
            </w:pPr>
          </w:p>
        </w:tc>
        <w:tc>
          <w:tcPr>
            <w:tcW w:w="1004" w:type="pct"/>
            <w:tcMar>
              <w:top w:w="0" w:type="dxa"/>
              <w:left w:w="57" w:type="dxa"/>
              <w:bottom w:w="0" w:type="dxa"/>
              <w:right w:w="57" w:type="dxa"/>
            </w:tcMar>
            <w:vAlign w:val="center"/>
          </w:tcPr>
          <w:p w14:paraId="162AC116">
            <w:pPr>
              <w:pStyle w:val="41"/>
              <w:keepLines/>
              <w:snapToGrid w:val="0"/>
            </w:pPr>
            <w:r>
              <w:t>粉煤灰</w:t>
            </w:r>
          </w:p>
        </w:tc>
        <w:tc>
          <w:tcPr>
            <w:tcW w:w="473" w:type="pct"/>
            <w:tcMar>
              <w:top w:w="0" w:type="dxa"/>
              <w:left w:w="57" w:type="dxa"/>
              <w:bottom w:w="0" w:type="dxa"/>
              <w:right w:w="57" w:type="dxa"/>
            </w:tcMar>
            <w:vAlign w:val="center"/>
          </w:tcPr>
          <w:p w14:paraId="013E307A">
            <w:pPr>
              <w:pStyle w:val="41"/>
              <w:keepLines/>
              <w:snapToGrid w:val="0"/>
            </w:pPr>
            <w:r>
              <w:t>18000</w:t>
            </w:r>
          </w:p>
        </w:tc>
        <w:tc>
          <w:tcPr>
            <w:tcW w:w="1615" w:type="pct"/>
            <w:vMerge w:val="continue"/>
            <w:tcMar>
              <w:top w:w="0" w:type="dxa"/>
              <w:left w:w="57" w:type="dxa"/>
              <w:bottom w:w="0" w:type="dxa"/>
              <w:right w:w="57" w:type="dxa"/>
            </w:tcMar>
            <w:vAlign w:val="center"/>
          </w:tcPr>
          <w:p w14:paraId="49D676BC">
            <w:pPr>
              <w:pStyle w:val="41"/>
              <w:keepLines/>
              <w:snapToGrid w:val="0"/>
            </w:pPr>
          </w:p>
        </w:tc>
        <w:tc>
          <w:tcPr>
            <w:tcW w:w="603" w:type="pct"/>
            <w:tcMar>
              <w:top w:w="0" w:type="dxa"/>
              <w:left w:w="57" w:type="dxa"/>
              <w:bottom w:w="0" w:type="dxa"/>
              <w:right w:w="57" w:type="dxa"/>
            </w:tcMar>
            <w:vAlign w:val="center"/>
          </w:tcPr>
          <w:p w14:paraId="4395EFE7">
            <w:pPr>
              <w:pStyle w:val="41"/>
              <w:keepLines/>
              <w:snapToGrid w:val="0"/>
            </w:pPr>
            <w:r>
              <w:t>18000</w:t>
            </w:r>
          </w:p>
        </w:tc>
        <w:tc>
          <w:tcPr>
            <w:tcW w:w="555" w:type="pct"/>
            <w:tcMar>
              <w:top w:w="0" w:type="dxa"/>
              <w:left w:w="57" w:type="dxa"/>
              <w:bottom w:w="0" w:type="dxa"/>
              <w:right w:w="57" w:type="dxa"/>
            </w:tcMar>
            <w:vAlign w:val="center"/>
          </w:tcPr>
          <w:p w14:paraId="6A213B8B">
            <w:pPr>
              <w:pStyle w:val="41"/>
              <w:keepLines/>
              <w:snapToGrid w:val="0"/>
            </w:pPr>
            <w:r>
              <w:t>0</w:t>
            </w:r>
          </w:p>
        </w:tc>
        <w:tc>
          <w:tcPr>
            <w:tcW w:w="398" w:type="pct"/>
            <w:vMerge w:val="continue"/>
            <w:tcMar>
              <w:top w:w="0" w:type="dxa"/>
              <w:left w:w="57" w:type="dxa"/>
              <w:bottom w:w="0" w:type="dxa"/>
              <w:right w:w="57" w:type="dxa"/>
            </w:tcMar>
            <w:vAlign w:val="center"/>
          </w:tcPr>
          <w:p w14:paraId="17F64068">
            <w:pPr>
              <w:pStyle w:val="41"/>
              <w:keepLines/>
              <w:snapToGrid w:val="0"/>
            </w:pPr>
          </w:p>
        </w:tc>
      </w:tr>
      <w:tr w14:paraId="67FFF0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039DA83B">
            <w:pPr>
              <w:pStyle w:val="41"/>
              <w:keepLines/>
              <w:snapToGrid w:val="0"/>
            </w:pPr>
          </w:p>
        </w:tc>
        <w:tc>
          <w:tcPr>
            <w:tcW w:w="1004" w:type="pct"/>
            <w:tcMar>
              <w:top w:w="0" w:type="dxa"/>
              <w:left w:w="57" w:type="dxa"/>
              <w:bottom w:w="0" w:type="dxa"/>
              <w:right w:w="57" w:type="dxa"/>
            </w:tcMar>
            <w:vAlign w:val="center"/>
          </w:tcPr>
          <w:p w14:paraId="524B9D2C">
            <w:pPr>
              <w:pStyle w:val="41"/>
              <w:keepLines/>
              <w:snapToGrid w:val="0"/>
            </w:pPr>
            <w:r>
              <w:t>脱硫石膏</w:t>
            </w:r>
          </w:p>
        </w:tc>
        <w:tc>
          <w:tcPr>
            <w:tcW w:w="473" w:type="pct"/>
            <w:tcMar>
              <w:top w:w="0" w:type="dxa"/>
              <w:left w:w="57" w:type="dxa"/>
              <w:bottom w:w="0" w:type="dxa"/>
              <w:right w:w="57" w:type="dxa"/>
            </w:tcMar>
            <w:vAlign w:val="center"/>
          </w:tcPr>
          <w:p w14:paraId="39D99499">
            <w:pPr>
              <w:pStyle w:val="41"/>
              <w:keepLines/>
              <w:snapToGrid w:val="0"/>
            </w:pPr>
            <w:r>
              <w:t>3000</w:t>
            </w:r>
          </w:p>
        </w:tc>
        <w:tc>
          <w:tcPr>
            <w:tcW w:w="1615" w:type="pct"/>
            <w:tcMar>
              <w:top w:w="0" w:type="dxa"/>
              <w:left w:w="57" w:type="dxa"/>
              <w:bottom w:w="0" w:type="dxa"/>
              <w:right w:w="57" w:type="dxa"/>
            </w:tcMar>
            <w:vAlign w:val="center"/>
          </w:tcPr>
          <w:p w14:paraId="6B2695D5">
            <w:pPr>
              <w:pStyle w:val="41"/>
              <w:keepLines/>
              <w:snapToGrid w:val="0"/>
            </w:pPr>
            <w:r>
              <w:rPr>
                <w:spacing w:val="-1"/>
              </w:rPr>
              <w:t>统一交由奎屯龙之盾商贸有限公司处置</w:t>
            </w:r>
            <w:r>
              <w:t>（协议见附件）</w:t>
            </w:r>
          </w:p>
        </w:tc>
        <w:tc>
          <w:tcPr>
            <w:tcW w:w="603" w:type="pct"/>
            <w:tcMar>
              <w:top w:w="0" w:type="dxa"/>
              <w:left w:w="57" w:type="dxa"/>
              <w:bottom w:w="0" w:type="dxa"/>
              <w:right w:w="57" w:type="dxa"/>
            </w:tcMar>
            <w:vAlign w:val="center"/>
          </w:tcPr>
          <w:p w14:paraId="424F0DEE">
            <w:pPr>
              <w:pStyle w:val="41"/>
              <w:keepLines/>
              <w:snapToGrid w:val="0"/>
            </w:pPr>
            <w:r>
              <w:t>3021.68</w:t>
            </w:r>
          </w:p>
        </w:tc>
        <w:tc>
          <w:tcPr>
            <w:tcW w:w="555" w:type="pct"/>
            <w:tcMar>
              <w:top w:w="0" w:type="dxa"/>
              <w:left w:w="57" w:type="dxa"/>
              <w:bottom w:w="0" w:type="dxa"/>
              <w:right w:w="57" w:type="dxa"/>
            </w:tcMar>
            <w:vAlign w:val="center"/>
          </w:tcPr>
          <w:p w14:paraId="6DD63F8C">
            <w:pPr>
              <w:pStyle w:val="41"/>
              <w:keepLines/>
              <w:snapToGrid w:val="0"/>
            </w:pPr>
            <w:r>
              <w:t>+1021.68</w:t>
            </w:r>
          </w:p>
        </w:tc>
        <w:tc>
          <w:tcPr>
            <w:tcW w:w="398" w:type="pct"/>
            <w:vMerge w:val="continue"/>
            <w:tcMar>
              <w:top w:w="0" w:type="dxa"/>
              <w:left w:w="57" w:type="dxa"/>
              <w:bottom w:w="0" w:type="dxa"/>
              <w:right w:w="57" w:type="dxa"/>
            </w:tcMar>
            <w:vAlign w:val="center"/>
          </w:tcPr>
          <w:p w14:paraId="4F50C0C4">
            <w:pPr>
              <w:pStyle w:val="41"/>
              <w:keepLines/>
              <w:snapToGrid w:val="0"/>
            </w:pPr>
          </w:p>
        </w:tc>
      </w:tr>
      <w:tr w14:paraId="4E6EF4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60A8FC2F">
            <w:pPr>
              <w:pStyle w:val="41"/>
              <w:keepLines/>
              <w:snapToGrid w:val="0"/>
            </w:pPr>
          </w:p>
        </w:tc>
        <w:tc>
          <w:tcPr>
            <w:tcW w:w="1004" w:type="pct"/>
            <w:tcMar>
              <w:top w:w="0" w:type="dxa"/>
              <w:left w:w="57" w:type="dxa"/>
              <w:bottom w:w="0" w:type="dxa"/>
              <w:right w:w="57" w:type="dxa"/>
            </w:tcMar>
            <w:vAlign w:val="center"/>
          </w:tcPr>
          <w:p w14:paraId="4DDF92A1">
            <w:pPr>
              <w:pStyle w:val="41"/>
              <w:keepLines/>
              <w:snapToGrid w:val="0"/>
            </w:pPr>
            <w:r>
              <w:t>渣球</w:t>
            </w:r>
          </w:p>
        </w:tc>
        <w:tc>
          <w:tcPr>
            <w:tcW w:w="473" w:type="pct"/>
            <w:tcMar>
              <w:top w:w="0" w:type="dxa"/>
              <w:left w:w="57" w:type="dxa"/>
              <w:bottom w:w="0" w:type="dxa"/>
              <w:right w:w="57" w:type="dxa"/>
            </w:tcMar>
            <w:vAlign w:val="center"/>
          </w:tcPr>
          <w:p w14:paraId="1509187C">
            <w:pPr>
              <w:pStyle w:val="41"/>
              <w:keepLines/>
              <w:snapToGrid w:val="0"/>
            </w:pPr>
            <w:r>
              <w:t>3000</w:t>
            </w:r>
          </w:p>
        </w:tc>
        <w:tc>
          <w:tcPr>
            <w:tcW w:w="1615" w:type="pct"/>
            <w:vMerge w:val="restart"/>
            <w:tcMar>
              <w:top w:w="0" w:type="dxa"/>
              <w:left w:w="57" w:type="dxa"/>
              <w:bottom w:w="0" w:type="dxa"/>
              <w:right w:w="57" w:type="dxa"/>
            </w:tcMar>
            <w:vAlign w:val="center"/>
          </w:tcPr>
          <w:p w14:paraId="18FD1967">
            <w:pPr>
              <w:pStyle w:val="41"/>
              <w:keepLines/>
              <w:snapToGrid w:val="0"/>
            </w:pPr>
            <w:r>
              <w:t>作为原料回收利用</w:t>
            </w:r>
          </w:p>
        </w:tc>
        <w:tc>
          <w:tcPr>
            <w:tcW w:w="603" w:type="pct"/>
            <w:tcMar>
              <w:top w:w="0" w:type="dxa"/>
              <w:left w:w="57" w:type="dxa"/>
              <w:bottom w:w="0" w:type="dxa"/>
              <w:right w:w="57" w:type="dxa"/>
            </w:tcMar>
            <w:vAlign w:val="center"/>
          </w:tcPr>
          <w:p w14:paraId="40C43B6A">
            <w:pPr>
              <w:pStyle w:val="41"/>
              <w:keepLines/>
              <w:snapToGrid w:val="0"/>
            </w:pPr>
            <w:r>
              <w:t>3000</w:t>
            </w:r>
          </w:p>
        </w:tc>
        <w:tc>
          <w:tcPr>
            <w:tcW w:w="555" w:type="pct"/>
            <w:tcMar>
              <w:top w:w="0" w:type="dxa"/>
              <w:left w:w="57" w:type="dxa"/>
              <w:bottom w:w="0" w:type="dxa"/>
              <w:right w:w="57" w:type="dxa"/>
            </w:tcMar>
            <w:vAlign w:val="center"/>
          </w:tcPr>
          <w:p w14:paraId="432837C9">
            <w:pPr>
              <w:pStyle w:val="41"/>
              <w:keepLines/>
              <w:snapToGrid w:val="0"/>
            </w:pPr>
            <w:r>
              <w:t>0</w:t>
            </w:r>
          </w:p>
        </w:tc>
        <w:tc>
          <w:tcPr>
            <w:tcW w:w="398" w:type="pct"/>
            <w:vMerge w:val="continue"/>
            <w:tcMar>
              <w:top w:w="0" w:type="dxa"/>
              <w:left w:w="57" w:type="dxa"/>
              <w:bottom w:w="0" w:type="dxa"/>
              <w:right w:w="57" w:type="dxa"/>
            </w:tcMar>
            <w:vAlign w:val="center"/>
          </w:tcPr>
          <w:p w14:paraId="78F0F188">
            <w:pPr>
              <w:pStyle w:val="41"/>
              <w:keepLines/>
              <w:snapToGrid w:val="0"/>
            </w:pPr>
          </w:p>
        </w:tc>
      </w:tr>
      <w:tr w14:paraId="1B75F1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11AA9E13">
            <w:pPr>
              <w:pStyle w:val="41"/>
              <w:keepLines/>
              <w:snapToGrid w:val="0"/>
            </w:pPr>
          </w:p>
        </w:tc>
        <w:tc>
          <w:tcPr>
            <w:tcW w:w="1004" w:type="pct"/>
            <w:tcMar>
              <w:top w:w="0" w:type="dxa"/>
              <w:left w:w="57" w:type="dxa"/>
              <w:bottom w:w="0" w:type="dxa"/>
              <w:right w:w="57" w:type="dxa"/>
            </w:tcMar>
            <w:vAlign w:val="center"/>
          </w:tcPr>
          <w:p w14:paraId="597F087B">
            <w:pPr>
              <w:pStyle w:val="41"/>
              <w:keepLines/>
              <w:snapToGrid w:val="0"/>
            </w:pPr>
            <w:r>
              <w:t>收尘灰</w:t>
            </w:r>
          </w:p>
        </w:tc>
        <w:tc>
          <w:tcPr>
            <w:tcW w:w="473" w:type="pct"/>
            <w:tcMar>
              <w:top w:w="0" w:type="dxa"/>
              <w:left w:w="57" w:type="dxa"/>
              <w:bottom w:w="0" w:type="dxa"/>
              <w:right w:w="57" w:type="dxa"/>
            </w:tcMar>
            <w:vAlign w:val="center"/>
          </w:tcPr>
          <w:p w14:paraId="79753EC1">
            <w:pPr>
              <w:pStyle w:val="41"/>
              <w:keepLines/>
              <w:snapToGrid w:val="0"/>
            </w:pPr>
            <w:r>
              <w:t>10343.31</w:t>
            </w:r>
          </w:p>
        </w:tc>
        <w:tc>
          <w:tcPr>
            <w:tcW w:w="1615" w:type="pct"/>
            <w:vMerge w:val="continue"/>
            <w:tcMar>
              <w:top w:w="0" w:type="dxa"/>
              <w:left w:w="57" w:type="dxa"/>
              <w:bottom w:w="0" w:type="dxa"/>
              <w:right w:w="57" w:type="dxa"/>
            </w:tcMar>
            <w:vAlign w:val="center"/>
          </w:tcPr>
          <w:p w14:paraId="21F57DC8">
            <w:pPr>
              <w:pStyle w:val="41"/>
              <w:keepLines/>
              <w:snapToGrid w:val="0"/>
            </w:pPr>
          </w:p>
        </w:tc>
        <w:tc>
          <w:tcPr>
            <w:tcW w:w="603" w:type="pct"/>
            <w:tcMar>
              <w:top w:w="0" w:type="dxa"/>
              <w:left w:w="57" w:type="dxa"/>
              <w:bottom w:w="0" w:type="dxa"/>
              <w:right w:w="57" w:type="dxa"/>
            </w:tcMar>
            <w:vAlign w:val="center"/>
          </w:tcPr>
          <w:p w14:paraId="61E72B4F">
            <w:pPr>
              <w:pStyle w:val="41"/>
              <w:keepLines/>
              <w:snapToGrid w:val="0"/>
            </w:pPr>
            <w:r>
              <w:t>14453.31</w:t>
            </w:r>
          </w:p>
        </w:tc>
        <w:tc>
          <w:tcPr>
            <w:tcW w:w="555" w:type="pct"/>
            <w:tcMar>
              <w:top w:w="0" w:type="dxa"/>
              <w:left w:w="57" w:type="dxa"/>
              <w:bottom w:w="0" w:type="dxa"/>
              <w:right w:w="57" w:type="dxa"/>
            </w:tcMar>
            <w:vAlign w:val="center"/>
          </w:tcPr>
          <w:p w14:paraId="7C7564BD">
            <w:pPr>
              <w:pStyle w:val="41"/>
              <w:keepLines/>
              <w:snapToGrid w:val="0"/>
            </w:pPr>
            <w:r>
              <w:t>+4110</w:t>
            </w:r>
          </w:p>
        </w:tc>
        <w:tc>
          <w:tcPr>
            <w:tcW w:w="398" w:type="pct"/>
            <w:vMerge w:val="continue"/>
            <w:tcMar>
              <w:top w:w="0" w:type="dxa"/>
              <w:left w:w="57" w:type="dxa"/>
              <w:bottom w:w="0" w:type="dxa"/>
              <w:right w:w="57" w:type="dxa"/>
            </w:tcMar>
            <w:vAlign w:val="center"/>
          </w:tcPr>
          <w:p w14:paraId="3EA6AE35">
            <w:pPr>
              <w:pStyle w:val="41"/>
              <w:keepLines/>
              <w:snapToGrid w:val="0"/>
            </w:pPr>
          </w:p>
        </w:tc>
      </w:tr>
      <w:tr w14:paraId="115133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16B9228D">
            <w:pPr>
              <w:pStyle w:val="41"/>
              <w:keepLines/>
              <w:snapToGrid w:val="0"/>
            </w:pPr>
          </w:p>
        </w:tc>
        <w:tc>
          <w:tcPr>
            <w:tcW w:w="1004" w:type="pct"/>
            <w:tcMar>
              <w:top w:w="0" w:type="dxa"/>
              <w:left w:w="57" w:type="dxa"/>
              <w:bottom w:w="0" w:type="dxa"/>
              <w:right w:w="57" w:type="dxa"/>
            </w:tcMar>
            <w:vAlign w:val="center"/>
          </w:tcPr>
          <w:p w14:paraId="576F43AD">
            <w:pPr>
              <w:pStyle w:val="41"/>
              <w:keepLines/>
              <w:snapToGrid w:val="0"/>
            </w:pPr>
            <w:r>
              <w:t>废岩棉板</w:t>
            </w:r>
          </w:p>
        </w:tc>
        <w:tc>
          <w:tcPr>
            <w:tcW w:w="473" w:type="pct"/>
            <w:tcMar>
              <w:top w:w="0" w:type="dxa"/>
              <w:left w:w="57" w:type="dxa"/>
              <w:bottom w:w="0" w:type="dxa"/>
              <w:right w:w="57" w:type="dxa"/>
            </w:tcMar>
            <w:vAlign w:val="center"/>
          </w:tcPr>
          <w:p w14:paraId="6284367C">
            <w:pPr>
              <w:pStyle w:val="41"/>
              <w:keepLines/>
              <w:snapToGrid w:val="0"/>
            </w:pPr>
            <w:r>
              <w:t>3000</w:t>
            </w:r>
          </w:p>
        </w:tc>
        <w:tc>
          <w:tcPr>
            <w:tcW w:w="1615" w:type="pct"/>
            <w:vMerge w:val="continue"/>
            <w:tcMar>
              <w:top w:w="0" w:type="dxa"/>
              <w:left w:w="57" w:type="dxa"/>
              <w:bottom w:w="0" w:type="dxa"/>
              <w:right w:w="57" w:type="dxa"/>
            </w:tcMar>
            <w:vAlign w:val="center"/>
          </w:tcPr>
          <w:p w14:paraId="052B2FCE">
            <w:pPr>
              <w:pStyle w:val="41"/>
              <w:keepLines/>
              <w:snapToGrid w:val="0"/>
            </w:pPr>
          </w:p>
        </w:tc>
        <w:tc>
          <w:tcPr>
            <w:tcW w:w="603" w:type="pct"/>
            <w:tcMar>
              <w:top w:w="0" w:type="dxa"/>
              <w:left w:w="57" w:type="dxa"/>
              <w:bottom w:w="0" w:type="dxa"/>
              <w:right w:w="57" w:type="dxa"/>
            </w:tcMar>
            <w:vAlign w:val="center"/>
          </w:tcPr>
          <w:p w14:paraId="64D5B5DE">
            <w:pPr>
              <w:pStyle w:val="41"/>
              <w:keepLines/>
              <w:snapToGrid w:val="0"/>
            </w:pPr>
            <w:r>
              <w:t>3000</w:t>
            </w:r>
          </w:p>
        </w:tc>
        <w:tc>
          <w:tcPr>
            <w:tcW w:w="555" w:type="pct"/>
            <w:tcMar>
              <w:top w:w="0" w:type="dxa"/>
              <w:left w:w="57" w:type="dxa"/>
              <w:bottom w:w="0" w:type="dxa"/>
              <w:right w:w="57" w:type="dxa"/>
            </w:tcMar>
            <w:vAlign w:val="center"/>
          </w:tcPr>
          <w:p w14:paraId="75AF0326">
            <w:pPr>
              <w:pStyle w:val="41"/>
              <w:keepLines/>
              <w:snapToGrid w:val="0"/>
            </w:pPr>
            <w:r>
              <w:t>0</w:t>
            </w:r>
          </w:p>
        </w:tc>
        <w:tc>
          <w:tcPr>
            <w:tcW w:w="398" w:type="pct"/>
            <w:vMerge w:val="continue"/>
            <w:tcMar>
              <w:top w:w="0" w:type="dxa"/>
              <w:left w:w="57" w:type="dxa"/>
              <w:bottom w:w="0" w:type="dxa"/>
              <w:right w:w="57" w:type="dxa"/>
            </w:tcMar>
            <w:vAlign w:val="center"/>
          </w:tcPr>
          <w:p w14:paraId="5618D286">
            <w:pPr>
              <w:pStyle w:val="41"/>
              <w:keepLines/>
              <w:snapToGrid w:val="0"/>
            </w:pPr>
          </w:p>
        </w:tc>
      </w:tr>
      <w:tr w14:paraId="095229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7323214C">
            <w:pPr>
              <w:pStyle w:val="41"/>
              <w:keepLines/>
              <w:snapToGrid w:val="0"/>
            </w:pPr>
          </w:p>
        </w:tc>
        <w:tc>
          <w:tcPr>
            <w:tcW w:w="1004" w:type="pct"/>
            <w:tcMar>
              <w:top w:w="0" w:type="dxa"/>
              <w:left w:w="57" w:type="dxa"/>
              <w:bottom w:w="0" w:type="dxa"/>
              <w:right w:w="57" w:type="dxa"/>
            </w:tcMar>
            <w:vAlign w:val="center"/>
          </w:tcPr>
          <w:p w14:paraId="25C1562C">
            <w:pPr>
              <w:pStyle w:val="41"/>
              <w:keepLines/>
              <w:snapToGrid w:val="0"/>
            </w:pPr>
            <w:r>
              <w:t>切割边角料</w:t>
            </w:r>
          </w:p>
        </w:tc>
        <w:tc>
          <w:tcPr>
            <w:tcW w:w="473" w:type="pct"/>
            <w:tcMar>
              <w:top w:w="0" w:type="dxa"/>
              <w:left w:w="57" w:type="dxa"/>
              <w:bottom w:w="0" w:type="dxa"/>
              <w:right w:w="57" w:type="dxa"/>
            </w:tcMar>
            <w:vAlign w:val="center"/>
          </w:tcPr>
          <w:p w14:paraId="0513AFAD">
            <w:pPr>
              <w:pStyle w:val="41"/>
              <w:keepLines/>
              <w:snapToGrid w:val="0"/>
            </w:pPr>
            <w:r>
              <w:t>1200</w:t>
            </w:r>
          </w:p>
        </w:tc>
        <w:tc>
          <w:tcPr>
            <w:tcW w:w="1615" w:type="pct"/>
            <w:tcMar>
              <w:top w:w="0" w:type="dxa"/>
              <w:left w:w="57" w:type="dxa"/>
              <w:bottom w:w="0" w:type="dxa"/>
              <w:right w:w="57" w:type="dxa"/>
            </w:tcMar>
            <w:vAlign w:val="center"/>
          </w:tcPr>
          <w:p w14:paraId="5F474395">
            <w:pPr>
              <w:pStyle w:val="41"/>
              <w:keepLines/>
              <w:snapToGrid w:val="0"/>
            </w:pPr>
            <w:r>
              <w:t>粉碎后通过风管送至集棉鼓回用</w:t>
            </w:r>
          </w:p>
        </w:tc>
        <w:tc>
          <w:tcPr>
            <w:tcW w:w="603" w:type="pct"/>
            <w:tcMar>
              <w:top w:w="0" w:type="dxa"/>
              <w:left w:w="57" w:type="dxa"/>
              <w:bottom w:w="0" w:type="dxa"/>
              <w:right w:w="57" w:type="dxa"/>
            </w:tcMar>
            <w:vAlign w:val="center"/>
          </w:tcPr>
          <w:p w14:paraId="4BF88CC3">
            <w:pPr>
              <w:pStyle w:val="41"/>
              <w:keepLines/>
              <w:snapToGrid w:val="0"/>
            </w:pPr>
            <w:r>
              <w:t>1200</w:t>
            </w:r>
          </w:p>
        </w:tc>
        <w:tc>
          <w:tcPr>
            <w:tcW w:w="555" w:type="pct"/>
            <w:tcMar>
              <w:top w:w="0" w:type="dxa"/>
              <w:left w:w="57" w:type="dxa"/>
              <w:bottom w:w="0" w:type="dxa"/>
              <w:right w:w="57" w:type="dxa"/>
            </w:tcMar>
            <w:vAlign w:val="center"/>
          </w:tcPr>
          <w:p w14:paraId="193CE252">
            <w:pPr>
              <w:pStyle w:val="41"/>
              <w:keepLines/>
              <w:snapToGrid w:val="0"/>
            </w:pPr>
            <w:r>
              <w:t>0</w:t>
            </w:r>
          </w:p>
        </w:tc>
        <w:tc>
          <w:tcPr>
            <w:tcW w:w="398" w:type="pct"/>
            <w:vMerge w:val="continue"/>
            <w:tcMar>
              <w:top w:w="0" w:type="dxa"/>
              <w:left w:w="57" w:type="dxa"/>
              <w:bottom w:w="0" w:type="dxa"/>
              <w:right w:w="57" w:type="dxa"/>
            </w:tcMar>
            <w:vAlign w:val="center"/>
          </w:tcPr>
          <w:p w14:paraId="4FC31039">
            <w:pPr>
              <w:pStyle w:val="41"/>
              <w:keepLines/>
              <w:snapToGrid w:val="0"/>
            </w:pPr>
          </w:p>
        </w:tc>
      </w:tr>
      <w:tr w14:paraId="6908D3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3010238B">
            <w:pPr>
              <w:pStyle w:val="41"/>
              <w:keepLines/>
              <w:snapToGrid w:val="0"/>
            </w:pPr>
          </w:p>
        </w:tc>
        <w:tc>
          <w:tcPr>
            <w:tcW w:w="1004" w:type="pct"/>
            <w:tcMar>
              <w:top w:w="0" w:type="dxa"/>
              <w:left w:w="57" w:type="dxa"/>
              <w:bottom w:w="0" w:type="dxa"/>
              <w:right w:w="57" w:type="dxa"/>
            </w:tcMar>
            <w:vAlign w:val="center"/>
          </w:tcPr>
          <w:p w14:paraId="76305CDE">
            <w:pPr>
              <w:pStyle w:val="41"/>
              <w:keepLines/>
              <w:snapToGrid w:val="0"/>
            </w:pPr>
            <w:r>
              <w:t>沉淀池底泥</w:t>
            </w:r>
          </w:p>
        </w:tc>
        <w:tc>
          <w:tcPr>
            <w:tcW w:w="473" w:type="pct"/>
            <w:tcMar>
              <w:top w:w="0" w:type="dxa"/>
              <w:left w:w="57" w:type="dxa"/>
              <w:bottom w:w="0" w:type="dxa"/>
              <w:right w:w="57" w:type="dxa"/>
            </w:tcMar>
            <w:vAlign w:val="center"/>
          </w:tcPr>
          <w:p w14:paraId="38679487">
            <w:pPr>
              <w:pStyle w:val="41"/>
              <w:keepLines/>
              <w:snapToGrid w:val="0"/>
            </w:pPr>
            <w:r>
              <w:t>5</w:t>
            </w:r>
          </w:p>
        </w:tc>
        <w:tc>
          <w:tcPr>
            <w:tcW w:w="1615" w:type="pct"/>
            <w:tcMar>
              <w:top w:w="0" w:type="dxa"/>
              <w:left w:w="57" w:type="dxa"/>
              <w:bottom w:w="0" w:type="dxa"/>
              <w:right w:w="57" w:type="dxa"/>
            </w:tcMar>
            <w:vAlign w:val="center"/>
          </w:tcPr>
          <w:p w14:paraId="78B9DDD3">
            <w:pPr>
              <w:pStyle w:val="41"/>
              <w:keepLines/>
              <w:snapToGrid w:val="0"/>
            </w:pPr>
            <w:r>
              <w:t>送至奎屯市固废填埋场</w:t>
            </w:r>
          </w:p>
        </w:tc>
        <w:tc>
          <w:tcPr>
            <w:tcW w:w="603" w:type="pct"/>
            <w:tcMar>
              <w:top w:w="0" w:type="dxa"/>
              <w:left w:w="57" w:type="dxa"/>
              <w:bottom w:w="0" w:type="dxa"/>
              <w:right w:w="57" w:type="dxa"/>
            </w:tcMar>
            <w:vAlign w:val="center"/>
          </w:tcPr>
          <w:p w14:paraId="0D7FDF3E">
            <w:pPr>
              <w:pStyle w:val="41"/>
              <w:keepLines/>
              <w:snapToGrid w:val="0"/>
            </w:pPr>
            <w:r>
              <w:t>5</w:t>
            </w:r>
          </w:p>
        </w:tc>
        <w:tc>
          <w:tcPr>
            <w:tcW w:w="555" w:type="pct"/>
            <w:tcMar>
              <w:top w:w="0" w:type="dxa"/>
              <w:left w:w="57" w:type="dxa"/>
              <w:bottom w:w="0" w:type="dxa"/>
              <w:right w:w="57" w:type="dxa"/>
            </w:tcMar>
            <w:vAlign w:val="center"/>
          </w:tcPr>
          <w:p w14:paraId="7DA3FD19">
            <w:pPr>
              <w:pStyle w:val="41"/>
              <w:keepLines/>
              <w:snapToGrid w:val="0"/>
            </w:pPr>
            <w:r>
              <w:t>0</w:t>
            </w:r>
          </w:p>
        </w:tc>
        <w:tc>
          <w:tcPr>
            <w:tcW w:w="398" w:type="pct"/>
            <w:vMerge w:val="continue"/>
            <w:tcMar>
              <w:top w:w="0" w:type="dxa"/>
              <w:left w:w="57" w:type="dxa"/>
              <w:bottom w:w="0" w:type="dxa"/>
              <w:right w:w="57" w:type="dxa"/>
            </w:tcMar>
            <w:vAlign w:val="center"/>
          </w:tcPr>
          <w:p w14:paraId="1731B566">
            <w:pPr>
              <w:pStyle w:val="41"/>
              <w:keepLines/>
              <w:snapToGrid w:val="0"/>
            </w:pPr>
          </w:p>
        </w:tc>
      </w:tr>
      <w:tr w14:paraId="64266B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vMerge w:val="continue"/>
            <w:tcMar>
              <w:top w:w="0" w:type="dxa"/>
              <w:left w:w="57" w:type="dxa"/>
              <w:bottom w:w="0" w:type="dxa"/>
              <w:right w:w="57" w:type="dxa"/>
            </w:tcMar>
            <w:vAlign w:val="center"/>
          </w:tcPr>
          <w:p w14:paraId="12AEB5CD">
            <w:pPr>
              <w:pStyle w:val="41"/>
              <w:keepLines/>
              <w:snapToGrid w:val="0"/>
            </w:pPr>
          </w:p>
        </w:tc>
        <w:tc>
          <w:tcPr>
            <w:tcW w:w="1004" w:type="pct"/>
            <w:tcMar>
              <w:top w:w="0" w:type="dxa"/>
              <w:left w:w="57" w:type="dxa"/>
              <w:bottom w:w="0" w:type="dxa"/>
              <w:right w:w="57" w:type="dxa"/>
            </w:tcMar>
            <w:vAlign w:val="center"/>
          </w:tcPr>
          <w:p w14:paraId="5381344A">
            <w:pPr>
              <w:pStyle w:val="41"/>
              <w:keepLines/>
              <w:snapToGrid w:val="0"/>
            </w:pPr>
            <w:r>
              <w:t>岩棉板过滤残渣</w:t>
            </w:r>
          </w:p>
        </w:tc>
        <w:tc>
          <w:tcPr>
            <w:tcW w:w="473" w:type="pct"/>
            <w:tcMar>
              <w:top w:w="0" w:type="dxa"/>
              <w:left w:w="57" w:type="dxa"/>
              <w:bottom w:w="0" w:type="dxa"/>
              <w:right w:w="57" w:type="dxa"/>
            </w:tcMar>
            <w:vAlign w:val="center"/>
          </w:tcPr>
          <w:p w14:paraId="1EBFEB47">
            <w:pPr>
              <w:pStyle w:val="41"/>
              <w:keepLines/>
              <w:snapToGrid w:val="0"/>
            </w:pPr>
            <w:r>
              <w:t>150</w:t>
            </w:r>
          </w:p>
        </w:tc>
        <w:tc>
          <w:tcPr>
            <w:tcW w:w="1615" w:type="pct"/>
            <w:tcMar>
              <w:top w:w="0" w:type="dxa"/>
              <w:left w:w="57" w:type="dxa"/>
              <w:bottom w:w="0" w:type="dxa"/>
              <w:right w:w="57" w:type="dxa"/>
            </w:tcMar>
            <w:vAlign w:val="center"/>
          </w:tcPr>
          <w:p w14:paraId="43B1C7F4">
            <w:pPr>
              <w:pStyle w:val="41"/>
              <w:keepLines/>
              <w:snapToGrid w:val="0"/>
            </w:pPr>
            <w:r>
              <w:rPr>
                <w:spacing w:val="-1"/>
              </w:rPr>
              <w:t>统一交由奎屯龙之盾商贸有限公司处置</w:t>
            </w:r>
            <w:r>
              <w:t>（协议见附件）</w:t>
            </w:r>
          </w:p>
        </w:tc>
        <w:tc>
          <w:tcPr>
            <w:tcW w:w="603" w:type="pct"/>
            <w:tcMar>
              <w:top w:w="0" w:type="dxa"/>
              <w:left w:w="57" w:type="dxa"/>
              <w:bottom w:w="0" w:type="dxa"/>
              <w:right w:w="57" w:type="dxa"/>
            </w:tcMar>
            <w:vAlign w:val="center"/>
          </w:tcPr>
          <w:p w14:paraId="1650A838">
            <w:pPr>
              <w:pStyle w:val="41"/>
              <w:keepLines/>
              <w:snapToGrid w:val="0"/>
            </w:pPr>
            <w:r>
              <w:t>150</w:t>
            </w:r>
          </w:p>
        </w:tc>
        <w:tc>
          <w:tcPr>
            <w:tcW w:w="555" w:type="pct"/>
            <w:tcMar>
              <w:top w:w="0" w:type="dxa"/>
              <w:left w:w="57" w:type="dxa"/>
              <w:bottom w:w="0" w:type="dxa"/>
              <w:right w:w="57" w:type="dxa"/>
            </w:tcMar>
            <w:vAlign w:val="center"/>
          </w:tcPr>
          <w:p w14:paraId="2F52383F">
            <w:pPr>
              <w:pStyle w:val="41"/>
              <w:keepLines/>
              <w:snapToGrid w:val="0"/>
            </w:pPr>
            <w:r>
              <w:t>0</w:t>
            </w:r>
          </w:p>
        </w:tc>
        <w:tc>
          <w:tcPr>
            <w:tcW w:w="398" w:type="pct"/>
            <w:vMerge w:val="continue"/>
            <w:tcMar>
              <w:top w:w="0" w:type="dxa"/>
              <w:left w:w="57" w:type="dxa"/>
              <w:bottom w:w="0" w:type="dxa"/>
              <w:right w:w="57" w:type="dxa"/>
            </w:tcMar>
            <w:vAlign w:val="center"/>
          </w:tcPr>
          <w:p w14:paraId="0044A2CE">
            <w:pPr>
              <w:pStyle w:val="41"/>
              <w:keepLines/>
              <w:snapToGrid w:val="0"/>
            </w:pPr>
          </w:p>
        </w:tc>
      </w:tr>
      <w:tr w14:paraId="772A23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tcMar>
              <w:top w:w="0" w:type="dxa"/>
              <w:left w:w="57" w:type="dxa"/>
              <w:bottom w:w="0" w:type="dxa"/>
              <w:right w:w="57" w:type="dxa"/>
            </w:tcMar>
            <w:vAlign w:val="center"/>
          </w:tcPr>
          <w:p w14:paraId="30E80CCE">
            <w:pPr>
              <w:pStyle w:val="41"/>
              <w:keepLines/>
              <w:snapToGrid w:val="0"/>
            </w:pPr>
            <w:r>
              <w:t>危险废物</w:t>
            </w:r>
          </w:p>
        </w:tc>
        <w:tc>
          <w:tcPr>
            <w:tcW w:w="1004" w:type="pct"/>
            <w:tcMar>
              <w:top w:w="0" w:type="dxa"/>
              <w:left w:w="57" w:type="dxa"/>
              <w:bottom w:w="0" w:type="dxa"/>
              <w:right w:w="57" w:type="dxa"/>
            </w:tcMar>
            <w:vAlign w:val="center"/>
          </w:tcPr>
          <w:p w14:paraId="514017D2">
            <w:pPr>
              <w:pStyle w:val="41"/>
              <w:keepLines/>
              <w:snapToGrid w:val="0"/>
            </w:pPr>
            <w:r>
              <w:t>废矿物油（HW08  900-249-08）</w:t>
            </w:r>
          </w:p>
        </w:tc>
        <w:tc>
          <w:tcPr>
            <w:tcW w:w="473" w:type="pct"/>
            <w:tcMar>
              <w:top w:w="0" w:type="dxa"/>
              <w:left w:w="57" w:type="dxa"/>
              <w:bottom w:w="0" w:type="dxa"/>
              <w:right w:w="57" w:type="dxa"/>
            </w:tcMar>
            <w:vAlign w:val="center"/>
          </w:tcPr>
          <w:p w14:paraId="22DEBD17">
            <w:pPr>
              <w:pStyle w:val="41"/>
              <w:keepLines/>
              <w:snapToGrid w:val="0"/>
            </w:pPr>
            <w:r>
              <w:t>0.78</w:t>
            </w:r>
          </w:p>
        </w:tc>
        <w:tc>
          <w:tcPr>
            <w:tcW w:w="1615" w:type="pct"/>
            <w:tcMar>
              <w:top w:w="0" w:type="dxa"/>
              <w:left w:w="57" w:type="dxa"/>
              <w:bottom w:w="0" w:type="dxa"/>
              <w:right w:w="57" w:type="dxa"/>
            </w:tcMar>
            <w:vAlign w:val="center"/>
          </w:tcPr>
          <w:p w14:paraId="5608E11D">
            <w:pPr>
              <w:pStyle w:val="41"/>
              <w:keepLines/>
              <w:snapToGrid w:val="0"/>
            </w:pPr>
            <w:r>
              <w:rPr>
                <w:spacing w:val="-1"/>
              </w:rPr>
              <w:t>集中收集后在危废暂存间暂存，统一由新疆创蓝环保科技有限责任公司处置</w:t>
            </w:r>
            <w:r>
              <w:t>（处置协议见附件）</w:t>
            </w:r>
          </w:p>
        </w:tc>
        <w:tc>
          <w:tcPr>
            <w:tcW w:w="603" w:type="pct"/>
            <w:tcMar>
              <w:top w:w="0" w:type="dxa"/>
              <w:left w:w="57" w:type="dxa"/>
              <w:bottom w:w="0" w:type="dxa"/>
              <w:right w:w="57" w:type="dxa"/>
            </w:tcMar>
            <w:vAlign w:val="center"/>
          </w:tcPr>
          <w:p w14:paraId="2DB0F37F">
            <w:pPr>
              <w:pStyle w:val="41"/>
              <w:keepLines/>
              <w:snapToGrid w:val="0"/>
            </w:pPr>
            <w:r>
              <w:t>0.98</w:t>
            </w:r>
          </w:p>
        </w:tc>
        <w:tc>
          <w:tcPr>
            <w:tcW w:w="555" w:type="pct"/>
            <w:tcMar>
              <w:top w:w="0" w:type="dxa"/>
              <w:left w:w="57" w:type="dxa"/>
              <w:bottom w:w="0" w:type="dxa"/>
              <w:right w:w="57" w:type="dxa"/>
            </w:tcMar>
            <w:vAlign w:val="center"/>
          </w:tcPr>
          <w:p w14:paraId="787A206E">
            <w:pPr>
              <w:pStyle w:val="41"/>
              <w:keepLines/>
              <w:snapToGrid w:val="0"/>
            </w:pPr>
            <w:r>
              <w:t>+0.2</w:t>
            </w:r>
          </w:p>
        </w:tc>
        <w:tc>
          <w:tcPr>
            <w:tcW w:w="398" w:type="pct"/>
            <w:vMerge w:val="continue"/>
            <w:tcMar>
              <w:top w:w="0" w:type="dxa"/>
              <w:left w:w="57" w:type="dxa"/>
              <w:bottom w:w="0" w:type="dxa"/>
              <w:right w:w="57" w:type="dxa"/>
            </w:tcMar>
            <w:vAlign w:val="center"/>
          </w:tcPr>
          <w:p w14:paraId="003B1F3D">
            <w:pPr>
              <w:pStyle w:val="41"/>
              <w:keepLines/>
              <w:snapToGrid w:val="0"/>
              <w:jc w:val="left"/>
            </w:pPr>
          </w:p>
        </w:tc>
      </w:tr>
      <w:tr w14:paraId="20C5F9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9" w:type="pct"/>
          <w:cantSplit/>
          <w:jc w:val="center"/>
        </w:trPr>
        <w:tc>
          <w:tcPr>
            <w:tcW w:w="333" w:type="pct"/>
            <w:tcMar>
              <w:top w:w="0" w:type="dxa"/>
              <w:left w:w="57" w:type="dxa"/>
              <w:bottom w:w="0" w:type="dxa"/>
              <w:right w:w="57" w:type="dxa"/>
            </w:tcMar>
            <w:vAlign w:val="center"/>
          </w:tcPr>
          <w:p w14:paraId="26A5A15F">
            <w:pPr>
              <w:pStyle w:val="41"/>
              <w:keepLines/>
              <w:snapToGrid w:val="0"/>
            </w:pPr>
            <w:r>
              <w:t>生活垃圾</w:t>
            </w:r>
          </w:p>
        </w:tc>
        <w:tc>
          <w:tcPr>
            <w:tcW w:w="1004" w:type="pct"/>
            <w:tcMar>
              <w:top w:w="0" w:type="dxa"/>
              <w:left w:w="57" w:type="dxa"/>
              <w:bottom w:w="0" w:type="dxa"/>
              <w:right w:w="57" w:type="dxa"/>
            </w:tcMar>
            <w:vAlign w:val="center"/>
          </w:tcPr>
          <w:p w14:paraId="3B2C7F1F">
            <w:pPr>
              <w:pStyle w:val="41"/>
              <w:keepLines/>
              <w:snapToGrid w:val="0"/>
            </w:pPr>
            <w:r>
              <w:t>生活垃圾</w:t>
            </w:r>
          </w:p>
        </w:tc>
        <w:tc>
          <w:tcPr>
            <w:tcW w:w="473" w:type="pct"/>
            <w:tcMar>
              <w:top w:w="0" w:type="dxa"/>
              <w:left w:w="57" w:type="dxa"/>
              <w:bottom w:w="0" w:type="dxa"/>
              <w:right w:w="57" w:type="dxa"/>
            </w:tcMar>
            <w:vAlign w:val="center"/>
          </w:tcPr>
          <w:p w14:paraId="35159849">
            <w:pPr>
              <w:pStyle w:val="41"/>
              <w:keepLines/>
              <w:snapToGrid w:val="0"/>
            </w:pPr>
            <w:r>
              <w:t>60.4</w:t>
            </w:r>
          </w:p>
        </w:tc>
        <w:tc>
          <w:tcPr>
            <w:tcW w:w="1615" w:type="pct"/>
            <w:tcMar>
              <w:top w:w="0" w:type="dxa"/>
              <w:left w:w="57" w:type="dxa"/>
              <w:bottom w:w="0" w:type="dxa"/>
              <w:right w:w="57" w:type="dxa"/>
            </w:tcMar>
            <w:vAlign w:val="center"/>
          </w:tcPr>
          <w:p w14:paraId="18800210">
            <w:pPr>
              <w:pStyle w:val="41"/>
              <w:keepLines/>
              <w:snapToGrid w:val="0"/>
            </w:pPr>
            <w:r>
              <w:t>收集后委托环卫部门拉运至生活垃圾填埋场填埋处置。</w:t>
            </w:r>
          </w:p>
        </w:tc>
        <w:tc>
          <w:tcPr>
            <w:tcW w:w="603" w:type="pct"/>
            <w:tcMar>
              <w:top w:w="0" w:type="dxa"/>
              <w:left w:w="57" w:type="dxa"/>
              <w:bottom w:w="0" w:type="dxa"/>
              <w:right w:w="57" w:type="dxa"/>
            </w:tcMar>
            <w:vAlign w:val="center"/>
          </w:tcPr>
          <w:p w14:paraId="01DBD59D">
            <w:pPr>
              <w:pStyle w:val="41"/>
              <w:keepLines/>
              <w:snapToGrid w:val="0"/>
            </w:pPr>
            <w:r>
              <w:t>60.4</w:t>
            </w:r>
          </w:p>
        </w:tc>
        <w:tc>
          <w:tcPr>
            <w:tcW w:w="555" w:type="pct"/>
            <w:tcMar>
              <w:top w:w="0" w:type="dxa"/>
              <w:left w:w="57" w:type="dxa"/>
              <w:bottom w:w="0" w:type="dxa"/>
              <w:right w:w="57" w:type="dxa"/>
            </w:tcMar>
            <w:vAlign w:val="center"/>
          </w:tcPr>
          <w:p w14:paraId="699EAB8B">
            <w:pPr>
              <w:pStyle w:val="41"/>
              <w:keepLines/>
              <w:snapToGrid w:val="0"/>
            </w:pPr>
            <w:r>
              <w:t>0</w:t>
            </w:r>
          </w:p>
        </w:tc>
        <w:tc>
          <w:tcPr>
            <w:tcW w:w="398" w:type="pct"/>
            <w:vMerge w:val="continue"/>
            <w:tcMar>
              <w:top w:w="0" w:type="dxa"/>
              <w:left w:w="57" w:type="dxa"/>
              <w:bottom w:w="0" w:type="dxa"/>
              <w:right w:w="57" w:type="dxa"/>
            </w:tcMar>
            <w:vAlign w:val="center"/>
          </w:tcPr>
          <w:p w14:paraId="0727E698">
            <w:pPr>
              <w:pStyle w:val="41"/>
              <w:keepLines/>
              <w:snapToGrid w:val="0"/>
              <w:jc w:val="left"/>
            </w:pPr>
          </w:p>
        </w:tc>
      </w:tr>
      <w:bookmarkEnd w:id="151"/>
    </w:tbl>
    <w:p w14:paraId="65FB20D9">
      <w:pPr>
        <w:pStyle w:val="6"/>
        <w:spacing w:before="120" w:after="120"/>
      </w:pPr>
      <w:r>
        <w:t>运营期噪声污染源源强核算</w:t>
      </w:r>
    </w:p>
    <w:p w14:paraId="6E27FF0B">
      <w:pPr>
        <w:pStyle w:val="3"/>
        <w:ind w:firstLine="480"/>
      </w:pPr>
      <w:r>
        <w:t>本项目噪声源主要为精炼炉、烧结机、引风机、各类泵、空压机、排气阀等。在设计时，选用低噪声设备，合理布局，并做基础减振、消声等措施。本项目主要设备噪声源强统计见表4.3-9，4.3-10。</w:t>
      </w:r>
    </w:p>
    <w:p w14:paraId="0F703D83">
      <w:pPr>
        <w:pStyle w:val="4"/>
      </w:pPr>
      <w:bookmarkStart w:id="152" w:name="_Toc207208389"/>
      <w:bookmarkStart w:id="153" w:name="_Toc7430"/>
      <w:bookmarkStart w:id="154" w:name="_Toc11944"/>
      <w:r>
        <w:t>污染物排放与总量控制</w:t>
      </w:r>
      <w:bookmarkEnd w:id="152"/>
      <w:bookmarkEnd w:id="153"/>
      <w:bookmarkEnd w:id="154"/>
    </w:p>
    <w:p w14:paraId="5FF48F73">
      <w:pPr>
        <w:pStyle w:val="5"/>
        <w:spacing w:before="120"/>
      </w:pPr>
      <w:r>
        <w:t>技改前后“三本账”分析</w:t>
      </w:r>
    </w:p>
    <w:p w14:paraId="2407903E">
      <w:pPr>
        <w:pStyle w:val="3"/>
        <w:ind w:firstLine="480"/>
      </w:pPr>
      <w:r>
        <w:t>根据前述现有和本次技改工程污染物排放结果，分析技改前后主要污染物排放变化情况，技改后厂区污染物排放情况见表4.4-1。</w:t>
      </w:r>
    </w:p>
    <w:p w14:paraId="12358397">
      <w:pPr>
        <w:pStyle w:val="4"/>
      </w:pPr>
      <w:bookmarkStart w:id="155" w:name="_Toc207208390"/>
      <w:r>
        <w:t>总量控制</w:t>
      </w:r>
      <w:bookmarkEnd w:id="155"/>
    </w:p>
    <w:p w14:paraId="2A05EA0F">
      <w:pPr>
        <w:pStyle w:val="3"/>
        <w:ind w:firstLine="480"/>
      </w:pPr>
      <w:bookmarkStart w:id="156" w:name="_Hlk172047674"/>
      <w:bookmarkStart w:id="157" w:name="_Toc29770"/>
      <w:bookmarkStart w:id="158" w:name="_Toc22589"/>
      <w:r>
        <w:t>根据原国家环境保护部已颁布的总量控制计划、《关于加强涉重金属行业污染防控的意见》（环土壤〔2018〕22号）及《关于进一步加强重金属污染防控的意见》（</w:t>
      </w:r>
      <w:r>
        <w:rPr>
          <w:lang w:val="en"/>
        </w:rPr>
        <w:t>环固体〔2022〕17号</w:t>
      </w:r>
      <w:r>
        <w:t>），结合本项目所在区域的环境特征及本项目排污情况。</w:t>
      </w:r>
    </w:p>
    <w:p w14:paraId="3FF10FC0">
      <w:pPr>
        <w:widowControl/>
        <w:ind w:firstLine="480" w:firstLineChars="200"/>
        <w:jc w:val="left"/>
      </w:pPr>
      <w:bookmarkStart w:id="159" w:name="_Hlk176864014"/>
      <w:bookmarkStart w:id="160" w:name="_Hlk176444129"/>
      <w:r>
        <w:t>根据《关于新疆艾斯米尔钢铁有限公司50000kVA铬铁合金炉节能及综合利用技术改造项目主要污染物总量控制指标的批复》（伊州环控函〔2011〕81号）可知，已批复的SO</w:t>
      </w:r>
      <w:r>
        <w:rPr>
          <w:vertAlign w:val="subscript"/>
        </w:rPr>
        <w:t>2</w:t>
      </w:r>
      <w:r>
        <w:t>、NOx和颗粒物总量指标可以满足本次技改项目排放需求。</w:t>
      </w:r>
    </w:p>
    <w:bookmarkEnd w:id="159"/>
    <w:p w14:paraId="0F059E1F">
      <w:pPr>
        <w:widowControl/>
        <w:ind w:firstLine="480" w:firstLineChars="200"/>
        <w:jc w:val="left"/>
        <w:rPr>
          <w:kern w:val="0"/>
          <w:lang w:bidi="ar"/>
        </w:rPr>
      </w:pPr>
      <w:bookmarkStart w:id="161" w:name="_Hlk172047808"/>
      <w:r>
        <w:rPr>
          <w:kern w:val="0"/>
          <w:lang w:bidi="ar"/>
        </w:rPr>
        <w:t>本次技改工程设计的烧结车间改造前已停产，现有环评及排污许可包含烧结车间总量指标，且2024年停产期间对烧结车间废气治理设施进行升级提高污染治理效率，本次技改工程实施后，各项污染物排放总量均满足原有排污许可证、环评及批复要求。</w:t>
      </w:r>
      <w:bookmarkStart w:id="162" w:name="_Hlk176864094"/>
      <w:r>
        <w:rPr>
          <w:kern w:val="0"/>
          <w:lang w:bidi="ar"/>
        </w:rPr>
        <w:t>无需新申请总量控制指标。</w:t>
      </w:r>
      <w:bookmarkEnd w:id="160"/>
      <w:bookmarkEnd w:id="162"/>
    </w:p>
    <w:bookmarkEnd w:id="156"/>
    <w:bookmarkEnd w:id="161"/>
    <w:p w14:paraId="658FB48C">
      <w:pPr>
        <w:pStyle w:val="4"/>
      </w:pPr>
      <w:bookmarkStart w:id="163" w:name="_Toc207208391"/>
      <w:r>
        <w:t>清洁生产</w:t>
      </w:r>
      <w:bookmarkEnd w:id="157"/>
      <w:bookmarkEnd w:id="158"/>
      <w:bookmarkEnd w:id="163"/>
    </w:p>
    <w:p w14:paraId="550E3BEB">
      <w:pPr>
        <w:autoSpaceDE w:val="0"/>
        <w:autoSpaceDN w:val="0"/>
        <w:adjustRightInd w:val="0"/>
        <w:spacing w:line="550" w:lineRule="exact"/>
        <w:ind w:firstLine="480"/>
        <w:rPr>
          <w:color w:val="000000"/>
        </w:rPr>
      </w:pPr>
      <w:r>
        <w:rPr>
          <w:color w:val="000000"/>
        </w:rPr>
        <w:t>清洁生产是将综合预防污染的环境策略持续应用于生产过程和产品中，以减少生产活动对人类环境的污染。就生产过程而言，清洁生产应最大限度地利用资源和能源，通过循环利用、重复使用，使原材料最大限度地转换为产品。节约能源、降低原材料消耗、减少污染物的产生量和排放量，应贯穿于生产产品的整个周期。其目的是保护环境，提高企业的经济效率。</w:t>
      </w:r>
    </w:p>
    <w:p w14:paraId="1E1D9724">
      <w:pPr>
        <w:autoSpaceDE w:val="0"/>
        <w:autoSpaceDN w:val="0"/>
        <w:adjustRightInd w:val="0"/>
        <w:spacing w:line="550" w:lineRule="exact"/>
        <w:ind w:firstLine="480"/>
        <w:rPr>
          <w:color w:val="000000"/>
        </w:rPr>
      </w:pPr>
      <w:r>
        <w:rPr>
          <w:color w:val="000000"/>
        </w:rPr>
        <w:t>本项目的清洁生产分析，主要参考《新疆艾斯米尔锰合金有限公司清洁生产审核验收报告》（新疆创青晨环保科技有限公司，2021年6月）相关数据。</w:t>
      </w:r>
    </w:p>
    <w:p w14:paraId="703C01B6">
      <w:pPr>
        <w:pStyle w:val="5"/>
        <w:spacing w:before="120" w:line="550" w:lineRule="exact"/>
        <w:jc w:val="both"/>
        <w:rPr>
          <w:bCs w:val="0"/>
          <w:color w:val="000000"/>
          <w:sz w:val="24"/>
        </w:rPr>
      </w:pPr>
      <w:bookmarkStart w:id="164" w:name="_Toc295196672"/>
      <w:bookmarkEnd w:id="164"/>
      <w:r>
        <w:rPr>
          <w:bCs w:val="0"/>
          <w:sz w:val="24"/>
        </w:rPr>
        <w:t>本项目采取清洁生产工艺、措施</w:t>
      </w:r>
    </w:p>
    <w:p w14:paraId="491AA7D1">
      <w:pPr>
        <w:pStyle w:val="58"/>
        <w:ind w:firstLine="480"/>
        <w:rPr>
          <w:rFonts w:cs="Times New Roman"/>
        </w:rPr>
      </w:pPr>
      <w:r>
        <w:rPr>
          <w:rFonts w:cs="Times New Roman"/>
        </w:rPr>
        <w:t>（1）生产工艺</w:t>
      </w:r>
    </w:p>
    <w:p w14:paraId="1EA4CAC7">
      <w:pPr>
        <w:pStyle w:val="58"/>
        <w:ind w:firstLine="480"/>
        <w:rPr>
          <w:rFonts w:cs="Times New Roman"/>
        </w:rPr>
      </w:pPr>
      <w:r>
        <w:rPr>
          <w:rFonts w:cs="Times New Roman"/>
        </w:rPr>
        <w:t>本项目选用目前国内较先进且成熟的全封闭铁合金熔炼工艺，在铁合金制造业，属于清洁生产工艺，国外也大多采用封闭式电炉。</w:t>
      </w:r>
    </w:p>
    <w:p w14:paraId="33040391">
      <w:pPr>
        <w:pStyle w:val="58"/>
        <w:ind w:firstLine="480"/>
        <w:rPr>
          <w:rFonts w:cs="Times New Roman"/>
        </w:rPr>
      </w:pPr>
      <w:r>
        <w:rPr>
          <w:rFonts w:cs="Times New Roman"/>
        </w:rPr>
        <w:t>传统的铁合金矿热电炉多为敞口式或半封闭式电热炉，缺点是空气渗入量大，所以废气量相应较大，废气的收集较困难，污染严重，煤气的回收利用量更是要小得多。另外半封闭式电热炉需炉口料面操作，增加了产品质量的不稳定性，目前我国云贵等地区还存在着较多的上述两种电热炉。本项目采用的全封闭式电热炉克服了敞口与半封闭式电热炉的上述缺点，使得渗入炉内的空气量可控且大大减少，煤气的回收率大大提高，回收的煤气浓度高达70%，工艺上不需作炉口料面操作，产品质量优良率极大提高。</w:t>
      </w:r>
    </w:p>
    <w:p w14:paraId="3C09B242">
      <w:pPr>
        <w:pStyle w:val="58"/>
        <w:ind w:firstLine="480"/>
        <w:rPr>
          <w:rFonts w:cs="Times New Roman"/>
        </w:rPr>
      </w:pPr>
      <w:r>
        <w:rPr>
          <w:rFonts w:cs="Times New Roman"/>
        </w:rPr>
        <w:t>封闭式电热炉从根本上改变了敞口电热炉通过给料槽将均匀的炉料加到电炉的电极周围的传统，这种加料方式极大地降低了炉子的生产率，增加了炉子的热损失和能源消耗。同时大量烟尘，在装料时排放到厂房内，增加了除尘、环保的难度。封闭式电热炉克服了上述传统电热炉的诸多弊端。其加入炉料的方式是由下料管直接把炉料加入炉内，随着电炉炉料的下沉及时补充新料，保持一定的料面高度。将下料管内的料连续地从炉体侧面加入炉内。这样便将间断式地向炉内加料变成连续地向炉内加料。向炉内加炉料是在完全密闭的条件下加入，避免了烟尘的外逸，对环保非常有利，同时没有电炉的炉盖旋开操作，减少辅助作业时间，避免炉盖旋开的辐射散热。实现电热炉全熔池操作。</w:t>
      </w:r>
    </w:p>
    <w:p w14:paraId="5B086CFC">
      <w:pPr>
        <w:pStyle w:val="58"/>
        <w:ind w:firstLine="480"/>
        <w:rPr>
          <w:rFonts w:cs="Times New Roman"/>
        </w:rPr>
      </w:pPr>
      <w:r>
        <w:rPr>
          <w:rFonts w:cs="Times New Roman"/>
        </w:rPr>
        <w:t>封闭式电热炉设备配置简明合理，占地面积小，对厂房高度没有过多要求，从而大幅度降低投资费用。</w:t>
      </w:r>
    </w:p>
    <w:p w14:paraId="6D49E5AC">
      <w:pPr>
        <w:pStyle w:val="58"/>
        <w:ind w:firstLine="480"/>
        <w:rPr>
          <w:rFonts w:cs="Times New Roman"/>
        </w:rPr>
      </w:pPr>
      <w:r>
        <w:rPr>
          <w:rFonts w:cs="Times New Roman"/>
        </w:rPr>
        <w:t>（2）采用规模适中、效率高、能耗低、污染较小，目前工艺较先进的封闭式大电流电炉取而代之。</w:t>
      </w:r>
    </w:p>
    <w:p w14:paraId="46FCE76D">
      <w:pPr>
        <w:pStyle w:val="58"/>
        <w:ind w:firstLine="480"/>
        <w:rPr>
          <w:rFonts w:cs="Times New Roman"/>
        </w:rPr>
      </w:pPr>
      <w:r>
        <w:rPr>
          <w:rFonts w:cs="Times New Roman"/>
        </w:rPr>
        <w:t>（3）能耗低</w:t>
      </w:r>
    </w:p>
    <w:p w14:paraId="6F4728D2">
      <w:pPr>
        <w:pStyle w:val="58"/>
        <w:ind w:firstLine="480"/>
        <w:rPr>
          <w:rFonts w:cs="Times New Roman"/>
        </w:rPr>
      </w:pPr>
      <w:r>
        <w:rPr>
          <w:rFonts w:ascii="Cambria Math" w:hAnsi="Cambria Math" w:cs="Cambria Math"/>
        </w:rPr>
        <w:t>①</w:t>
      </w:r>
      <w:r>
        <w:rPr>
          <w:rFonts w:cs="Times New Roman"/>
        </w:rPr>
        <w:t>电炉车间采用节能型变压器和节能型电动机。</w:t>
      </w:r>
    </w:p>
    <w:p w14:paraId="17F5F388">
      <w:pPr>
        <w:pStyle w:val="58"/>
        <w:ind w:firstLine="480"/>
        <w:rPr>
          <w:rFonts w:cs="Times New Roman"/>
        </w:rPr>
      </w:pPr>
      <w:r>
        <w:rPr>
          <w:rFonts w:ascii="Cambria Math" w:hAnsi="Cambria Math" w:cs="Cambria Math"/>
        </w:rPr>
        <w:t>②</w:t>
      </w:r>
      <w:r>
        <w:rPr>
          <w:rFonts w:cs="Times New Roman"/>
        </w:rPr>
        <w:t>电炉车间采用电子计算机控制配料、电极升降和压放。</w:t>
      </w:r>
    </w:p>
    <w:p w14:paraId="518C69F8">
      <w:pPr>
        <w:pStyle w:val="58"/>
        <w:ind w:firstLine="480"/>
        <w:rPr>
          <w:rFonts w:cs="Times New Roman"/>
        </w:rPr>
      </w:pPr>
      <w:r>
        <w:rPr>
          <w:rFonts w:ascii="Cambria Math" w:hAnsi="Cambria Math" w:cs="Cambria Math"/>
        </w:rPr>
        <w:t>③</w:t>
      </w:r>
      <w:r>
        <w:rPr>
          <w:rFonts w:cs="Times New Roman"/>
        </w:rPr>
        <w:t>设计采用封闭式电炉，可以充分的回收电炉煤气。回收的煤气送动力车间发电。</w:t>
      </w:r>
    </w:p>
    <w:p w14:paraId="12CA2677">
      <w:pPr>
        <w:pStyle w:val="5"/>
        <w:spacing w:before="120" w:line="570" w:lineRule="exact"/>
        <w:jc w:val="both"/>
        <w:rPr>
          <w:bCs w:val="0"/>
          <w:color w:val="000000"/>
          <w:sz w:val="24"/>
        </w:rPr>
      </w:pPr>
      <w:bookmarkStart w:id="165" w:name="_Toc94000969"/>
      <w:bookmarkEnd w:id="165"/>
      <w:r>
        <w:rPr>
          <w:bCs w:val="0"/>
          <w:sz w:val="24"/>
        </w:rPr>
        <w:t>清洁生产评价指标选取</w:t>
      </w:r>
    </w:p>
    <w:p w14:paraId="70324EC3">
      <w:pPr>
        <w:pStyle w:val="58"/>
        <w:ind w:firstLine="480"/>
        <w:rPr>
          <w:rFonts w:cs="Times New Roman"/>
        </w:rPr>
      </w:pPr>
      <w:r>
        <w:rPr>
          <w:rFonts w:cs="Times New Roman"/>
        </w:rPr>
        <w:t>企业的清洁生产水平取决于企业与时俱进的工艺技术的更新改造和不断完善的企业管理。清洁生产促进法和联合国环境署给出了的清洁生产的定义特别强调了这一点。伴随着清洁生产促进法的实施，国家环保部和国家发展改革委颁布了一系列不同行业的清洁生产标准和评价体系，为评价企业的清洁生产水平提供了评价标准和依据。根据目前现有的标准体系，与企业最为接近的是《钢铁行业（铁合金）清洁生产评价指标体系》(工信部2018年第17号)对本次项目进行清洁生产评价。</w:t>
      </w:r>
    </w:p>
    <w:p w14:paraId="55047D22">
      <w:pPr>
        <w:pStyle w:val="5"/>
        <w:spacing w:before="120"/>
      </w:pPr>
      <w:r>
        <w:t>清洁生产评价结论</w:t>
      </w:r>
    </w:p>
    <w:p w14:paraId="2DACD943">
      <w:pPr>
        <w:pStyle w:val="58"/>
        <w:ind w:firstLine="480"/>
        <w:rPr>
          <w:rFonts w:cs="Times New Roman"/>
        </w:rPr>
      </w:pPr>
      <w:r>
        <w:rPr>
          <w:rFonts w:cs="Times New Roman"/>
        </w:rPr>
        <w:t>根据《新疆艾斯米尔锰合金有限公司清洁生产审核验收报告》（新疆创青晨环保科技有限公司，2021年6月）审核后企业清洁生产综合评价指数为92.9。项目总体上清洁水平程度较高，可达到国内清洁生产先进水平。清洁生产是一个持续的过程，任何项目都具有清洁生产的潜力，在下一步的工程设计中应进一步加强工艺和设备优化，进一步提高清洁生产水平。运行期间，遵循环保规章制度严格管理，将清洁生产水平提升到更高的水平。</w:t>
      </w:r>
      <w:bookmarkStart w:id="166" w:name="_Toc295196674"/>
      <w:bookmarkEnd w:id="166"/>
      <w:bookmarkStart w:id="167" w:name="_Toc295196675"/>
      <w:bookmarkEnd w:id="167"/>
      <w:bookmarkStart w:id="168" w:name="_Toc295196676"/>
      <w:bookmarkEnd w:id="168"/>
    </w:p>
    <w:p w14:paraId="16B13F4D">
      <w:pPr>
        <w:pStyle w:val="5"/>
        <w:spacing w:before="120"/>
        <w:rPr>
          <w:color w:val="000000"/>
        </w:rPr>
      </w:pPr>
      <w:r>
        <w:t>进一步清洁生产措施与建议</w:t>
      </w:r>
    </w:p>
    <w:p w14:paraId="28D62373">
      <w:pPr>
        <w:pStyle w:val="58"/>
        <w:ind w:firstLine="480"/>
        <w:rPr>
          <w:rFonts w:cs="Times New Roman"/>
        </w:rPr>
      </w:pPr>
      <w:r>
        <w:rPr>
          <w:rFonts w:cs="Times New Roman"/>
        </w:rPr>
        <w:t>（1）煤气净化</w:t>
      </w:r>
    </w:p>
    <w:p w14:paraId="3A1AA847">
      <w:pPr>
        <w:pStyle w:val="58"/>
        <w:ind w:firstLine="480"/>
        <w:rPr>
          <w:rFonts w:cs="Times New Roman"/>
        </w:rPr>
      </w:pPr>
      <w:r>
        <w:rPr>
          <w:rFonts w:cs="Times New Roman"/>
        </w:rPr>
        <w:t>采用国外先进的干法净化工艺，提高电炉煤气质量。</w:t>
      </w:r>
    </w:p>
    <w:p w14:paraId="2BB679CB">
      <w:pPr>
        <w:pStyle w:val="58"/>
        <w:ind w:firstLine="480"/>
        <w:rPr>
          <w:rFonts w:cs="Times New Roman"/>
        </w:rPr>
      </w:pPr>
      <w:r>
        <w:rPr>
          <w:rFonts w:cs="Times New Roman"/>
        </w:rPr>
        <w:t>（2）吨产品电耗</w:t>
      </w:r>
    </w:p>
    <w:p w14:paraId="126B3DF6">
      <w:pPr>
        <w:pStyle w:val="58"/>
        <w:ind w:firstLine="480"/>
        <w:rPr>
          <w:rFonts w:cs="Times New Roman"/>
        </w:rPr>
      </w:pPr>
      <w:r>
        <w:rPr>
          <w:rFonts w:ascii="Cambria Math" w:hAnsi="Cambria Math" w:cs="Cambria Math"/>
        </w:rPr>
        <w:t>①</w:t>
      </w:r>
      <w:r>
        <w:rPr>
          <w:rFonts w:cs="Times New Roman"/>
        </w:rPr>
        <w:t>送风机、引风机均采用离心式风机，选型考虑在高效区域范围内运行，有效节约电能。</w:t>
      </w:r>
    </w:p>
    <w:p w14:paraId="3734B858">
      <w:pPr>
        <w:pStyle w:val="58"/>
        <w:ind w:firstLine="480"/>
        <w:rPr>
          <w:rFonts w:cs="Times New Roman"/>
        </w:rPr>
      </w:pPr>
      <w:r>
        <w:rPr>
          <w:rFonts w:ascii="Cambria Math" w:hAnsi="Cambria Math" w:cs="Cambria Math"/>
        </w:rPr>
        <w:t>②</w:t>
      </w:r>
      <w:r>
        <w:rPr>
          <w:rFonts w:cs="Times New Roman"/>
        </w:rPr>
        <w:t>选用节能型电力变压器，以减少变压器的损耗，可降低电耗10％左右。</w:t>
      </w:r>
    </w:p>
    <w:p w14:paraId="7C90E7B9">
      <w:pPr>
        <w:pStyle w:val="58"/>
        <w:ind w:firstLine="480"/>
        <w:rPr>
          <w:rFonts w:cs="Times New Roman"/>
        </w:rPr>
      </w:pPr>
      <w:r>
        <w:rPr>
          <w:rFonts w:ascii="Cambria Math" w:hAnsi="Cambria Math" w:cs="Cambria Math"/>
        </w:rPr>
        <w:t>③</w:t>
      </w:r>
      <w:r>
        <w:rPr>
          <w:rFonts w:cs="Times New Roman"/>
        </w:rPr>
        <w:t>各工艺系统选择高效型电动机，提高电动机效率，电缆导线按经济截面选择，节约电能。</w:t>
      </w:r>
    </w:p>
    <w:p w14:paraId="5E16A9A7">
      <w:pPr>
        <w:pStyle w:val="58"/>
        <w:ind w:firstLine="480"/>
        <w:rPr>
          <w:rFonts w:cs="Times New Roman"/>
        </w:rPr>
      </w:pPr>
      <w:r>
        <w:rPr>
          <w:rFonts w:cs="Times New Roman"/>
        </w:rPr>
        <w:t>（3）降低综合能耗</w:t>
      </w:r>
    </w:p>
    <w:p w14:paraId="267758D7">
      <w:pPr>
        <w:pStyle w:val="58"/>
        <w:ind w:firstLine="480"/>
        <w:rPr>
          <w:rFonts w:cs="Times New Roman"/>
        </w:rPr>
      </w:pPr>
      <w:r>
        <w:rPr>
          <w:rFonts w:cs="Times New Roman"/>
        </w:rPr>
        <w:t>从节电、节水、建筑节能等方面综合挖潜，提高电气设施效率，提高水重复利用率，减少新水用量，做好建筑物保温等，以多方面采取措施，降低综合能耗。</w:t>
      </w:r>
    </w:p>
    <w:p w14:paraId="4B97FC88">
      <w:pPr>
        <w:pStyle w:val="58"/>
        <w:ind w:firstLine="480"/>
        <w:rPr>
          <w:rFonts w:cs="Times New Roman"/>
        </w:rPr>
      </w:pPr>
      <w:r>
        <w:rPr>
          <w:rFonts w:cs="Times New Roman"/>
        </w:rPr>
        <w:t>（4）持续清洁生产</w:t>
      </w:r>
    </w:p>
    <w:p w14:paraId="20BFD1BD">
      <w:pPr>
        <w:pStyle w:val="58"/>
        <w:ind w:firstLine="480"/>
        <w:rPr>
          <w:rFonts w:cs="Times New Roman"/>
        </w:rPr>
      </w:pPr>
      <w:r>
        <w:rPr>
          <w:rFonts w:ascii="Cambria Math" w:hAnsi="Cambria Math" w:cs="Cambria Math"/>
        </w:rPr>
        <w:t>①</w:t>
      </w:r>
      <w:r>
        <w:rPr>
          <w:rFonts w:cs="Times New Roman"/>
        </w:rPr>
        <w:t>制定相应的中长期计划，首先要确保达标排放，其次要实现ISO14000标准认证。</w:t>
      </w:r>
    </w:p>
    <w:p w14:paraId="79DDFB73">
      <w:pPr>
        <w:pStyle w:val="58"/>
        <w:ind w:firstLine="480"/>
        <w:rPr>
          <w:rFonts w:cs="Times New Roman"/>
        </w:rPr>
      </w:pPr>
      <w:r>
        <w:rPr>
          <w:rFonts w:ascii="Cambria Math" w:hAnsi="Cambria Math" w:cs="Cambria Math"/>
        </w:rPr>
        <w:t>②</w:t>
      </w:r>
      <w:r>
        <w:rPr>
          <w:rFonts w:cs="Times New Roman"/>
        </w:rPr>
        <w:t>不断地对职工进行清洁生产教育与培训。</w:t>
      </w:r>
    </w:p>
    <w:p w14:paraId="54046908">
      <w:pPr>
        <w:pStyle w:val="58"/>
        <w:ind w:firstLine="480"/>
        <w:rPr>
          <w:rFonts w:cs="Times New Roman"/>
        </w:rPr>
      </w:pPr>
      <w:r>
        <w:rPr>
          <w:rFonts w:ascii="Cambria Math" w:hAnsi="Cambria Math" w:cs="Cambria Math"/>
        </w:rPr>
        <w:t>③</w:t>
      </w:r>
      <w:r>
        <w:rPr>
          <w:rFonts w:cs="Times New Roman"/>
        </w:rPr>
        <w:t>开发预防污染的新技术、新工艺。</w:t>
      </w:r>
    </w:p>
    <w:p w14:paraId="483E344B">
      <w:pPr>
        <w:pStyle w:val="58"/>
        <w:ind w:firstLine="480"/>
        <w:rPr>
          <w:rFonts w:cs="Times New Roman"/>
        </w:rPr>
      </w:pPr>
      <w:r>
        <w:rPr>
          <w:rFonts w:ascii="Cambria Math" w:hAnsi="Cambria Math" w:cs="Cambria Math"/>
        </w:rPr>
        <w:t>④</w:t>
      </w:r>
      <w:r>
        <w:rPr>
          <w:rFonts w:cs="Times New Roman"/>
        </w:rPr>
        <w:t>制定持续预防污染的计划和方案。</w:t>
      </w:r>
    </w:p>
    <w:p w14:paraId="1568F9AA">
      <w:pPr>
        <w:pStyle w:val="2"/>
      </w:pPr>
      <w:bookmarkStart w:id="169" w:name="_Toc6836"/>
      <w:bookmarkStart w:id="170" w:name="_Toc12402"/>
      <w:bookmarkStart w:id="171" w:name="_Toc207208392"/>
      <w:r>
        <w:t>环境现状调查与评价</w:t>
      </w:r>
      <w:bookmarkEnd w:id="169"/>
      <w:bookmarkEnd w:id="170"/>
      <w:bookmarkEnd w:id="171"/>
    </w:p>
    <w:p w14:paraId="773EAF1E">
      <w:pPr>
        <w:pStyle w:val="4"/>
      </w:pPr>
      <w:bookmarkStart w:id="172" w:name="_Toc5173"/>
      <w:bookmarkStart w:id="173" w:name="_Toc7675"/>
      <w:bookmarkStart w:id="174" w:name="_Toc207208393"/>
      <w:r>
        <w:t>自然环境现状调查与评价</w:t>
      </w:r>
      <w:bookmarkEnd w:id="172"/>
      <w:bookmarkEnd w:id="173"/>
      <w:bookmarkEnd w:id="174"/>
    </w:p>
    <w:p w14:paraId="3AD1133A">
      <w:pPr>
        <w:pStyle w:val="5"/>
        <w:spacing w:before="120"/>
      </w:pPr>
      <w:r>
        <w:t>地理位置</w:t>
      </w:r>
    </w:p>
    <w:p w14:paraId="01DB5F55">
      <w:pPr>
        <w:pStyle w:val="49"/>
        <w:rPr>
          <w:sz w:val="21"/>
          <w:szCs w:val="21"/>
        </w:rPr>
      </w:pPr>
      <w:r>
        <w:t>奎屯市位于新疆维吾尔自治区西北部，天山北麓，准噶尔盆地西南缘，北纬44°19′~44°49′，东经84°47′~85°18′。东距乌鲁木齐253km，北距克拉玛依140km，西距博乐270km（距阿拉山口220km），奎屯市地处新疆天山北坡经济带“金三角”区域的中心位置，东与沙湾县相接，西与乌苏市为邻，南与独山子区毗连，北与克拉玛依市接壤，是伊犁哈萨克自治州直属县级市。</w:t>
      </w:r>
    </w:p>
    <w:p w14:paraId="03DA6CF0">
      <w:pPr>
        <w:pStyle w:val="5"/>
        <w:spacing w:before="120"/>
      </w:pPr>
      <w:r>
        <w:t>地形地貌</w:t>
      </w:r>
    </w:p>
    <w:p w14:paraId="6D91E1DE">
      <w:pPr>
        <w:pStyle w:val="49"/>
        <w:rPr>
          <w:szCs w:val="24"/>
        </w:rPr>
      </w:pPr>
      <w:r>
        <w:t>奎屯市地处天山北坡山前冲积扇缘地带，海拔在450～530m。境内无山峦及高峰。地势西南高，东北低，地形自西南向东北倾斜。它南距天山山脉约50km，西距奎屯河约8km。地势西南高、东北低，南北由海拔610m降至320m，东西由海拔610m降至460m，地面由南北纵坡降为10~30‰，西东纵坡为3~5‰。</w:t>
      </w:r>
    </w:p>
    <w:p w14:paraId="1092E1B6">
      <w:pPr>
        <w:pStyle w:val="49"/>
      </w:pPr>
      <w:r>
        <w:t>拟建项目所在地地势开阔平缓，南高北低，自然坡度平均2.7%，处于山前倾斜的戈壁平原，地形简单，地貌单一。项目区地处奎屯河冲洪积扇上部，呈较典型的洪积戈壁砾石带地貌景观，厂址用地范围目前为空地及农田。</w:t>
      </w:r>
    </w:p>
    <w:p w14:paraId="6DE9B17F">
      <w:pPr>
        <w:pStyle w:val="5"/>
        <w:spacing w:before="120"/>
      </w:pPr>
      <w:r>
        <w:t>地表水系</w:t>
      </w:r>
    </w:p>
    <w:p w14:paraId="394B3FAF">
      <w:pPr>
        <w:pStyle w:val="49"/>
        <w:rPr>
          <w:szCs w:val="24"/>
        </w:rPr>
      </w:pPr>
      <w:r>
        <w:t>奎屯市主要地表水系为奎屯河河水、市区北部出露的泉集河—泉水沟和奎屯市城区东北的苇湖。</w:t>
      </w:r>
    </w:p>
    <w:p w14:paraId="16D701CE">
      <w:pPr>
        <w:pStyle w:val="49"/>
      </w:pPr>
      <w:r>
        <w:t>（1）奎屯河</w:t>
      </w:r>
    </w:p>
    <w:p w14:paraId="516CFE85">
      <w:pPr>
        <w:pStyle w:val="49"/>
      </w:pPr>
      <w:r>
        <w:t>奎屯河位于天山以北，准噶尔盆地西南边缘，发源于天山支脉的依连哈比尔尕山，流经独山子、乌苏、奎屯、精河入艾比湖，河流全长220km，流域面积1945km</w:t>
      </w:r>
      <w:r>
        <w:rPr>
          <w:vertAlign w:val="superscript"/>
        </w:rPr>
        <w:t>2</w:t>
      </w:r>
      <w:r>
        <w:t>。上游主要有18条支流汇合而成，根据加勒果拉测站资料，年径流量为6.4亿m</w:t>
      </w:r>
      <w:r>
        <w:rPr>
          <w:vertAlign w:val="superscript"/>
        </w:rPr>
        <w:t>3</w:t>
      </w:r>
      <w:r>
        <w:t>，历年平均流量20.lm</w:t>
      </w:r>
      <w:r>
        <w:rPr>
          <w:vertAlign w:val="superscript"/>
        </w:rPr>
        <w:t>3</w:t>
      </w:r>
      <w:r>
        <w:t>/s。每年6月初至9月底为洪水期，10月至次年5月为枯水期，冬夏河水流量悬殊较大，是典型的干旱区内流河，主要供给奎屯市、乌苏市和农七师城市用水和农业灌溉。黄沟为奎屯河下游其中一条支流，河流常年有水，冬夏河流流量悬殊较大，多年平均径流量约为265×10</w:t>
      </w:r>
      <w:r>
        <w:rPr>
          <w:vertAlign w:val="superscript"/>
        </w:rPr>
        <w:t>4</w:t>
      </w:r>
      <w:r>
        <w:t>m</w:t>
      </w:r>
      <w:r>
        <w:rPr>
          <w:vertAlign w:val="superscript"/>
        </w:rPr>
        <w:t>3</w:t>
      </w:r>
      <w:r>
        <w:t>。奎屯河位于项目区西侧约16km处。</w:t>
      </w:r>
    </w:p>
    <w:p w14:paraId="5D6D277B">
      <w:pPr>
        <w:pStyle w:val="49"/>
      </w:pPr>
      <w:r>
        <w:t>（2）泉水沟</w:t>
      </w:r>
    </w:p>
    <w:p w14:paraId="3F907A7E">
      <w:pPr>
        <w:pStyle w:val="49"/>
      </w:pPr>
      <w:r>
        <w:t>奎屯市区北部的泉水沟为一泉集河，常年约有0.1～0.3m</w:t>
      </w:r>
      <w:r>
        <w:rPr>
          <w:vertAlign w:val="superscript"/>
        </w:rPr>
        <w:t>3</w:t>
      </w:r>
      <w:r>
        <w:t>/s的泉水注入泉沟水库，泉沟水库的主要水源为奎屯河水，库容4500万m</w:t>
      </w:r>
      <w:r>
        <w:rPr>
          <w:vertAlign w:val="superscript"/>
        </w:rPr>
        <w:t>3</w:t>
      </w:r>
      <w:r>
        <w:t>。</w:t>
      </w:r>
    </w:p>
    <w:p w14:paraId="24B80154">
      <w:pPr>
        <w:pStyle w:val="49"/>
      </w:pPr>
      <w:r>
        <w:t>（3）苇湖</w:t>
      </w:r>
    </w:p>
    <w:p w14:paraId="4217A6EB">
      <w:pPr>
        <w:pStyle w:val="49"/>
      </w:pPr>
      <w:r>
        <w:t>位于奎屯市城区东北，西南距奎屯市造纸厂1km，总面积2.8km</w:t>
      </w:r>
      <w:r>
        <w:rPr>
          <w:vertAlign w:val="superscript"/>
        </w:rPr>
        <w:t>2</w:t>
      </w:r>
      <w:r>
        <w:t>，略呈方形，地形由西南向东北倾斜，苇湖以泉沟为界，分为东、西苇湖，其中东苇湖约1.3km</w:t>
      </w:r>
      <w:r>
        <w:rPr>
          <w:vertAlign w:val="superscript"/>
        </w:rPr>
        <w:t>2</w:t>
      </w:r>
      <w:r>
        <w:t>，西苇湖月1.5km</w:t>
      </w:r>
      <w:r>
        <w:rPr>
          <w:vertAlign w:val="superscript"/>
        </w:rPr>
        <w:t>2</w:t>
      </w:r>
      <w:r>
        <w:t>，现由于地下水位下降，大部分泉眼干涸，致使西苇湖面积缩小，大部分成为农七师131团农业连队的耕地。</w:t>
      </w:r>
    </w:p>
    <w:p w14:paraId="206B5014">
      <w:pPr>
        <w:pStyle w:val="49"/>
      </w:pPr>
      <w:r>
        <w:t>本项目区评价范围内无地表水体。</w:t>
      </w:r>
    </w:p>
    <w:p w14:paraId="4FEBC66A">
      <w:pPr>
        <w:pStyle w:val="5"/>
        <w:spacing w:before="120"/>
      </w:pPr>
      <w:r>
        <w:t>水文地质</w:t>
      </w:r>
    </w:p>
    <w:p w14:paraId="23279E5C">
      <w:pPr>
        <w:pStyle w:val="49"/>
        <w:rPr>
          <w:szCs w:val="24"/>
        </w:rPr>
      </w:pPr>
      <w:r>
        <w:t>奎屯地区地下水资源比较丰富，总储量约1.72×10</w:t>
      </w:r>
      <w:r>
        <w:rPr>
          <w:vertAlign w:val="superscript"/>
        </w:rPr>
        <w:t>8</w:t>
      </w:r>
      <w:r>
        <w:t>m</w:t>
      </w:r>
      <w:r>
        <w:rPr>
          <w:vertAlign w:val="superscript"/>
        </w:rPr>
        <w:t>3</w:t>
      </w:r>
      <w:r>
        <w:t>，水质较好，总盐量小于0.5g/L，沿乌伊公路一带地下水埋深为80～130m，市区一带为15～40m。沿地下水溢出带及其以北地区（含泉水沟水库区），地表以下200m以内有2～3层承压自流含水层，期间被亚砂土和亚粘土所隔，含水层一般为中细砂，粗砂和卵砾石，厚度为15m～50m，第一层在25m～45m，第二层在75m～213m，第三层在184m以下，取水层一般在第二层。</w:t>
      </w:r>
    </w:p>
    <w:p w14:paraId="41F2FEB2">
      <w:pPr>
        <w:pStyle w:val="49"/>
      </w:pPr>
      <w:r>
        <w:t>奎屯河灌区主要分布在第四系孔隙水，在黄沟水库以南区域，地层颗粒中等可钻性较好，井深一般为80m～120m，单井出水量一般大于3000m</w:t>
      </w:r>
      <w:r>
        <w:rPr>
          <w:vertAlign w:val="superscript"/>
        </w:rPr>
        <w:t>3</w:t>
      </w:r>
      <w:r>
        <w:t>/d，在黄沟水库以北区域，地层颗粒较细但井易涌沙，单井出水量一般为1000m</w:t>
      </w:r>
      <w:r>
        <w:rPr>
          <w:vertAlign w:val="superscript"/>
        </w:rPr>
        <w:t>3</w:t>
      </w:r>
      <w:r>
        <w:t>/d～3000m</w:t>
      </w:r>
      <w:r>
        <w:rPr>
          <w:vertAlign w:val="superscript"/>
        </w:rPr>
        <w:t>3</w:t>
      </w:r>
      <w:r>
        <w:t>/d，灌区地下水主要源于山区、上游河道、上游山区洪沟渗漏补给，依据《奎屯河流域规划平原地下水资源评价报告》，奎屯河罐区地下水资源量为1.936亿m</w:t>
      </w:r>
      <w:r>
        <w:rPr>
          <w:vertAlign w:val="superscript"/>
        </w:rPr>
        <w:t>3</w:t>
      </w:r>
      <w:r>
        <w:t>，2000年地下水开采量为0.3342亿m</w:t>
      </w:r>
      <w:r>
        <w:rPr>
          <w:vertAlign w:val="superscript"/>
        </w:rPr>
        <w:t>3</w:t>
      </w:r>
      <w:r>
        <w:t>。</w:t>
      </w:r>
    </w:p>
    <w:p w14:paraId="2221D340">
      <w:pPr>
        <w:pStyle w:val="49"/>
      </w:pPr>
      <w:r>
        <w:t>项目区地下水补给水源主要为奎屯河河水、天山融雪水入渗、干渠入渗量、田渗补给以及少量降水等。地下水位由南至北逐步升高，南部水位距地面深达140m，东部水位离地面2m～4m。由于受奎屯河水入渗补给的影响，年内潜水动态呈现明显的季节性变化规律。地表水丰水期时，对潜水的入渗补给量大，地下水位呈显著上升，而地表径流量较少时，则潜水水位下降，而且随着原理补给源距离的增加。其潜水水位上升腹地逐渐较小，水位上升的滞后加长，高水位期出现在每年的3～5月份，低水位期出现在每年的8～10月份，据2001~2005年地下水动态监测统计，奎屯市年水位边幅为1.35m～5.35m。潜水位逐年成下降趋势，下降速度0.01m/a～0.91m/a，平均下降速度0.5m/a，多年潜水水位呈慢速-中速下降状态，这与今年来地下水补给量逐年减少，地下水开采量不断增加有一定关系，承压水年内动态基本与潜水动态一致，年水位变幅1m～3m，水位逐年成下降趋势，平均下降速度0.4m/a。</w:t>
      </w:r>
    </w:p>
    <w:p w14:paraId="06B1F6E6">
      <w:pPr>
        <w:pStyle w:val="49"/>
      </w:pPr>
      <w:r>
        <w:t>根据《新疆奎屯地下水资源开发利用规划》，奎屯市奎屯河流域地下水供水设施主要包括三个水厂以及131团农业开采井81眼。巴音沟河流域地下水供水设施有新疆军区奎屯农场井20眼，开干旗开发区井约3眼。</w:t>
      </w:r>
    </w:p>
    <w:p w14:paraId="74599551">
      <w:pPr>
        <w:pStyle w:val="49"/>
      </w:pPr>
      <w:r>
        <w:t>本项目所在区域的地下水属于单一的潜水层，地下水水位埋深50～60m，厂址区含水层岩性主要为第四系上更新统-全新统冲积-湖泊堆积（Q4al）主要由松散呈土黄色、黄褐色的亚粘土、亚砂土、细砂、砾石组成，杂乱无章，分选性差，不具胶结。</w:t>
      </w:r>
    </w:p>
    <w:p w14:paraId="2BC2345F">
      <w:pPr>
        <w:pStyle w:val="5"/>
        <w:spacing w:before="120"/>
      </w:pPr>
      <w:r>
        <w:t>气象气候</w:t>
      </w:r>
    </w:p>
    <w:p w14:paraId="545FE25F">
      <w:pPr>
        <w:ind w:firstLine="480"/>
        <w:rPr>
          <w:color w:val="000000"/>
        </w:rPr>
      </w:pPr>
      <w:r>
        <w:rPr>
          <w:color w:val="000000"/>
        </w:rPr>
        <w:t>奎屯市位于天山北麓准噶尔盆地西南边缘，属于大陆性北温带干旱气候，是北疆热量丰富、无霜期长的地区，气候特点是：夏季炎热、冬季寒冷漫长，春季较短，温度的年较差、日较差较大，逆温频率较高，冻土较深，降水较少，蒸发量大；积雪期较长，空气干燥，风力不大，但风向多变。奎屯市近30年常规气候统计资料，如下：</w:t>
      </w:r>
    </w:p>
    <w:p w14:paraId="7D7C49BF">
      <w:pPr>
        <w:pStyle w:val="40"/>
        <w:spacing w:before="120"/>
      </w:pPr>
      <w:r>
        <w:t>表5.1-1  奎屯市地面气象资料</w:t>
      </w:r>
    </w:p>
    <w:tbl>
      <w:tblPr>
        <w:tblStyle w:val="4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2722"/>
        <w:gridCol w:w="2214"/>
        <w:gridCol w:w="2216"/>
      </w:tblGrid>
      <w:tr w14:paraId="56B9B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24263287">
            <w:pPr>
              <w:pStyle w:val="34"/>
              <w:rPr>
                <w:rFonts w:ascii="Calibri" w:hAnsi="Calibri"/>
              </w:rPr>
            </w:pPr>
            <w:r>
              <w:rPr>
                <w:rFonts w:ascii="Calibri" w:hAnsi="Calibri"/>
              </w:rPr>
              <w:t>序号</w:t>
            </w:r>
          </w:p>
        </w:tc>
        <w:tc>
          <w:tcPr>
            <w:tcW w:w="1537" w:type="pct"/>
            <w:vAlign w:val="center"/>
          </w:tcPr>
          <w:p w14:paraId="686D2E8C">
            <w:pPr>
              <w:pStyle w:val="34"/>
              <w:rPr>
                <w:rFonts w:ascii="Calibri" w:hAnsi="Calibri"/>
              </w:rPr>
            </w:pPr>
            <w:r>
              <w:rPr>
                <w:rFonts w:ascii="Calibri" w:hAnsi="Calibri"/>
              </w:rPr>
              <w:t>项目</w:t>
            </w:r>
          </w:p>
        </w:tc>
        <w:tc>
          <w:tcPr>
            <w:tcW w:w="1250" w:type="pct"/>
            <w:vAlign w:val="center"/>
          </w:tcPr>
          <w:p w14:paraId="3F9F91F7">
            <w:pPr>
              <w:pStyle w:val="34"/>
              <w:rPr>
                <w:rFonts w:ascii="Calibri" w:hAnsi="Calibri"/>
              </w:rPr>
            </w:pPr>
            <w:r>
              <w:rPr>
                <w:rFonts w:ascii="Calibri" w:hAnsi="Calibri"/>
              </w:rPr>
              <w:t>单位</w:t>
            </w:r>
          </w:p>
        </w:tc>
        <w:tc>
          <w:tcPr>
            <w:tcW w:w="1251" w:type="pct"/>
            <w:vAlign w:val="center"/>
          </w:tcPr>
          <w:p w14:paraId="67AF9A27">
            <w:pPr>
              <w:pStyle w:val="34"/>
              <w:rPr>
                <w:rFonts w:ascii="Calibri" w:hAnsi="Calibri"/>
              </w:rPr>
            </w:pPr>
            <w:r>
              <w:rPr>
                <w:rFonts w:ascii="Calibri" w:hAnsi="Calibri"/>
              </w:rPr>
              <w:t>数值</w:t>
            </w:r>
          </w:p>
        </w:tc>
      </w:tr>
      <w:tr w14:paraId="43445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2E1A2CC4">
            <w:pPr>
              <w:pStyle w:val="34"/>
              <w:rPr>
                <w:rFonts w:ascii="Calibri" w:hAnsi="Calibri"/>
              </w:rPr>
            </w:pPr>
            <w:r>
              <w:rPr>
                <w:rFonts w:ascii="Calibri" w:hAnsi="Calibri"/>
              </w:rPr>
              <w:t>1</w:t>
            </w:r>
          </w:p>
        </w:tc>
        <w:tc>
          <w:tcPr>
            <w:tcW w:w="1537" w:type="pct"/>
            <w:vAlign w:val="center"/>
          </w:tcPr>
          <w:p w14:paraId="3D342AA1">
            <w:pPr>
              <w:pStyle w:val="34"/>
              <w:rPr>
                <w:rFonts w:ascii="Calibri" w:hAnsi="Calibri"/>
              </w:rPr>
            </w:pPr>
            <w:r>
              <w:rPr>
                <w:rFonts w:ascii="Calibri" w:hAnsi="Calibri"/>
              </w:rPr>
              <w:t>年平均气温</w:t>
            </w:r>
          </w:p>
        </w:tc>
        <w:tc>
          <w:tcPr>
            <w:tcW w:w="1250" w:type="pct"/>
            <w:vAlign w:val="center"/>
          </w:tcPr>
          <w:p w14:paraId="15542AA6">
            <w:pPr>
              <w:pStyle w:val="34"/>
              <w:rPr>
                <w:rFonts w:ascii="Calibri" w:hAnsi="Calibri"/>
              </w:rPr>
            </w:pPr>
            <w:r>
              <w:rPr>
                <w:rFonts w:ascii="Calibri" w:hAnsi="Calibri"/>
              </w:rPr>
              <w:t>℃</w:t>
            </w:r>
          </w:p>
        </w:tc>
        <w:tc>
          <w:tcPr>
            <w:tcW w:w="1251" w:type="pct"/>
            <w:vAlign w:val="center"/>
          </w:tcPr>
          <w:p w14:paraId="58F4D2B5">
            <w:pPr>
              <w:pStyle w:val="34"/>
              <w:rPr>
                <w:rFonts w:ascii="Calibri" w:hAnsi="Calibri"/>
              </w:rPr>
            </w:pPr>
            <w:r>
              <w:rPr>
                <w:rFonts w:ascii="Calibri" w:hAnsi="Calibri"/>
              </w:rPr>
              <w:t>7.3</w:t>
            </w:r>
          </w:p>
        </w:tc>
      </w:tr>
      <w:tr w14:paraId="0403A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2ED61964">
            <w:pPr>
              <w:pStyle w:val="34"/>
              <w:rPr>
                <w:rFonts w:ascii="Calibri" w:hAnsi="Calibri"/>
              </w:rPr>
            </w:pPr>
            <w:r>
              <w:rPr>
                <w:rFonts w:ascii="Calibri" w:hAnsi="Calibri"/>
              </w:rPr>
              <w:t>2</w:t>
            </w:r>
          </w:p>
        </w:tc>
        <w:tc>
          <w:tcPr>
            <w:tcW w:w="1537" w:type="pct"/>
            <w:vAlign w:val="center"/>
          </w:tcPr>
          <w:p w14:paraId="6698D031">
            <w:pPr>
              <w:pStyle w:val="34"/>
              <w:rPr>
                <w:rFonts w:ascii="Calibri" w:hAnsi="Calibri"/>
              </w:rPr>
            </w:pPr>
            <w:r>
              <w:rPr>
                <w:rFonts w:ascii="Calibri" w:hAnsi="Calibri"/>
              </w:rPr>
              <w:t>极端最高气温</w:t>
            </w:r>
          </w:p>
        </w:tc>
        <w:tc>
          <w:tcPr>
            <w:tcW w:w="1250" w:type="pct"/>
            <w:vAlign w:val="center"/>
          </w:tcPr>
          <w:p w14:paraId="0F77D0DB">
            <w:pPr>
              <w:pStyle w:val="34"/>
              <w:rPr>
                <w:rFonts w:ascii="Calibri" w:hAnsi="Calibri"/>
              </w:rPr>
            </w:pPr>
            <w:r>
              <w:rPr>
                <w:rFonts w:ascii="Calibri" w:hAnsi="Calibri"/>
              </w:rPr>
              <w:t>℃</w:t>
            </w:r>
          </w:p>
        </w:tc>
        <w:tc>
          <w:tcPr>
            <w:tcW w:w="1251" w:type="pct"/>
            <w:vAlign w:val="center"/>
          </w:tcPr>
          <w:p w14:paraId="02940800">
            <w:pPr>
              <w:pStyle w:val="34"/>
              <w:rPr>
                <w:rFonts w:ascii="Calibri" w:hAnsi="Calibri"/>
              </w:rPr>
            </w:pPr>
            <w:r>
              <w:rPr>
                <w:rFonts w:ascii="Calibri" w:hAnsi="Calibri"/>
              </w:rPr>
              <w:t>38.8</w:t>
            </w:r>
          </w:p>
        </w:tc>
      </w:tr>
      <w:tr w14:paraId="60D63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1A7BBCF8">
            <w:pPr>
              <w:pStyle w:val="34"/>
              <w:rPr>
                <w:rFonts w:ascii="Calibri" w:hAnsi="Calibri"/>
              </w:rPr>
            </w:pPr>
            <w:r>
              <w:rPr>
                <w:rFonts w:ascii="Calibri" w:hAnsi="Calibri"/>
              </w:rPr>
              <w:t>3</w:t>
            </w:r>
          </w:p>
        </w:tc>
        <w:tc>
          <w:tcPr>
            <w:tcW w:w="1537" w:type="pct"/>
            <w:vAlign w:val="center"/>
          </w:tcPr>
          <w:p w14:paraId="180D407E">
            <w:pPr>
              <w:pStyle w:val="34"/>
              <w:rPr>
                <w:rFonts w:ascii="Calibri" w:hAnsi="Calibri"/>
              </w:rPr>
            </w:pPr>
            <w:r>
              <w:rPr>
                <w:rFonts w:ascii="Calibri" w:hAnsi="Calibri"/>
              </w:rPr>
              <w:t>极端最低气温</w:t>
            </w:r>
          </w:p>
        </w:tc>
        <w:tc>
          <w:tcPr>
            <w:tcW w:w="1250" w:type="pct"/>
            <w:vAlign w:val="center"/>
          </w:tcPr>
          <w:p w14:paraId="4F6FD429">
            <w:pPr>
              <w:pStyle w:val="34"/>
              <w:rPr>
                <w:rFonts w:ascii="Calibri" w:hAnsi="Calibri"/>
              </w:rPr>
            </w:pPr>
            <w:r>
              <w:rPr>
                <w:rFonts w:ascii="Calibri" w:hAnsi="Calibri"/>
              </w:rPr>
              <w:t>℃</w:t>
            </w:r>
          </w:p>
        </w:tc>
        <w:tc>
          <w:tcPr>
            <w:tcW w:w="1251" w:type="pct"/>
            <w:vAlign w:val="center"/>
          </w:tcPr>
          <w:p w14:paraId="102B1BCD">
            <w:pPr>
              <w:pStyle w:val="34"/>
              <w:rPr>
                <w:rFonts w:ascii="Calibri" w:hAnsi="Calibri"/>
              </w:rPr>
            </w:pPr>
            <w:r>
              <w:rPr>
                <w:rFonts w:ascii="Calibri" w:hAnsi="Calibri"/>
              </w:rPr>
              <w:t>-29</w:t>
            </w:r>
          </w:p>
        </w:tc>
      </w:tr>
      <w:tr w14:paraId="1C54F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15E26AFA">
            <w:pPr>
              <w:pStyle w:val="34"/>
              <w:rPr>
                <w:rFonts w:ascii="Calibri" w:hAnsi="Calibri"/>
              </w:rPr>
            </w:pPr>
            <w:r>
              <w:rPr>
                <w:rFonts w:ascii="Calibri" w:hAnsi="Calibri"/>
              </w:rPr>
              <w:t>4</w:t>
            </w:r>
          </w:p>
        </w:tc>
        <w:tc>
          <w:tcPr>
            <w:tcW w:w="1537" w:type="pct"/>
            <w:vAlign w:val="center"/>
          </w:tcPr>
          <w:p w14:paraId="2A2EC027">
            <w:pPr>
              <w:pStyle w:val="34"/>
              <w:rPr>
                <w:rFonts w:ascii="Calibri" w:hAnsi="Calibri"/>
              </w:rPr>
            </w:pPr>
            <w:r>
              <w:rPr>
                <w:rFonts w:ascii="Calibri" w:hAnsi="Calibri"/>
              </w:rPr>
              <w:t>年平均本站气压</w:t>
            </w:r>
          </w:p>
        </w:tc>
        <w:tc>
          <w:tcPr>
            <w:tcW w:w="1250" w:type="pct"/>
            <w:vAlign w:val="center"/>
          </w:tcPr>
          <w:p w14:paraId="5E8E6F02">
            <w:pPr>
              <w:pStyle w:val="34"/>
              <w:rPr>
                <w:rFonts w:ascii="Calibri" w:hAnsi="Calibri"/>
              </w:rPr>
            </w:pPr>
            <w:r>
              <w:rPr>
                <w:rFonts w:ascii="Calibri" w:hAnsi="Calibri"/>
              </w:rPr>
              <w:t>Hpa</w:t>
            </w:r>
          </w:p>
        </w:tc>
        <w:tc>
          <w:tcPr>
            <w:tcW w:w="1251" w:type="pct"/>
            <w:vAlign w:val="center"/>
          </w:tcPr>
          <w:p w14:paraId="19458D93">
            <w:pPr>
              <w:pStyle w:val="34"/>
              <w:rPr>
                <w:rFonts w:ascii="Calibri" w:hAnsi="Calibri"/>
              </w:rPr>
            </w:pPr>
            <w:r>
              <w:rPr>
                <w:rFonts w:ascii="Calibri" w:hAnsi="Calibri"/>
              </w:rPr>
              <w:t>968.5</w:t>
            </w:r>
          </w:p>
        </w:tc>
      </w:tr>
      <w:tr w14:paraId="295B2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03C07D88">
            <w:pPr>
              <w:pStyle w:val="34"/>
              <w:rPr>
                <w:rFonts w:ascii="Calibri" w:hAnsi="Calibri"/>
              </w:rPr>
            </w:pPr>
            <w:r>
              <w:rPr>
                <w:rFonts w:ascii="Calibri" w:hAnsi="Calibri"/>
              </w:rPr>
              <w:t>5</w:t>
            </w:r>
          </w:p>
        </w:tc>
        <w:tc>
          <w:tcPr>
            <w:tcW w:w="1537" w:type="pct"/>
            <w:vAlign w:val="center"/>
          </w:tcPr>
          <w:p w14:paraId="0A9C8993">
            <w:pPr>
              <w:pStyle w:val="34"/>
              <w:rPr>
                <w:rFonts w:ascii="Calibri" w:hAnsi="Calibri"/>
              </w:rPr>
            </w:pPr>
            <w:r>
              <w:rPr>
                <w:rFonts w:ascii="Calibri" w:hAnsi="Calibri"/>
              </w:rPr>
              <w:t>年平均水气压</w:t>
            </w:r>
          </w:p>
        </w:tc>
        <w:tc>
          <w:tcPr>
            <w:tcW w:w="1250" w:type="pct"/>
            <w:vAlign w:val="center"/>
          </w:tcPr>
          <w:p w14:paraId="3256849A">
            <w:pPr>
              <w:pStyle w:val="34"/>
              <w:rPr>
                <w:rFonts w:ascii="Calibri" w:hAnsi="Calibri"/>
              </w:rPr>
            </w:pPr>
            <w:r>
              <w:rPr>
                <w:rFonts w:ascii="Calibri" w:hAnsi="Calibri"/>
              </w:rPr>
              <w:t>Hpa</w:t>
            </w:r>
          </w:p>
        </w:tc>
        <w:tc>
          <w:tcPr>
            <w:tcW w:w="1251" w:type="pct"/>
            <w:vAlign w:val="center"/>
          </w:tcPr>
          <w:p w14:paraId="3C29C443">
            <w:pPr>
              <w:pStyle w:val="34"/>
              <w:rPr>
                <w:rFonts w:ascii="Calibri" w:hAnsi="Calibri"/>
              </w:rPr>
            </w:pPr>
            <w:r>
              <w:rPr>
                <w:rFonts w:ascii="Calibri" w:hAnsi="Calibri"/>
              </w:rPr>
              <w:t>7.7</w:t>
            </w:r>
          </w:p>
        </w:tc>
      </w:tr>
      <w:tr w14:paraId="1EDAA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28003FC5">
            <w:pPr>
              <w:pStyle w:val="34"/>
              <w:rPr>
                <w:rFonts w:ascii="Calibri" w:hAnsi="Calibri"/>
              </w:rPr>
            </w:pPr>
            <w:r>
              <w:rPr>
                <w:rFonts w:ascii="Calibri" w:hAnsi="Calibri"/>
              </w:rPr>
              <w:t>6</w:t>
            </w:r>
          </w:p>
        </w:tc>
        <w:tc>
          <w:tcPr>
            <w:tcW w:w="1537" w:type="pct"/>
            <w:vAlign w:val="center"/>
          </w:tcPr>
          <w:p w14:paraId="2C9B3CA3">
            <w:pPr>
              <w:pStyle w:val="34"/>
              <w:rPr>
                <w:rFonts w:ascii="Calibri" w:hAnsi="Calibri"/>
              </w:rPr>
            </w:pPr>
            <w:r>
              <w:rPr>
                <w:rFonts w:ascii="Calibri" w:hAnsi="Calibri"/>
              </w:rPr>
              <w:t>年平均相对湿度</w:t>
            </w:r>
          </w:p>
        </w:tc>
        <w:tc>
          <w:tcPr>
            <w:tcW w:w="1250" w:type="pct"/>
            <w:vAlign w:val="center"/>
          </w:tcPr>
          <w:p w14:paraId="5A720B69">
            <w:pPr>
              <w:pStyle w:val="34"/>
              <w:rPr>
                <w:rFonts w:ascii="Calibri" w:hAnsi="Calibri"/>
              </w:rPr>
            </w:pPr>
            <w:r>
              <w:rPr>
                <w:rFonts w:ascii="Calibri" w:hAnsi="Calibri"/>
              </w:rPr>
              <w:t>%</w:t>
            </w:r>
          </w:p>
        </w:tc>
        <w:tc>
          <w:tcPr>
            <w:tcW w:w="1251" w:type="pct"/>
            <w:vAlign w:val="center"/>
          </w:tcPr>
          <w:p w14:paraId="642C9EF2">
            <w:pPr>
              <w:pStyle w:val="34"/>
              <w:rPr>
                <w:rFonts w:ascii="Calibri" w:hAnsi="Calibri"/>
              </w:rPr>
            </w:pPr>
            <w:r>
              <w:rPr>
                <w:rFonts w:ascii="Calibri" w:hAnsi="Calibri"/>
              </w:rPr>
              <w:t>64</w:t>
            </w:r>
          </w:p>
        </w:tc>
      </w:tr>
      <w:tr w14:paraId="55EE2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456C9631">
            <w:pPr>
              <w:pStyle w:val="34"/>
              <w:rPr>
                <w:rFonts w:ascii="Calibri" w:hAnsi="Calibri"/>
              </w:rPr>
            </w:pPr>
            <w:r>
              <w:rPr>
                <w:rFonts w:ascii="Calibri" w:hAnsi="Calibri"/>
              </w:rPr>
              <w:t>7</w:t>
            </w:r>
          </w:p>
        </w:tc>
        <w:tc>
          <w:tcPr>
            <w:tcW w:w="1537" w:type="pct"/>
            <w:vAlign w:val="center"/>
          </w:tcPr>
          <w:p w14:paraId="71CAAF7D">
            <w:pPr>
              <w:pStyle w:val="34"/>
              <w:rPr>
                <w:rFonts w:ascii="Calibri" w:hAnsi="Calibri"/>
              </w:rPr>
            </w:pPr>
            <w:r>
              <w:rPr>
                <w:rFonts w:ascii="Calibri" w:hAnsi="Calibri"/>
              </w:rPr>
              <w:t>最小相对湿度</w:t>
            </w:r>
          </w:p>
        </w:tc>
        <w:tc>
          <w:tcPr>
            <w:tcW w:w="1250" w:type="pct"/>
            <w:vAlign w:val="center"/>
          </w:tcPr>
          <w:p w14:paraId="07BB3883">
            <w:pPr>
              <w:pStyle w:val="34"/>
              <w:rPr>
                <w:rFonts w:ascii="Calibri" w:hAnsi="Calibri"/>
              </w:rPr>
            </w:pPr>
            <w:r>
              <w:rPr>
                <w:rFonts w:ascii="Calibri" w:hAnsi="Calibri"/>
              </w:rPr>
              <w:t>%</w:t>
            </w:r>
          </w:p>
        </w:tc>
        <w:tc>
          <w:tcPr>
            <w:tcW w:w="1251" w:type="pct"/>
            <w:vAlign w:val="center"/>
          </w:tcPr>
          <w:p w14:paraId="3473B4DC">
            <w:pPr>
              <w:pStyle w:val="34"/>
              <w:rPr>
                <w:rFonts w:ascii="Calibri" w:hAnsi="Calibri"/>
              </w:rPr>
            </w:pPr>
            <w:r>
              <w:rPr>
                <w:rFonts w:ascii="Calibri" w:hAnsi="Calibri"/>
              </w:rPr>
              <w:t>1</w:t>
            </w:r>
          </w:p>
        </w:tc>
      </w:tr>
      <w:tr w14:paraId="3DFFC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2CB700DA">
            <w:pPr>
              <w:pStyle w:val="34"/>
              <w:rPr>
                <w:rFonts w:ascii="Calibri" w:hAnsi="Calibri"/>
              </w:rPr>
            </w:pPr>
            <w:r>
              <w:rPr>
                <w:rFonts w:ascii="Calibri" w:hAnsi="Calibri"/>
              </w:rPr>
              <w:t>8</w:t>
            </w:r>
          </w:p>
        </w:tc>
        <w:tc>
          <w:tcPr>
            <w:tcW w:w="1537" w:type="pct"/>
            <w:vAlign w:val="center"/>
          </w:tcPr>
          <w:p w14:paraId="03A87A06">
            <w:pPr>
              <w:pStyle w:val="34"/>
              <w:rPr>
                <w:rFonts w:ascii="Calibri" w:hAnsi="Calibri"/>
              </w:rPr>
            </w:pPr>
            <w:r>
              <w:rPr>
                <w:rFonts w:ascii="Calibri" w:hAnsi="Calibri"/>
              </w:rPr>
              <w:t>年平均风速</w:t>
            </w:r>
          </w:p>
        </w:tc>
        <w:tc>
          <w:tcPr>
            <w:tcW w:w="1250" w:type="pct"/>
            <w:vAlign w:val="center"/>
          </w:tcPr>
          <w:p w14:paraId="715DEEF3">
            <w:pPr>
              <w:pStyle w:val="34"/>
              <w:rPr>
                <w:rFonts w:ascii="Calibri" w:hAnsi="Calibri"/>
              </w:rPr>
            </w:pPr>
            <w:r>
              <w:rPr>
                <w:rFonts w:ascii="Calibri" w:hAnsi="Calibri"/>
              </w:rPr>
              <w:t>m/s</w:t>
            </w:r>
          </w:p>
        </w:tc>
        <w:tc>
          <w:tcPr>
            <w:tcW w:w="1251" w:type="pct"/>
            <w:vAlign w:val="center"/>
          </w:tcPr>
          <w:p w14:paraId="3BA4D803">
            <w:pPr>
              <w:pStyle w:val="34"/>
              <w:rPr>
                <w:rFonts w:ascii="Calibri" w:hAnsi="Calibri"/>
              </w:rPr>
            </w:pPr>
            <w:r>
              <w:rPr>
                <w:rFonts w:ascii="Calibri" w:hAnsi="Calibri"/>
              </w:rPr>
              <w:t>2.38</w:t>
            </w:r>
          </w:p>
        </w:tc>
      </w:tr>
      <w:tr w14:paraId="55DBA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19B99E8C">
            <w:pPr>
              <w:pStyle w:val="34"/>
              <w:rPr>
                <w:rFonts w:ascii="Calibri" w:hAnsi="Calibri"/>
              </w:rPr>
            </w:pPr>
            <w:r>
              <w:rPr>
                <w:rFonts w:ascii="Calibri" w:hAnsi="Calibri"/>
              </w:rPr>
              <w:t>9</w:t>
            </w:r>
          </w:p>
        </w:tc>
        <w:tc>
          <w:tcPr>
            <w:tcW w:w="1537" w:type="pct"/>
            <w:vAlign w:val="center"/>
          </w:tcPr>
          <w:p w14:paraId="010422E0">
            <w:pPr>
              <w:pStyle w:val="34"/>
              <w:rPr>
                <w:rFonts w:ascii="Calibri" w:hAnsi="Calibri"/>
              </w:rPr>
            </w:pPr>
            <w:r>
              <w:rPr>
                <w:rFonts w:ascii="Calibri" w:hAnsi="Calibri"/>
              </w:rPr>
              <w:t>常年主导风向</w:t>
            </w:r>
          </w:p>
        </w:tc>
        <w:tc>
          <w:tcPr>
            <w:tcW w:w="1250" w:type="pct"/>
            <w:vAlign w:val="center"/>
          </w:tcPr>
          <w:p w14:paraId="16BA9FD4">
            <w:pPr>
              <w:pStyle w:val="34"/>
              <w:rPr>
                <w:rFonts w:ascii="Calibri" w:hAnsi="Calibri"/>
              </w:rPr>
            </w:pPr>
            <w:r>
              <w:rPr>
                <w:rFonts w:ascii="Calibri" w:hAnsi="Calibri"/>
              </w:rPr>
              <w:t>/</w:t>
            </w:r>
          </w:p>
        </w:tc>
        <w:tc>
          <w:tcPr>
            <w:tcW w:w="1251" w:type="pct"/>
            <w:vAlign w:val="center"/>
          </w:tcPr>
          <w:p w14:paraId="10924131">
            <w:pPr>
              <w:pStyle w:val="34"/>
              <w:rPr>
                <w:rFonts w:ascii="Calibri" w:hAnsi="Calibri"/>
              </w:rPr>
            </w:pPr>
            <w:r>
              <w:rPr>
                <w:rFonts w:ascii="Calibri" w:hAnsi="Calibri"/>
              </w:rPr>
              <w:t>西风</w:t>
            </w:r>
          </w:p>
        </w:tc>
      </w:tr>
      <w:tr w14:paraId="200A6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6633F4A4">
            <w:pPr>
              <w:pStyle w:val="34"/>
              <w:rPr>
                <w:rFonts w:ascii="Calibri" w:hAnsi="Calibri"/>
              </w:rPr>
            </w:pPr>
            <w:r>
              <w:rPr>
                <w:rFonts w:ascii="Calibri" w:hAnsi="Calibri"/>
              </w:rPr>
              <w:t>10</w:t>
            </w:r>
          </w:p>
        </w:tc>
        <w:tc>
          <w:tcPr>
            <w:tcW w:w="1537" w:type="pct"/>
            <w:vAlign w:val="center"/>
          </w:tcPr>
          <w:p w14:paraId="723D22B9">
            <w:pPr>
              <w:pStyle w:val="34"/>
              <w:rPr>
                <w:rFonts w:ascii="Calibri" w:hAnsi="Calibri"/>
              </w:rPr>
            </w:pPr>
            <w:r>
              <w:rPr>
                <w:rFonts w:ascii="Calibri" w:hAnsi="Calibri"/>
              </w:rPr>
              <w:t>夏季主导风向</w:t>
            </w:r>
          </w:p>
        </w:tc>
        <w:tc>
          <w:tcPr>
            <w:tcW w:w="1250" w:type="pct"/>
            <w:vAlign w:val="center"/>
          </w:tcPr>
          <w:p w14:paraId="2E6A09AC">
            <w:pPr>
              <w:pStyle w:val="34"/>
              <w:rPr>
                <w:rFonts w:ascii="Calibri" w:hAnsi="Calibri"/>
              </w:rPr>
            </w:pPr>
            <w:r>
              <w:rPr>
                <w:rFonts w:ascii="Calibri" w:hAnsi="Calibri"/>
              </w:rPr>
              <w:t>/</w:t>
            </w:r>
          </w:p>
        </w:tc>
        <w:tc>
          <w:tcPr>
            <w:tcW w:w="1251" w:type="pct"/>
            <w:vAlign w:val="center"/>
          </w:tcPr>
          <w:p w14:paraId="3501C5B4">
            <w:pPr>
              <w:pStyle w:val="34"/>
              <w:rPr>
                <w:rFonts w:ascii="Calibri" w:hAnsi="Calibri"/>
              </w:rPr>
            </w:pPr>
            <w:r>
              <w:rPr>
                <w:rFonts w:ascii="Calibri" w:hAnsi="Calibri"/>
              </w:rPr>
              <w:t>西北风</w:t>
            </w:r>
          </w:p>
        </w:tc>
      </w:tr>
      <w:tr w14:paraId="47401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4A7A542E">
            <w:pPr>
              <w:pStyle w:val="34"/>
              <w:rPr>
                <w:rFonts w:ascii="Calibri" w:hAnsi="Calibri"/>
              </w:rPr>
            </w:pPr>
            <w:r>
              <w:rPr>
                <w:rFonts w:ascii="Calibri" w:hAnsi="Calibri"/>
              </w:rPr>
              <w:t>11</w:t>
            </w:r>
          </w:p>
        </w:tc>
        <w:tc>
          <w:tcPr>
            <w:tcW w:w="1537" w:type="pct"/>
            <w:vAlign w:val="center"/>
          </w:tcPr>
          <w:p w14:paraId="51FC58A7">
            <w:pPr>
              <w:pStyle w:val="34"/>
              <w:rPr>
                <w:rFonts w:ascii="Calibri" w:hAnsi="Calibri"/>
              </w:rPr>
            </w:pPr>
            <w:r>
              <w:rPr>
                <w:rFonts w:ascii="Calibri" w:hAnsi="Calibri"/>
              </w:rPr>
              <w:t>年平均降水量</w:t>
            </w:r>
          </w:p>
        </w:tc>
        <w:tc>
          <w:tcPr>
            <w:tcW w:w="1250" w:type="pct"/>
            <w:vAlign w:val="center"/>
          </w:tcPr>
          <w:p w14:paraId="58E1E6BE">
            <w:pPr>
              <w:pStyle w:val="34"/>
              <w:rPr>
                <w:rFonts w:ascii="Calibri" w:hAnsi="Calibri"/>
              </w:rPr>
            </w:pPr>
            <w:r>
              <w:rPr>
                <w:rFonts w:ascii="Calibri" w:hAnsi="Calibri"/>
              </w:rPr>
              <w:t>mm</w:t>
            </w:r>
          </w:p>
        </w:tc>
        <w:tc>
          <w:tcPr>
            <w:tcW w:w="1251" w:type="pct"/>
            <w:vAlign w:val="center"/>
          </w:tcPr>
          <w:p w14:paraId="6D5DEC53">
            <w:pPr>
              <w:pStyle w:val="34"/>
              <w:rPr>
                <w:rFonts w:ascii="Calibri" w:hAnsi="Calibri"/>
              </w:rPr>
            </w:pPr>
            <w:r>
              <w:rPr>
                <w:rFonts w:ascii="Calibri" w:hAnsi="Calibri"/>
              </w:rPr>
              <w:t>182.2</w:t>
            </w:r>
          </w:p>
        </w:tc>
      </w:tr>
      <w:tr w14:paraId="2747C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pct"/>
            <w:vAlign w:val="center"/>
          </w:tcPr>
          <w:p w14:paraId="01858CBE">
            <w:pPr>
              <w:pStyle w:val="34"/>
              <w:rPr>
                <w:rFonts w:ascii="Calibri" w:hAnsi="Calibri"/>
              </w:rPr>
            </w:pPr>
            <w:r>
              <w:rPr>
                <w:rFonts w:ascii="Calibri" w:hAnsi="Calibri"/>
              </w:rPr>
              <w:t>12</w:t>
            </w:r>
          </w:p>
        </w:tc>
        <w:tc>
          <w:tcPr>
            <w:tcW w:w="1537" w:type="pct"/>
            <w:vAlign w:val="center"/>
          </w:tcPr>
          <w:p w14:paraId="7B7516CF">
            <w:pPr>
              <w:pStyle w:val="34"/>
              <w:rPr>
                <w:rFonts w:ascii="Calibri" w:hAnsi="Calibri"/>
              </w:rPr>
            </w:pPr>
            <w:r>
              <w:rPr>
                <w:rFonts w:ascii="Calibri" w:hAnsi="Calibri"/>
              </w:rPr>
              <w:t>年蒸发量</w:t>
            </w:r>
          </w:p>
        </w:tc>
        <w:tc>
          <w:tcPr>
            <w:tcW w:w="1250" w:type="pct"/>
            <w:vAlign w:val="center"/>
          </w:tcPr>
          <w:p w14:paraId="55F8EF79">
            <w:pPr>
              <w:pStyle w:val="34"/>
              <w:rPr>
                <w:rFonts w:ascii="Calibri" w:hAnsi="Calibri"/>
              </w:rPr>
            </w:pPr>
            <w:r>
              <w:rPr>
                <w:rFonts w:ascii="Calibri" w:hAnsi="Calibri"/>
              </w:rPr>
              <w:t>mm</w:t>
            </w:r>
          </w:p>
        </w:tc>
        <w:tc>
          <w:tcPr>
            <w:tcW w:w="1251" w:type="pct"/>
            <w:vAlign w:val="center"/>
          </w:tcPr>
          <w:p w14:paraId="4A07C61B">
            <w:pPr>
              <w:pStyle w:val="34"/>
              <w:rPr>
                <w:rFonts w:ascii="Calibri" w:hAnsi="Calibri"/>
              </w:rPr>
            </w:pPr>
            <w:r>
              <w:rPr>
                <w:rFonts w:ascii="Calibri" w:hAnsi="Calibri"/>
              </w:rPr>
              <w:t>1763.9</w:t>
            </w:r>
          </w:p>
        </w:tc>
      </w:tr>
    </w:tbl>
    <w:p w14:paraId="07EE8BBC">
      <w:pPr>
        <w:pStyle w:val="49"/>
      </w:pPr>
    </w:p>
    <w:p w14:paraId="65734E10">
      <w:pPr>
        <w:pStyle w:val="5"/>
        <w:spacing w:before="120"/>
      </w:pPr>
      <w:r>
        <w:t>土壤</w:t>
      </w:r>
    </w:p>
    <w:p w14:paraId="1386A072">
      <w:pPr>
        <w:ind w:firstLine="480"/>
        <w:rPr>
          <w:color w:val="000000"/>
        </w:rPr>
      </w:pPr>
      <w:r>
        <w:rPr>
          <w:color w:val="000000"/>
        </w:rPr>
        <w:t>项目所在地地处天山北麓洪冲积扇平原，地表多为砾石，厚度约为10cm-50cm，土层下部均为砂土。项目区为冲洪积倾斜平原，海拔高程457～478m，相对高差21m左右，总体南高北低，废弃砖厂地表多为粘土，粘土矿坑底部多为杂草。</w:t>
      </w:r>
    </w:p>
    <w:p w14:paraId="2EC5E6B8">
      <w:pPr>
        <w:pStyle w:val="5"/>
        <w:spacing w:before="120"/>
      </w:pPr>
      <w:r>
        <w:t>地震烈度</w:t>
      </w:r>
    </w:p>
    <w:p w14:paraId="7930E83F">
      <w:pPr>
        <w:widowControl/>
        <w:ind w:firstLine="480"/>
        <w:rPr>
          <w:color w:val="000000"/>
        </w:rPr>
      </w:pPr>
      <w:r>
        <w:rPr>
          <w:color w:val="000000"/>
          <w:kern w:val="0"/>
        </w:rPr>
        <w:t>根据国家地震局《中国地震动反应谱特征周期区划图》（GB18306-2015）和《中国地震动参数区划图》（GB18306-2015），项目所在区域抗震设防烈度为8度，地震动峰值加速度值为0.20g，地震动加速度反应谱特征周期值为0.40s。项目场地土类型为坚硬土或软质岩石场地土，该场地为适于建筑的一般场地，属抗震有利地段。</w:t>
      </w:r>
    </w:p>
    <w:p w14:paraId="644ABD0F">
      <w:pPr>
        <w:pStyle w:val="5"/>
        <w:spacing w:before="120"/>
      </w:pPr>
      <w:r>
        <w:t>动植物</w:t>
      </w:r>
    </w:p>
    <w:p w14:paraId="2243D22D">
      <w:pPr>
        <w:pStyle w:val="49"/>
        <w:rPr>
          <w:szCs w:val="24"/>
        </w:rPr>
      </w:pPr>
      <w:r>
        <w:t>评价范围内没有国家或自治区级法定保护的野生动植物种，也没有自然保护区分布。项目区地表优势植被主要为荒漠植被，主要植物有盐生假术贼、博洛绢蒿、木本猪毛菜、叉毛蓬、角果藜等，伴生有涩芥、东方旱麦草、短柱猪毛菜、木地肤及驼绒藜等，高度多为10cm-20cm，盖度20%-30%，植被类型单一。生态系统结构相对简单，生态多样性或环境异质性较低。</w:t>
      </w:r>
    </w:p>
    <w:p w14:paraId="1EE2C724">
      <w:pPr>
        <w:pStyle w:val="49"/>
      </w:pPr>
      <w:r>
        <w:t>奎屯市</w:t>
      </w:r>
      <w:r>
        <w:fldChar w:fldCharType="begin"/>
      </w:r>
      <w:r>
        <w:instrText xml:space="preserve"> HYPERLINK "http://baike.baidu.com/view/289447.htm" </w:instrText>
      </w:r>
      <w:r>
        <w:fldChar w:fldCharType="separate"/>
      </w:r>
      <w:r>
        <w:rPr>
          <w:rStyle w:val="32"/>
        </w:rPr>
        <w:t>野生动物</w:t>
      </w:r>
      <w:r>
        <w:rPr>
          <w:rStyle w:val="32"/>
        </w:rPr>
        <w:fldChar w:fldCharType="end"/>
      </w:r>
      <w:r>
        <w:t>禽类有麻雀、鹰、猫头鹰、乌鸦、野鸭、灰鹤、黑颈鹤等；哺乳类有黄鼠狼、</w:t>
      </w:r>
      <w:r>
        <w:fldChar w:fldCharType="begin"/>
      </w:r>
      <w:r>
        <w:instrText xml:space="preserve"> HYPERLINK "http://baike.baidu.com/view/3718.htm" </w:instrText>
      </w:r>
      <w:r>
        <w:fldChar w:fldCharType="separate"/>
      </w:r>
      <w:r>
        <w:rPr>
          <w:rStyle w:val="32"/>
        </w:rPr>
        <w:t>狐狸</w:t>
      </w:r>
      <w:r>
        <w:rPr>
          <w:rStyle w:val="32"/>
        </w:rPr>
        <w:fldChar w:fldCharType="end"/>
      </w:r>
      <w:r>
        <w:t>、鹳、水獭等。</w:t>
      </w:r>
    </w:p>
    <w:p w14:paraId="7CFE6BCB">
      <w:pPr>
        <w:pStyle w:val="49"/>
      </w:pPr>
      <w:r>
        <w:t>本项目所在区域由于人类活动频繁，项目区已无珍稀的野生动物存在，只有麻雀、鹰、乌鸦和少量的哺乳动物。</w:t>
      </w:r>
    </w:p>
    <w:p w14:paraId="1DF16D2C">
      <w:pPr>
        <w:pStyle w:val="4"/>
      </w:pPr>
      <w:bookmarkStart w:id="175" w:name="_Toc17908"/>
      <w:bookmarkStart w:id="176" w:name="_Toc24223"/>
      <w:bookmarkStart w:id="177" w:name="_Toc207208394"/>
      <w:r>
        <w:t>环境质量现状调查与评价</w:t>
      </w:r>
      <w:bookmarkEnd w:id="175"/>
      <w:bookmarkEnd w:id="176"/>
      <w:bookmarkEnd w:id="177"/>
    </w:p>
    <w:p w14:paraId="51F5FC70">
      <w:pPr>
        <w:pStyle w:val="5"/>
        <w:spacing w:before="120"/>
      </w:pPr>
      <w:r>
        <w:t>大气环境质量现状调查与评价</w:t>
      </w:r>
    </w:p>
    <w:p w14:paraId="64E22B27">
      <w:pPr>
        <w:pStyle w:val="6"/>
        <w:spacing w:before="120" w:after="120"/>
      </w:pPr>
      <w:r>
        <w:t>空气质量达标区判定</w:t>
      </w:r>
    </w:p>
    <w:p w14:paraId="539E6889">
      <w:pPr>
        <w:ind w:firstLine="480"/>
      </w:pPr>
      <w:r>
        <w:t>根据</w:t>
      </w:r>
      <w:r>
        <w:rPr>
          <w:bCs/>
        </w:rPr>
        <w:t>《环境影响评价技术导则大气环境》（HJ2.2-2018）规定：“6.4.1.1城市环境空气质量达标情况评价指标为SO</w:t>
      </w:r>
      <w:r>
        <w:rPr>
          <w:bCs/>
          <w:vertAlign w:val="subscript"/>
        </w:rPr>
        <w:t>2</w:t>
      </w:r>
      <w:r>
        <w:rPr>
          <w:bCs/>
        </w:rPr>
        <w:t>、NO</w:t>
      </w:r>
      <w:r>
        <w:rPr>
          <w:bCs/>
          <w:vertAlign w:val="subscript"/>
        </w:rPr>
        <w:t>2</w:t>
      </w:r>
      <w:r>
        <w:rPr>
          <w:bCs/>
        </w:rPr>
        <w:t>、PM</w:t>
      </w:r>
      <w:r>
        <w:rPr>
          <w:bCs/>
          <w:vertAlign w:val="subscript"/>
        </w:rPr>
        <w:t>10</w:t>
      </w:r>
      <w:r>
        <w:rPr>
          <w:bCs/>
        </w:rPr>
        <w:t>、PM</w:t>
      </w:r>
      <w:r>
        <w:rPr>
          <w:bCs/>
          <w:vertAlign w:val="subscript"/>
        </w:rPr>
        <w:t>2.5</w:t>
      </w:r>
      <w:r>
        <w:rPr>
          <w:bCs/>
        </w:rPr>
        <w:t>、CO和O</w:t>
      </w:r>
      <w:r>
        <w:rPr>
          <w:bCs/>
          <w:vertAlign w:val="subscript"/>
        </w:rPr>
        <w:t>3</w:t>
      </w:r>
      <w:r>
        <w:rPr>
          <w:bCs/>
        </w:rPr>
        <w:t>，六项污染物全部达标即为城市环境空气质量达标”。“对于基本污染物环境质量现状数据，项目所在区域达标判定，优先采用国家或地方生态环境主管部门公开发布的评价基准年环境质量公告或环境质量报告中的数据或结论。”</w:t>
      </w:r>
    </w:p>
    <w:p w14:paraId="7F1D22C9">
      <w:pPr>
        <w:ind w:firstLine="480"/>
      </w:pPr>
      <w:r>
        <w:t>本次选择国家环境保护环境影响评价数值模拟重点实验室的环境空气质量模型技术支持服务系统中达标区判定中的数据，选用</w:t>
      </w:r>
      <w:r>
        <w:rPr>
          <w:kern w:val="0"/>
          <w:lang w:bidi="ar"/>
        </w:rPr>
        <w:t>克拉玛依市2023年大气环境质量数据统计分析</w:t>
      </w:r>
      <w:r>
        <w:t>。</w:t>
      </w:r>
    </w:p>
    <w:p w14:paraId="1BCC831D">
      <w:pPr>
        <w:pStyle w:val="49"/>
      </w:pPr>
      <w:r>
        <w:t>根据2023年克拉玛依市空气质量逐日统计结果，区域空气质量现状见表5.3-1。</w:t>
      </w:r>
    </w:p>
    <w:p w14:paraId="0FCEC063">
      <w:pPr>
        <w:pStyle w:val="40"/>
        <w:spacing w:before="120"/>
      </w:pPr>
      <w:r>
        <w:t>表5.3-1    区域空气质量现状评价结果一览表</w:t>
      </w:r>
    </w:p>
    <w:tbl>
      <w:tblPr>
        <w:tblStyle w:val="44"/>
        <w:tblW w:w="48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2859"/>
        <w:gridCol w:w="1593"/>
        <w:gridCol w:w="1236"/>
        <w:gridCol w:w="912"/>
        <w:gridCol w:w="769"/>
      </w:tblGrid>
      <w:tr w14:paraId="56B80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48" w:type="pct"/>
            <w:vMerge w:val="restart"/>
            <w:vAlign w:val="center"/>
          </w:tcPr>
          <w:p w14:paraId="09B74912">
            <w:pPr>
              <w:pStyle w:val="34"/>
              <w:rPr>
                <w:rFonts w:ascii="Calibri" w:hAnsi="Calibri"/>
              </w:rPr>
            </w:pPr>
            <w:r>
              <w:rPr>
                <w:rFonts w:ascii="Calibri" w:hAnsi="Calibri"/>
              </w:rPr>
              <w:t>评价因子</w:t>
            </w:r>
          </w:p>
        </w:tc>
        <w:tc>
          <w:tcPr>
            <w:tcW w:w="1650" w:type="pct"/>
            <w:vMerge w:val="restart"/>
            <w:vAlign w:val="center"/>
          </w:tcPr>
          <w:p w14:paraId="577AE65E">
            <w:pPr>
              <w:pStyle w:val="34"/>
              <w:rPr>
                <w:rFonts w:ascii="Calibri" w:hAnsi="Calibri"/>
              </w:rPr>
            </w:pPr>
            <w:r>
              <w:rPr>
                <w:rFonts w:ascii="Calibri" w:hAnsi="Calibri"/>
              </w:rPr>
              <w:t>年评价指标</w:t>
            </w:r>
          </w:p>
        </w:tc>
        <w:tc>
          <w:tcPr>
            <w:tcW w:w="919" w:type="pct"/>
            <w:vAlign w:val="center"/>
          </w:tcPr>
          <w:p w14:paraId="20E49225">
            <w:pPr>
              <w:pStyle w:val="34"/>
              <w:rPr>
                <w:rFonts w:ascii="Calibri" w:hAnsi="Calibri"/>
              </w:rPr>
            </w:pPr>
            <w:r>
              <w:rPr>
                <w:rFonts w:ascii="Calibri" w:hAnsi="Calibri"/>
              </w:rPr>
              <w:t>现状浓度</w:t>
            </w:r>
          </w:p>
        </w:tc>
        <w:tc>
          <w:tcPr>
            <w:tcW w:w="713" w:type="pct"/>
            <w:vAlign w:val="center"/>
          </w:tcPr>
          <w:p w14:paraId="7BC761CA">
            <w:pPr>
              <w:pStyle w:val="34"/>
              <w:rPr>
                <w:rFonts w:ascii="Calibri" w:hAnsi="Calibri"/>
              </w:rPr>
            </w:pPr>
            <w:r>
              <w:rPr>
                <w:rFonts w:ascii="Calibri" w:hAnsi="Calibri"/>
              </w:rPr>
              <w:t>标准限值</w:t>
            </w:r>
          </w:p>
        </w:tc>
        <w:tc>
          <w:tcPr>
            <w:tcW w:w="526" w:type="pct"/>
            <w:vMerge w:val="restart"/>
            <w:vAlign w:val="center"/>
          </w:tcPr>
          <w:p w14:paraId="2AFF861C">
            <w:pPr>
              <w:pStyle w:val="34"/>
              <w:rPr>
                <w:rFonts w:ascii="Calibri" w:hAnsi="Calibri"/>
              </w:rPr>
            </w:pPr>
            <w:r>
              <w:rPr>
                <w:rFonts w:ascii="Calibri" w:hAnsi="Calibri"/>
              </w:rPr>
              <w:t>占率%</w:t>
            </w:r>
          </w:p>
        </w:tc>
        <w:tc>
          <w:tcPr>
            <w:tcW w:w="444" w:type="pct"/>
            <w:vMerge w:val="restart"/>
            <w:vAlign w:val="center"/>
          </w:tcPr>
          <w:p w14:paraId="27C8A03D">
            <w:pPr>
              <w:pStyle w:val="34"/>
              <w:rPr>
                <w:rFonts w:ascii="Calibri" w:hAnsi="Calibri"/>
              </w:rPr>
            </w:pPr>
            <w:r>
              <w:rPr>
                <w:rFonts w:ascii="Calibri" w:hAnsi="Calibri"/>
              </w:rPr>
              <w:t>达标情况</w:t>
            </w:r>
          </w:p>
        </w:tc>
      </w:tr>
      <w:tr w14:paraId="0D034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0" w:type="auto"/>
            <w:vMerge w:val="continue"/>
            <w:vAlign w:val="center"/>
          </w:tcPr>
          <w:p w14:paraId="6C6185D7">
            <w:pPr>
              <w:pStyle w:val="34"/>
              <w:rPr>
                <w:rFonts w:ascii="Calibri" w:hAnsi="Calibri"/>
              </w:rPr>
            </w:pPr>
          </w:p>
        </w:tc>
        <w:tc>
          <w:tcPr>
            <w:tcW w:w="1650" w:type="pct"/>
            <w:vMerge w:val="continue"/>
            <w:vAlign w:val="center"/>
          </w:tcPr>
          <w:p w14:paraId="74586FE7">
            <w:pPr>
              <w:pStyle w:val="34"/>
              <w:rPr>
                <w:rFonts w:ascii="Calibri" w:hAnsi="Calibri"/>
              </w:rPr>
            </w:pPr>
          </w:p>
        </w:tc>
        <w:tc>
          <w:tcPr>
            <w:tcW w:w="919" w:type="pct"/>
            <w:vAlign w:val="center"/>
          </w:tcPr>
          <w:p w14:paraId="7FC9F935">
            <w:pPr>
              <w:pStyle w:val="34"/>
              <w:rPr>
                <w:rFonts w:ascii="Calibri" w:hAnsi="Calibri"/>
              </w:rPr>
            </w:pPr>
            <w:r>
              <w:rPr>
                <w:rFonts w:ascii="Calibri" w:hAnsi="Calibri"/>
              </w:rPr>
              <w:t>μg/m</w:t>
            </w:r>
            <w:r>
              <w:rPr>
                <w:rFonts w:ascii="Calibri" w:hAnsi="Calibri"/>
                <w:vertAlign w:val="superscript"/>
              </w:rPr>
              <w:t>3</w:t>
            </w:r>
          </w:p>
        </w:tc>
        <w:tc>
          <w:tcPr>
            <w:tcW w:w="713" w:type="pct"/>
            <w:vAlign w:val="center"/>
          </w:tcPr>
          <w:p w14:paraId="026A760C">
            <w:pPr>
              <w:pStyle w:val="34"/>
              <w:rPr>
                <w:rFonts w:ascii="Calibri" w:hAnsi="Calibri"/>
              </w:rPr>
            </w:pPr>
            <w:r>
              <w:rPr>
                <w:rFonts w:ascii="Calibri" w:hAnsi="Calibri"/>
              </w:rPr>
              <w:t>μg/m</w:t>
            </w:r>
            <w:r>
              <w:rPr>
                <w:rFonts w:ascii="Calibri" w:hAnsi="Calibri"/>
                <w:vertAlign w:val="superscript"/>
              </w:rPr>
              <w:t>3</w:t>
            </w:r>
          </w:p>
        </w:tc>
        <w:tc>
          <w:tcPr>
            <w:tcW w:w="526" w:type="pct"/>
            <w:vMerge w:val="continue"/>
            <w:vAlign w:val="center"/>
          </w:tcPr>
          <w:p w14:paraId="493F4D5A">
            <w:pPr>
              <w:pStyle w:val="34"/>
              <w:rPr>
                <w:rFonts w:ascii="Calibri" w:hAnsi="Calibri"/>
              </w:rPr>
            </w:pPr>
          </w:p>
        </w:tc>
        <w:tc>
          <w:tcPr>
            <w:tcW w:w="444" w:type="pct"/>
            <w:vMerge w:val="continue"/>
            <w:vAlign w:val="center"/>
          </w:tcPr>
          <w:p w14:paraId="1C8748DF">
            <w:pPr>
              <w:pStyle w:val="34"/>
              <w:rPr>
                <w:rFonts w:ascii="Calibri" w:hAnsi="Calibri"/>
              </w:rPr>
            </w:pPr>
          </w:p>
        </w:tc>
      </w:tr>
      <w:tr w14:paraId="5360D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48" w:type="pct"/>
            <w:vAlign w:val="center"/>
          </w:tcPr>
          <w:p w14:paraId="52F8CC78">
            <w:pPr>
              <w:pStyle w:val="34"/>
              <w:rPr>
                <w:rFonts w:ascii="Calibri" w:hAnsi="Calibri" w:eastAsia="黑体"/>
              </w:rPr>
            </w:pPr>
            <w:r>
              <w:rPr>
                <w:rFonts w:ascii="Calibri" w:hAnsi="Calibri"/>
              </w:rPr>
              <w:t>SO</w:t>
            </w:r>
            <w:r>
              <w:rPr>
                <w:rFonts w:ascii="Calibri" w:hAnsi="Calibri"/>
                <w:vertAlign w:val="subscript"/>
              </w:rPr>
              <w:t>2</w:t>
            </w:r>
          </w:p>
        </w:tc>
        <w:tc>
          <w:tcPr>
            <w:tcW w:w="1650" w:type="pct"/>
            <w:vAlign w:val="center"/>
          </w:tcPr>
          <w:p w14:paraId="2DC8EBAA">
            <w:pPr>
              <w:pStyle w:val="34"/>
              <w:rPr>
                <w:rFonts w:ascii="Calibri" w:hAnsi="Calibri" w:eastAsia="黑体"/>
              </w:rPr>
            </w:pPr>
            <w:r>
              <w:rPr>
                <w:rFonts w:ascii="Calibri" w:hAnsi="Calibri"/>
              </w:rPr>
              <w:t>年平均质量浓度</w:t>
            </w:r>
          </w:p>
        </w:tc>
        <w:tc>
          <w:tcPr>
            <w:tcW w:w="919" w:type="pct"/>
            <w:vAlign w:val="center"/>
          </w:tcPr>
          <w:p w14:paraId="1005AAF5">
            <w:pPr>
              <w:pStyle w:val="34"/>
              <w:rPr>
                <w:rFonts w:ascii="Calibri" w:hAnsi="Calibri"/>
              </w:rPr>
            </w:pPr>
            <w:r>
              <w:rPr>
                <w:rFonts w:ascii="Calibri" w:hAnsi="Calibri"/>
              </w:rPr>
              <w:t>7</w:t>
            </w:r>
          </w:p>
        </w:tc>
        <w:tc>
          <w:tcPr>
            <w:tcW w:w="713" w:type="pct"/>
            <w:vAlign w:val="center"/>
          </w:tcPr>
          <w:p w14:paraId="447C3672">
            <w:pPr>
              <w:pStyle w:val="34"/>
              <w:rPr>
                <w:rFonts w:ascii="Calibri" w:hAnsi="Calibri" w:eastAsia="黑体"/>
              </w:rPr>
            </w:pPr>
            <w:r>
              <w:rPr>
                <w:rFonts w:ascii="Calibri" w:hAnsi="Calibri"/>
              </w:rPr>
              <w:t>60</w:t>
            </w:r>
          </w:p>
        </w:tc>
        <w:tc>
          <w:tcPr>
            <w:tcW w:w="526" w:type="pct"/>
            <w:vAlign w:val="center"/>
          </w:tcPr>
          <w:p w14:paraId="6C418B27">
            <w:pPr>
              <w:pStyle w:val="34"/>
              <w:rPr>
                <w:rFonts w:ascii="Calibri" w:hAnsi="Calibri"/>
              </w:rPr>
            </w:pPr>
            <w:r>
              <w:rPr>
                <w:rFonts w:ascii="Calibri" w:hAnsi="Calibri"/>
              </w:rPr>
              <w:t>11.67</w:t>
            </w:r>
          </w:p>
        </w:tc>
        <w:tc>
          <w:tcPr>
            <w:tcW w:w="444" w:type="pct"/>
            <w:vAlign w:val="center"/>
          </w:tcPr>
          <w:p w14:paraId="29844BE8">
            <w:pPr>
              <w:pStyle w:val="34"/>
              <w:rPr>
                <w:rFonts w:ascii="Calibri" w:hAnsi="Calibri"/>
              </w:rPr>
            </w:pPr>
            <w:r>
              <w:rPr>
                <w:rFonts w:ascii="Calibri" w:hAnsi="Calibri"/>
              </w:rPr>
              <w:t>达标</w:t>
            </w:r>
          </w:p>
        </w:tc>
      </w:tr>
      <w:tr w14:paraId="1B9EE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48" w:type="pct"/>
            <w:vAlign w:val="center"/>
          </w:tcPr>
          <w:p w14:paraId="460FBFEF">
            <w:pPr>
              <w:pStyle w:val="34"/>
              <w:rPr>
                <w:rFonts w:ascii="Calibri" w:hAnsi="Calibri" w:eastAsia="黑体"/>
              </w:rPr>
            </w:pPr>
            <w:r>
              <w:rPr>
                <w:rFonts w:ascii="Calibri" w:hAnsi="Calibri"/>
              </w:rPr>
              <w:t>NO</w:t>
            </w:r>
            <w:r>
              <w:rPr>
                <w:rFonts w:ascii="Calibri" w:hAnsi="Calibri"/>
                <w:vertAlign w:val="subscript"/>
              </w:rPr>
              <w:t>2</w:t>
            </w:r>
          </w:p>
        </w:tc>
        <w:tc>
          <w:tcPr>
            <w:tcW w:w="1650" w:type="pct"/>
            <w:vAlign w:val="center"/>
          </w:tcPr>
          <w:p w14:paraId="65430D36">
            <w:pPr>
              <w:pStyle w:val="34"/>
              <w:rPr>
                <w:rFonts w:ascii="Calibri" w:hAnsi="Calibri" w:eastAsia="黑体"/>
              </w:rPr>
            </w:pPr>
            <w:r>
              <w:rPr>
                <w:rFonts w:ascii="Calibri" w:hAnsi="Calibri"/>
              </w:rPr>
              <w:t>年平均质量浓度</w:t>
            </w:r>
          </w:p>
        </w:tc>
        <w:tc>
          <w:tcPr>
            <w:tcW w:w="919" w:type="pct"/>
            <w:vAlign w:val="center"/>
          </w:tcPr>
          <w:p w14:paraId="585EC534">
            <w:pPr>
              <w:pStyle w:val="34"/>
              <w:rPr>
                <w:rFonts w:ascii="Calibri" w:hAnsi="Calibri"/>
              </w:rPr>
            </w:pPr>
            <w:r>
              <w:rPr>
                <w:rFonts w:ascii="Calibri" w:hAnsi="Calibri"/>
              </w:rPr>
              <w:t>28</w:t>
            </w:r>
          </w:p>
        </w:tc>
        <w:tc>
          <w:tcPr>
            <w:tcW w:w="713" w:type="pct"/>
            <w:vAlign w:val="center"/>
          </w:tcPr>
          <w:p w14:paraId="46C04E02">
            <w:pPr>
              <w:pStyle w:val="34"/>
              <w:rPr>
                <w:rFonts w:ascii="Calibri" w:hAnsi="Calibri" w:eastAsia="黑体"/>
              </w:rPr>
            </w:pPr>
            <w:r>
              <w:rPr>
                <w:rFonts w:ascii="Calibri" w:hAnsi="Calibri"/>
              </w:rPr>
              <w:t>40</w:t>
            </w:r>
          </w:p>
        </w:tc>
        <w:tc>
          <w:tcPr>
            <w:tcW w:w="526" w:type="pct"/>
            <w:vAlign w:val="center"/>
          </w:tcPr>
          <w:p w14:paraId="5A7D6EB4">
            <w:pPr>
              <w:pStyle w:val="34"/>
              <w:rPr>
                <w:rFonts w:ascii="Calibri" w:hAnsi="Calibri"/>
              </w:rPr>
            </w:pPr>
            <w:r>
              <w:rPr>
                <w:rFonts w:ascii="Calibri" w:hAnsi="Calibri"/>
              </w:rPr>
              <w:t>70.00</w:t>
            </w:r>
          </w:p>
        </w:tc>
        <w:tc>
          <w:tcPr>
            <w:tcW w:w="444" w:type="pct"/>
            <w:vAlign w:val="center"/>
          </w:tcPr>
          <w:p w14:paraId="190CD047">
            <w:pPr>
              <w:pStyle w:val="34"/>
              <w:rPr>
                <w:rFonts w:ascii="Calibri" w:hAnsi="Calibri"/>
              </w:rPr>
            </w:pPr>
            <w:r>
              <w:rPr>
                <w:rFonts w:ascii="Calibri" w:hAnsi="Calibri"/>
              </w:rPr>
              <w:t>达标</w:t>
            </w:r>
          </w:p>
        </w:tc>
      </w:tr>
      <w:tr w14:paraId="057E7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48" w:type="pct"/>
            <w:vAlign w:val="center"/>
          </w:tcPr>
          <w:p w14:paraId="394EFCEC">
            <w:pPr>
              <w:pStyle w:val="34"/>
              <w:rPr>
                <w:rFonts w:ascii="Calibri" w:hAnsi="Calibri" w:eastAsia="黑体"/>
              </w:rPr>
            </w:pPr>
            <w:r>
              <w:rPr>
                <w:rFonts w:ascii="Calibri" w:hAnsi="Calibri"/>
              </w:rPr>
              <w:t>PM</w:t>
            </w:r>
            <w:r>
              <w:rPr>
                <w:rFonts w:ascii="Calibri" w:hAnsi="Calibri"/>
                <w:vertAlign w:val="subscript"/>
              </w:rPr>
              <w:t>10</w:t>
            </w:r>
          </w:p>
        </w:tc>
        <w:tc>
          <w:tcPr>
            <w:tcW w:w="1650" w:type="pct"/>
            <w:vAlign w:val="center"/>
          </w:tcPr>
          <w:p w14:paraId="2649B4D0">
            <w:pPr>
              <w:pStyle w:val="34"/>
              <w:rPr>
                <w:rFonts w:ascii="Calibri" w:hAnsi="Calibri" w:eastAsia="黑体"/>
              </w:rPr>
            </w:pPr>
            <w:r>
              <w:rPr>
                <w:rFonts w:ascii="Calibri" w:hAnsi="Calibri"/>
              </w:rPr>
              <w:t>年平均质量浓度</w:t>
            </w:r>
          </w:p>
        </w:tc>
        <w:tc>
          <w:tcPr>
            <w:tcW w:w="919" w:type="pct"/>
            <w:vAlign w:val="center"/>
          </w:tcPr>
          <w:p w14:paraId="74AA698C">
            <w:pPr>
              <w:pStyle w:val="34"/>
              <w:rPr>
                <w:rFonts w:ascii="Calibri" w:hAnsi="Calibri"/>
              </w:rPr>
            </w:pPr>
            <w:r>
              <w:rPr>
                <w:rFonts w:ascii="Calibri" w:hAnsi="Calibri"/>
              </w:rPr>
              <w:t>43</w:t>
            </w:r>
          </w:p>
        </w:tc>
        <w:tc>
          <w:tcPr>
            <w:tcW w:w="713" w:type="pct"/>
            <w:vAlign w:val="center"/>
          </w:tcPr>
          <w:p w14:paraId="48A025D5">
            <w:pPr>
              <w:pStyle w:val="34"/>
              <w:rPr>
                <w:rFonts w:ascii="Calibri" w:hAnsi="Calibri" w:eastAsia="黑体"/>
              </w:rPr>
            </w:pPr>
            <w:r>
              <w:rPr>
                <w:rFonts w:ascii="Calibri" w:hAnsi="Calibri"/>
              </w:rPr>
              <w:t>70</w:t>
            </w:r>
          </w:p>
        </w:tc>
        <w:tc>
          <w:tcPr>
            <w:tcW w:w="526" w:type="pct"/>
            <w:vAlign w:val="center"/>
          </w:tcPr>
          <w:p w14:paraId="42D82D87">
            <w:pPr>
              <w:pStyle w:val="34"/>
              <w:rPr>
                <w:rFonts w:ascii="Calibri" w:hAnsi="Calibri"/>
              </w:rPr>
            </w:pPr>
            <w:r>
              <w:rPr>
                <w:rFonts w:ascii="Calibri" w:hAnsi="Calibri"/>
              </w:rPr>
              <w:t>61.43</w:t>
            </w:r>
          </w:p>
        </w:tc>
        <w:tc>
          <w:tcPr>
            <w:tcW w:w="444" w:type="pct"/>
            <w:vAlign w:val="center"/>
          </w:tcPr>
          <w:p w14:paraId="7A576304">
            <w:pPr>
              <w:pStyle w:val="34"/>
              <w:rPr>
                <w:rFonts w:ascii="Calibri" w:hAnsi="Calibri"/>
              </w:rPr>
            </w:pPr>
            <w:r>
              <w:rPr>
                <w:rFonts w:ascii="Calibri" w:hAnsi="Calibri"/>
              </w:rPr>
              <w:t>达标</w:t>
            </w:r>
          </w:p>
        </w:tc>
      </w:tr>
      <w:tr w14:paraId="63C62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48" w:type="pct"/>
            <w:vAlign w:val="center"/>
          </w:tcPr>
          <w:p w14:paraId="6055B33F">
            <w:pPr>
              <w:pStyle w:val="34"/>
              <w:rPr>
                <w:rFonts w:ascii="Calibri" w:hAnsi="Calibri" w:eastAsia="黑体"/>
              </w:rPr>
            </w:pPr>
            <w:r>
              <w:rPr>
                <w:rFonts w:ascii="Calibri" w:hAnsi="Calibri"/>
              </w:rPr>
              <w:t>PM</w:t>
            </w:r>
            <w:r>
              <w:rPr>
                <w:rFonts w:ascii="Calibri" w:hAnsi="Calibri"/>
                <w:vertAlign w:val="subscript"/>
              </w:rPr>
              <w:t>2.5</w:t>
            </w:r>
          </w:p>
        </w:tc>
        <w:tc>
          <w:tcPr>
            <w:tcW w:w="1650" w:type="pct"/>
            <w:vAlign w:val="center"/>
          </w:tcPr>
          <w:p w14:paraId="52CA637C">
            <w:pPr>
              <w:pStyle w:val="34"/>
              <w:rPr>
                <w:rFonts w:ascii="Calibri" w:hAnsi="Calibri" w:eastAsia="黑体"/>
              </w:rPr>
            </w:pPr>
            <w:r>
              <w:rPr>
                <w:rFonts w:ascii="Calibri" w:hAnsi="Calibri"/>
              </w:rPr>
              <w:t>年平均质量浓度</w:t>
            </w:r>
          </w:p>
        </w:tc>
        <w:tc>
          <w:tcPr>
            <w:tcW w:w="919" w:type="pct"/>
            <w:vAlign w:val="center"/>
          </w:tcPr>
          <w:p w14:paraId="39575F98">
            <w:pPr>
              <w:pStyle w:val="34"/>
              <w:rPr>
                <w:rFonts w:ascii="Calibri" w:hAnsi="Calibri"/>
              </w:rPr>
            </w:pPr>
            <w:r>
              <w:rPr>
                <w:rFonts w:ascii="Calibri" w:hAnsi="Calibri"/>
              </w:rPr>
              <w:t>22</w:t>
            </w:r>
          </w:p>
        </w:tc>
        <w:tc>
          <w:tcPr>
            <w:tcW w:w="713" w:type="pct"/>
            <w:vAlign w:val="center"/>
          </w:tcPr>
          <w:p w14:paraId="67FB11FF">
            <w:pPr>
              <w:pStyle w:val="34"/>
              <w:rPr>
                <w:rFonts w:ascii="Calibri" w:hAnsi="Calibri" w:eastAsia="黑体"/>
              </w:rPr>
            </w:pPr>
            <w:r>
              <w:rPr>
                <w:rFonts w:ascii="Calibri" w:hAnsi="Calibri"/>
              </w:rPr>
              <w:t>35</w:t>
            </w:r>
          </w:p>
        </w:tc>
        <w:tc>
          <w:tcPr>
            <w:tcW w:w="526" w:type="pct"/>
            <w:vAlign w:val="center"/>
          </w:tcPr>
          <w:p w14:paraId="25EE644A">
            <w:pPr>
              <w:pStyle w:val="34"/>
              <w:rPr>
                <w:rFonts w:ascii="Calibri" w:hAnsi="Calibri"/>
              </w:rPr>
            </w:pPr>
            <w:r>
              <w:rPr>
                <w:rFonts w:ascii="Calibri" w:hAnsi="Calibri"/>
              </w:rPr>
              <w:t>62.86</w:t>
            </w:r>
          </w:p>
        </w:tc>
        <w:tc>
          <w:tcPr>
            <w:tcW w:w="444" w:type="pct"/>
            <w:vAlign w:val="center"/>
          </w:tcPr>
          <w:p w14:paraId="458A4000">
            <w:pPr>
              <w:pStyle w:val="34"/>
              <w:rPr>
                <w:rFonts w:ascii="Calibri" w:hAnsi="Calibri"/>
              </w:rPr>
            </w:pPr>
            <w:r>
              <w:rPr>
                <w:rFonts w:ascii="Calibri" w:hAnsi="Calibri"/>
              </w:rPr>
              <w:t>达标</w:t>
            </w:r>
          </w:p>
        </w:tc>
      </w:tr>
      <w:tr w14:paraId="20708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48" w:type="pct"/>
            <w:vAlign w:val="center"/>
          </w:tcPr>
          <w:p w14:paraId="43D40804">
            <w:pPr>
              <w:pStyle w:val="34"/>
              <w:rPr>
                <w:rFonts w:ascii="Calibri" w:hAnsi="Calibri" w:eastAsia="黑体"/>
              </w:rPr>
            </w:pPr>
            <w:r>
              <w:rPr>
                <w:rFonts w:ascii="Calibri" w:hAnsi="Calibri"/>
              </w:rPr>
              <w:t>CO</w:t>
            </w:r>
          </w:p>
        </w:tc>
        <w:tc>
          <w:tcPr>
            <w:tcW w:w="1650" w:type="pct"/>
            <w:vAlign w:val="center"/>
          </w:tcPr>
          <w:p w14:paraId="38445E71">
            <w:pPr>
              <w:pStyle w:val="34"/>
              <w:rPr>
                <w:rFonts w:ascii="Calibri" w:hAnsi="Calibri" w:eastAsia="黑体"/>
              </w:rPr>
            </w:pPr>
            <w:r>
              <w:rPr>
                <w:rFonts w:ascii="Calibri" w:hAnsi="Calibri"/>
              </w:rPr>
              <w:t>百分位上日平均质量浓度</w:t>
            </w:r>
          </w:p>
        </w:tc>
        <w:tc>
          <w:tcPr>
            <w:tcW w:w="919" w:type="pct"/>
            <w:vAlign w:val="center"/>
          </w:tcPr>
          <w:p w14:paraId="31E7D87D">
            <w:pPr>
              <w:pStyle w:val="34"/>
              <w:rPr>
                <w:rFonts w:ascii="Calibri" w:hAnsi="Calibri"/>
              </w:rPr>
            </w:pPr>
            <w:r>
              <w:rPr>
                <w:rFonts w:ascii="Calibri" w:hAnsi="Calibri"/>
              </w:rPr>
              <w:t>1000</w:t>
            </w:r>
          </w:p>
        </w:tc>
        <w:tc>
          <w:tcPr>
            <w:tcW w:w="713" w:type="pct"/>
            <w:vAlign w:val="center"/>
          </w:tcPr>
          <w:p w14:paraId="2668F92C">
            <w:pPr>
              <w:pStyle w:val="34"/>
              <w:rPr>
                <w:rFonts w:ascii="Calibri" w:hAnsi="Calibri" w:eastAsia="黑体"/>
              </w:rPr>
            </w:pPr>
            <w:r>
              <w:rPr>
                <w:rFonts w:ascii="Calibri" w:hAnsi="Calibri"/>
              </w:rPr>
              <w:t>4000</w:t>
            </w:r>
          </w:p>
        </w:tc>
        <w:tc>
          <w:tcPr>
            <w:tcW w:w="526" w:type="pct"/>
            <w:vAlign w:val="center"/>
          </w:tcPr>
          <w:p w14:paraId="242BC495">
            <w:pPr>
              <w:pStyle w:val="34"/>
              <w:rPr>
                <w:rFonts w:ascii="Calibri" w:hAnsi="Calibri" w:eastAsia="黑体"/>
              </w:rPr>
            </w:pPr>
            <w:r>
              <w:rPr>
                <w:rFonts w:ascii="Calibri" w:hAnsi="Calibri" w:eastAsia="黑体"/>
              </w:rPr>
              <w:t>25.00</w:t>
            </w:r>
          </w:p>
        </w:tc>
        <w:tc>
          <w:tcPr>
            <w:tcW w:w="444" w:type="pct"/>
            <w:vAlign w:val="center"/>
          </w:tcPr>
          <w:p w14:paraId="3E21596D">
            <w:pPr>
              <w:pStyle w:val="34"/>
              <w:rPr>
                <w:rFonts w:ascii="Calibri" w:hAnsi="Calibri"/>
              </w:rPr>
            </w:pPr>
            <w:r>
              <w:rPr>
                <w:rFonts w:ascii="Calibri" w:hAnsi="Calibri"/>
              </w:rPr>
              <w:t>达标</w:t>
            </w:r>
          </w:p>
        </w:tc>
      </w:tr>
      <w:tr w14:paraId="698C4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48" w:type="pct"/>
            <w:vAlign w:val="center"/>
          </w:tcPr>
          <w:p w14:paraId="180B690F">
            <w:pPr>
              <w:pStyle w:val="34"/>
              <w:rPr>
                <w:rFonts w:ascii="Calibri" w:hAnsi="Calibri" w:eastAsia="黑体"/>
              </w:rPr>
            </w:pPr>
            <w:r>
              <w:rPr>
                <w:rFonts w:ascii="Calibri" w:hAnsi="Calibri"/>
              </w:rPr>
              <w:t>O</w:t>
            </w:r>
            <w:r>
              <w:rPr>
                <w:rFonts w:ascii="Calibri" w:hAnsi="Calibri"/>
                <w:vertAlign w:val="subscript"/>
              </w:rPr>
              <w:t>3</w:t>
            </w:r>
          </w:p>
        </w:tc>
        <w:tc>
          <w:tcPr>
            <w:tcW w:w="1650" w:type="pct"/>
            <w:vAlign w:val="center"/>
          </w:tcPr>
          <w:p w14:paraId="08CA2E55">
            <w:pPr>
              <w:pStyle w:val="34"/>
              <w:rPr>
                <w:rFonts w:ascii="Calibri" w:hAnsi="Calibri" w:eastAsia="黑体"/>
              </w:rPr>
            </w:pPr>
            <w:r>
              <w:rPr>
                <w:rFonts w:ascii="Calibri" w:hAnsi="Calibri"/>
              </w:rPr>
              <w:t>百分位上8h平均质量浓度</w:t>
            </w:r>
          </w:p>
        </w:tc>
        <w:tc>
          <w:tcPr>
            <w:tcW w:w="919" w:type="pct"/>
            <w:vAlign w:val="center"/>
          </w:tcPr>
          <w:p w14:paraId="4F602A1A">
            <w:pPr>
              <w:pStyle w:val="34"/>
              <w:rPr>
                <w:rFonts w:ascii="Calibri" w:hAnsi="Calibri"/>
              </w:rPr>
            </w:pPr>
            <w:r>
              <w:rPr>
                <w:rFonts w:ascii="Calibri" w:hAnsi="Calibri"/>
              </w:rPr>
              <w:t>123</w:t>
            </w:r>
          </w:p>
        </w:tc>
        <w:tc>
          <w:tcPr>
            <w:tcW w:w="713" w:type="pct"/>
            <w:vAlign w:val="center"/>
          </w:tcPr>
          <w:p w14:paraId="373BFC44">
            <w:pPr>
              <w:pStyle w:val="34"/>
              <w:rPr>
                <w:rFonts w:ascii="Calibri" w:hAnsi="Calibri" w:eastAsia="黑体"/>
              </w:rPr>
            </w:pPr>
            <w:r>
              <w:rPr>
                <w:rFonts w:ascii="Calibri" w:hAnsi="Calibri"/>
              </w:rPr>
              <w:t>160</w:t>
            </w:r>
          </w:p>
        </w:tc>
        <w:tc>
          <w:tcPr>
            <w:tcW w:w="526" w:type="pct"/>
            <w:vAlign w:val="center"/>
          </w:tcPr>
          <w:p w14:paraId="134987DC">
            <w:pPr>
              <w:pStyle w:val="34"/>
              <w:rPr>
                <w:rFonts w:ascii="Calibri" w:hAnsi="Calibri"/>
              </w:rPr>
            </w:pPr>
            <w:r>
              <w:rPr>
                <w:rFonts w:ascii="Calibri" w:hAnsi="Calibri"/>
              </w:rPr>
              <w:t>76.88</w:t>
            </w:r>
          </w:p>
        </w:tc>
        <w:tc>
          <w:tcPr>
            <w:tcW w:w="444" w:type="pct"/>
            <w:vAlign w:val="center"/>
          </w:tcPr>
          <w:p w14:paraId="06EDBD85">
            <w:pPr>
              <w:pStyle w:val="34"/>
              <w:rPr>
                <w:rFonts w:ascii="Calibri" w:hAnsi="Calibri"/>
              </w:rPr>
            </w:pPr>
            <w:r>
              <w:rPr>
                <w:rFonts w:ascii="Calibri" w:hAnsi="Calibri"/>
              </w:rPr>
              <w:t>达标</w:t>
            </w:r>
          </w:p>
        </w:tc>
      </w:tr>
    </w:tbl>
    <w:p w14:paraId="465D5C93">
      <w:pPr>
        <w:widowControl/>
        <w:ind w:firstLine="480" w:firstLineChars="200"/>
        <w:jc w:val="left"/>
        <w:rPr>
          <w:kern w:val="0"/>
          <w:lang w:bidi="ar"/>
        </w:rPr>
      </w:pPr>
      <w:r>
        <w:rPr>
          <w:kern w:val="0"/>
          <w:lang w:bidi="ar"/>
        </w:rPr>
        <w:t>由上表可知，本项目所在区域各污染物平均浓度均优于《环境空气质量标准》（GB3095-2012）及修改单中二级标准，属于达标区。</w:t>
      </w:r>
    </w:p>
    <w:p w14:paraId="06B53EDC">
      <w:pPr>
        <w:pStyle w:val="6"/>
        <w:spacing w:before="120" w:after="120"/>
      </w:pPr>
      <w:r>
        <w:t>其他污染物现状调查与评价</w:t>
      </w:r>
    </w:p>
    <w:p w14:paraId="72392E06">
      <w:pPr>
        <w:pStyle w:val="3"/>
        <w:ind w:firstLine="480"/>
      </w:pPr>
      <w:r>
        <w:t>（1）数据来源</w:t>
      </w:r>
    </w:p>
    <w:p w14:paraId="16A78D8D">
      <w:pPr>
        <w:pStyle w:val="3"/>
        <w:ind w:firstLine="480"/>
      </w:pPr>
      <w:r>
        <w:t>根据《环境影响评价技术导则 大气环境》（HJ2.2-2018）相关要求，采用补充监测的方法，为评价范围内其他污染物环境质量现状评价提供数据来源。委托新疆国联环保科技有限公司进行了补充监测锰及化合物留作背景值。</w:t>
      </w:r>
      <w:bookmarkStart w:id="178" w:name="_Hlk172075301"/>
      <w:r>
        <w:t>同时本次环评引用新疆正天华能环境工程技术有限公司于2024年5月24日~5月31日对北一区产业区的监测数据，监测点位分别位于项目区西侧2.7km项目区北一区产业区范围内，项目东南侧1.94km东郊农场四队。</w:t>
      </w:r>
      <w:bookmarkEnd w:id="178"/>
    </w:p>
    <w:p w14:paraId="34EE06F5">
      <w:pPr>
        <w:pStyle w:val="3"/>
        <w:ind w:firstLine="480"/>
      </w:pPr>
      <w:r>
        <w:t>（2）评价方法</w:t>
      </w:r>
    </w:p>
    <w:p w14:paraId="2A8DA957">
      <w:pPr>
        <w:pStyle w:val="3"/>
        <w:ind w:firstLine="480"/>
      </w:pPr>
      <w:r>
        <w:t>取各污染物不同评价时段监测浓度的最大值，作为评价范围内环境空气保护目标及网格点环境质量现状浓度，采用单因子污染指数法进行评价。对于超标的，计算其超标倍数和超标率。</w:t>
      </w:r>
    </w:p>
    <w:p w14:paraId="17A63B43">
      <w:pPr>
        <w:pStyle w:val="3"/>
        <w:ind w:firstLine="480"/>
      </w:pPr>
      <w:r>
        <w:t>单因子污染指数法公式：</w:t>
      </w:r>
      <w:r>
        <w:rPr>
          <w:position w:val="-30"/>
        </w:rPr>
        <w:object>
          <v:shape id="_x0000_i1028" o:spt="75" type="#_x0000_t75" style="height:36pt;width:43.5pt;" o:ole="t" filled="f" o:preferrelative="t" stroked="f" coordsize="21600,21600">
            <v:path/>
            <v:fill on="f" focussize="0,0"/>
            <v:stroke on="f" joinstyle="miter"/>
            <v:imagedata r:id="rId20" o:title=""/>
            <o:lock v:ext="edit" aspectratio="t"/>
            <w10:wrap type="none"/>
            <w10:anchorlock/>
          </v:shape>
          <o:OLEObject Type="Embed" ProgID="Equation.KSEE3" ShapeID="_x0000_i1028" DrawAspect="Content" ObjectID="_1468075728" r:id="rId19">
            <o:LockedField>false</o:LockedField>
          </o:OLEObject>
        </w:object>
      </w:r>
    </w:p>
    <w:p w14:paraId="5F3C25D8">
      <w:pPr>
        <w:pStyle w:val="3"/>
        <w:ind w:firstLine="0" w:firstLineChars="0"/>
      </w:pPr>
      <w:r>
        <w:t>式中：I</w:t>
      </w:r>
      <w:r>
        <w:rPr>
          <w:vertAlign w:val="subscript"/>
        </w:rPr>
        <w:t>i</w:t>
      </w:r>
      <w:r>
        <w:t>——i污染物的分指数；</w:t>
      </w:r>
    </w:p>
    <w:p w14:paraId="2184CBA1">
      <w:pPr>
        <w:pStyle w:val="3"/>
        <w:ind w:firstLine="480"/>
      </w:pPr>
      <w:r>
        <w:t>C</w:t>
      </w:r>
      <w:r>
        <w:rPr>
          <w:vertAlign w:val="subscript"/>
        </w:rPr>
        <w:t>i</w:t>
      </w:r>
      <w:r>
        <w:t>——i污染物浓度，mg/m</w:t>
      </w:r>
      <w:r>
        <w:rPr>
          <w:vertAlign w:val="superscript"/>
        </w:rPr>
        <w:t>3</w:t>
      </w:r>
      <w:r>
        <w:t>；</w:t>
      </w:r>
    </w:p>
    <w:p w14:paraId="7E849223">
      <w:pPr>
        <w:pStyle w:val="3"/>
        <w:ind w:firstLine="480"/>
      </w:pPr>
      <w:r>
        <w:t>C</w:t>
      </w:r>
      <w:r>
        <w:rPr>
          <w:vertAlign w:val="subscript"/>
        </w:rPr>
        <w:t>oi</w:t>
      </w:r>
      <w:r>
        <w:t>——i污染物的评价标准，mg/m</w:t>
      </w:r>
      <w:r>
        <w:rPr>
          <w:vertAlign w:val="superscript"/>
        </w:rPr>
        <w:t>3</w:t>
      </w:r>
      <w:r>
        <w:t>；</w:t>
      </w:r>
    </w:p>
    <w:p w14:paraId="3EE740D3">
      <w:pPr>
        <w:pStyle w:val="3"/>
        <w:ind w:firstLine="480"/>
      </w:pPr>
      <w:r>
        <w:t>当I</w:t>
      </w:r>
      <w:r>
        <w:rPr>
          <w:vertAlign w:val="subscript"/>
        </w:rPr>
        <w:t>i</w:t>
      </w:r>
      <w:r>
        <w:t>&gt;1时，说明环境中i污染物含量超过标准值，当I&lt;1时，则说明i污染物符合标准。某污染物的I</w:t>
      </w:r>
      <w:r>
        <w:rPr>
          <w:vertAlign w:val="subscript"/>
        </w:rPr>
        <w:t>i</w:t>
      </w:r>
      <w:r>
        <w:t>值越大，则污染相对越严重。</w:t>
      </w:r>
    </w:p>
    <w:p w14:paraId="48AEBF16">
      <w:pPr>
        <w:pStyle w:val="3"/>
        <w:ind w:firstLine="480"/>
      </w:pPr>
      <w:r>
        <w:t>（3）监测方案</w:t>
      </w:r>
    </w:p>
    <w:p w14:paraId="72E58010">
      <w:pPr>
        <w:pStyle w:val="3"/>
        <w:ind w:firstLine="480"/>
      </w:pPr>
      <w:r>
        <w:t>监测项目：氮氧化物、TSP、氟化物、氨、二噁英类、锰及其化合物。</w:t>
      </w:r>
    </w:p>
    <w:p w14:paraId="696ED42E">
      <w:pPr>
        <w:pStyle w:val="3"/>
        <w:ind w:firstLine="480"/>
      </w:pPr>
      <w:r>
        <w:t>监测布点：根据评价等级、工程位置、评价区主导风向等因素，共计2个监测点位。详见图5.3-1。</w:t>
      </w:r>
    </w:p>
    <w:p w14:paraId="5BCED7FA">
      <w:pPr>
        <w:pStyle w:val="3"/>
        <w:ind w:firstLine="480"/>
      </w:pPr>
      <w:r>
        <w:t>监测时间及频率：连续7天，监测同时记录风速、风向、气温、气压和天气状况等常规气象要素。</w:t>
      </w:r>
    </w:p>
    <w:p w14:paraId="294087E9">
      <w:pPr>
        <w:pStyle w:val="3"/>
        <w:ind w:firstLine="480"/>
      </w:pPr>
      <w:r>
        <w:t>采样及监测方法：环境空气监测中的采样点、采样环境、采样高度及采样频率的要求，按《环境监测技术规范》（大气部分）执行，分析方法按《环境监测技术规范》（大气部分）有关规定和要求执行。</w:t>
      </w:r>
    </w:p>
    <w:p w14:paraId="5F6CF4DD">
      <w:pPr>
        <w:pStyle w:val="3"/>
        <w:ind w:firstLine="480"/>
      </w:pPr>
      <w:r>
        <w:t>（6）大气环境质量现状分析结论</w:t>
      </w:r>
    </w:p>
    <w:p w14:paraId="71FA9DC5">
      <w:pPr>
        <w:pStyle w:val="3"/>
        <w:ind w:firstLine="480"/>
      </w:pPr>
      <w:bookmarkStart w:id="179" w:name="_Hlk172075321"/>
      <w:r>
        <w:t>监测结果表明：项目区及周边敏感目监测点氮氧化物、TSP、氟化物现状浓度均满足《环境空气质量标准》（GB3095-2012）及其修改单二级标准及要求，氨满足《环境影响评价技术导则 大气环境》（HJ2.2-2018）附录D限值，二噁英类满足日本年平均浓度参考标准限值。</w:t>
      </w:r>
      <w:bookmarkEnd w:id="179"/>
    </w:p>
    <w:p w14:paraId="36838674">
      <w:pPr>
        <w:pStyle w:val="5"/>
        <w:spacing w:before="120"/>
      </w:pPr>
      <w:r>
        <w:t>地下水环境质量现状调查与评价</w:t>
      </w:r>
    </w:p>
    <w:p w14:paraId="6EC9DB97">
      <w:pPr>
        <w:pStyle w:val="58"/>
        <w:ind w:firstLine="480"/>
        <w:rPr>
          <w:rFonts w:cs="Times New Roman"/>
          <w:kern w:val="0"/>
        </w:rPr>
      </w:pPr>
      <w:r>
        <w:rPr>
          <w:rFonts w:cs="Times New Roman"/>
        </w:rPr>
        <w:t>为了解该项目场址及周围地下水水质、水位埋深及流场情况，根据《环境影响评价技术导则 地下水环境》（HJ 610-2016）的要求，结合本项目所在区域的地形、水文地质条件及地下水流向，对本项目区及周围的地下水环境开展现状调查工作。</w:t>
      </w:r>
    </w:p>
    <w:p w14:paraId="353FA893">
      <w:pPr>
        <w:pStyle w:val="3"/>
        <w:ind w:firstLine="480"/>
      </w:pPr>
      <w:r>
        <w:t>（2）现状监测数据来源</w:t>
      </w:r>
    </w:p>
    <w:p w14:paraId="6632DA67">
      <w:pPr>
        <w:pStyle w:val="3"/>
        <w:ind w:firstLine="480"/>
      </w:pPr>
      <w:r>
        <w:t>根据《环境影响评价技术导则-地下水环境》（HJ610-2016）相关要求，本次环评委托新疆国联环保科技有限公司于2025年6月21日对项目区西侧（测游）及北侧（下游）进行了监测；同时本次评价引用新疆中测测试有限责任公司于2024年2月4日对项目区项目区西南侧（上游）独山子石化公司的现状监测。</w:t>
      </w:r>
    </w:p>
    <w:p w14:paraId="47F19ACD">
      <w:pPr>
        <w:pStyle w:val="3"/>
        <w:ind w:left="480" w:firstLine="0" w:firstLineChars="0"/>
      </w:pPr>
      <w:r>
        <w:t>（3）监测项目</w:t>
      </w:r>
    </w:p>
    <w:p w14:paraId="1ACC8E34">
      <w:pPr>
        <w:pStyle w:val="3"/>
        <w:ind w:firstLine="480"/>
      </w:pPr>
      <w:r>
        <w:t>引用数据监测项目包括：pH、总硬度、耗氧量、氯化物、溶解性总固体、氟化物、氨氮、硝酸盐氮、亚硝酸盐氮、硫酸盐、六价铬、挥发酚、</w:t>
      </w:r>
      <w:r>
        <w:rPr>
          <w:bCs/>
        </w:rPr>
        <w:t>镉、锰、砷、汞、铁、铅、硫化物、石油类、</w:t>
      </w:r>
      <w:r>
        <w:t>CO</w:t>
      </w:r>
      <w:r>
        <w:rPr>
          <w:vertAlign w:val="subscript"/>
        </w:rPr>
        <w:t>3</w:t>
      </w:r>
      <w:r>
        <w:rPr>
          <w:vertAlign w:val="superscript"/>
        </w:rPr>
        <w:t>2-</w:t>
      </w:r>
      <w:r>
        <w:rPr>
          <w:bCs/>
        </w:rPr>
        <w:t>、H</w:t>
      </w:r>
      <w:r>
        <w:t>CO</w:t>
      </w:r>
      <w:r>
        <w:rPr>
          <w:vertAlign w:val="subscript"/>
        </w:rPr>
        <w:t>3</w:t>
      </w:r>
      <w:r>
        <w:rPr>
          <w:vertAlign w:val="superscript"/>
        </w:rPr>
        <w:t>-</w:t>
      </w:r>
      <w:r>
        <w:rPr>
          <w:bCs/>
        </w:rPr>
        <w:t>、</w:t>
      </w:r>
      <w:r>
        <w:t>K</w:t>
      </w:r>
      <w:r>
        <w:rPr>
          <w:vertAlign w:val="superscript"/>
        </w:rPr>
        <w:t>+</w:t>
      </w:r>
      <w:r>
        <w:rPr>
          <w:bCs/>
        </w:rPr>
        <w:t>、</w:t>
      </w:r>
      <w:r>
        <w:t>Na</w:t>
      </w:r>
      <w:r>
        <w:rPr>
          <w:vertAlign w:val="superscript"/>
        </w:rPr>
        <w:t>+</w:t>
      </w:r>
      <w:r>
        <w:rPr>
          <w:bCs/>
        </w:rPr>
        <w:t>、</w:t>
      </w:r>
      <w:r>
        <w:t>Ca</w:t>
      </w:r>
      <w:r>
        <w:rPr>
          <w:vertAlign w:val="superscript"/>
        </w:rPr>
        <w:t>2+</w:t>
      </w:r>
      <w:r>
        <w:rPr>
          <w:bCs/>
        </w:rPr>
        <w:t>、</w:t>
      </w:r>
      <w:r>
        <w:t>Mg</w:t>
      </w:r>
      <w:r>
        <w:rPr>
          <w:vertAlign w:val="superscript"/>
        </w:rPr>
        <w:t>2+</w:t>
      </w:r>
      <w:r>
        <w:rPr>
          <w:bCs/>
        </w:rPr>
        <w:t>共计26项。</w:t>
      </w:r>
    </w:p>
    <w:p w14:paraId="347831AA">
      <w:pPr>
        <w:pStyle w:val="3"/>
        <w:ind w:firstLine="480"/>
      </w:pPr>
      <w:r>
        <w:t>补充监测项目包括：pH、氨氮、钙和镁总量（总硬度）、溶解性总固体、K</w:t>
      </w:r>
      <w:r>
        <w:rPr>
          <w:vertAlign w:val="superscript"/>
        </w:rPr>
        <w:t>+</w:t>
      </w:r>
      <w:r>
        <w:rPr>
          <w:bCs/>
        </w:rPr>
        <w:t>、</w:t>
      </w:r>
      <w:r>
        <w:t>Na</w:t>
      </w:r>
      <w:r>
        <w:rPr>
          <w:vertAlign w:val="superscript"/>
        </w:rPr>
        <w:t>+</w:t>
      </w:r>
      <w:r>
        <w:rPr>
          <w:bCs/>
        </w:rPr>
        <w:t>、</w:t>
      </w:r>
      <w:r>
        <w:t>Ca</w:t>
      </w:r>
      <w:r>
        <w:rPr>
          <w:vertAlign w:val="superscript"/>
        </w:rPr>
        <w:t>2+</w:t>
      </w:r>
      <w:r>
        <w:rPr>
          <w:bCs/>
        </w:rPr>
        <w:t>、</w:t>
      </w:r>
      <w:r>
        <w:t>Mg</w:t>
      </w:r>
      <w:r>
        <w:rPr>
          <w:vertAlign w:val="superscript"/>
        </w:rPr>
        <w:t>2+</w:t>
      </w:r>
      <w:r>
        <w:rPr>
          <w:bCs/>
        </w:rPr>
        <w:t>、</w:t>
      </w:r>
      <w:r>
        <w:t>Cl</w:t>
      </w:r>
      <w:r>
        <w:rPr>
          <w:vertAlign w:val="superscript"/>
        </w:rPr>
        <w:t>-</w:t>
      </w:r>
      <w:r>
        <w:rPr>
          <w:bCs/>
        </w:rPr>
        <w:t>、</w:t>
      </w:r>
      <w:r>
        <w:t>SO</w:t>
      </w:r>
      <w:r>
        <w:rPr>
          <w:vertAlign w:val="subscript"/>
        </w:rPr>
        <w:t>4</w:t>
      </w:r>
      <w:r>
        <w:rPr>
          <w:vertAlign w:val="superscript"/>
        </w:rPr>
        <w:t>2-</w:t>
      </w:r>
      <w:r>
        <w:rPr>
          <w:bCs/>
        </w:rPr>
        <w:t>、</w:t>
      </w:r>
      <w:r>
        <w:rPr>
          <w:kern w:val="2"/>
        </w:rPr>
        <w:t>NO</w:t>
      </w:r>
      <w:r>
        <w:rPr>
          <w:kern w:val="2"/>
          <w:vertAlign w:val="subscript"/>
        </w:rPr>
        <w:t>3</w:t>
      </w:r>
      <w:r>
        <w:rPr>
          <w:kern w:val="2"/>
          <w:vertAlign w:val="superscript"/>
        </w:rPr>
        <w:t>-</w:t>
      </w:r>
      <w:r>
        <w:rPr>
          <w:bCs/>
        </w:rPr>
        <w:t>、</w:t>
      </w:r>
      <w:r>
        <w:rPr>
          <w:kern w:val="2"/>
        </w:rPr>
        <w:t>NO</w:t>
      </w:r>
      <w:r>
        <w:rPr>
          <w:kern w:val="2"/>
          <w:vertAlign w:val="subscript"/>
        </w:rPr>
        <w:t>2</w:t>
      </w:r>
      <w:r>
        <w:rPr>
          <w:bCs/>
        </w:rPr>
        <w:t>、碳酸根、重碳酸根、挥发酚、高锰酸盐指数、氰化物、六价铬、汞、砷、硒、铜、铁、镉、锌、镍、锰、铝、铅、总大肠菌群、细菌总数共计31项</w:t>
      </w:r>
      <w:r>
        <w:t>。</w:t>
      </w:r>
    </w:p>
    <w:p w14:paraId="23E751AF">
      <w:pPr>
        <w:pStyle w:val="3"/>
        <w:ind w:firstLine="480"/>
      </w:pPr>
      <w:r>
        <w:t>（3）监测时间及频率</w:t>
      </w:r>
    </w:p>
    <w:p w14:paraId="7C356A3B">
      <w:pPr>
        <w:pStyle w:val="3"/>
        <w:ind w:firstLine="480"/>
      </w:pPr>
      <w:r>
        <w:t>监测1天，取样1次。</w:t>
      </w:r>
    </w:p>
    <w:p w14:paraId="28395A76">
      <w:pPr>
        <w:pStyle w:val="3"/>
        <w:ind w:firstLine="480"/>
      </w:pPr>
      <w:r>
        <w:t>（4）评价方法</w:t>
      </w:r>
    </w:p>
    <w:p w14:paraId="3B50329D">
      <w:pPr>
        <w:pStyle w:val="3"/>
        <w:ind w:firstLine="480"/>
      </w:pPr>
      <w:r>
        <w:t>采用单因子污染指数法评价，公式如下：</w:t>
      </w:r>
    </w:p>
    <w:p w14:paraId="0EB29165">
      <w:pPr>
        <w:tabs>
          <w:tab w:val="left" w:pos="0"/>
          <w:tab w:val="left" w:pos="210"/>
        </w:tabs>
        <w:jc w:val="center"/>
      </w:pPr>
      <w:r>
        <w:rPr>
          <w:position w:val="-12"/>
        </w:rPr>
        <w:object>
          <v:shape id="_x0000_i1029" o:spt="75" type="#_x0000_t75" style="height:14.25pt;width:57.75pt;" o:ole="t" filled="f" o:preferrelative="t" stroked="f" coordsize="21600,21600">
            <v:path/>
            <v:fill on="f" focussize="0,0"/>
            <v:stroke on="f" joinstyle="miter"/>
            <v:imagedata r:id="rId22" o:title=""/>
            <o:lock v:ext="edit" aspectratio="t"/>
            <w10:wrap type="none"/>
            <w10:anchorlock/>
          </v:shape>
          <o:OLEObject Type="Embed" ProgID="Equation.KSEE3" ShapeID="_x0000_i1029" DrawAspect="Content" ObjectID="_1468075729" r:id="rId21">
            <o:LockedField>false</o:LockedField>
          </o:OLEObject>
        </w:object>
      </w:r>
    </w:p>
    <w:p w14:paraId="738099CB">
      <w:pPr>
        <w:pStyle w:val="3"/>
        <w:ind w:firstLine="480"/>
      </w:pPr>
      <w:r>
        <w:t>式中：P</w:t>
      </w:r>
      <w:r>
        <w:rPr>
          <w:vertAlign w:val="subscript"/>
        </w:rPr>
        <w:t>i</w:t>
      </w:r>
      <w:r>
        <w:t>——某监测点第i种污染物污染指数；</w:t>
      </w:r>
    </w:p>
    <w:p w14:paraId="2798F33D">
      <w:pPr>
        <w:pStyle w:val="3"/>
        <w:ind w:firstLine="480"/>
      </w:pPr>
      <w:r>
        <w:t>C</w:t>
      </w:r>
      <w:r>
        <w:rPr>
          <w:vertAlign w:val="subscript"/>
        </w:rPr>
        <w:t>i</w:t>
      </w:r>
      <w:r>
        <w:t>——第i种污染物监测浓度值，单位mg/L；</w:t>
      </w:r>
    </w:p>
    <w:p w14:paraId="31B8339E">
      <w:pPr>
        <w:pStyle w:val="3"/>
        <w:ind w:firstLine="480"/>
      </w:pPr>
      <w:r>
        <w:t>Co</w:t>
      </w:r>
      <w:r>
        <w:rPr>
          <w:vertAlign w:val="subscript"/>
        </w:rPr>
        <w:t>i</w:t>
      </w:r>
      <w:r>
        <w:t>——第i种污染物评价标准，单位mg/L。</w:t>
      </w:r>
    </w:p>
    <w:p w14:paraId="02A100AE">
      <w:pPr>
        <w:pStyle w:val="3"/>
        <w:ind w:firstLine="480"/>
      </w:pPr>
      <w:r>
        <w:t>pH值的指数计算公式：</w:t>
      </w:r>
    </w:p>
    <w:p w14:paraId="75A3C33D">
      <w:pPr>
        <w:tabs>
          <w:tab w:val="left" w:pos="0"/>
          <w:tab w:val="left" w:pos="210"/>
        </w:tabs>
        <w:jc w:val="center"/>
        <w:textAlignment w:val="bottom"/>
      </w:pPr>
      <w:r>
        <w:rPr>
          <w:position w:val="-30"/>
        </w:rPr>
        <w:object>
          <v:shape id="_x0000_i1030" o:spt="75" type="#_x0000_t75" style="height:36pt;width:93.75pt;" o:ole="t" filled="f" o:preferrelative="t" stroked="f" coordsize="21600,21600">
            <v:path/>
            <v:fill on="f" focussize="0,0"/>
            <v:stroke on="f" joinstyle="miter"/>
            <v:imagedata r:id="rId24" o:title=""/>
            <o:lock v:ext="edit" aspectratio="t"/>
            <w10:wrap type="none"/>
            <w10:anchorlock/>
          </v:shape>
          <o:OLEObject Type="Embed" ProgID="Equation.KSEE3" ShapeID="_x0000_i1030" DrawAspect="Content" ObjectID="_1468075730" r:id="rId23">
            <o:LockedField>false</o:LockedField>
          </o:OLEObject>
        </w:object>
      </w:r>
      <w:r>
        <w:t xml:space="preserve">      pH≤7.0</w:t>
      </w:r>
    </w:p>
    <w:p w14:paraId="2685E590">
      <w:pPr>
        <w:tabs>
          <w:tab w:val="left" w:pos="0"/>
          <w:tab w:val="left" w:pos="210"/>
        </w:tabs>
        <w:jc w:val="center"/>
        <w:textAlignment w:val="bottom"/>
      </w:pPr>
      <w:r>
        <w:rPr>
          <w:position w:val="-30"/>
        </w:rPr>
        <w:object>
          <v:shape id="_x0000_i1031" o:spt="75" type="#_x0000_t75" style="height:36pt;width:93.75pt;" o:ole="t" filled="f" o:preferrelative="t" stroked="f" coordsize="21600,21600">
            <v:path/>
            <v:fill on="f" focussize="0,0"/>
            <v:stroke on="f" joinstyle="miter"/>
            <v:imagedata r:id="rId26" o:title=""/>
            <o:lock v:ext="edit" aspectratio="t"/>
            <w10:wrap type="none"/>
            <w10:anchorlock/>
          </v:shape>
          <o:OLEObject Type="Embed" ProgID="Equation.KSEE3" ShapeID="_x0000_i1031" DrawAspect="Content" ObjectID="_1468075731" r:id="rId25">
            <o:LockedField>false</o:LockedField>
          </o:OLEObject>
        </w:object>
      </w:r>
      <w:r>
        <w:t xml:space="preserve">      pH&gt;7.0</w:t>
      </w:r>
    </w:p>
    <w:p w14:paraId="79C48D2A">
      <w:pPr>
        <w:pStyle w:val="3"/>
        <w:ind w:firstLine="480"/>
      </w:pPr>
      <w:r>
        <w:t>式中：S</w:t>
      </w:r>
      <w:r>
        <w:rPr>
          <w:vertAlign w:val="subscript"/>
        </w:rPr>
        <w:t>pH，j</w:t>
      </w:r>
      <w:r>
        <w:t>——S</w:t>
      </w:r>
      <w:r>
        <w:rPr>
          <w:vertAlign w:val="subscript"/>
        </w:rPr>
        <w:t>pH</w:t>
      </w:r>
      <w:r>
        <w:t>值的指数，大于1表明该水质因子超标；</w:t>
      </w:r>
    </w:p>
    <w:p w14:paraId="04688BE2">
      <w:pPr>
        <w:pStyle w:val="3"/>
        <w:ind w:firstLine="480"/>
      </w:pPr>
      <w:r>
        <w:t>pH</w:t>
      </w:r>
      <w:r>
        <w:rPr>
          <w:vertAlign w:val="subscript"/>
        </w:rPr>
        <w:t>j</w:t>
      </w:r>
      <w:r>
        <w:t>——pH值实测统计代表值；</w:t>
      </w:r>
    </w:p>
    <w:p w14:paraId="39CB07E3">
      <w:pPr>
        <w:pStyle w:val="3"/>
        <w:ind w:firstLine="480"/>
      </w:pPr>
      <w:r>
        <w:t>pH</w:t>
      </w:r>
      <w:r>
        <w:rPr>
          <w:vertAlign w:val="subscript"/>
        </w:rPr>
        <w:t>su</w:t>
      </w:r>
      <w:r>
        <w:t>——评价标准中pH值的下限值；</w:t>
      </w:r>
    </w:p>
    <w:p w14:paraId="3CFA5E71">
      <w:pPr>
        <w:pStyle w:val="3"/>
        <w:ind w:firstLine="480"/>
      </w:pPr>
      <w:r>
        <w:t>pH</w:t>
      </w:r>
      <w:r>
        <w:rPr>
          <w:vertAlign w:val="subscript"/>
        </w:rPr>
        <w:t>su</w:t>
      </w:r>
      <w:r>
        <w:t>——评价标准中pH值的上限值。</w:t>
      </w:r>
    </w:p>
    <w:p w14:paraId="4CDD2652">
      <w:pPr>
        <w:widowControl/>
        <w:ind w:firstLine="480" w:firstLineChars="200"/>
        <w:jc w:val="left"/>
      </w:pPr>
      <w:r>
        <w:rPr>
          <w:kern w:val="0"/>
          <w:lang w:bidi="ar"/>
        </w:rPr>
        <w:t>各监测点各项监测指标均符合《地下水质量标准》（</w:t>
      </w:r>
      <w:r>
        <w:rPr>
          <w:rFonts w:eastAsia="Times New Roman"/>
          <w:kern w:val="0"/>
          <w:lang w:bidi="ar"/>
        </w:rPr>
        <w:t>GB/T14848-2017</w:t>
      </w:r>
      <w:r>
        <w:rPr>
          <w:kern w:val="0"/>
          <w:lang w:bidi="ar"/>
        </w:rPr>
        <w:t>）中的Ⅲ类标准要求，项目区地下水环境质量良好。对照项目区上游、项目区地下水中各监测因子变化量不大。</w:t>
      </w:r>
    </w:p>
    <w:p w14:paraId="5B13EB42">
      <w:pPr>
        <w:pStyle w:val="5"/>
        <w:spacing w:before="120"/>
      </w:pPr>
      <w:r>
        <w:t>声环境质量现状调查与评价</w:t>
      </w:r>
    </w:p>
    <w:p w14:paraId="26352A28">
      <w:pPr>
        <w:pStyle w:val="3"/>
        <w:ind w:firstLine="480"/>
      </w:pPr>
      <w:r>
        <w:t>（1）数据来源</w:t>
      </w:r>
    </w:p>
    <w:p w14:paraId="609EF893">
      <w:pPr>
        <w:pStyle w:val="3"/>
        <w:ind w:firstLine="480"/>
      </w:pPr>
      <w:r>
        <w:t>采用现场测量法，委托新疆国联环保科技有限公司于2025年6月20日对项目区声环境质量现状进行了监测。</w:t>
      </w:r>
    </w:p>
    <w:p w14:paraId="4DB31A82">
      <w:pPr>
        <w:pStyle w:val="3"/>
        <w:ind w:firstLine="480"/>
      </w:pPr>
      <w:r>
        <w:t>（2）监测方案与监测结果</w:t>
      </w:r>
    </w:p>
    <w:p w14:paraId="6B0CD7C6">
      <w:pPr>
        <w:pStyle w:val="3"/>
        <w:ind w:firstLine="480"/>
      </w:pPr>
      <w:r>
        <w:t>监测项目：昼、夜等效A声级</w:t>
      </w:r>
    </w:p>
    <w:p w14:paraId="66BEAC02">
      <w:pPr>
        <w:pStyle w:val="3"/>
        <w:ind w:firstLine="480"/>
      </w:pPr>
      <w:r>
        <w:t>监测频率：昼、夜各1次</w:t>
      </w:r>
    </w:p>
    <w:p w14:paraId="3BD9A3EA">
      <w:pPr>
        <w:pStyle w:val="3"/>
        <w:ind w:firstLine="480"/>
      </w:pPr>
      <w:r>
        <w:t>监测点位：4个点</w:t>
      </w:r>
    </w:p>
    <w:p w14:paraId="27722406">
      <w:pPr>
        <w:pStyle w:val="3"/>
        <w:ind w:firstLine="480"/>
      </w:pPr>
      <w:r>
        <w:t>评价方法：比对法</w:t>
      </w:r>
    </w:p>
    <w:p w14:paraId="60DCAFC0">
      <w:pPr>
        <w:pStyle w:val="3"/>
        <w:ind w:firstLine="480"/>
      </w:pPr>
      <w:r>
        <w:t>执行标准：《声环境质量标准》（GB3096-2008）3类。</w:t>
      </w:r>
    </w:p>
    <w:p w14:paraId="0D4F5416">
      <w:pPr>
        <w:pStyle w:val="3"/>
        <w:ind w:firstLine="480"/>
      </w:pPr>
      <w:r>
        <w:t>监测结果见下表：</w:t>
      </w:r>
    </w:p>
    <w:p w14:paraId="375982B8">
      <w:pPr>
        <w:pStyle w:val="40"/>
        <w:spacing w:before="120"/>
      </w:pPr>
      <w:bookmarkStart w:id="180" w:name="_Hlk171977285"/>
      <w:r>
        <w:t>表5.3-6    声环境现状监测结果   单位dB(A)</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41"/>
        <w:gridCol w:w="1835"/>
        <w:gridCol w:w="960"/>
        <w:gridCol w:w="870"/>
        <w:gridCol w:w="5"/>
        <w:gridCol w:w="769"/>
        <w:gridCol w:w="666"/>
        <w:gridCol w:w="909"/>
        <w:gridCol w:w="801"/>
      </w:tblGrid>
      <w:tr w14:paraId="71F069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153" w:type="pct"/>
            <w:vMerge w:val="restart"/>
            <w:vAlign w:val="center"/>
          </w:tcPr>
          <w:p w14:paraId="7FF8A58E">
            <w:pPr>
              <w:pStyle w:val="41"/>
            </w:pPr>
            <w:r>
              <w:t>监测点位</w:t>
            </w:r>
          </w:p>
        </w:tc>
        <w:tc>
          <w:tcPr>
            <w:tcW w:w="1036" w:type="pct"/>
            <w:vMerge w:val="restart"/>
            <w:vAlign w:val="center"/>
          </w:tcPr>
          <w:p w14:paraId="00F43B31">
            <w:pPr>
              <w:pStyle w:val="41"/>
            </w:pPr>
            <w:r>
              <w:t>监测时间</w:t>
            </w:r>
          </w:p>
        </w:tc>
        <w:tc>
          <w:tcPr>
            <w:tcW w:w="1036" w:type="pct"/>
            <w:gridSpan w:val="3"/>
            <w:vAlign w:val="center"/>
          </w:tcPr>
          <w:p w14:paraId="348F6AFE">
            <w:pPr>
              <w:pStyle w:val="41"/>
            </w:pPr>
            <w:r>
              <w:t>监测值</w:t>
            </w:r>
          </w:p>
        </w:tc>
        <w:tc>
          <w:tcPr>
            <w:tcW w:w="810" w:type="pct"/>
            <w:gridSpan w:val="2"/>
            <w:vAlign w:val="center"/>
          </w:tcPr>
          <w:p w14:paraId="7D0861D8">
            <w:pPr>
              <w:pStyle w:val="41"/>
            </w:pPr>
            <w:r>
              <w:t>标准限值</w:t>
            </w:r>
          </w:p>
        </w:tc>
        <w:tc>
          <w:tcPr>
            <w:tcW w:w="965" w:type="pct"/>
            <w:gridSpan w:val="2"/>
            <w:vAlign w:val="center"/>
          </w:tcPr>
          <w:p w14:paraId="459EA36D">
            <w:pPr>
              <w:pStyle w:val="41"/>
            </w:pPr>
            <w:r>
              <w:t>达标或超标值</w:t>
            </w:r>
          </w:p>
        </w:tc>
      </w:tr>
      <w:tr w14:paraId="17E801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153" w:type="pct"/>
            <w:vMerge w:val="continue"/>
            <w:vAlign w:val="center"/>
          </w:tcPr>
          <w:p w14:paraId="2F1AE269">
            <w:pPr>
              <w:pStyle w:val="41"/>
            </w:pPr>
          </w:p>
        </w:tc>
        <w:tc>
          <w:tcPr>
            <w:tcW w:w="1036" w:type="pct"/>
            <w:vMerge w:val="continue"/>
            <w:vAlign w:val="center"/>
          </w:tcPr>
          <w:p w14:paraId="356CB1C8">
            <w:pPr>
              <w:pStyle w:val="41"/>
            </w:pPr>
          </w:p>
        </w:tc>
        <w:tc>
          <w:tcPr>
            <w:tcW w:w="542" w:type="pct"/>
            <w:vAlign w:val="center"/>
          </w:tcPr>
          <w:p w14:paraId="25ED251E">
            <w:pPr>
              <w:pStyle w:val="41"/>
            </w:pPr>
            <w:r>
              <w:t>昼间</w:t>
            </w:r>
          </w:p>
        </w:tc>
        <w:tc>
          <w:tcPr>
            <w:tcW w:w="491" w:type="pct"/>
            <w:vAlign w:val="center"/>
          </w:tcPr>
          <w:p w14:paraId="15B5B31D">
            <w:pPr>
              <w:pStyle w:val="41"/>
            </w:pPr>
            <w:r>
              <w:t>夜间</w:t>
            </w:r>
          </w:p>
        </w:tc>
        <w:tc>
          <w:tcPr>
            <w:tcW w:w="437" w:type="pct"/>
            <w:gridSpan w:val="2"/>
            <w:vAlign w:val="center"/>
          </w:tcPr>
          <w:p w14:paraId="76A51063">
            <w:pPr>
              <w:pStyle w:val="41"/>
            </w:pPr>
            <w:r>
              <w:t>昼间</w:t>
            </w:r>
          </w:p>
        </w:tc>
        <w:tc>
          <w:tcPr>
            <w:tcW w:w="376" w:type="pct"/>
            <w:vAlign w:val="center"/>
          </w:tcPr>
          <w:p w14:paraId="3572904A">
            <w:pPr>
              <w:pStyle w:val="41"/>
            </w:pPr>
            <w:r>
              <w:t>夜间</w:t>
            </w:r>
          </w:p>
        </w:tc>
        <w:tc>
          <w:tcPr>
            <w:tcW w:w="513" w:type="pct"/>
            <w:vAlign w:val="center"/>
          </w:tcPr>
          <w:p w14:paraId="07163723">
            <w:pPr>
              <w:pStyle w:val="41"/>
            </w:pPr>
            <w:r>
              <w:t>昼间</w:t>
            </w:r>
          </w:p>
        </w:tc>
        <w:tc>
          <w:tcPr>
            <w:tcW w:w="452" w:type="pct"/>
            <w:vAlign w:val="center"/>
          </w:tcPr>
          <w:p w14:paraId="7A4DDB6E">
            <w:pPr>
              <w:pStyle w:val="41"/>
            </w:pPr>
            <w:r>
              <w:t>夜间</w:t>
            </w:r>
          </w:p>
        </w:tc>
      </w:tr>
      <w:tr w14:paraId="393895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3" w:type="pct"/>
            <w:vAlign w:val="center"/>
          </w:tcPr>
          <w:p w14:paraId="3A7FED56">
            <w:pPr>
              <w:pStyle w:val="41"/>
            </w:pPr>
            <w:r>
              <w:t>项目区东侧外1m</w:t>
            </w:r>
          </w:p>
        </w:tc>
        <w:tc>
          <w:tcPr>
            <w:tcW w:w="1036" w:type="pct"/>
            <w:vAlign w:val="center"/>
          </w:tcPr>
          <w:p w14:paraId="58C0C55F">
            <w:pPr>
              <w:pStyle w:val="41"/>
            </w:pPr>
            <w:r>
              <w:t>2025年6月20日</w:t>
            </w:r>
          </w:p>
        </w:tc>
        <w:tc>
          <w:tcPr>
            <w:tcW w:w="542" w:type="pct"/>
            <w:vAlign w:val="center"/>
          </w:tcPr>
          <w:p w14:paraId="7660B223">
            <w:pPr>
              <w:pStyle w:val="41"/>
            </w:pPr>
            <w:r>
              <w:t>50</w:t>
            </w:r>
          </w:p>
        </w:tc>
        <w:tc>
          <w:tcPr>
            <w:tcW w:w="491" w:type="pct"/>
            <w:vAlign w:val="center"/>
          </w:tcPr>
          <w:p w14:paraId="769EE6BE">
            <w:pPr>
              <w:pStyle w:val="41"/>
            </w:pPr>
            <w:r>
              <w:t>42</w:t>
            </w:r>
          </w:p>
        </w:tc>
        <w:tc>
          <w:tcPr>
            <w:tcW w:w="437" w:type="pct"/>
            <w:gridSpan w:val="2"/>
            <w:vAlign w:val="center"/>
          </w:tcPr>
          <w:p w14:paraId="4906F4F1">
            <w:pPr>
              <w:pStyle w:val="41"/>
            </w:pPr>
            <w:r>
              <w:t>65</w:t>
            </w:r>
          </w:p>
        </w:tc>
        <w:tc>
          <w:tcPr>
            <w:tcW w:w="376" w:type="pct"/>
            <w:vAlign w:val="center"/>
          </w:tcPr>
          <w:p w14:paraId="2AEFAD60">
            <w:pPr>
              <w:pStyle w:val="41"/>
            </w:pPr>
            <w:r>
              <w:t>55</w:t>
            </w:r>
          </w:p>
        </w:tc>
        <w:tc>
          <w:tcPr>
            <w:tcW w:w="513" w:type="pct"/>
          </w:tcPr>
          <w:p w14:paraId="47DAFDF6">
            <w:pPr>
              <w:pStyle w:val="41"/>
            </w:pPr>
            <w:r>
              <w:t>达标</w:t>
            </w:r>
          </w:p>
        </w:tc>
        <w:tc>
          <w:tcPr>
            <w:tcW w:w="452" w:type="pct"/>
          </w:tcPr>
          <w:p w14:paraId="374DA826">
            <w:pPr>
              <w:pStyle w:val="41"/>
            </w:pPr>
            <w:r>
              <w:t>达标</w:t>
            </w:r>
          </w:p>
        </w:tc>
      </w:tr>
      <w:tr w14:paraId="40B32C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3" w:type="pct"/>
            <w:vAlign w:val="center"/>
          </w:tcPr>
          <w:p w14:paraId="4AC14FE6">
            <w:pPr>
              <w:pStyle w:val="41"/>
            </w:pPr>
            <w:r>
              <w:t>项目区南侧外1m</w:t>
            </w:r>
          </w:p>
        </w:tc>
        <w:tc>
          <w:tcPr>
            <w:tcW w:w="1036" w:type="pct"/>
          </w:tcPr>
          <w:p w14:paraId="7522FA20">
            <w:pPr>
              <w:pStyle w:val="41"/>
            </w:pPr>
            <w:r>
              <w:t>2025年6月20日</w:t>
            </w:r>
          </w:p>
        </w:tc>
        <w:tc>
          <w:tcPr>
            <w:tcW w:w="542" w:type="pct"/>
            <w:vAlign w:val="center"/>
          </w:tcPr>
          <w:p w14:paraId="59E29A14">
            <w:pPr>
              <w:pStyle w:val="41"/>
            </w:pPr>
            <w:r>
              <w:t>51</w:t>
            </w:r>
          </w:p>
        </w:tc>
        <w:tc>
          <w:tcPr>
            <w:tcW w:w="491" w:type="pct"/>
            <w:vAlign w:val="center"/>
          </w:tcPr>
          <w:p w14:paraId="653DE63A">
            <w:pPr>
              <w:pStyle w:val="41"/>
            </w:pPr>
            <w:r>
              <w:t>43</w:t>
            </w:r>
          </w:p>
        </w:tc>
        <w:tc>
          <w:tcPr>
            <w:tcW w:w="437" w:type="pct"/>
            <w:gridSpan w:val="2"/>
            <w:vAlign w:val="center"/>
          </w:tcPr>
          <w:p w14:paraId="12B62DAB">
            <w:pPr>
              <w:pStyle w:val="41"/>
            </w:pPr>
            <w:r>
              <w:t>65</w:t>
            </w:r>
          </w:p>
        </w:tc>
        <w:tc>
          <w:tcPr>
            <w:tcW w:w="376" w:type="pct"/>
            <w:vAlign w:val="center"/>
          </w:tcPr>
          <w:p w14:paraId="7202B07E">
            <w:pPr>
              <w:pStyle w:val="41"/>
            </w:pPr>
            <w:r>
              <w:t>55</w:t>
            </w:r>
          </w:p>
        </w:tc>
        <w:tc>
          <w:tcPr>
            <w:tcW w:w="513" w:type="pct"/>
          </w:tcPr>
          <w:p w14:paraId="6C39B487">
            <w:pPr>
              <w:pStyle w:val="41"/>
            </w:pPr>
            <w:r>
              <w:t>达标</w:t>
            </w:r>
          </w:p>
        </w:tc>
        <w:tc>
          <w:tcPr>
            <w:tcW w:w="452" w:type="pct"/>
          </w:tcPr>
          <w:p w14:paraId="7CCF8877">
            <w:pPr>
              <w:pStyle w:val="41"/>
            </w:pPr>
            <w:r>
              <w:t>达标</w:t>
            </w:r>
          </w:p>
        </w:tc>
      </w:tr>
      <w:tr w14:paraId="679B74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3" w:type="pct"/>
            <w:vAlign w:val="center"/>
          </w:tcPr>
          <w:p w14:paraId="34D03986">
            <w:pPr>
              <w:pStyle w:val="41"/>
            </w:pPr>
            <w:r>
              <w:t>项目区西侧外1m</w:t>
            </w:r>
          </w:p>
        </w:tc>
        <w:tc>
          <w:tcPr>
            <w:tcW w:w="1036" w:type="pct"/>
          </w:tcPr>
          <w:p w14:paraId="333B9BF4">
            <w:pPr>
              <w:pStyle w:val="41"/>
            </w:pPr>
            <w:r>
              <w:t>2025年6月20日</w:t>
            </w:r>
          </w:p>
        </w:tc>
        <w:tc>
          <w:tcPr>
            <w:tcW w:w="542" w:type="pct"/>
            <w:vAlign w:val="center"/>
          </w:tcPr>
          <w:p w14:paraId="10DAA40E">
            <w:pPr>
              <w:pStyle w:val="41"/>
            </w:pPr>
            <w:r>
              <w:t>54</w:t>
            </w:r>
          </w:p>
        </w:tc>
        <w:tc>
          <w:tcPr>
            <w:tcW w:w="491" w:type="pct"/>
            <w:vAlign w:val="center"/>
          </w:tcPr>
          <w:p w14:paraId="2ED45A58">
            <w:pPr>
              <w:pStyle w:val="41"/>
            </w:pPr>
            <w:r>
              <w:t>40</w:t>
            </w:r>
          </w:p>
        </w:tc>
        <w:tc>
          <w:tcPr>
            <w:tcW w:w="437" w:type="pct"/>
            <w:gridSpan w:val="2"/>
            <w:vAlign w:val="center"/>
          </w:tcPr>
          <w:p w14:paraId="239AB0B8">
            <w:pPr>
              <w:pStyle w:val="41"/>
            </w:pPr>
            <w:r>
              <w:t>65</w:t>
            </w:r>
          </w:p>
        </w:tc>
        <w:tc>
          <w:tcPr>
            <w:tcW w:w="376" w:type="pct"/>
            <w:vAlign w:val="center"/>
          </w:tcPr>
          <w:p w14:paraId="007A5904">
            <w:pPr>
              <w:pStyle w:val="41"/>
            </w:pPr>
            <w:r>
              <w:t>55</w:t>
            </w:r>
          </w:p>
        </w:tc>
        <w:tc>
          <w:tcPr>
            <w:tcW w:w="513" w:type="pct"/>
          </w:tcPr>
          <w:p w14:paraId="70B59D95">
            <w:pPr>
              <w:pStyle w:val="41"/>
            </w:pPr>
            <w:r>
              <w:t>达标</w:t>
            </w:r>
          </w:p>
        </w:tc>
        <w:tc>
          <w:tcPr>
            <w:tcW w:w="452" w:type="pct"/>
          </w:tcPr>
          <w:p w14:paraId="026B40A4">
            <w:pPr>
              <w:pStyle w:val="41"/>
            </w:pPr>
            <w:r>
              <w:t>达标</w:t>
            </w:r>
          </w:p>
        </w:tc>
      </w:tr>
      <w:tr w14:paraId="61EF78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3" w:type="pct"/>
            <w:vAlign w:val="center"/>
          </w:tcPr>
          <w:p w14:paraId="51D5D593">
            <w:pPr>
              <w:pStyle w:val="41"/>
            </w:pPr>
            <w:r>
              <w:rPr>
                <w:kern w:val="0"/>
              </w:rPr>
              <w:t>项目区北侧外1m</w:t>
            </w:r>
          </w:p>
        </w:tc>
        <w:tc>
          <w:tcPr>
            <w:tcW w:w="1036" w:type="pct"/>
          </w:tcPr>
          <w:p w14:paraId="136F42C5">
            <w:pPr>
              <w:pStyle w:val="41"/>
            </w:pPr>
            <w:r>
              <w:t>2025年6月20日</w:t>
            </w:r>
          </w:p>
        </w:tc>
        <w:tc>
          <w:tcPr>
            <w:tcW w:w="542" w:type="pct"/>
            <w:vAlign w:val="center"/>
          </w:tcPr>
          <w:p w14:paraId="2E61354B">
            <w:pPr>
              <w:pStyle w:val="41"/>
            </w:pPr>
            <w:r>
              <w:t>51</w:t>
            </w:r>
          </w:p>
        </w:tc>
        <w:tc>
          <w:tcPr>
            <w:tcW w:w="491" w:type="pct"/>
            <w:vAlign w:val="center"/>
          </w:tcPr>
          <w:p w14:paraId="62463AC9">
            <w:pPr>
              <w:pStyle w:val="41"/>
            </w:pPr>
            <w:r>
              <w:t>40</w:t>
            </w:r>
          </w:p>
        </w:tc>
        <w:tc>
          <w:tcPr>
            <w:tcW w:w="437" w:type="pct"/>
            <w:gridSpan w:val="2"/>
            <w:vAlign w:val="center"/>
          </w:tcPr>
          <w:p w14:paraId="3B4A283B">
            <w:pPr>
              <w:pStyle w:val="41"/>
            </w:pPr>
            <w:r>
              <w:t>65</w:t>
            </w:r>
          </w:p>
        </w:tc>
        <w:tc>
          <w:tcPr>
            <w:tcW w:w="376" w:type="pct"/>
            <w:vAlign w:val="center"/>
          </w:tcPr>
          <w:p w14:paraId="26F638E6">
            <w:pPr>
              <w:pStyle w:val="41"/>
            </w:pPr>
            <w:r>
              <w:t>55</w:t>
            </w:r>
          </w:p>
        </w:tc>
        <w:tc>
          <w:tcPr>
            <w:tcW w:w="513" w:type="pct"/>
          </w:tcPr>
          <w:p w14:paraId="4EF1A4BF">
            <w:pPr>
              <w:pStyle w:val="41"/>
            </w:pPr>
            <w:r>
              <w:t>达标</w:t>
            </w:r>
          </w:p>
        </w:tc>
        <w:tc>
          <w:tcPr>
            <w:tcW w:w="452" w:type="pct"/>
          </w:tcPr>
          <w:p w14:paraId="274A2162">
            <w:pPr>
              <w:pStyle w:val="41"/>
            </w:pPr>
            <w:r>
              <w:t>达标</w:t>
            </w:r>
          </w:p>
        </w:tc>
      </w:tr>
      <w:bookmarkEnd w:id="180"/>
    </w:tbl>
    <w:p w14:paraId="3B000600">
      <w:pPr>
        <w:pStyle w:val="3"/>
        <w:ind w:firstLine="480"/>
      </w:pPr>
      <w:r>
        <w:t>（3）声环境质量现状分析</w:t>
      </w:r>
    </w:p>
    <w:p w14:paraId="0AF31448">
      <w:pPr>
        <w:pStyle w:val="3"/>
        <w:ind w:firstLine="480"/>
      </w:pPr>
      <w:r>
        <w:t>本项目厂界外200m范围内无噪声敏感目标，由监测结果可知，项目区域噪声监测值满足《声环境质量标准》（GB3096-2008）3类标准要求。</w:t>
      </w:r>
    </w:p>
    <w:p w14:paraId="2A5DBF50">
      <w:pPr>
        <w:pStyle w:val="5"/>
        <w:spacing w:before="120"/>
      </w:pPr>
      <w:r>
        <w:t>土壤环境质量现状调查与评价</w:t>
      </w:r>
    </w:p>
    <w:p w14:paraId="69811988">
      <w:pPr>
        <w:pStyle w:val="3"/>
        <w:ind w:firstLine="480"/>
      </w:pPr>
      <w:r>
        <w:t>（1）数据来源</w:t>
      </w:r>
    </w:p>
    <w:p w14:paraId="18BD5C76">
      <w:pPr>
        <w:pStyle w:val="3"/>
        <w:ind w:firstLine="480"/>
      </w:pPr>
      <w:bookmarkStart w:id="181" w:name="_Hlk172075390"/>
      <w:bookmarkStart w:id="182" w:name="_Hlk171977388"/>
      <w:r>
        <w:t>采用现场测量法，委托新疆国联环保科技有限公司于2024年6月5日对评价范围内土壤环境质量现状进行监测。</w:t>
      </w:r>
      <w:bookmarkEnd w:id="181"/>
    </w:p>
    <w:bookmarkEnd w:id="182"/>
    <w:p w14:paraId="3390DD7B">
      <w:pPr>
        <w:pStyle w:val="3"/>
        <w:ind w:firstLine="480"/>
      </w:pPr>
      <w:r>
        <w:t>（2）监测项目</w:t>
      </w:r>
    </w:p>
    <w:p w14:paraId="578D7D84">
      <w:pPr>
        <w:pStyle w:val="3"/>
        <w:ind w:firstLine="480"/>
      </w:pPr>
      <w:r>
        <w:t>基本因子：砷、镉、六价铬、镍、四氯化碳、氯仿、氯甲烷1，1-二氯乙烷、1，2二氯乙烷、1，1-二氯乙烯、顺-1，2-二氯乙烯、反-1，2-二氯乙烯氯甲烷、1，2-二氯丙烷、1，1，1，2-四氯乙烷、1，1，2，2-四氯乙烷、四氯乙烯、1，1，1-三氯乙烷、1，1，2-三氯乙烷、三氯乙烯、1，2，3-三氯丙烷、氯乙烯、苯、氯苯、1，2-氯苯、1，4-二氯苯、乙苯、苯乙烯、甲苯、间二甲苯+对二甲苯、邻二甲苯、硝基苯、苯胺、2-氯酚、苯并〔a〕蒽、苯并〔a〕芘、苯并〔b〕荧蒽、苯并〔k〕荧蒽、崫、二苯并〔a，h〕蒽、茚并〔1，2，3-cd〕芘、萘，共45项；</w:t>
      </w:r>
    </w:p>
    <w:p w14:paraId="6A1515E1">
      <w:pPr>
        <w:pStyle w:val="3"/>
        <w:ind w:firstLine="480"/>
      </w:pPr>
      <w:r>
        <w:t>特征因子：铜、铅、汞、镉、砷、锑、氰化物、石油烃（C</w:t>
      </w:r>
      <w:r>
        <w:rPr>
          <w:vertAlign w:val="subscript"/>
        </w:rPr>
        <w:t>10</w:t>
      </w:r>
      <w:r>
        <w:t>~C</w:t>
      </w:r>
      <w:r>
        <w:rPr>
          <w:vertAlign w:val="subscript"/>
        </w:rPr>
        <w:t>40</w:t>
      </w:r>
      <w:r>
        <w:t>）、二噁英。</w:t>
      </w:r>
    </w:p>
    <w:p w14:paraId="45F54C47">
      <w:pPr>
        <w:pStyle w:val="3"/>
        <w:ind w:firstLine="480"/>
      </w:pPr>
      <w:r>
        <w:t>（3）监测布点</w:t>
      </w:r>
    </w:p>
    <w:p w14:paraId="6E7C1D14">
      <w:pPr>
        <w:autoSpaceDE w:val="0"/>
        <w:autoSpaceDN w:val="0"/>
        <w:ind w:firstLine="480" w:firstLineChars="200"/>
        <w:rPr>
          <w:kern w:val="28"/>
        </w:rPr>
      </w:pPr>
      <w:r>
        <w:rPr>
          <w:bCs/>
        </w:rPr>
        <w:t>在</w:t>
      </w:r>
      <w:r>
        <w:rPr>
          <w:kern w:val="28"/>
        </w:rPr>
        <w:t>占地范围内共设置3个柱状样点，1个表层验电；整个项目厂区占地范围外200m区域内取2个表层样点进行监测。共计6个监测点，其中柱状样3个，表层样3个。</w:t>
      </w:r>
    </w:p>
    <w:p w14:paraId="2A746793">
      <w:pPr>
        <w:autoSpaceDE w:val="0"/>
        <w:autoSpaceDN w:val="0"/>
        <w:ind w:firstLine="480" w:firstLineChars="200"/>
        <w:rPr>
          <w:kern w:val="28"/>
        </w:rPr>
      </w:pPr>
      <w:r>
        <w:rPr>
          <w:kern w:val="28"/>
        </w:rPr>
        <w:t>柱状样点位置：视现场情况而定。</w:t>
      </w:r>
    </w:p>
    <w:p w14:paraId="4EB64E0A">
      <w:pPr>
        <w:autoSpaceDE w:val="0"/>
        <w:autoSpaceDN w:val="0"/>
        <w:ind w:firstLine="480" w:firstLineChars="200"/>
        <w:rPr>
          <w:kern w:val="28"/>
        </w:rPr>
      </w:pPr>
      <w:r>
        <w:rPr>
          <w:kern w:val="28"/>
        </w:rPr>
        <w:t>厂区内表层样点位置：代表全厂土壤现状水平点，涉及漫流区域。</w:t>
      </w:r>
    </w:p>
    <w:p w14:paraId="42DCB517">
      <w:pPr>
        <w:pStyle w:val="3"/>
        <w:ind w:firstLine="480"/>
        <w:rPr>
          <w:kern w:val="28"/>
        </w:rPr>
      </w:pPr>
      <w:r>
        <w:rPr>
          <w:kern w:val="28"/>
        </w:rPr>
        <w:t>厂区外表层样点位置：周边空地及农田。</w:t>
      </w:r>
    </w:p>
    <w:p w14:paraId="78021D12">
      <w:pPr>
        <w:pStyle w:val="3"/>
        <w:ind w:firstLine="480"/>
      </w:pPr>
      <w:r>
        <w:t>（4）评价标准</w:t>
      </w:r>
    </w:p>
    <w:p w14:paraId="04223BD2">
      <w:pPr>
        <w:pStyle w:val="3"/>
        <w:ind w:firstLine="480"/>
      </w:pPr>
      <w:r>
        <w:t>执行《土壤环境质量 建设用地土壤污染风险管控标准》（GB36600-2018）第二类用地筛选值。</w:t>
      </w:r>
    </w:p>
    <w:p w14:paraId="305D9991">
      <w:pPr>
        <w:pStyle w:val="3"/>
        <w:ind w:firstLine="480"/>
      </w:pPr>
      <w:r>
        <w:t>（5）监测结果与分析</w:t>
      </w:r>
    </w:p>
    <w:p w14:paraId="509A5DD1">
      <w:pPr>
        <w:pStyle w:val="3"/>
        <w:ind w:firstLine="480"/>
      </w:pPr>
      <w:r>
        <w:t>监测结果详见下表5.3-8。由上表分析可知，评价区域内土壤各监测因子均能满足《土壤环境质量建设用地土壤污染风险管控标准》（GB36600-2018）建设用地第二类用地筛选值要求现状工程对土壤环境影响较小。</w:t>
      </w:r>
    </w:p>
    <w:p w14:paraId="4D0E021A">
      <w:pPr>
        <w:pStyle w:val="3"/>
        <w:ind w:firstLine="480"/>
      </w:pPr>
      <w:r>
        <w:t>根据土壤pH值判断，区域土壤基本无酸化或碱化，少数点位轻度碱化。</w:t>
      </w:r>
    </w:p>
    <w:p w14:paraId="2D737DDB">
      <w:pPr>
        <w:pStyle w:val="3"/>
        <w:ind w:firstLine="480"/>
      </w:pPr>
      <w:r>
        <w:t>（5）包气带污染情况调查</w:t>
      </w:r>
    </w:p>
    <w:p w14:paraId="42B00F4D">
      <w:pPr>
        <w:pStyle w:val="3"/>
        <w:ind w:firstLine="480"/>
      </w:pPr>
      <w:r>
        <w:t>依据场地岩土工程勘察报告，场地包气带厚度大于100m，包气带地层岩性自上而下分为含砾黄土状亚砂土、卵砾石、砂砾石。其中，上层含砾黄土状亚砂土厚度约1.4m，下层均为约160m厚度的卵砾石、砂砾石。</w:t>
      </w:r>
    </w:p>
    <w:p w14:paraId="7747E785">
      <w:pPr>
        <w:pStyle w:val="3"/>
        <w:ind w:firstLine="480"/>
      </w:pPr>
      <w:r>
        <w:t>环评根据厂内土壤柱状样分层取样检测结果，分析包气带污染情况。柱状样在0-0.5m、0.5-1.5m、1.5-3m分别取样。分层取样检测结果基本可以判定厂区各层土壤受污染状况。</w:t>
      </w:r>
    </w:p>
    <w:p w14:paraId="1C89BE66">
      <w:pPr>
        <w:pStyle w:val="3"/>
        <w:ind w:firstLine="480"/>
      </w:pPr>
      <w:r>
        <w:t>本项目占地范围内外的建设用地土壤监测项目包括《土壤环境质量建设用地土壤污染风险管控标准》（GB36600-2018）中表1建设用地土壤污染风险筛选值和管控值（基本项目）45个项目和特征因子pH。</w:t>
      </w:r>
    </w:p>
    <w:p w14:paraId="6B5A03E0">
      <w:pPr>
        <w:pStyle w:val="3"/>
        <w:ind w:firstLine="480"/>
      </w:pPr>
      <w:r>
        <w:t>根据评价，厂内建设用地各柱状样监测数据中的重金属和无机物、挥发性有机物与半挥发性有机物均低于第二类用地筛选值，不需要进一步的详细调查和风险评估，更加达不到土壤污染风险管制值指标，不需要采取风险管控或修复措施。</w:t>
      </w:r>
    </w:p>
    <w:p w14:paraId="7753AABF">
      <w:pPr>
        <w:pStyle w:val="5"/>
        <w:spacing w:before="120"/>
      </w:pPr>
      <w:r>
        <w:t>生态环境现状调查与评价</w:t>
      </w:r>
    </w:p>
    <w:p w14:paraId="5FCA63AF">
      <w:pPr>
        <w:pStyle w:val="6"/>
        <w:spacing w:before="120" w:after="120"/>
      </w:pPr>
      <w:r>
        <w:t>生态功能区划</w:t>
      </w:r>
    </w:p>
    <w:p w14:paraId="725F2BFA">
      <w:pPr>
        <w:pStyle w:val="3"/>
        <w:ind w:firstLine="480"/>
      </w:pPr>
      <w:r>
        <w:t>根据《新疆生态功能区划》（原新疆维吾尔自治区环境保护局2003年9月），Ⅱ 准噶尔盆地温性荒漠与绿洲农业生态区-Ⅱ5 准噶尔盆地南部荒漠绿洲农业生态亚区-26．乌苏—石河子—昌吉城镇与绿洲农业生态功能区。该功能区特征见下表：</w:t>
      </w:r>
    </w:p>
    <w:p w14:paraId="48271C3E">
      <w:pPr>
        <w:pStyle w:val="40"/>
        <w:spacing w:before="120"/>
      </w:pPr>
      <w:r>
        <w:t>表5.3-9    生态功能区主要特征</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2"/>
        <w:gridCol w:w="1510"/>
        <w:gridCol w:w="5832"/>
      </w:tblGrid>
      <w:tr w14:paraId="25622E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707" w:type="pct"/>
            <w:gridSpan w:val="2"/>
            <w:vAlign w:val="center"/>
          </w:tcPr>
          <w:p w14:paraId="1F734B45">
            <w:pPr>
              <w:pStyle w:val="41"/>
            </w:pPr>
            <w:r>
              <w:t>名称</w:t>
            </w:r>
          </w:p>
        </w:tc>
        <w:tc>
          <w:tcPr>
            <w:tcW w:w="3293" w:type="pct"/>
            <w:vAlign w:val="center"/>
          </w:tcPr>
          <w:p w14:paraId="251B5A41">
            <w:pPr>
              <w:pStyle w:val="41"/>
            </w:pPr>
            <w:r>
              <w:t>内容</w:t>
            </w:r>
          </w:p>
        </w:tc>
      </w:tr>
      <w:tr w14:paraId="1A2F66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854" w:type="pct"/>
            <w:vMerge w:val="restart"/>
            <w:vAlign w:val="center"/>
          </w:tcPr>
          <w:p w14:paraId="429827A1">
            <w:pPr>
              <w:pStyle w:val="41"/>
            </w:pPr>
            <w:r>
              <w:t>生态功能分区单元</w:t>
            </w:r>
          </w:p>
        </w:tc>
        <w:tc>
          <w:tcPr>
            <w:tcW w:w="853" w:type="pct"/>
            <w:vAlign w:val="center"/>
          </w:tcPr>
          <w:p w14:paraId="62352088">
            <w:pPr>
              <w:pStyle w:val="41"/>
            </w:pPr>
            <w:r>
              <w:t>生态区</w:t>
            </w:r>
          </w:p>
        </w:tc>
        <w:tc>
          <w:tcPr>
            <w:tcW w:w="3293" w:type="pct"/>
            <w:vAlign w:val="center"/>
          </w:tcPr>
          <w:p w14:paraId="2B2DE177">
            <w:pPr>
              <w:pStyle w:val="41"/>
            </w:pPr>
            <w:r>
              <w:t>Ⅱ 准噶尔盆地温性荒漠与绿洲农业生态区</w:t>
            </w:r>
          </w:p>
        </w:tc>
      </w:tr>
      <w:tr w14:paraId="00CBE3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854" w:type="pct"/>
            <w:vMerge w:val="continue"/>
            <w:vAlign w:val="center"/>
          </w:tcPr>
          <w:p w14:paraId="27888944">
            <w:pPr>
              <w:pStyle w:val="41"/>
            </w:pPr>
          </w:p>
        </w:tc>
        <w:tc>
          <w:tcPr>
            <w:tcW w:w="853" w:type="pct"/>
            <w:vAlign w:val="center"/>
          </w:tcPr>
          <w:p w14:paraId="3C06BCA9">
            <w:pPr>
              <w:pStyle w:val="41"/>
            </w:pPr>
            <w:r>
              <w:t>生态亚区</w:t>
            </w:r>
          </w:p>
        </w:tc>
        <w:tc>
          <w:tcPr>
            <w:tcW w:w="3293" w:type="pct"/>
            <w:vAlign w:val="center"/>
          </w:tcPr>
          <w:p w14:paraId="698079C1">
            <w:pPr>
              <w:pStyle w:val="41"/>
            </w:pPr>
            <w:r>
              <w:t>Ⅱ5 准噶尔盆地南部荒漠绿洲农业生态亚区</w:t>
            </w:r>
          </w:p>
        </w:tc>
      </w:tr>
      <w:tr w14:paraId="01A152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854" w:type="pct"/>
            <w:vMerge w:val="continue"/>
            <w:vAlign w:val="center"/>
          </w:tcPr>
          <w:p w14:paraId="28E5EE38">
            <w:pPr>
              <w:pStyle w:val="41"/>
            </w:pPr>
          </w:p>
        </w:tc>
        <w:tc>
          <w:tcPr>
            <w:tcW w:w="853" w:type="pct"/>
            <w:vAlign w:val="center"/>
          </w:tcPr>
          <w:p w14:paraId="17F0AB32">
            <w:pPr>
              <w:pStyle w:val="41"/>
            </w:pPr>
            <w:r>
              <w:t>生态功能区</w:t>
            </w:r>
          </w:p>
        </w:tc>
        <w:tc>
          <w:tcPr>
            <w:tcW w:w="3293" w:type="pct"/>
            <w:vAlign w:val="center"/>
          </w:tcPr>
          <w:p w14:paraId="06E45BC5">
            <w:pPr>
              <w:pStyle w:val="41"/>
            </w:pPr>
            <w:r>
              <w:t>26．乌苏—石河子—昌吉城镇与绿洲农业生态功能区</w:t>
            </w:r>
          </w:p>
        </w:tc>
      </w:tr>
      <w:tr w14:paraId="3BF91A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24D55E68">
            <w:pPr>
              <w:pStyle w:val="41"/>
            </w:pPr>
            <w:r>
              <w:t>主要生态服务功能</w:t>
            </w:r>
          </w:p>
        </w:tc>
        <w:tc>
          <w:tcPr>
            <w:tcW w:w="3293" w:type="pct"/>
            <w:vAlign w:val="center"/>
          </w:tcPr>
          <w:p w14:paraId="289374EB">
            <w:pPr>
              <w:pStyle w:val="41"/>
            </w:pPr>
            <w:r>
              <w:t>工农畜产品生产、人居环境、荒漠化控制</w:t>
            </w:r>
          </w:p>
        </w:tc>
      </w:tr>
      <w:tr w14:paraId="7A674D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5E761896">
            <w:pPr>
              <w:pStyle w:val="41"/>
            </w:pPr>
            <w:r>
              <w:t>主要生态环境问题</w:t>
            </w:r>
          </w:p>
        </w:tc>
        <w:tc>
          <w:tcPr>
            <w:tcW w:w="3293" w:type="pct"/>
            <w:vAlign w:val="center"/>
          </w:tcPr>
          <w:p w14:paraId="739A1D69">
            <w:pPr>
              <w:pStyle w:val="41"/>
            </w:pPr>
            <w:r>
              <w:t>地下水超采、荒漠植被退化、土地荒漠化与盐渍化、大气和水质及土壤污染、良田减少、绿洲外围受到沙漠化威胁</w:t>
            </w:r>
          </w:p>
        </w:tc>
      </w:tr>
      <w:tr w14:paraId="6CFE16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68044BD5">
            <w:pPr>
              <w:pStyle w:val="41"/>
            </w:pPr>
            <w:r>
              <w:t>主要生态敏感因子、敏感程度</w:t>
            </w:r>
          </w:p>
        </w:tc>
        <w:tc>
          <w:tcPr>
            <w:tcW w:w="3293" w:type="pct"/>
            <w:vAlign w:val="center"/>
          </w:tcPr>
          <w:p w14:paraId="07DE0F50">
            <w:pPr>
              <w:pStyle w:val="41"/>
            </w:pPr>
            <w:r>
              <w:t>生物多样性及其生境中度敏感，土壤侵蚀轻度敏感，土地沙漠化中度敏感，土壤盐渍化轻度敏感</w:t>
            </w:r>
          </w:p>
        </w:tc>
      </w:tr>
      <w:tr w14:paraId="1847AA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6AC06CA9">
            <w:pPr>
              <w:pStyle w:val="41"/>
            </w:pPr>
            <w:r>
              <w:t>主要保护目标</w:t>
            </w:r>
          </w:p>
        </w:tc>
        <w:tc>
          <w:tcPr>
            <w:tcW w:w="3293" w:type="pct"/>
            <w:vAlign w:val="center"/>
          </w:tcPr>
          <w:p w14:paraId="73156EC7">
            <w:pPr>
              <w:pStyle w:val="41"/>
            </w:pPr>
            <w:r>
              <w:t>保护基本农田、保护荒漠植被、保护土壤环境质量</w:t>
            </w:r>
          </w:p>
        </w:tc>
      </w:tr>
      <w:tr w14:paraId="02249D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107414E5">
            <w:pPr>
              <w:pStyle w:val="41"/>
            </w:pPr>
            <w:r>
              <w:t>主要保护措施</w:t>
            </w:r>
          </w:p>
        </w:tc>
        <w:tc>
          <w:tcPr>
            <w:tcW w:w="3293" w:type="pct"/>
            <w:vAlign w:val="center"/>
          </w:tcPr>
          <w:p w14:paraId="505258C7">
            <w:pPr>
              <w:pStyle w:val="41"/>
            </w:pPr>
            <w:r>
              <w:t>节水灌溉、草场休牧、对坡耕地和沙化土地实施退耕还林（草），在水源无保障、植被稀少、生态脆弱地带禁止开荒、加强农田投入品的使用管理</w:t>
            </w:r>
          </w:p>
        </w:tc>
      </w:tr>
      <w:tr w14:paraId="52B366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7" w:type="pct"/>
            <w:gridSpan w:val="2"/>
            <w:vAlign w:val="center"/>
          </w:tcPr>
          <w:p w14:paraId="51CDC8A1">
            <w:pPr>
              <w:pStyle w:val="41"/>
            </w:pPr>
            <w:r>
              <w:t>适宜发展方向</w:t>
            </w:r>
          </w:p>
        </w:tc>
        <w:tc>
          <w:tcPr>
            <w:tcW w:w="3293" w:type="pct"/>
            <w:vAlign w:val="center"/>
          </w:tcPr>
          <w:p w14:paraId="5E969A89">
            <w:pPr>
              <w:pStyle w:val="41"/>
            </w:pPr>
            <w:r>
              <w:t>农牧结合，发展优质、高效特色农业和畜牧业</w:t>
            </w:r>
          </w:p>
        </w:tc>
      </w:tr>
    </w:tbl>
    <w:p w14:paraId="4775787F">
      <w:pPr>
        <w:pStyle w:val="6"/>
        <w:spacing w:before="120" w:after="120"/>
      </w:pPr>
      <w:r>
        <w:t>植被现状</w:t>
      </w:r>
    </w:p>
    <w:p w14:paraId="009C6E97">
      <w:pPr>
        <w:pStyle w:val="3"/>
        <w:ind w:firstLine="480"/>
      </w:pPr>
      <w:r>
        <w:t>项目区周边入驻企业分布较为集中，受人类活动干扰较大。区域的土壤类型主要是灌溉灰漠土，沿线林木主要是沿河两岸、沿公路、街道两边分布的道路林，主要树种有榆树、杨树等，主要植被类型是以低矮的灌木、半灌木荒漠为主，主要群落类型有红砂群落，梭梭群落，盐爪爪群落，碱蓬群落等，植物种类组成单调和旱生性是当地植被的主要特征。植物稀疏，盖度约10%。受当地气候、土壤的限制，农作物种类较少，粮食作物主要有小麦、玉米等；经济作物有向日葵、打瓜、加工番茄、西甜瓜等。</w:t>
      </w:r>
    </w:p>
    <w:p w14:paraId="0C4B5127">
      <w:pPr>
        <w:pStyle w:val="6"/>
        <w:spacing w:before="120" w:after="120"/>
      </w:pPr>
      <w:r>
        <w:t>野生动物现状</w:t>
      </w:r>
    </w:p>
    <w:p w14:paraId="407504C9">
      <w:pPr>
        <w:pStyle w:val="3"/>
        <w:ind w:firstLine="480"/>
      </w:pPr>
      <w:r>
        <w:t>项目区开发强度较大，植被覆盖率低。根据查阅资料和现状调查，项目区周边野生动物较少，以多种昆虫居多，其次是鼠类，常见野生动物有喜鹊、麻雀、沙鼠等，区域内没有珍稀野生动植物，周边也没有生态敏感保护目标。</w:t>
      </w:r>
    </w:p>
    <w:p w14:paraId="64455A29">
      <w:pPr>
        <w:pStyle w:val="6"/>
        <w:spacing w:before="120" w:after="120"/>
      </w:pPr>
      <w:r>
        <w:t>水土流失与水土保持</w:t>
      </w:r>
    </w:p>
    <w:p w14:paraId="53A0D5D2">
      <w:pPr>
        <w:pStyle w:val="3"/>
        <w:ind w:firstLine="480"/>
      </w:pPr>
      <w:r>
        <w:t>根据调查，区域以风力侵蚀为主，水力侵蚀主要分布在产业园的中部和北部，水力侵蚀为强度——极强度，风力侵蚀为轻度——中度，造成土壤侵蚀的应力类型为降水与雪融水导致的洪水、风力。</w:t>
      </w:r>
    </w:p>
    <w:p w14:paraId="5C37CDF3">
      <w:pPr>
        <w:pStyle w:val="3"/>
        <w:ind w:firstLine="480"/>
      </w:pPr>
      <w:r>
        <w:t>目前评价区已改变了原有的生态景观，水土保持治理措施主要集中在已开发地区，在道路两侧有防护林，各企业也在厂界边界种植了绿化隔离带等，直接或间接起到了水土保持作用；区域植被长势良好，因此水土保持现状良好。</w:t>
      </w:r>
    </w:p>
    <w:p w14:paraId="63E4DC5C">
      <w:pPr>
        <w:pStyle w:val="4"/>
      </w:pPr>
      <w:bookmarkStart w:id="183" w:name="_Toc431"/>
      <w:bookmarkStart w:id="184" w:name="_Toc22621"/>
      <w:bookmarkStart w:id="185" w:name="_Toc207208395"/>
      <w:r>
        <w:t>区域污染源调查</w:t>
      </w:r>
      <w:bookmarkEnd w:id="183"/>
      <w:bookmarkEnd w:id="184"/>
      <w:bookmarkEnd w:id="185"/>
    </w:p>
    <w:p w14:paraId="5DE6A3A4">
      <w:pPr>
        <w:spacing w:line="500" w:lineRule="exact"/>
        <w:ind w:firstLine="480" w:firstLineChars="200"/>
      </w:pPr>
      <w:bookmarkStart w:id="186" w:name="_Hlk172048014"/>
      <w:r>
        <w:t>根据现场调查及园区提供的资料，目前园区部分企业处于停产状态，现有工业企业基本能实现废气、废水达标排放，本项目评价基准年（2023年）无大型在建和拟建污染源。</w:t>
      </w:r>
      <w:bookmarkEnd w:id="186"/>
    </w:p>
    <w:p w14:paraId="7420ABD5">
      <w:pPr>
        <w:pStyle w:val="2"/>
      </w:pPr>
      <w:bookmarkStart w:id="187" w:name="_Toc1916"/>
      <w:bookmarkStart w:id="188" w:name="_Toc13529"/>
      <w:bookmarkStart w:id="189" w:name="_Toc207208396"/>
      <w:r>
        <w:t>环境影响预测与评价</w:t>
      </w:r>
      <w:bookmarkEnd w:id="187"/>
      <w:bookmarkEnd w:id="188"/>
      <w:bookmarkEnd w:id="189"/>
    </w:p>
    <w:p w14:paraId="246D01BE">
      <w:pPr>
        <w:pStyle w:val="4"/>
      </w:pPr>
      <w:bookmarkStart w:id="190" w:name="_Toc11848"/>
      <w:bookmarkStart w:id="191" w:name="_Toc25215"/>
      <w:bookmarkStart w:id="192" w:name="_Toc207208397"/>
      <w:r>
        <w:t>施工期环境影响分析与评价</w:t>
      </w:r>
      <w:bookmarkEnd w:id="190"/>
      <w:bookmarkEnd w:id="191"/>
      <w:bookmarkEnd w:id="192"/>
    </w:p>
    <w:p w14:paraId="04E89724">
      <w:pPr>
        <w:pStyle w:val="49"/>
      </w:pPr>
      <w:r>
        <w:t>根据工程分析，本项目建设周期对环境构成的主要影响因素是厂区占用土地、工程施工扬尘和施工噪声，会对区域土地利用结构、局部环境空气质量和声环境产生短期不利影响，增大局部水土流失影响几率。</w:t>
      </w:r>
    </w:p>
    <w:p w14:paraId="69FAEDA2">
      <w:pPr>
        <w:pStyle w:val="5"/>
        <w:spacing w:before="120"/>
      </w:pPr>
      <w:r>
        <w:t>施工期空气环境影响分析</w:t>
      </w:r>
    </w:p>
    <w:p w14:paraId="5A7B4A79">
      <w:pPr>
        <w:pStyle w:val="6"/>
        <w:spacing w:before="120" w:after="120"/>
      </w:pPr>
      <w:r>
        <w:t>施工场地及运输路线粉尘的影响</w:t>
      </w:r>
    </w:p>
    <w:p w14:paraId="46E4F001">
      <w:pPr>
        <w:pStyle w:val="49"/>
        <w:rPr>
          <w:szCs w:val="24"/>
        </w:rPr>
      </w:pPr>
      <w:r>
        <w:t>该项目建设施工过程中的大气污染主要来自施工场地的扬尘。在整个施工期产生扬尘的作业有场地平整、不规则采坑的修整和平整、开挖、建材运输、露天堆放、装卸和防渗层铺设等过程，如遇干旱无雨季节，加上大风，施工扬尘将更严重。</w:t>
      </w:r>
    </w:p>
    <w:p w14:paraId="57D82D5B">
      <w:pPr>
        <w:pStyle w:val="49"/>
      </w:pPr>
      <w:r>
        <w:t>据有关调查显示，施工工地的扬尘主要是由运输车辆的行驶产生，约占扬尘总量的60%，在完全干燥情况下，道路扬尘可按下列经验公式计算：</w:t>
      </w:r>
    </w:p>
    <w:p w14:paraId="1B50D17B">
      <w:pPr>
        <w:spacing w:line="240" w:lineRule="auto"/>
        <w:ind w:firstLine="482"/>
        <w:jc w:val="center"/>
        <w:rPr>
          <w:color w:val="000000"/>
          <w:kern w:val="28"/>
        </w:rPr>
      </w:pPr>
      <w:r>
        <w:drawing>
          <wp:inline distT="0" distB="0" distL="0" distR="0">
            <wp:extent cx="2085975" cy="400050"/>
            <wp:effectExtent l="0" t="0" r="9525" b="0"/>
            <wp:docPr id="19584694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69440"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85975" cy="400050"/>
                    </a:xfrm>
                    <a:prstGeom prst="rect">
                      <a:avLst/>
                    </a:prstGeom>
                    <a:noFill/>
                    <a:ln>
                      <a:noFill/>
                    </a:ln>
                  </pic:spPr>
                </pic:pic>
              </a:graphicData>
            </a:graphic>
          </wp:inline>
        </w:drawing>
      </w:r>
    </w:p>
    <w:p w14:paraId="068111DC">
      <w:pPr>
        <w:rPr>
          <w:color w:val="000000"/>
        </w:rPr>
      </w:pPr>
      <w:r>
        <w:rPr>
          <w:color w:val="000000"/>
        </w:rPr>
        <w:t>式中：Q——汽车行驶的扬尘，kg/km·辆；</w:t>
      </w:r>
    </w:p>
    <w:p w14:paraId="2096E4EA">
      <w:pPr>
        <w:ind w:firstLine="720" w:firstLineChars="300"/>
        <w:rPr>
          <w:color w:val="000000"/>
        </w:rPr>
      </w:pPr>
      <w:r>
        <w:rPr>
          <w:color w:val="000000"/>
        </w:rPr>
        <w:t>V——汽车速度，km/h；</w:t>
      </w:r>
    </w:p>
    <w:p w14:paraId="57D89D21">
      <w:pPr>
        <w:ind w:firstLine="720" w:firstLineChars="300"/>
        <w:rPr>
          <w:color w:val="000000"/>
        </w:rPr>
      </w:pPr>
      <w:r>
        <w:rPr>
          <w:color w:val="000000"/>
        </w:rPr>
        <w:t>W——汽车载重量，t；</w:t>
      </w:r>
    </w:p>
    <w:p w14:paraId="2C10D6B4">
      <w:pPr>
        <w:ind w:firstLine="720" w:firstLineChars="300"/>
        <w:rPr>
          <w:color w:val="000000"/>
        </w:rPr>
      </w:pPr>
      <w:r>
        <w:rPr>
          <w:color w:val="000000"/>
        </w:rPr>
        <w:t>P——道路表面粉尘量，kg/m</w:t>
      </w:r>
      <w:r>
        <w:rPr>
          <w:color w:val="000000"/>
          <w:vertAlign w:val="superscript"/>
        </w:rPr>
        <w:t>2</w:t>
      </w:r>
      <w:r>
        <w:rPr>
          <w:color w:val="000000"/>
        </w:rPr>
        <w:t>。</w:t>
      </w:r>
    </w:p>
    <w:p w14:paraId="1D097775">
      <w:pPr>
        <w:ind w:firstLine="480"/>
        <w:rPr>
          <w:color w:val="000000"/>
        </w:rPr>
      </w:pPr>
      <w:r>
        <w:rPr>
          <w:color w:val="000000"/>
        </w:rPr>
        <w:t>表6.1-1为一辆载重5吨的卡车，通过一段长度为500m的路面时，不同路面清洁程度、不同行驶速度情况下产生的扬尘量。由此可见，在同样路面清洁情况下，车速越快，扬尘量越大；而在同样车速情况下，路面清洁度越差，则扬尘量越大。</w:t>
      </w:r>
    </w:p>
    <w:p w14:paraId="0F388299">
      <w:pPr>
        <w:pStyle w:val="40"/>
        <w:spacing w:before="120"/>
      </w:pPr>
      <w:r>
        <w:t>表6.1-1    不同车速和地面清洁程度时的汽车扬尘  单位：kg/辆·km</w:t>
      </w:r>
    </w:p>
    <w:tbl>
      <w:tblPr>
        <w:tblStyle w:val="4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285"/>
        <w:gridCol w:w="1285"/>
        <w:gridCol w:w="1285"/>
        <w:gridCol w:w="1285"/>
        <w:gridCol w:w="1285"/>
        <w:gridCol w:w="1299"/>
      </w:tblGrid>
      <w:tr w14:paraId="15734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pct"/>
            <w:tcBorders>
              <w:top w:val="single" w:color="auto" w:sz="12" w:space="0"/>
              <w:bottom w:val="single" w:color="auto" w:sz="4" w:space="0"/>
              <w:tl2br w:val="single" w:color="auto" w:sz="6" w:space="0"/>
            </w:tcBorders>
            <w:vAlign w:val="center"/>
          </w:tcPr>
          <w:p w14:paraId="05F6D8D0">
            <w:pPr>
              <w:pStyle w:val="78"/>
              <w:rPr>
                <w:rFonts w:ascii="Calibri" w:hAnsi="Calibri"/>
                <w:color w:val="000000"/>
              </w:rPr>
            </w:pPr>
            <w:r>
              <w:rPr>
                <w:rFonts w:ascii="Calibri" w:hAnsi="Calibri"/>
                <w:color w:val="000000"/>
              </w:rPr>
              <w:t xml:space="preserve">   P</w:t>
            </w:r>
          </w:p>
          <w:p w14:paraId="69E86400">
            <w:pPr>
              <w:pStyle w:val="78"/>
              <w:jc w:val="left"/>
              <w:rPr>
                <w:rFonts w:ascii="Calibri" w:hAnsi="Calibri"/>
                <w:color w:val="000000"/>
              </w:rPr>
            </w:pPr>
            <w:r>
              <w:rPr>
                <w:rFonts w:ascii="Calibri" w:hAnsi="Calibri"/>
                <w:color w:val="000000"/>
              </w:rPr>
              <w:t>车速</w:t>
            </w:r>
          </w:p>
        </w:tc>
        <w:tc>
          <w:tcPr>
            <w:tcW w:w="725" w:type="pct"/>
            <w:vAlign w:val="center"/>
          </w:tcPr>
          <w:p w14:paraId="135135EF">
            <w:pPr>
              <w:pStyle w:val="78"/>
              <w:rPr>
                <w:rFonts w:ascii="Calibri" w:hAnsi="Calibri"/>
                <w:color w:val="000000"/>
              </w:rPr>
            </w:pPr>
            <w:r>
              <w:rPr>
                <w:rFonts w:ascii="Calibri" w:hAnsi="Calibri"/>
                <w:color w:val="000000"/>
              </w:rPr>
              <w:t>0.1(kg/m</w:t>
            </w:r>
            <w:r>
              <w:rPr>
                <w:rFonts w:ascii="Calibri" w:hAnsi="Calibri"/>
                <w:color w:val="000000"/>
                <w:vertAlign w:val="superscript"/>
              </w:rPr>
              <w:t>2</w:t>
            </w:r>
            <w:r>
              <w:rPr>
                <w:rFonts w:ascii="Calibri" w:hAnsi="Calibri"/>
                <w:color w:val="000000"/>
              </w:rPr>
              <w:t>)</w:t>
            </w:r>
          </w:p>
        </w:tc>
        <w:tc>
          <w:tcPr>
            <w:tcW w:w="725" w:type="pct"/>
            <w:vAlign w:val="center"/>
          </w:tcPr>
          <w:p w14:paraId="2D8ED4D0">
            <w:pPr>
              <w:pStyle w:val="78"/>
              <w:rPr>
                <w:rFonts w:ascii="Calibri" w:hAnsi="Calibri"/>
                <w:color w:val="000000"/>
              </w:rPr>
            </w:pPr>
            <w:r>
              <w:rPr>
                <w:rFonts w:ascii="Calibri" w:hAnsi="Calibri"/>
                <w:color w:val="000000"/>
              </w:rPr>
              <w:t>0.2(kg/m</w:t>
            </w:r>
            <w:r>
              <w:rPr>
                <w:rFonts w:ascii="Calibri" w:hAnsi="Calibri"/>
                <w:color w:val="000000"/>
                <w:vertAlign w:val="superscript"/>
              </w:rPr>
              <w:t>2</w:t>
            </w:r>
            <w:r>
              <w:rPr>
                <w:rFonts w:ascii="Calibri" w:hAnsi="Calibri"/>
                <w:color w:val="000000"/>
              </w:rPr>
              <w:t>)</w:t>
            </w:r>
          </w:p>
        </w:tc>
        <w:tc>
          <w:tcPr>
            <w:tcW w:w="725" w:type="pct"/>
            <w:vAlign w:val="center"/>
          </w:tcPr>
          <w:p w14:paraId="5B86F1DF">
            <w:pPr>
              <w:pStyle w:val="78"/>
              <w:rPr>
                <w:rFonts w:ascii="Calibri" w:hAnsi="Calibri"/>
                <w:color w:val="000000"/>
              </w:rPr>
            </w:pPr>
            <w:r>
              <w:rPr>
                <w:rFonts w:ascii="Calibri" w:hAnsi="Calibri"/>
                <w:color w:val="000000"/>
              </w:rPr>
              <w:t>0.3(kg/m</w:t>
            </w:r>
            <w:r>
              <w:rPr>
                <w:rFonts w:ascii="Calibri" w:hAnsi="Calibri"/>
                <w:color w:val="000000"/>
                <w:vertAlign w:val="superscript"/>
              </w:rPr>
              <w:t>2</w:t>
            </w:r>
            <w:r>
              <w:rPr>
                <w:rFonts w:ascii="Calibri" w:hAnsi="Calibri"/>
                <w:color w:val="000000"/>
              </w:rPr>
              <w:t>)</w:t>
            </w:r>
          </w:p>
        </w:tc>
        <w:tc>
          <w:tcPr>
            <w:tcW w:w="725" w:type="pct"/>
            <w:vAlign w:val="center"/>
          </w:tcPr>
          <w:p w14:paraId="62F9EEB2">
            <w:pPr>
              <w:pStyle w:val="78"/>
              <w:rPr>
                <w:rFonts w:ascii="Calibri" w:hAnsi="Calibri"/>
                <w:color w:val="000000"/>
              </w:rPr>
            </w:pPr>
            <w:r>
              <w:rPr>
                <w:rFonts w:ascii="Calibri" w:hAnsi="Calibri"/>
                <w:color w:val="000000"/>
              </w:rPr>
              <w:t>0.4(kg/m</w:t>
            </w:r>
            <w:r>
              <w:rPr>
                <w:rFonts w:ascii="Calibri" w:hAnsi="Calibri"/>
                <w:color w:val="000000"/>
                <w:vertAlign w:val="superscript"/>
              </w:rPr>
              <w:t>2</w:t>
            </w:r>
            <w:r>
              <w:rPr>
                <w:rFonts w:ascii="Calibri" w:hAnsi="Calibri"/>
                <w:color w:val="000000"/>
              </w:rPr>
              <w:t>)</w:t>
            </w:r>
          </w:p>
        </w:tc>
        <w:tc>
          <w:tcPr>
            <w:tcW w:w="725" w:type="pct"/>
            <w:vAlign w:val="center"/>
          </w:tcPr>
          <w:p w14:paraId="29471814">
            <w:pPr>
              <w:pStyle w:val="78"/>
              <w:rPr>
                <w:rFonts w:ascii="Calibri" w:hAnsi="Calibri"/>
                <w:color w:val="000000"/>
              </w:rPr>
            </w:pPr>
            <w:r>
              <w:rPr>
                <w:rFonts w:ascii="Calibri" w:hAnsi="Calibri"/>
                <w:color w:val="000000"/>
              </w:rPr>
              <w:t>0.5(kg/m</w:t>
            </w:r>
            <w:r>
              <w:rPr>
                <w:rFonts w:ascii="Calibri" w:hAnsi="Calibri"/>
                <w:color w:val="000000"/>
                <w:vertAlign w:val="superscript"/>
              </w:rPr>
              <w:t>2</w:t>
            </w:r>
            <w:r>
              <w:rPr>
                <w:rFonts w:ascii="Calibri" w:hAnsi="Calibri"/>
                <w:color w:val="000000"/>
              </w:rPr>
              <w:t>)</w:t>
            </w:r>
          </w:p>
        </w:tc>
        <w:tc>
          <w:tcPr>
            <w:tcW w:w="733" w:type="pct"/>
            <w:vAlign w:val="center"/>
          </w:tcPr>
          <w:p w14:paraId="277382F2">
            <w:pPr>
              <w:pStyle w:val="78"/>
              <w:rPr>
                <w:rFonts w:ascii="Calibri" w:hAnsi="Calibri"/>
                <w:color w:val="000000"/>
              </w:rPr>
            </w:pPr>
            <w:r>
              <w:rPr>
                <w:rFonts w:ascii="Calibri" w:hAnsi="Calibri"/>
                <w:color w:val="000000"/>
              </w:rPr>
              <w:t>1.0(kg/m</w:t>
            </w:r>
            <w:r>
              <w:rPr>
                <w:rFonts w:ascii="Calibri" w:hAnsi="Calibri"/>
                <w:color w:val="000000"/>
                <w:vertAlign w:val="superscript"/>
              </w:rPr>
              <w:t>2</w:t>
            </w:r>
            <w:r>
              <w:rPr>
                <w:rFonts w:ascii="Calibri" w:hAnsi="Calibri"/>
                <w:color w:val="000000"/>
              </w:rPr>
              <w:t>)</w:t>
            </w:r>
          </w:p>
        </w:tc>
      </w:tr>
      <w:tr w14:paraId="1CBF4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pct"/>
            <w:tcBorders>
              <w:top w:val="single" w:color="auto" w:sz="4" w:space="0"/>
            </w:tcBorders>
            <w:vAlign w:val="center"/>
          </w:tcPr>
          <w:p w14:paraId="01DB3CBE">
            <w:pPr>
              <w:pStyle w:val="78"/>
              <w:rPr>
                <w:rFonts w:ascii="Calibri" w:hAnsi="Calibri"/>
                <w:color w:val="000000"/>
              </w:rPr>
            </w:pPr>
            <w:r>
              <w:rPr>
                <w:rFonts w:ascii="Calibri" w:hAnsi="Calibri"/>
                <w:color w:val="000000"/>
              </w:rPr>
              <w:t>5(km/h)</w:t>
            </w:r>
          </w:p>
        </w:tc>
        <w:tc>
          <w:tcPr>
            <w:tcW w:w="725" w:type="pct"/>
            <w:vAlign w:val="center"/>
          </w:tcPr>
          <w:p w14:paraId="52B5F2CE">
            <w:pPr>
              <w:pStyle w:val="78"/>
              <w:rPr>
                <w:rFonts w:ascii="Calibri" w:hAnsi="Calibri"/>
                <w:color w:val="000000"/>
              </w:rPr>
            </w:pPr>
            <w:r>
              <w:rPr>
                <w:rFonts w:ascii="Calibri" w:hAnsi="Calibri"/>
                <w:color w:val="000000"/>
              </w:rPr>
              <w:t>0.0283</w:t>
            </w:r>
          </w:p>
        </w:tc>
        <w:tc>
          <w:tcPr>
            <w:tcW w:w="725" w:type="pct"/>
            <w:vAlign w:val="center"/>
          </w:tcPr>
          <w:p w14:paraId="2930A201">
            <w:pPr>
              <w:pStyle w:val="78"/>
              <w:rPr>
                <w:rFonts w:ascii="Calibri" w:hAnsi="Calibri"/>
                <w:color w:val="000000"/>
              </w:rPr>
            </w:pPr>
            <w:r>
              <w:rPr>
                <w:rFonts w:ascii="Calibri" w:hAnsi="Calibri"/>
                <w:color w:val="000000"/>
              </w:rPr>
              <w:t>0.0476</w:t>
            </w:r>
          </w:p>
        </w:tc>
        <w:tc>
          <w:tcPr>
            <w:tcW w:w="725" w:type="pct"/>
            <w:vAlign w:val="center"/>
          </w:tcPr>
          <w:p w14:paraId="49C3D0B0">
            <w:pPr>
              <w:pStyle w:val="78"/>
              <w:rPr>
                <w:rFonts w:ascii="Calibri" w:hAnsi="Calibri"/>
                <w:color w:val="000000"/>
              </w:rPr>
            </w:pPr>
            <w:r>
              <w:rPr>
                <w:rFonts w:ascii="Calibri" w:hAnsi="Calibri"/>
                <w:color w:val="000000"/>
              </w:rPr>
              <w:t>0.0646</w:t>
            </w:r>
          </w:p>
        </w:tc>
        <w:tc>
          <w:tcPr>
            <w:tcW w:w="725" w:type="pct"/>
            <w:vAlign w:val="center"/>
          </w:tcPr>
          <w:p w14:paraId="7829BEFC">
            <w:pPr>
              <w:pStyle w:val="78"/>
              <w:rPr>
                <w:rFonts w:ascii="Calibri" w:hAnsi="Calibri"/>
                <w:color w:val="000000"/>
              </w:rPr>
            </w:pPr>
            <w:r>
              <w:rPr>
                <w:rFonts w:ascii="Calibri" w:hAnsi="Calibri"/>
                <w:color w:val="000000"/>
              </w:rPr>
              <w:t>0.0801</w:t>
            </w:r>
          </w:p>
        </w:tc>
        <w:tc>
          <w:tcPr>
            <w:tcW w:w="725" w:type="pct"/>
            <w:vAlign w:val="center"/>
          </w:tcPr>
          <w:p w14:paraId="7490BB96">
            <w:pPr>
              <w:pStyle w:val="78"/>
              <w:rPr>
                <w:rFonts w:ascii="Calibri" w:hAnsi="Calibri"/>
                <w:color w:val="000000"/>
              </w:rPr>
            </w:pPr>
            <w:r>
              <w:rPr>
                <w:rFonts w:ascii="Calibri" w:hAnsi="Calibri"/>
                <w:color w:val="000000"/>
              </w:rPr>
              <w:t>0.0947</w:t>
            </w:r>
          </w:p>
        </w:tc>
        <w:tc>
          <w:tcPr>
            <w:tcW w:w="733" w:type="pct"/>
            <w:vAlign w:val="center"/>
          </w:tcPr>
          <w:p w14:paraId="6F795503">
            <w:pPr>
              <w:pStyle w:val="78"/>
              <w:rPr>
                <w:rFonts w:ascii="Calibri" w:hAnsi="Calibri"/>
                <w:color w:val="000000"/>
              </w:rPr>
            </w:pPr>
            <w:r>
              <w:rPr>
                <w:rFonts w:ascii="Calibri" w:hAnsi="Calibri"/>
                <w:color w:val="000000"/>
              </w:rPr>
              <w:t>0.1593</w:t>
            </w:r>
          </w:p>
        </w:tc>
      </w:tr>
      <w:tr w14:paraId="708F4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pct"/>
            <w:vAlign w:val="center"/>
          </w:tcPr>
          <w:p w14:paraId="7117A9C0">
            <w:pPr>
              <w:pStyle w:val="78"/>
              <w:rPr>
                <w:rFonts w:ascii="Calibri" w:hAnsi="Calibri"/>
                <w:color w:val="000000"/>
              </w:rPr>
            </w:pPr>
            <w:r>
              <w:rPr>
                <w:rFonts w:ascii="Calibri" w:hAnsi="Calibri"/>
                <w:color w:val="000000"/>
              </w:rPr>
              <w:t>10(km/h)</w:t>
            </w:r>
          </w:p>
        </w:tc>
        <w:tc>
          <w:tcPr>
            <w:tcW w:w="725" w:type="pct"/>
            <w:vAlign w:val="center"/>
          </w:tcPr>
          <w:p w14:paraId="33D82DE0">
            <w:pPr>
              <w:pStyle w:val="78"/>
              <w:rPr>
                <w:rFonts w:ascii="Calibri" w:hAnsi="Calibri"/>
                <w:color w:val="000000"/>
              </w:rPr>
            </w:pPr>
            <w:r>
              <w:rPr>
                <w:rFonts w:ascii="Calibri" w:hAnsi="Calibri"/>
                <w:color w:val="000000"/>
              </w:rPr>
              <w:t>0.0566</w:t>
            </w:r>
          </w:p>
        </w:tc>
        <w:tc>
          <w:tcPr>
            <w:tcW w:w="725" w:type="pct"/>
            <w:vAlign w:val="center"/>
          </w:tcPr>
          <w:p w14:paraId="0764BF6C">
            <w:pPr>
              <w:pStyle w:val="78"/>
              <w:rPr>
                <w:rFonts w:ascii="Calibri" w:hAnsi="Calibri"/>
                <w:color w:val="000000"/>
              </w:rPr>
            </w:pPr>
            <w:r>
              <w:rPr>
                <w:rFonts w:ascii="Calibri" w:hAnsi="Calibri"/>
                <w:color w:val="000000"/>
              </w:rPr>
              <w:t>0.0953</w:t>
            </w:r>
          </w:p>
        </w:tc>
        <w:tc>
          <w:tcPr>
            <w:tcW w:w="725" w:type="pct"/>
            <w:vAlign w:val="center"/>
          </w:tcPr>
          <w:p w14:paraId="3F104BEE">
            <w:pPr>
              <w:pStyle w:val="78"/>
              <w:rPr>
                <w:rFonts w:ascii="Calibri" w:hAnsi="Calibri"/>
                <w:color w:val="000000"/>
              </w:rPr>
            </w:pPr>
            <w:r>
              <w:rPr>
                <w:rFonts w:ascii="Calibri" w:hAnsi="Calibri"/>
                <w:color w:val="000000"/>
              </w:rPr>
              <w:t>0.1291</w:t>
            </w:r>
          </w:p>
        </w:tc>
        <w:tc>
          <w:tcPr>
            <w:tcW w:w="725" w:type="pct"/>
            <w:vAlign w:val="center"/>
          </w:tcPr>
          <w:p w14:paraId="6F3DBE0D">
            <w:pPr>
              <w:pStyle w:val="78"/>
              <w:rPr>
                <w:rFonts w:ascii="Calibri" w:hAnsi="Calibri"/>
                <w:color w:val="000000"/>
              </w:rPr>
            </w:pPr>
            <w:r>
              <w:rPr>
                <w:rFonts w:ascii="Calibri" w:hAnsi="Calibri"/>
                <w:color w:val="000000"/>
              </w:rPr>
              <w:t>0.1602</w:t>
            </w:r>
          </w:p>
        </w:tc>
        <w:tc>
          <w:tcPr>
            <w:tcW w:w="725" w:type="pct"/>
            <w:vAlign w:val="center"/>
          </w:tcPr>
          <w:p w14:paraId="2EB0FBB3">
            <w:pPr>
              <w:pStyle w:val="78"/>
              <w:rPr>
                <w:rFonts w:ascii="Calibri" w:hAnsi="Calibri"/>
                <w:color w:val="000000"/>
              </w:rPr>
            </w:pPr>
            <w:r>
              <w:rPr>
                <w:rFonts w:ascii="Calibri" w:hAnsi="Calibri"/>
                <w:color w:val="000000"/>
              </w:rPr>
              <w:t>0.1894</w:t>
            </w:r>
          </w:p>
        </w:tc>
        <w:tc>
          <w:tcPr>
            <w:tcW w:w="733" w:type="pct"/>
            <w:vAlign w:val="center"/>
          </w:tcPr>
          <w:p w14:paraId="56B4C8FC">
            <w:pPr>
              <w:pStyle w:val="78"/>
              <w:rPr>
                <w:rFonts w:ascii="Calibri" w:hAnsi="Calibri"/>
                <w:color w:val="000000"/>
              </w:rPr>
            </w:pPr>
            <w:r>
              <w:rPr>
                <w:rFonts w:ascii="Calibri" w:hAnsi="Calibri"/>
                <w:color w:val="000000"/>
              </w:rPr>
              <w:t>0.3186</w:t>
            </w:r>
          </w:p>
        </w:tc>
      </w:tr>
      <w:tr w14:paraId="3947C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pct"/>
            <w:vAlign w:val="center"/>
          </w:tcPr>
          <w:p w14:paraId="4379D7BB">
            <w:pPr>
              <w:pStyle w:val="78"/>
              <w:rPr>
                <w:rFonts w:ascii="Calibri" w:hAnsi="Calibri"/>
                <w:color w:val="000000"/>
              </w:rPr>
            </w:pPr>
            <w:r>
              <w:rPr>
                <w:rFonts w:ascii="Calibri" w:hAnsi="Calibri"/>
                <w:color w:val="000000"/>
              </w:rPr>
              <w:t>15(km/h)</w:t>
            </w:r>
          </w:p>
        </w:tc>
        <w:tc>
          <w:tcPr>
            <w:tcW w:w="725" w:type="pct"/>
            <w:vAlign w:val="center"/>
          </w:tcPr>
          <w:p w14:paraId="345603EA">
            <w:pPr>
              <w:pStyle w:val="78"/>
              <w:rPr>
                <w:rFonts w:ascii="Calibri" w:hAnsi="Calibri"/>
                <w:color w:val="000000"/>
              </w:rPr>
            </w:pPr>
            <w:r>
              <w:rPr>
                <w:rFonts w:ascii="Calibri" w:hAnsi="Calibri"/>
                <w:color w:val="000000"/>
              </w:rPr>
              <w:t>0.0850</w:t>
            </w:r>
          </w:p>
        </w:tc>
        <w:tc>
          <w:tcPr>
            <w:tcW w:w="725" w:type="pct"/>
            <w:vAlign w:val="center"/>
          </w:tcPr>
          <w:p w14:paraId="62E0FFD2">
            <w:pPr>
              <w:pStyle w:val="78"/>
              <w:rPr>
                <w:rFonts w:ascii="Calibri" w:hAnsi="Calibri"/>
                <w:color w:val="000000"/>
              </w:rPr>
            </w:pPr>
            <w:r>
              <w:rPr>
                <w:rFonts w:ascii="Calibri" w:hAnsi="Calibri"/>
                <w:color w:val="000000"/>
              </w:rPr>
              <w:t>0.1429</w:t>
            </w:r>
          </w:p>
        </w:tc>
        <w:tc>
          <w:tcPr>
            <w:tcW w:w="725" w:type="pct"/>
            <w:vAlign w:val="center"/>
          </w:tcPr>
          <w:p w14:paraId="6CC316FE">
            <w:pPr>
              <w:pStyle w:val="78"/>
              <w:rPr>
                <w:rFonts w:ascii="Calibri" w:hAnsi="Calibri"/>
                <w:color w:val="000000"/>
              </w:rPr>
            </w:pPr>
            <w:r>
              <w:rPr>
                <w:rFonts w:ascii="Calibri" w:hAnsi="Calibri"/>
                <w:color w:val="000000"/>
              </w:rPr>
              <w:t>0.1937</w:t>
            </w:r>
          </w:p>
        </w:tc>
        <w:tc>
          <w:tcPr>
            <w:tcW w:w="725" w:type="pct"/>
            <w:vAlign w:val="center"/>
          </w:tcPr>
          <w:p w14:paraId="13560A35">
            <w:pPr>
              <w:pStyle w:val="78"/>
              <w:rPr>
                <w:rFonts w:ascii="Calibri" w:hAnsi="Calibri"/>
                <w:color w:val="000000"/>
              </w:rPr>
            </w:pPr>
            <w:r>
              <w:rPr>
                <w:rFonts w:ascii="Calibri" w:hAnsi="Calibri"/>
                <w:color w:val="000000"/>
              </w:rPr>
              <w:t>0.2403</w:t>
            </w:r>
          </w:p>
        </w:tc>
        <w:tc>
          <w:tcPr>
            <w:tcW w:w="725" w:type="pct"/>
            <w:vAlign w:val="center"/>
          </w:tcPr>
          <w:p w14:paraId="66D25783">
            <w:pPr>
              <w:pStyle w:val="78"/>
              <w:rPr>
                <w:rFonts w:ascii="Calibri" w:hAnsi="Calibri"/>
                <w:color w:val="000000"/>
              </w:rPr>
            </w:pPr>
            <w:r>
              <w:rPr>
                <w:rFonts w:ascii="Calibri" w:hAnsi="Calibri"/>
                <w:color w:val="000000"/>
              </w:rPr>
              <w:t>0.2841</w:t>
            </w:r>
          </w:p>
        </w:tc>
        <w:tc>
          <w:tcPr>
            <w:tcW w:w="733" w:type="pct"/>
            <w:vAlign w:val="center"/>
          </w:tcPr>
          <w:p w14:paraId="2E7428A3">
            <w:pPr>
              <w:pStyle w:val="78"/>
              <w:rPr>
                <w:rFonts w:ascii="Calibri" w:hAnsi="Calibri"/>
                <w:color w:val="000000"/>
              </w:rPr>
            </w:pPr>
            <w:r>
              <w:rPr>
                <w:rFonts w:ascii="Calibri" w:hAnsi="Calibri"/>
                <w:color w:val="000000"/>
              </w:rPr>
              <w:t>0.4778</w:t>
            </w:r>
          </w:p>
        </w:tc>
      </w:tr>
      <w:tr w14:paraId="1AFBA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pct"/>
            <w:vAlign w:val="center"/>
          </w:tcPr>
          <w:p w14:paraId="1271E2AD">
            <w:pPr>
              <w:pStyle w:val="78"/>
              <w:rPr>
                <w:rFonts w:ascii="Calibri" w:hAnsi="Calibri"/>
                <w:color w:val="000000"/>
              </w:rPr>
            </w:pPr>
            <w:r>
              <w:rPr>
                <w:rFonts w:ascii="Calibri" w:hAnsi="Calibri"/>
                <w:color w:val="000000"/>
              </w:rPr>
              <w:t>20(km/h)</w:t>
            </w:r>
          </w:p>
        </w:tc>
        <w:tc>
          <w:tcPr>
            <w:tcW w:w="725" w:type="pct"/>
            <w:vAlign w:val="center"/>
          </w:tcPr>
          <w:p w14:paraId="3611BD06">
            <w:pPr>
              <w:pStyle w:val="78"/>
              <w:rPr>
                <w:rFonts w:ascii="Calibri" w:hAnsi="Calibri"/>
                <w:color w:val="000000"/>
              </w:rPr>
            </w:pPr>
            <w:r>
              <w:rPr>
                <w:rFonts w:ascii="Calibri" w:hAnsi="Calibri"/>
                <w:color w:val="000000"/>
              </w:rPr>
              <w:t>0.1133</w:t>
            </w:r>
          </w:p>
        </w:tc>
        <w:tc>
          <w:tcPr>
            <w:tcW w:w="725" w:type="pct"/>
            <w:vAlign w:val="center"/>
          </w:tcPr>
          <w:p w14:paraId="618D4F2B">
            <w:pPr>
              <w:pStyle w:val="78"/>
              <w:rPr>
                <w:rFonts w:ascii="Calibri" w:hAnsi="Calibri"/>
                <w:color w:val="000000"/>
              </w:rPr>
            </w:pPr>
            <w:r>
              <w:rPr>
                <w:rFonts w:ascii="Calibri" w:hAnsi="Calibri"/>
                <w:color w:val="000000"/>
              </w:rPr>
              <w:t>0.1905</w:t>
            </w:r>
          </w:p>
        </w:tc>
        <w:tc>
          <w:tcPr>
            <w:tcW w:w="725" w:type="pct"/>
            <w:vAlign w:val="center"/>
          </w:tcPr>
          <w:p w14:paraId="0523031C">
            <w:pPr>
              <w:pStyle w:val="78"/>
              <w:rPr>
                <w:rFonts w:ascii="Calibri" w:hAnsi="Calibri"/>
                <w:color w:val="000000"/>
              </w:rPr>
            </w:pPr>
            <w:r>
              <w:rPr>
                <w:rFonts w:ascii="Calibri" w:hAnsi="Calibri"/>
                <w:color w:val="000000"/>
              </w:rPr>
              <w:t>0.2583</w:t>
            </w:r>
          </w:p>
        </w:tc>
        <w:tc>
          <w:tcPr>
            <w:tcW w:w="725" w:type="pct"/>
            <w:vAlign w:val="center"/>
          </w:tcPr>
          <w:p w14:paraId="2B3AFE86">
            <w:pPr>
              <w:pStyle w:val="78"/>
              <w:rPr>
                <w:rFonts w:ascii="Calibri" w:hAnsi="Calibri"/>
                <w:color w:val="000000"/>
              </w:rPr>
            </w:pPr>
            <w:r>
              <w:rPr>
                <w:rFonts w:ascii="Calibri" w:hAnsi="Calibri"/>
                <w:color w:val="000000"/>
              </w:rPr>
              <w:t>0.3204</w:t>
            </w:r>
          </w:p>
        </w:tc>
        <w:tc>
          <w:tcPr>
            <w:tcW w:w="725" w:type="pct"/>
            <w:vAlign w:val="center"/>
          </w:tcPr>
          <w:p w14:paraId="11431ABF">
            <w:pPr>
              <w:pStyle w:val="78"/>
              <w:rPr>
                <w:rFonts w:ascii="Calibri" w:hAnsi="Calibri"/>
                <w:color w:val="000000"/>
              </w:rPr>
            </w:pPr>
            <w:r>
              <w:rPr>
                <w:rFonts w:ascii="Calibri" w:hAnsi="Calibri"/>
                <w:color w:val="000000"/>
              </w:rPr>
              <w:t>0.3788</w:t>
            </w:r>
          </w:p>
        </w:tc>
        <w:tc>
          <w:tcPr>
            <w:tcW w:w="733" w:type="pct"/>
            <w:vAlign w:val="center"/>
          </w:tcPr>
          <w:p w14:paraId="5665D07A">
            <w:pPr>
              <w:pStyle w:val="78"/>
              <w:rPr>
                <w:rFonts w:ascii="Calibri" w:hAnsi="Calibri"/>
                <w:color w:val="000000"/>
              </w:rPr>
            </w:pPr>
            <w:r>
              <w:rPr>
                <w:rFonts w:ascii="Calibri" w:hAnsi="Calibri"/>
                <w:color w:val="000000"/>
              </w:rPr>
              <w:t>0.6371</w:t>
            </w:r>
          </w:p>
        </w:tc>
      </w:tr>
    </w:tbl>
    <w:p w14:paraId="44986472">
      <w:pPr>
        <w:pStyle w:val="49"/>
      </w:pPr>
      <w:r>
        <w:t>表6.1-2为施工场地洒水抑尘的试验结果，结果表明采取每天适量洒水进行抑尘，可有效地控制施工扬尘，可使扬尘减少30～80%左右，可将TSP污染距离缩小到20～50m范围。</w:t>
      </w:r>
    </w:p>
    <w:p w14:paraId="25524B59">
      <w:pPr>
        <w:pStyle w:val="40"/>
        <w:spacing w:before="120"/>
      </w:pPr>
      <w:r>
        <w:t>表6.1-2  施工场地洒水抑尘试验结果</w:t>
      </w:r>
    </w:p>
    <w:tbl>
      <w:tblPr>
        <w:tblStyle w:val="44"/>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386"/>
        <w:gridCol w:w="1345"/>
        <w:gridCol w:w="1345"/>
        <w:gridCol w:w="1345"/>
        <w:gridCol w:w="1345"/>
      </w:tblGrid>
      <w:tr w14:paraId="51067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2" w:type="pct"/>
            <w:gridSpan w:val="2"/>
            <w:vAlign w:val="center"/>
          </w:tcPr>
          <w:p w14:paraId="61215851">
            <w:pPr>
              <w:pStyle w:val="34"/>
              <w:rPr>
                <w:rFonts w:ascii="Calibri" w:hAnsi="Calibri"/>
              </w:rPr>
            </w:pPr>
            <w:r>
              <w:rPr>
                <w:rFonts w:ascii="Calibri" w:hAnsi="Calibri"/>
              </w:rPr>
              <w:t>距离（m)</w:t>
            </w:r>
          </w:p>
        </w:tc>
        <w:tc>
          <w:tcPr>
            <w:tcW w:w="759" w:type="pct"/>
            <w:vAlign w:val="center"/>
          </w:tcPr>
          <w:p w14:paraId="57460419">
            <w:pPr>
              <w:pStyle w:val="34"/>
              <w:rPr>
                <w:rFonts w:ascii="Calibri" w:hAnsi="Calibri"/>
              </w:rPr>
            </w:pPr>
            <w:r>
              <w:rPr>
                <w:rFonts w:ascii="Calibri" w:hAnsi="Calibri"/>
              </w:rPr>
              <w:t>5</w:t>
            </w:r>
          </w:p>
        </w:tc>
        <w:tc>
          <w:tcPr>
            <w:tcW w:w="759" w:type="pct"/>
            <w:vAlign w:val="center"/>
          </w:tcPr>
          <w:p w14:paraId="341829C5">
            <w:pPr>
              <w:pStyle w:val="34"/>
              <w:rPr>
                <w:rFonts w:ascii="Calibri" w:hAnsi="Calibri"/>
              </w:rPr>
            </w:pPr>
            <w:r>
              <w:rPr>
                <w:rFonts w:ascii="Calibri" w:hAnsi="Calibri"/>
              </w:rPr>
              <w:t>20</w:t>
            </w:r>
          </w:p>
        </w:tc>
        <w:tc>
          <w:tcPr>
            <w:tcW w:w="759" w:type="pct"/>
            <w:vAlign w:val="center"/>
          </w:tcPr>
          <w:p w14:paraId="1E07399E">
            <w:pPr>
              <w:pStyle w:val="34"/>
              <w:rPr>
                <w:rFonts w:ascii="Calibri" w:hAnsi="Calibri"/>
              </w:rPr>
            </w:pPr>
            <w:r>
              <w:rPr>
                <w:rFonts w:ascii="Calibri" w:hAnsi="Calibri"/>
              </w:rPr>
              <w:t>50</w:t>
            </w:r>
          </w:p>
        </w:tc>
        <w:tc>
          <w:tcPr>
            <w:tcW w:w="759" w:type="pct"/>
            <w:vAlign w:val="center"/>
          </w:tcPr>
          <w:p w14:paraId="163A2E14">
            <w:pPr>
              <w:pStyle w:val="34"/>
              <w:rPr>
                <w:rFonts w:ascii="Calibri" w:hAnsi="Calibri"/>
              </w:rPr>
            </w:pPr>
            <w:r>
              <w:rPr>
                <w:rFonts w:ascii="Calibri" w:hAnsi="Calibri"/>
              </w:rPr>
              <w:t>100</w:t>
            </w:r>
          </w:p>
        </w:tc>
      </w:tr>
      <w:tr w14:paraId="728BB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9" w:type="pct"/>
            <w:vMerge w:val="restart"/>
            <w:vAlign w:val="center"/>
          </w:tcPr>
          <w:p w14:paraId="008DB470">
            <w:pPr>
              <w:pStyle w:val="34"/>
              <w:rPr>
                <w:rFonts w:ascii="Calibri" w:hAnsi="Calibri"/>
              </w:rPr>
            </w:pPr>
            <w:r>
              <w:rPr>
                <w:rFonts w:ascii="Calibri" w:hAnsi="Calibri"/>
              </w:rPr>
              <w:t>TSP小时平均浓度</w:t>
            </w:r>
          </w:p>
          <w:p w14:paraId="574FDA78">
            <w:pPr>
              <w:pStyle w:val="34"/>
              <w:rPr>
                <w:rFonts w:ascii="Calibri" w:hAnsi="Calibri"/>
              </w:rPr>
            </w:pPr>
            <w:r>
              <w:rPr>
                <w:rFonts w:ascii="Calibri" w:hAnsi="Calibri"/>
              </w:rPr>
              <w:t>（mg/m</w:t>
            </w:r>
            <w:r>
              <w:rPr>
                <w:rFonts w:ascii="Calibri" w:hAnsi="Calibri"/>
                <w:vertAlign w:val="superscript"/>
              </w:rPr>
              <w:t>3</w:t>
            </w:r>
            <w:r>
              <w:rPr>
                <w:rFonts w:ascii="Calibri" w:hAnsi="Calibri"/>
              </w:rPr>
              <w:t>）</w:t>
            </w:r>
          </w:p>
        </w:tc>
        <w:tc>
          <w:tcPr>
            <w:tcW w:w="783" w:type="pct"/>
            <w:vAlign w:val="center"/>
          </w:tcPr>
          <w:p w14:paraId="2D7D06C3">
            <w:pPr>
              <w:pStyle w:val="34"/>
              <w:rPr>
                <w:rFonts w:ascii="Calibri" w:hAnsi="Calibri"/>
              </w:rPr>
            </w:pPr>
            <w:r>
              <w:rPr>
                <w:rFonts w:ascii="Calibri" w:hAnsi="Calibri"/>
              </w:rPr>
              <w:t>不洒水</w:t>
            </w:r>
          </w:p>
        </w:tc>
        <w:tc>
          <w:tcPr>
            <w:tcW w:w="759" w:type="pct"/>
            <w:vAlign w:val="center"/>
          </w:tcPr>
          <w:p w14:paraId="30792BA0">
            <w:pPr>
              <w:pStyle w:val="34"/>
              <w:rPr>
                <w:rFonts w:ascii="Calibri" w:hAnsi="Calibri"/>
              </w:rPr>
            </w:pPr>
            <w:r>
              <w:rPr>
                <w:rFonts w:ascii="Calibri" w:hAnsi="Calibri"/>
              </w:rPr>
              <w:t>10.14</w:t>
            </w:r>
          </w:p>
        </w:tc>
        <w:tc>
          <w:tcPr>
            <w:tcW w:w="759" w:type="pct"/>
            <w:vAlign w:val="center"/>
          </w:tcPr>
          <w:p w14:paraId="338B6939">
            <w:pPr>
              <w:pStyle w:val="34"/>
              <w:rPr>
                <w:rFonts w:ascii="Calibri" w:hAnsi="Calibri"/>
              </w:rPr>
            </w:pPr>
            <w:r>
              <w:rPr>
                <w:rFonts w:ascii="Calibri" w:hAnsi="Calibri"/>
              </w:rPr>
              <w:t>2.89</w:t>
            </w:r>
          </w:p>
        </w:tc>
        <w:tc>
          <w:tcPr>
            <w:tcW w:w="759" w:type="pct"/>
            <w:vAlign w:val="center"/>
          </w:tcPr>
          <w:p w14:paraId="06509038">
            <w:pPr>
              <w:pStyle w:val="34"/>
              <w:rPr>
                <w:rFonts w:ascii="Calibri" w:hAnsi="Calibri"/>
              </w:rPr>
            </w:pPr>
            <w:r>
              <w:rPr>
                <w:rFonts w:ascii="Calibri" w:hAnsi="Calibri"/>
              </w:rPr>
              <w:t>1.15</w:t>
            </w:r>
          </w:p>
        </w:tc>
        <w:tc>
          <w:tcPr>
            <w:tcW w:w="759" w:type="pct"/>
            <w:vAlign w:val="center"/>
          </w:tcPr>
          <w:p w14:paraId="5BB96605">
            <w:pPr>
              <w:pStyle w:val="34"/>
              <w:rPr>
                <w:rFonts w:ascii="Calibri" w:hAnsi="Calibri"/>
              </w:rPr>
            </w:pPr>
            <w:r>
              <w:rPr>
                <w:rFonts w:ascii="Calibri" w:hAnsi="Calibri"/>
              </w:rPr>
              <w:t>0.86</w:t>
            </w:r>
          </w:p>
        </w:tc>
      </w:tr>
      <w:tr w14:paraId="1994A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5212D61">
            <w:pPr>
              <w:pStyle w:val="34"/>
              <w:rPr>
                <w:rFonts w:ascii="Calibri" w:hAnsi="Calibri"/>
                <w:kern w:val="2"/>
              </w:rPr>
            </w:pPr>
          </w:p>
        </w:tc>
        <w:tc>
          <w:tcPr>
            <w:tcW w:w="783" w:type="pct"/>
            <w:vAlign w:val="center"/>
          </w:tcPr>
          <w:p w14:paraId="14D6CDEA">
            <w:pPr>
              <w:pStyle w:val="34"/>
              <w:rPr>
                <w:rFonts w:ascii="Calibri" w:hAnsi="Calibri"/>
              </w:rPr>
            </w:pPr>
            <w:r>
              <w:rPr>
                <w:rFonts w:ascii="Calibri" w:hAnsi="Calibri"/>
              </w:rPr>
              <w:t>洒  水</w:t>
            </w:r>
          </w:p>
        </w:tc>
        <w:tc>
          <w:tcPr>
            <w:tcW w:w="759" w:type="pct"/>
            <w:vAlign w:val="center"/>
          </w:tcPr>
          <w:p w14:paraId="0FA63E3C">
            <w:pPr>
              <w:pStyle w:val="34"/>
              <w:rPr>
                <w:rFonts w:ascii="Calibri" w:hAnsi="Calibri"/>
              </w:rPr>
            </w:pPr>
            <w:r>
              <w:rPr>
                <w:rFonts w:ascii="Calibri" w:hAnsi="Calibri"/>
              </w:rPr>
              <w:t>2.01</w:t>
            </w:r>
          </w:p>
        </w:tc>
        <w:tc>
          <w:tcPr>
            <w:tcW w:w="759" w:type="pct"/>
            <w:vAlign w:val="center"/>
          </w:tcPr>
          <w:p w14:paraId="77AE4E6C">
            <w:pPr>
              <w:pStyle w:val="34"/>
              <w:rPr>
                <w:rFonts w:ascii="Calibri" w:hAnsi="Calibri"/>
              </w:rPr>
            </w:pPr>
            <w:r>
              <w:rPr>
                <w:rFonts w:ascii="Calibri" w:hAnsi="Calibri"/>
              </w:rPr>
              <w:t>1.40</w:t>
            </w:r>
          </w:p>
        </w:tc>
        <w:tc>
          <w:tcPr>
            <w:tcW w:w="759" w:type="pct"/>
            <w:vAlign w:val="center"/>
          </w:tcPr>
          <w:p w14:paraId="75038223">
            <w:pPr>
              <w:pStyle w:val="34"/>
              <w:rPr>
                <w:rFonts w:ascii="Calibri" w:hAnsi="Calibri"/>
              </w:rPr>
            </w:pPr>
            <w:r>
              <w:rPr>
                <w:rFonts w:ascii="Calibri" w:hAnsi="Calibri"/>
              </w:rPr>
              <w:t>0.67</w:t>
            </w:r>
          </w:p>
        </w:tc>
        <w:tc>
          <w:tcPr>
            <w:tcW w:w="759" w:type="pct"/>
            <w:vAlign w:val="center"/>
          </w:tcPr>
          <w:p w14:paraId="22A47120">
            <w:pPr>
              <w:pStyle w:val="34"/>
              <w:rPr>
                <w:rFonts w:ascii="Calibri" w:hAnsi="Calibri"/>
              </w:rPr>
            </w:pPr>
            <w:r>
              <w:rPr>
                <w:rFonts w:ascii="Calibri" w:hAnsi="Calibri"/>
              </w:rPr>
              <w:t>0.60</w:t>
            </w:r>
          </w:p>
        </w:tc>
      </w:tr>
    </w:tbl>
    <w:p w14:paraId="77F9D7A0">
      <w:pPr>
        <w:pStyle w:val="49"/>
      </w:pPr>
      <w:r>
        <w:t>因此，限速行驶及保持路面清洁，同时适当洒水是减少汽车扬尘的有效手段。</w:t>
      </w:r>
    </w:p>
    <w:p w14:paraId="46D204FE">
      <w:pPr>
        <w:pStyle w:val="49"/>
      </w:pPr>
      <w:r>
        <w:t>施工扬尘的另一种情况是露天堆场和裸露场地的风力扬尘，由于施工需要，一些建材需露天堆放，一些施工点表层土壤需人工开挖、堆放，在气候干燥又有风的情况下，会产生扬尘，其扬尘量可按堆场起尘的经验公式计算：</w:t>
      </w:r>
    </w:p>
    <w:p w14:paraId="02166576">
      <w:pPr>
        <w:ind w:firstLine="480"/>
        <w:jc w:val="center"/>
        <w:rPr>
          <w:color w:val="000000"/>
        </w:rPr>
      </w:pPr>
      <w:r>
        <w:rPr>
          <w:color w:val="000000"/>
        </w:rPr>
        <w:t>Q=2.1(V</w:t>
      </w:r>
      <w:r>
        <w:rPr>
          <w:color w:val="000000"/>
          <w:vertAlign w:val="subscript"/>
        </w:rPr>
        <w:t>10</w:t>
      </w:r>
      <w:r>
        <w:rPr>
          <w:color w:val="000000"/>
        </w:rPr>
        <w:t>–V</w:t>
      </w:r>
      <w:r>
        <w:rPr>
          <w:color w:val="000000"/>
          <w:vertAlign w:val="subscript"/>
        </w:rPr>
        <w:t>0</w:t>
      </w:r>
      <w:r>
        <w:rPr>
          <w:color w:val="000000"/>
        </w:rPr>
        <w:t>)</w:t>
      </w:r>
      <w:r>
        <w:rPr>
          <w:color w:val="000000"/>
          <w:vertAlign w:val="superscript"/>
        </w:rPr>
        <w:t>3</w:t>
      </w:r>
      <w:r>
        <w:rPr>
          <w:color w:val="000000"/>
        </w:rPr>
        <w:t>e</w:t>
      </w:r>
      <w:r>
        <w:rPr>
          <w:color w:val="000000"/>
          <w:vertAlign w:val="superscript"/>
        </w:rPr>
        <w:t>-1.023W</w:t>
      </w:r>
    </w:p>
    <w:p w14:paraId="303F0389">
      <w:pPr>
        <w:rPr>
          <w:color w:val="000000"/>
        </w:rPr>
      </w:pPr>
      <w:r>
        <w:rPr>
          <w:color w:val="000000"/>
        </w:rPr>
        <w:t>式中：Q——起尘量，kg/t·a；</w:t>
      </w:r>
    </w:p>
    <w:p w14:paraId="7C7763ED">
      <w:pPr>
        <w:ind w:firstLine="720" w:firstLineChars="300"/>
        <w:rPr>
          <w:color w:val="000000"/>
        </w:rPr>
      </w:pPr>
      <w:r>
        <w:rPr>
          <w:color w:val="000000"/>
        </w:rPr>
        <w:t>V</w:t>
      </w:r>
      <w:r>
        <w:rPr>
          <w:color w:val="000000"/>
          <w:vertAlign w:val="subscript"/>
        </w:rPr>
        <w:t>10</w:t>
      </w:r>
      <w:r>
        <w:rPr>
          <w:color w:val="000000"/>
        </w:rPr>
        <w:t>——距地面10m出风速，m/s；</w:t>
      </w:r>
    </w:p>
    <w:p w14:paraId="0B41850B">
      <w:pPr>
        <w:ind w:firstLine="720" w:firstLineChars="300"/>
        <w:rPr>
          <w:color w:val="000000"/>
        </w:rPr>
      </w:pPr>
      <w:r>
        <w:rPr>
          <w:color w:val="000000"/>
        </w:rPr>
        <w:t>V</w:t>
      </w:r>
      <w:r>
        <w:rPr>
          <w:color w:val="000000"/>
          <w:vertAlign w:val="subscript"/>
        </w:rPr>
        <w:t>0</w:t>
      </w:r>
      <w:r>
        <w:rPr>
          <w:color w:val="000000"/>
        </w:rPr>
        <w:t>——起尘风速，m/s；</w:t>
      </w:r>
    </w:p>
    <w:p w14:paraId="6B99B9E8">
      <w:pPr>
        <w:ind w:firstLine="720" w:firstLineChars="300"/>
        <w:rPr>
          <w:color w:val="000000"/>
        </w:rPr>
      </w:pPr>
      <w:r>
        <w:rPr>
          <w:color w:val="000000"/>
        </w:rPr>
        <w:t>W——尘粒含水率，%。</w:t>
      </w:r>
    </w:p>
    <w:p w14:paraId="037DDAFE">
      <w:pPr>
        <w:pStyle w:val="49"/>
      </w:pPr>
      <w:r>
        <w:t>由此可见，这类扬尘的主要特点是与风速和尘粒含水率有关，因此，减少建材的露天堆放和保证一定的含水率是抑制这类扬尘的有效手段。</w:t>
      </w:r>
    </w:p>
    <w:p w14:paraId="0E46F05C">
      <w:pPr>
        <w:pStyle w:val="49"/>
      </w:pPr>
      <w:r>
        <w:t>尘粒在空气中的传播扩散情况与风速等气象条件有关，也与尘粒本身的沉降速度有关。以沙尘土为例，其沉降速度随粒径的增大而迅速增大。当粒径为250μm时，沉降速度为1.005m/s，因此当尘粒大于250μm时，主要影响范围在扬尘点下风向近距离范围内，而真正对外环境产生影响的是一些微小尘粒。根据现场施工季节的气候情况不同，其影响范围和方向也有所不同。因此，施工期间应特别注意施工扬尘中细小颗粒污染的防治问题，须制定必要的防治措施，在施工区域进行洒水降尘，以减少施工扬尘对周围环境的影响。</w:t>
      </w:r>
    </w:p>
    <w:p w14:paraId="527FA1BC">
      <w:pPr>
        <w:pStyle w:val="49"/>
      </w:pPr>
      <w:r>
        <w:t>施工场地粉尘的污染程度与风速、粉尘粒径、粉尘含湿量和汽车行驶速度等因素有关，其中风速及汽车行驶速度两因素对粉尘的污染影响最大。行驶速度增大，粉尘污染范围相应扩大。因此，尽可能降低车速，可有效降低道路扬尘。</w:t>
      </w:r>
    </w:p>
    <w:p w14:paraId="056C7880">
      <w:pPr>
        <w:pStyle w:val="49"/>
      </w:pPr>
      <w:r>
        <w:t>根据相关资料，在正常风情况下，建设场地产生的粉尘在施工地近地面浓度为1.5-30mg/m</w:t>
      </w:r>
      <w:r>
        <w:rPr>
          <w:vertAlign w:val="superscript"/>
        </w:rPr>
        <w:t>3</w:t>
      </w:r>
      <w:r>
        <w:t>，其影响范围在下风向150m处，TSP影响浓度为1.0mg/m</w:t>
      </w:r>
      <w:r>
        <w:rPr>
          <w:vertAlign w:val="superscript"/>
        </w:rPr>
        <w:t>3</w:t>
      </w:r>
      <w:r>
        <w:t>，在施工期内对施工区及运输路线的环境空气质量形成一定影响。</w:t>
      </w:r>
    </w:p>
    <w:p w14:paraId="2D5779C1">
      <w:pPr>
        <w:pStyle w:val="49"/>
      </w:pPr>
      <w:r>
        <w:rPr>
          <w:kern w:val="0"/>
        </w:rPr>
        <w:t>施工期车辆运输洒落尘土的一次扬尘污染和车辆运行时产生的二次扬尘污染均会对环境产生明显不利影响。扬尘产生量及扬尘污染程度与车辆的运输方式、路面状况、天气条件等因素关系密切。应采取表面防尘网遮盖、洒水降尘、开挖土方及时回填等措施减少运输扬尘的污染。运输土石方、砂石料等建筑材料车辆应采取遮盖措施。施工作业时，粉尘飞扬将污染施工现场的大气环境，影响施工人员的身体健康和作业，但此污染影响范围较小，不会给周围环境造成较大影响。</w:t>
      </w:r>
    </w:p>
    <w:p w14:paraId="0FE69DE2">
      <w:pPr>
        <w:pStyle w:val="6"/>
        <w:spacing w:before="120" w:after="120"/>
      </w:pPr>
      <w:r>
        <w:t>机械废气</w:t>
      </w:r>
    </w:p>
    <w:p w14:paraId="1D43A67E">
      <w:pPr>
        <w:pStyle w:val="49"/>
      </w:pPr>
      <w:r>
        <w:t>机械废气主要是来自施工机械、物料运输车辆等产生的汽车尾气。主要污染物为THC、CO、NO</w:t>
      </w:r>
      <w:r>
        <w:rPr>
          <w:vertAlign w:val="subscript"/>
        </w:rPr>
        <w:t>X</w:t>
      </w:r>
      <w:r>
        <w:t>，这些污染物量小，影响范围仅局限在施工作业区内，对施工人员会产生轻微的影响。</w:t>
      </w:r>
    </w:p>
    <w:p w14:paraId="4756FCE0">
      <w:pPr>
        <w:pStyle w:val="49"/>
      </w:pPr>
      <w:r>
        <w:t>项目施工过程中应加强对施工车辆的检修和维护，严禁使用超期服役和尾气超标的车辆。尽可能使用耗油低，排气小的施工车辆和机械，选用优质燃油，减少机械和车辆的有害废气的排放。</w:t>
      </w:r>
    </w:p>
    <w:p w14:paraId="6F2FF3B1">
      <w:pPr>
        <w:pStyle w:val="49"/>
      </w:pPr>
      <w:r>
        <w:t>评价要求建设单位对施工过程中非道路移动机械用柴油机排放的污染物，必须执行并满足《非道路移动机械用柴油机排气污染物排放限值及测量方法》（GB20891-2014）中有关规定及排放限值要求。</w:t>
      </w:r>
    </w:p>
    <w:p w14:paraId="1DA4B0BC">
      <w:pPr>
        <w:pStyle w:val="5"/>
        <w:spacing w:before="120"/>
      </w:pPr>
      <w:r>
        <w:fldChar w:fldCharType="begin"/>
      </w:r>
      <w:r>
        <w:instrText xml:space="preserve"> HYPERLINK \l "_Toc12645" </w:instrText>
      </w:r>
      <w:r>
        <w:fldChar w:fldCharType="separate"/>
      </w:r>
      <w:r>
        <w:t>施工期水环境影响分析</w:t>
      </w:r>
      <w:r>
        <w:fldChar w:fldCharType="end"/>
      </w:r>
    </w:p>
    <w:p w14:paraId="521CD145">
      <w:pPr>
        <w:pStyle w:val="49"/>
      </w:pPr>
      <w:r>
        <w:t>本项目施工废水主要为生产废水和生活污水。</w:t>
      </w:r>
    </w:p>
    <w:p w14:paraId="36952E04">
      <w:pPr>
        <w:pStyle w:val="49"/>
      </w:pPr>
      <w:r>
        <w:t>（1）生产废水</w:t>
      </w:r>
    </w:p>
    <w:p w14:paraId="14132327">
      <w:pPr>
        <w:pStyle w:val="49"/>
      </w:pPr>
      <w:r>
        <w:t>施工期产生的生产废水主要为施工设备冲洗过程中产生的废水和水泥养护用水等。主要污染物为泥沙，水量不大。评价要求施工单位设置临时隔油沉淀池，将生产废水沉淀处理后回用，作为车辆冲洗水或用于场地扬尘洒水，不随意排放。</w:t>
      </w:r>
    </w:p>
    <w:p w14:paraId="3D383E86">
      <w:pPr>
        <w:pStyle w:val="49"/>
      </w:pPr>
      <w:r>
        <w:t>（2）生活污水</w:t>
      </w:r>
    </w:p>
    <w:p w14:paraId="31C36CBA">
      <w:pPr>
        <w:pStyle w:val="49"/>
        <w:rPr>
          <w:szCs w:val="22"/>
        </w:rPr>
      </w:pPr>
      <w:r>
        <w:t>施工期产生的生活污水主要是施工人员产生的生活污水，污染物主要包括COD、BOD、NH</w:t>
      </w:r>
      <w:r>
        <w:rPr>
          <w:vertAlign w:val="subscript"/>
        </w:rPr>
        <w:t>3</w:t>
      </w:r>
      <w:r>
        <w:t>-N、SS等，水量不大。</w:t>
      </w:r>
      <w:bookmarkStart w:id="193" w:name="_Hlk84588652"/>
      <w:r>
        <w:t>本次评价要求施工时施工人员依托厂区现有生活污水处理设施，满足《污水综合排放标准》（GB8978-1996）中表4二级标准</w:t>
      </w:r>
      <w:r>
        <w:rPr>
          <w:szCs w:val="22"/>
        </w:rPr>
        <w:t>排入园区市政排水管网，最终进入</w:t>
      </w:r>
      <w:r>
        <w:t>污水处理厂</w:t>
      </w:r>
      <w:r>
        <w:rPr>
          <w:szCs w:val="22"/>
        </w:rPr>
        <w:t>处理。</w:t>
      </w:r>
      <w:bookmarkEnd w:id="193"/>
    </w:p>
    <w:p w14:paraId="312EF170">
      <w:pPr>
        <w:pStyle w:val="49"/>
      </w:pPr>
      <w:r>
        <w:t>本项目施工周期较短，施工期的生产废水和生活污水对周围环境影响不大。</w:t>
      </w:r>
    </w:p>
    <w:p w14:paraId="70F135AB">
      <w:pPr>
        <w:pStyle w:val="5"/>
        <w:spacing w:before="120"/>
      </w:pPr>
      <w:r>
        <w:fldChar w:fldCharType="begin"/>
      </w:r>
      <w:r>
        <w:instrText xml:space="preserve"> HYPERLINK \l "_Toc2473" </w:instrText>
      </w:r>
      <w:r>
        <w:fldChar w:fldCharType="separate"/>
      </w:r>
      <w:r>
        <w:t>施工期声环境影响分析</w:t>
      </w:r>
      <w:r>
        <w:fldChar w:fldCharType="end"/>
      </w:r>
    </w:p>
    <w:p w14:paraId="70A4D51C">
      <w:pPr>
        <w:pStyle w:val="49"/>
      </w:pPr>
      <w:r>
        <w:t>（1）施工期噪声</w:t>
      </w:r>
    </w:p>
    <w:p w14:paraId="7E9073E7">
      <w:pPr>
        <w:pStyle w:val="49"/>
      </w:pPr>
      <w:r>
        <w:t>本项目施工过程中产生的噪声主要为各种机械设备产生的噪声，噪声值在80~110dB（A）之间，施工期噪声执行《建筑施工场界环境噪声排放标准》（GB12523-2011）中相关标准限值，即昼间70dB（A），夜间55dB（A）。施工机械噪声影响预测见下表。</w:t>
      </w:r>
    </w:p>
    <w:p w14:paraId="06BB51F1">
      <w:pPr>
        <w:pStyle w:val="40"/>
        <w:spacing w:before="120"/>
      </w:pPr>
      <w:r>
        <w:t>表6.1-3    施工机械噪声源强及几何衰减预测结果</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43"/>
        <w:gridCol w:w="1036"/>
        <w:gridCol w:w="1038"/>
        <w:gridCol w:w="1041"/>
        <w:gridCol w:w="1041"/>
        <w:gridCol w:w="1041"/>
        <w:gridCol w:w="1042"/>
        <w:gridCol w:w="1074"/>
      </w:tblGrid>
      <w:tr w14:paraId="4D59A3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vMerge w:val="restart"/>
            <w:tcBorders>
              <w:tl2br w:val="nil"/>
              <w:tr2bl w:val="nil"/>
            </w:tcBorders>
            <w:vAlign w:val="center"/>
          </w:tcPr>
          <w:p w14:paraId="5B43491D">
            <w:pPr>
              <w:pStyle w:val="34"/>
            </w:pPr>
            <w:r>
              <w:t>施工设备</w:t>
            </w:r>
          </w:p>
        </w:tc>
        <w:tc>
          <w:tcPr>
            <w:tcW w:w="4129" w:type="pct"/>
            <w:gridSpan w:val="7"/>
            <w:tcBorders>
              <w:tl2br w:val="nil"/>
              <w:tr2bl w:val="nil"/>
            </w:tcBorders>
            <w:vAlign w:val="center"/>
          </w:tcPr>
          <w:p w14:paraId="3F58D113">
            <w:pPr>
              <w:pStyle w:val="34"/>
            </w:pPr>
            <w:r>
              <w:t>距离</w:t>
            </w:r>
          </w:p>
        </w:tc>
      </w:tr>
      <w:tr w14:paraId="2FEB61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vMerge w:val="continue"/>
            <w:tcBorders>
              <w:tl2br w:val="nil"/>
              <w:tr2bl w:val="nil"/>
            </w:tcBorders>
            <w:vAlign w:val="center"/>
          </w:tcPr>
          <w:p w14:paraId="02D647C0">
            <w:pPr>
              <w:pStyle w:val="34"/>
            </w:pPr>
          </w:p>
        </w:tc>
        <w:tc>
          <w:tcPr>
            <w:tcW w:w="585" w:type="pct"/>
            <w:tcBorders>
              <w:tl2br w:val="nil"/>
              <w:tr2bl w:val="nil"/>
            </w:tcBorders>
            <w:vAlign w:val="center"/>
          </w:tcPr>
          <w:p w14:paraId="718B4605">
            <w:pPr>
              <w:pStyle w:val="34"/>
            </w:pPr>
            <w:r>
              <w:t>5</w:t>
            </w:r>
          </w:p>
        </w:tc>
        <w:tc>
          <w:tcPr>
            <w:tcW w:w="586" w:type="pct"/>
            <w:tcBorders>
              <w:tl2br w:val="nil"/>
              <w:tr2bl w:val="nil"/>
            </w:tcBorders>
            <w:vAlign w:val="center"/>
          </w:tcPr>
          <w:p w14:paraId="070A33A5">
            <w:pPr>
              <w:pStyle w:val="34"/>
            </w:pPr>
            <w:r>
              <w:t>10</w:t>
            </w:r>
          </w:p>
        </w:tc>
        <w:tc>
          <w:tcPr>
            <w:tcW w:w="588" w:type="pct"/>
            <w:tcBorders>
              <w:tl2br w:val="nil"/>
              <w:tr2bl w:val="nil"/>
            </w:tcBorders>
            <w:vAlign w:val="center"/>
          </w:tcPr>
          <w:p w14:paraId="2D6BF4DE">
            <w:pPr>
              <w:pStyle w:val="34"/>
            </w:pPr>
            <w:r>
              <w:t>20</w:t>
            </w:r>
          </w:p>
        </w:tc>
        <w:tc>
          <w:tcPr>
            <w:tcW w:w="588" w:type="pct"/>
            <w:tcBorders>
              <w:tl2br w:val="nil"/>
              <w:tr2bl w:val="nil"/>
            </w:tcBorders>
            <w:vAlign w:val="center"/>
          </w:tcPr>
          <w:p w14:paraId="219DBDC5">
            <w:pPr>
              <w:pStyle w:val="34"/>
            </w:pPr>
            <w:r>
              <w:t>40</w:t>
            </w:r>
          </w:p>
        </w:tc>
        <w:tc>
          <w:tcPr>
            <w:tcW w:w="588" w:type="pct"/>
            <w:tcBorders>
              <w:tl2br w:val="nil"/>
              <w:tr2bl w:val="nil"/>
            </w:tcBorders>
            <w:vAlign w:val="center"/>
          </w:tcPr>
          <w:p w14:paraId="3B85EF3B">
            <w:pPr>
              <w:pStyle w:val="34"/>
            </w:pPr>
            <w:r>
              <w:t>80</w:t>
            </w:r>
          </w:p>
        </w:tc>
        <w:tc>
          <w:tcPr>
            <w:tcW w:w="588" w:type="pct"/>
            <w:tcBorders>
              <w:tl2br w:val="nil"/>
              <w:tr2bl w:val="nil"/>
            </w:tcBorders>
            <w:vAlign w:val="center"/>
          </w:tcPr>
          <w:p w14:paraId="1C377AE9">
            <w:pPr>
              <w:pStyle w:val="34"/>
            </w:pPr>
            <w:r>
              <w:t>120</w:t>
            </w:r>
          </w:p>
        </w:tc>
        <w:tc>
          <w:tcPr>
            <w:tcW w:w="605" w:type="pct"/>
            <w:tcBorders>
              <w:tl2br w:val="nil"/>
              <w:tr2bl w:val="nil"/>
            </w:tcBorders>
            <w:vAlign w:val="center"/>
          </w:tcPr>
          <w:p w14:paraId="1772F345">
            <w:pPr>
              <w:pStyle w:val="34"/>
            </w:pPr>
            <w:r>
              <w:t>200</w:t>
            </w:r>
          </w:p>
        </w:tc>
      </w:tr>
      <w:tr w14:paraId="03B232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7408579E">
            <w:pPr>
              <w:pStyle w:val="34"/>
            </w:pPr>
            <w:r>
              <w:t>挖掘机</w:t>
            </w:r>
          </w:p>
        </w:tc>
        <w:tc>
          <w:tcPr>
            <w:tcW w:w="585" w:type="pct"/>
            <w:tcBorders>
              <w:tl2br w:val="nil"/>
              <w:tr2bl w:val="nil"/>
            </w:tcBorders>
            <w:vAlign w:val="center"/>
          </w:tcPr>
          <w:p w14:paraId="7F164CB8">
            <w:pPr>
              <w:pStyle w:val="34"/>
            </w:pPr>
            <w:r>
              <w:t>90</w:t>
            </w:r>
          </w:p>
        </w:tc>
        <w:tc>
          <w:tcPr>
            <w:tcW w:w="586" w:type="pct"/>
            <w:tcBorders>
              <w:tl2br w:val="nil"/>
              <w:tr2bl w:val="nil"/>
            </w:tcBorders>
            <w:vAlign w:val="center"/>
          </w:tcPr>
          <w:p w14:paraId="158A26A8">
            <w:pPr>
              <w:pStyle w:val="34"/>
            </w:pPr>
            <w:r>
              <w:t>84</w:t>
            </w:r>
          </w:p>
        </w:tc>
        <w:tc>
          <w:tcPr>
            <w:tcW w:w="588" w:type="pct"/>
            <w:tcBorders>
              <w:tl2br w:val="nil"/>
              <w:tr2bl w:val="nil"/>
            </w:tcBorders>
            <w:vAlign w:val="center"/>
          </w:tcPr>
          <w:p w14:paraId="6FF9BF97">
            <w:pPr>
              <w:pStyle w:val="34"/>
            </w:pPr>
            <w:r>
              <w:t>78</w:t>
            </w:r>
          </w:p>
        </w:tc>
        <w:tc>
          <w:tcPr>
            <w:tcW w:w="588" w:type="pct"/>
            <w:tcBorders>
              <w:tl2br w:val="nil"/>
              <w:tr2bl w:val="nil"/>
            </w:tcBorders>
            <w:vAlign w:val="center"/>
          </w:tcPr>
          <w:p w14:paraId="5B37E569">
            <w:pPr>
              <w:pStyle w:val="34"/>
            </w:pPr>
            <w:r>
              <w:t>72</w:t>
            </w:r>
          </w:p>
        </w:tc>
        <w:tc>
          <w:tcPr>
            <w:tcW w:w="588" w:type="pct"/>
            <w:tcBorders>
              <w:tl2br w:val="nil"/>
              <w:tr2bl w:val="nil"/>
            </w:tcBorders>
            <w:vAlign w:val="center"/>
          </w:tcPr>
          <w:p w14:paraId="0A68DA2B">
            <w:pPr>
              <w:pStyle w:val="34"/>
            </w:pPr>
            <w:r>
              <w:t>66</w:t>
            </w:r>
          </w:p>
        </w:tc>
        <w:tc>
          <w:tcPr>
            <w:tcW w:w="588" w:type="pct"/>
            <w:tcBorders>
              <w:tl2br w:val="nil"/>
              <w:tr2bl w:val="nil"/>
            </w:tcBorders>
            <w:vAlign w:val="center"/>
          </w:tcPr>
          <w:p w14:paraId="7386621C">
            <w:pPr>
              <w:pStyle w:val="34"/>
            </w:pPr>
            <w:r>
              <w:t>62</w:t>
            </w:r>
          </w:p>
        </w:tc>
        <w:tc>
          <w:tcPr>
            <w:tcW w:w="605" w:type="pct"/>
            <w:tcBorders>
              <w:tl2br w:val="nil"/>
              <w:tr2bl w:val="nil"/>
            </w:tcBorders>
            <w:vAlign w:val="center"/>
          </w:tcPr>
          <w:p w14:paraId="056EB8BF">
            <w:pPr>
              <w:pStyle w:val="34"/>
            </w:pPr>
            <w:r>
              <w:t>58</w:t>
            </w:r>
          </w:p>
        </w:tc>
      </w:tr>
      <w:tr w14:paraId="379189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664864C4">
            <w:pPr>
              <w:pStyle w:val="34"/>
            </w:pPr>
            <w:r>
              <w:t>装载机</w:t>
            </w:r>
          </w:p>
        </w:tc>
        <w:tc>
          <w:tcPr>
            <w:tcW w:w="585" w:type="pct"/>
            <w:tcBorders>
              <w:tl2br w:val="nil"/>
              <w:tr2bl w:val="nil"/>
            </w:tcBorders>
            <w:vAlign w:val="center"/>
          </w:tcPr>
          <w:p w14:paraId="024E8E3F">
            <w:pPr>
              <w:pStyle w:val="34"/>
            </w:pPr>
            <w:r>
              <w:t>95</w:t>
            </w:r>
          </w:p>
        </w:tc>
        <w:tc>
          <w:tcPr>
            <w:tcW w:w="586" w:type="pct"/>
            <w:tcBorders>
              <w:tl2br w:val="nil"/>
              <w:tr2bl w:val="nil"/>
            </w:tcBorders>
            <w:vAlign w:val="center"/>
          </w:tcPr>
          <w:p w14:paraId="1AB3AE9A">
            <w:pPr>
              <w:pStyle w:val="34"/>
            </w:pPr>
            <w:r>
              <w:t>89</w:t>
            </w:r>
          </w:p>
        </w:tc>
        <w:tc>
          <w:tcPr>
            <w:tcW w:w="588" w:type="pct"/>
            <w:tcBorders>
              <w:tl2br w:val="nil"/>
              <w:tr2bl w:val="nil"/>
            </w:tcBorders>
            <w:vAlign w:val="center"/>
          </w:tcPr>
          <w:p w14:paraId="7A3E07C3">
            <w:pPr>
              <w:pStyle w:val="34"/>
            </w:pPr>
            <w:r>
              <w:t>83</w:t>
            </w:r>
          </w:p>
        </w:tc>
        <w:tc>
          <w:tcPr>
            <w:tcW w:w="588" w:type="pct"/>
            <w:tcBorders>
              <w:tl2br w:val="nil"/>
              <w:tr2bl w:val="nil"/>
            </w:tcBorders>
            <w:vAlign w:val="center"/>
          </w:tcPr>
          <w:p w14:paraId="38BCAF10">
            <w:pPr>
              <w:pStyle w:val="34"/>
            </w:pPr>
            <w:r>
              <w:t>77</w:t>
            </w:r>
          </w:p>
        </w:tc>
        <w:tc>
          <w:tcPr>
            <w:tcW w:w="588" w:type="pct"/>
            <w:tcBorders>
              <w:tl2br w:val="nil"/>
              <w:tr2bl w:val="nil"/>
            </w:tcBorders>
            <w:vAlign w:val="center"/>
          </w:tcPr>
          <w:p w14:paraId="3994CFF4">
            <w:pPr>
              <w:pStyle w:val="34"/>
            </w:pPr>
            <w:r>
              <w:t>71</w:t>
            </w:r>
          </w:p>
        </w:tc>
        <w:tc>
          <w:tcPr>
            <w:tcW w:w="588" w:type="pct"/>
            <w:tcBorders>
              <w:tl2br w:val="nil"/>
              <w:tr2bl w:val="nil"/>
            </w:tcBorders>
            <w:vAlign w:val="center"/>
          </w:tcPr>
          <w:p w14:paraId="1CFAA6FF">
            <w:pPr>
              <w:pStyle w:val="34"/>
            </w:pPr>
            <w:r>
              <w:t>67</w:t>
            </w:r>
          </w:p>
        </w:tc>
        <w:tc>
          <w:tcPr>
            <w:tcW w:w="605" w:type="pct"/>
            <w:tcBorders>
              <w:tl2br w:val="nil"/>
              <w:tr2bl w:val="nil"/>
            </w:tcBorders>
            <w:vAlign w:val="center"/>
          </w:tcPr>
          <w:p w14:paraId="56E558EE">
            <w:pPr>
              <w:pStyle w:val="34"/>
            </w:pPr>
            <w:r>
              <w:t>63</w:t>
            </w:r>
          </w:p>
        </w:tc>
      </w:tr>
      <w:tr w14:paraId="32FD1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655730C0">
            <w:pPr>
              <w:pStyle w:val="34"/>
            </w:pPr>
            <w:r>
              <w:t>推土机</w:t>
            </w:r>
          </w:p>
        </w:tc>
        <w:tc>
          <w:tcPr>
            <w:tcW w:w="585" w:type="pct"/>
            <w:tcBorders>
              <w:tl2br w:val="nil"/>
              <w:tr2bl w:val="nil"/>
            </w:tcBorders>
            <w:vAlign w:val="center"/>
          </w:tcPr>
          <w:p w14:paraId="5CF634FA">
            <w:pPr>
              <w:pStyle w:val="34"/>
            </w:pPr>
            <w:r>
              <w:t>88</w:t>
            </w:r>
          </w:p>
        </w:tc>
        <w:tc>
          <w:tcPr>
            <w:tcW w:w="586" w:type="pct"/>
            <w:tcBorders>
              <w:tl2br w:val="nil"/>
              <w:tr2bl w:val="nil"/>
            </w:tcBorders>
            <w:vAlign w:val="center"/>
          </w:tcPr>
          <w:p w14:paraId="6C5B44FE">
            <w:pPr>
              <w:pStyle w:val="34"/>
            </w:pPr>
            <w:r>
              <w:t>82</w:t>
            </w:r>
          </w:p>
        </w:tc>
        <w:tc>
          <w:tcPr>
            <w:tcW w:w="588" w:type="pct"/>
            <w:tcBorders>
              <w:tl2br w:val="nil"/>
              <w:tr2bl w:val="nil"/>
            </w:tcBorders>
            <w:vAlign w:val="center"/>
          </w:tcPr>
          <w:p w14:paraId="0472ACE1">
            <w:pPr>
              <w:pStyle w:val="34"/>
            </w:pPr>
            <w:r>
              <w:t>76</w:t>
            </w:r>
          </w:p>
        </w:tc>
        <w:tc>
          <w:tcPr>
            <w:tcW w:w="588" w:type="pct"/>
            <w:tcBorders>
              <w:tl2br w:val="nil"/>
              <w:tr2bl w:val="nil"/>
            </w:tcBorders>
            <w:vAlign w:val="center"/>
          </w:tcPr>
          <w:p w14:paraId="3E5ED6BB">
            <w:pPr>
              <w:pStyle w:val="34"/>
            </w:pPr>
            <w:r>
              <w:t>70</w:t>
            </w:r>
          </w:p>
        </w:tc>
        <w:tc>
          <w:tcPr>
            <w:tcW w:w="588" w:type="pct"/>
            <w:tcBorders>
              <w:tl2br w:val="nil"/>
              <w:tr2bl w:val="nil"/>
            </w:tcBorders>
            <w:vAlign w:val="center"/>
          </w:tcPr>
          <w:p w14:paraId="5760971A">
            <w:pPr>
              <w:pStyle w:val="34"/>
            </w:pPr>
            <w:r>
              <w:t>64</w:t>
            </w:r>
          </w:p>
        </w:tc>
        <w:tc>
          <w:tcPr>
            <w:tcW w:w="588" w:type="pct"/>
            <w:tcBorders>
              <w:tl2br w:val="nil"/>
              <w:tr2bl w:val="nil"/>
            </w:tcBorders>
            <w:vAlign w:val="center"/>
          </w:tcPr>
          <w:p w14:paraId="2F91B21D">
            <w:pPr>
              <w:pStyle w:val="34"/>
            </w:pPr>
            <w:r>
              <w:t>60</w:t>
            </w:r>
          </w:p>
        </w:tc>
        <w:tc>
          <w:tcPr>
            <w:tcW w:w="605" w:type="pct"/>
            <w:tcBorders>
              <w:tl2br w:val="nil"/>
              <w:tr2bl w:val="nil"/>
            </w:tcBorders>
            <w:vAlign w:val="center"/>
          </w:tcPr>
          <w:p w14:paraId="036ACB12">
            <w:pPr>
              <w:pStyle w:val="34"/>
            </w:pPr>
            <w:r>
              <w:t>56</w:t>
            </w:r>
          </w:p>
        </w:tc>
      </w:tr>
      <w:tr w14:paraId="4C517D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3384E782">
            <w:pPr>
              <w:pStyle w:val="34"/>
            </w:pPr>
            <w:r>
              <w:t>压路机</w:t>
            </w:r>
          </w:p>
        </w:tc>
        <w:tc>
          <w:tcPr>
            <w:tcW w:w="585" w:type="pct"/>
            <w:tcBorders>
              <w:tl2br w:val="nil"/>
              <w:tr2bl w:val="nil"/>
            </w:tcBorders>
            <w:vAlign w:val="center"/>
          </w:tcPr>
          <w:p w14:paraId="0CB22AA4">
            <w:pPr>
              <w:pStyle w:val="34"/>
            </w:pPr>
            <w:r>
              <w:t>90</w:t>
            </w:r>
          </w:p>
        </w:tc>
        <w:tc>
          <w:tcPr>
            <w:tcW w:w="586" w:type="pct"/>
            <w:tcBorders>
              <w:tl2br w:val="nil"/>
              <w:tr2bl w:val="nil"/>
            </w:tcBorders>
            <w:vAlign w:val="center"/>
          </w:tcPr>
          <w:p w14:paraId="2A1A82D6">
            <w:pPr>
              <w:pStyle w:val="34"/>
            </w:pPr>
            <w:r>
              <w:t>84</w:t>
            </w:r>
          </w:p>
        </w:tc>
        <w:tc>
          <w:tcPr>
            <w:tcW w:w="588" w:type="pct"/>
            <w:tcBorders>
              <w:tl2br w:val="nil"/>
              <w:tr2bl w:val="nil"/>
            </w:tcBorders>
            <w:vAlign w:val="center"/>
          </w:tcPr>
          <w:p w14:paraId="561A1A7E">
            <w:pPr>
              <w:pStyle w:val="34"/>
            </w:pPr>
            <w:r>
              <w:t>78</w:t>
            </w:r>
          </w:p>
        </w:tc>
        <w:tc>
          <w:tcPr>
            <w:tcW w:w="588" w:type="pct"/>
            <w:tcBorders>
              <w:tl2br w:val="nil"/>
              <w:tr2bl w:val="nil"/>
            </w:tcBorders>
            <w:vAlign w:val="center"/>
          </w:tcPr>
          <w:p w14:paraId="427729F1">
            <w:pPr>
              <w:pStyle w:val="34"/>
            </w:pPr>
            <w:r>
              <w:t>72</w:t>
            </w:r>
          </w:p>
        </w:tc>
        <w:tc>
          <w:tcPr>
            <w:tcW w:w="588" w:type="pct"/>
            <w:tcBorders>
              <w:tl2br w:val="nil"/>
              <w:tr2bl w:val="nil"/>
            </w:tcBorders>
            <w:vAlign w:val="center"/>
          </w:tcPr>
          <w:p w14:paraId="7090D80B">
            <w:pPr>
              <w:pStyle w:val="34"/>
            </w:pPr>
            <w:r>
              <w:t>66</w:t>
            </w:r>
          </w:p>
        </w:tc>
        <w:tc>
          <w:tcPr>
            <w:tcW w:w="588" w:type="pct"/>
            <w:tcBorders>
              <w:tl2br w:val="nil"/>
              <w:tr2bl w:val="nil"/>
            </w:tcBorders>
            <w:vAlign w:val="center"/>
          </w:tcPr>
          <w:p w14:paraId="7FBD017F">
            <w:pPr>
              <w:pStyle w:val="34"/>
            </w:pPr>
            <w:r>
              <w:t>62</w:t>
            </w:r>
          </w:p>
        </w:tc>
        <w:tc>
          <w:tcPr>
            <w:tcW w:w="605" w:type="pct"/>
            <w:tcBorders>
              <w:tl2br w:val="nil"/>
              <w:tr2bl w:val="nil"/>
            </w:tcBorders>
            <w:vAlign w:val="center"/>
          </w:tcPr>
          <w:p w14:paraId="10EF6DBC">
            <w:pPr>
              <w:pStyle w:val="34"/>
            </w:pPr>
            <w:r>
              <w:t>58</w:t>
            </w:r>
          </w:p>
        </w:tc>
      </w:tr>
      <w:tr w14:paraId="2E14ED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6D568CCE">
            <w:pPr>
              <w:pStyle w:val="34"/>
            </w:pPr>
            <w:r>
              <w:t>重型运输车</w:t>
            </w:r>
          </w:p>
        </w:tc>
        <w:tc>
          <w:tcPr>
            <w:tcW w:w="585" w:type="pct"/>
            <w:tcBorders>
              <w:tl2br w:val="nil"/>
              <w:tr2bl w:val="nil"/>
            </w:tcBorders>
            <w:vAlign w:val="center"/>
          </w:tcPr>
          <w:p w14:paraId="2C64AEE7">
            <w:pPr>
              <w:pStyle w:val="34"/>
            </w:pPr>
            <w:r>
              <w:t>90</w:t>
            </w:r>
          </w:p>
        </w:tc>
        <w:tc>
          <w:tcPr>
            <w:tcW w:w="586" w:type="pct"/>
            <w:tcBorders>
              <w:tl2br w:val="nil"/>
              <w:tr2bl w:val="nil"/>
            </w:tcBorders>
            <w:vAlign w:val="center"/>
          </w:tcPr>
          <w:p w14:paraId="2D969555">
            <w:pPr>
              <w:pStyle w:val="34"/>
            </w:pPr>
            <w:r>
              <w:t>84</w:t>
            </w:r>
          </w:p>
        </w:tc>
        <w:tc>
          <w:tcPr>
            <w:tcW w:w="588" w:type="pct"/>
            <w:tcBorders>
              <w:tl2br w:val="nil"/>
              <w:tr2bl w:val="nil"/>
            </w:tcBorders>
            <w:vAlign w:val="center"/>
          </w:tcPr>
          <w:p w14:paraId="04EBA750">
            <w:pPr>
              <w:pStyle w:val="34"/>
            </w:pPr>
            <w:r>
              <w:t>78</w:t>
            </w:r>
          </w:p>
        </w:tc>
        <w:tc>
          <w:tcPr>
            <w:tcW w:w="588" w:type="pct"/>
            <w:tcBorders>
              <w:tl2br w:val="nil"/>
              <w:tr2bl w:val="nil"/>
            </w:tcBorders>
            <w:vAlign w:val="center"/>
          </w:tcPr>
          <w:p w14:paraId="5F7E5BD6">
            <w:pPr>
              <w:pStyle w:val="34"/>
            </w:pPr>
            <w:r>
              <w:t>72</w:t>
            </w:r>
          </w:p>
        </w:tc>
        <w:tc>
          <w:tcPr>
            <w:tcW w:w="588" w:type="pct"/>
            <w:tcBorders>
              <w:tl2br w:val="nil"/>
              <w:tr2bl w:val="nil"/>
            </w:tcBorders>
            <w:vAlign w:val="center"/>
          </w:tcPr>
          <w:p w14:paraId="0D960E4A">
            <w:pPr>
              <w:pStyle w:val="34"/>
            </w:pPr>
            <w:r>
              <w:t>66</w:t>
            </w:r>
          </w:p>
        </w:tc>
        <w:tc>
          <w:tcPr>
            <w:tcW w:w="588" w:type="pct"/>
            <w:tcBorders>
              <w:tl2br w:val="nil"/>
              <w:tr2bl w:val="nil"/>
            </w:tcBorders>
            <w:vAlign w:val="center"/>
          </w:tcPr>
          <w:p w14:paraId="50AEF5CA">
            <w:pPr>
              <w:pStyle w:val="34"/>
            </w:pPr>
            <w:r>
              <w:t>62</w:t>
            </w:r>
          </w:p>
        </w:tc>
        <w:tc>
          <w:tcPr>
            <w:tcW w:w="605" w:type="pct"/>
            <w:tcBorders>
              <w:tl2br w:val="nil"/>
              <w:tr2bl w:val="nil"/>
            </w:tcBorders>
            <w:vAlign w:val="center"/>
          </w:tcPr>
          <w:p w14:paraId="6318161B">
            <w:pPr>
              <w:pStyle w:val="34"/>
            </w:pPr>
            <w:r>
              <w:t>58</w:t>
            </w:r>
          </w:p>
        </w:tc>
      </w:tr>
      <w:tr w14:paraId="17F76D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73F51763">
            <w:pPr>
              <w:pStyle w:val="34"/>
            </w:pPr>
            <w:r>
              <w:t>夯锤</w:t>
            </w:r>
          </w:p>
        </w:tc>
        <w:tc>
          <w:tcPr>
            <w:tcW w:w="585" w:type="pct"/>
            <w:tcBorders>
              <w:tl2br w:val="nil"/>
              <w:tr2bl w:val="nil"/>
            </w:tcBorders>
            <w:vAlign w:val="center"/>
          </w:tcPr>
          <w:p w14:paraId="1C8F1958">
            <w:pPr>
              <w:pStyle w:val="34"/>
            </w:pPr>
            <w:r>
              <w:t>100</w:t>
            </w:r>
          </w:p>
        </w:tc>
        <w:tc>
          <w:tcPr>
            <w:tcW w:w="586" w:type="pct"/>
            <w:tcBorders>
              <w:tl2br w:val="nil"/>
              <w:tr2bl w:val="nil"/>
            </w:tcBorders>
            <w:vAlign w:val="center"/>
          </w:tcPr>
          <w:p w14:paraId="38CBF97F">
            <w:pPr>
              <w:pStyle w:val="34"/>
            </w:pPr>
            <w:r>
              <w:t>94</w:t>
            </w:r>
          </w:p>
        </w:tc>
        <w:tc>
          <w:tcPr>
            <w:tcW w:w="588" w:type="pct"/>
            <w:tcBorders>
              <w:tl2br w:val="nil"/>
              <w:tr2bl w:val="nil"/>
            </w:tcBorders>
            <w:vAlign w:val="center"/>
          </w:tcPr>
          <w:p w14:paraId="042F3D48">
            <w:pPr>
              <w:pStyle w:val="34"/>
            </w:pPr>
            <w:r>
              <w:t>88</w:t>
            </w:r>
          </w:p>
        </w:tc>
        <w:tc>
          <w:tcPr>
            <w:tcW w:w="588" w:type="pct"/>
            <w:tcBorders>
              <w:tl2br w:val="nil"/>
              <w:tr2bl w:val="nil"/>
            </w:tcBorders>
            <w:vAlign w:val="center"/>
          </w:tcPr>
          <w:p w14:paraId="234E92DA">
            <w:pPr>
              <w:pStyle w:val="34"/>
            </w:pPr>
            <w:r>
              <w:t>82</w:t>
            </w:r>
          </w:p>
        </w:tc>
        <w:tc>
          <w:tcPr>
            <w:tcW w:w="588" w:type="pct"/>
            <w:tcBorders>
              <w:tl2br w:val="nil"/>
              <w:tr2bl w:val="nil"/>
            </w:tcBorders>
            <w:vAlign w:val="center"/>
          </w:tcPr>
          <w:p w14:paraId="186488AB">
            <w:pPr>
              <w:pStyle w:val="34"/>
            </w:pPr>
            <w:r>
              <w:t>76</w:t>
            </w:r>
          </w:p>
        </w:tc>
        <w:tc>
          <w:tcPr>
            <w:tcW w:w="588" w:type="pct"/>
            <w:tcBorders>
              <w:tl2br w:val="nil"/>
              <w:tr2bl w:val="nil"/>
            </w:tcBorders>
            <w:vAlign w:val="center"/>
          </w:tcPr>
          <w:p w14:paraId="63DBC8EF">
            <w:pPr>
              <w:pStyle w:val="34"/>
            </w:pPr>
            <w:r>
              <w:t>72</w:t>
            </w:r>
          </w:p>
        </w:tc>
        <w:tc>
          <w:tcPr>
            <w:tcW w:w="605" w:type="pct"/>
            <w:tcBorders>
              <w:tl2br w:val="nil"/>
              <w:tr2bl w:val="nil"/>
            </w:tcBorders>
            <w:vAlign w:val="center"/>
          </w:tcPr>
          <w:p w14:paraId="01B8573D">
            <w:pPr>
              <w:pStyle w:val="34"/>
            </w:pPr>
            <w:r>
              <w:t>68</w:t>
            </w:r>
          </w:p>
        </w:tc>
      </w:tr>
      <w:tr w14:paraId="7DAD25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0A3231B0">
            <w:pPr>
              <w:pStyle w:val="34"/>
            </w:pPr>
            <w:r>
              <w:t>打桩机</w:t>
            </w:r>
          </w:p>
        </w:tc>
        <w:tc>
          <w:tcPr>
            <w:tcW w:w="585" w:type="pct"/>
            <w:tcBorders>
              <w:tl2br w:val="nil"/>
              <w:tr2bl w:val="nil"/>
            </w:tcBorders>
            <w:vAlign w:val="center"/>
          </w:tcPr>
          <w:p w14:paraId="42A8DC4B">
            <w:pPr>
              <w:pStyle w:val="34"/>
            </w:pPr>
            <w:r>
              <w:t>110</w:t>
            </w:r>
          </w:p>
        </w:tc>
        <w:tc>
          <w:tcPr>
            <w:tcW w:w="586" w:type="pct"/>
            <w:tcBorders>
              <w:tl2br w:val="nil"/>
              <w:tr2bl w:val="nil"/>
            </w:tcBorders>
            <w:vAlign w:val="center"/>
          </w:tcPr>
          <w:p w14:paraId="6317FB4A">
            <w:pPr>
              <w:pStyle w:val="34"/>
            </w:pPr>
            <w:r>
              <w:t>104</w:t>
            </w:r>
          </w:p>
        </w:tc>
        <w:tc>
          <w:tcPr>
            <w:tcW w:w="588" w:type="pct"/>
            <w:tcBorders>
              <w:tl2br w:val="nil"/>
              <w:tr2bl w:val="nil"/>
            </w:tcBorders>
            <w:vAlign w:val="center"/>
          </w:tcPr>
          <w:p w14:paraId="2A10421E">
            <w:pPr>
              <w:pStyle w:val="34"/>
            </w:pPr>
            <w:r>
              <w:t>98</w:t>
            </w:r>
          </w:p>
        </w:tc>
        <w:tc>
          <w:tcPr>
            <w:tcW w:w="588" w:type="pct"/>
            <w:tcBorders>
              <w:tl2br w:val="nil"/>
              <w:tr2bl w:val="nil"/>
            </w:tcBorders>
            <w:vAlign w:val="center"/>
          </w:tcPr>
          <w:p w14:paraId="4CC53285">
            <w:pPr>
              <w:pStyle w:val="34"/>
            </w:pPr>
            <w:r>
              <w:t>92</w:t>
            </w:r>
          </w:p>
        </w:tc>
        <w:tc>
          <w:tcPr>
            <w:tcW w:w="588" w:type="pct"/>
            <w:tcBorders>
              <w:tl2br w:val="nil"/>
              <w:tr2bl w:val="nil"/>
            </w:tcBorders>
            <w:vAlign w:val="center"/>
          </w:tcPr>
          <w:p w14:paraId="442FE5F1">
            <w:pPr>
              <w:pStyle w:val="34"/>
            </w:pPr>
            <w:r>
              <w:t>86</w:t>
            </w:r>
          </w:p>
        </w:tc>
        <w:tc>
          <w:tcPr>
            <w:tcW w:w="588" w:type="pct"/>
            <w:tcBorders>
              <w:tl2br w:val="nil"/>
              <w:tr2bl w:val="nil"/>
            </w:tcBorders>
            <w:vAlign w:val="center"/>
          </w:tcPr>
          <w:p w14:paraId="7C952F48">
            <w:pPr>
              <w:pStyle w:val="34"/>
            </w:pPr>
            <w:r>
              <w:t>82</w:t>
            </w:r>
          </w:p>
        </w:tc>
        <w:tc>
          <w:tcPr>
            <w:tcW w:w="605" w:type="pct"/>
            <w:tcBorders>
              <w:tl2br w:val="nil"/>
              <w:tr2bl w:val="nil"/>
            </w:tcBorders>
            <w:vAlign w:val="center"/>
          </w:tcPr>
          <w:p w14:paraId="0243CA1B">
            <w:pPr>
              <w:pStyle w:val="34"/>
            </w:pPr>
            <w:r>
              <w:t>78</w:t>
            </w:r>
          </w:p>
        </w:tc>
      </w:tr>
      <w:tr w14:paraId="1F5654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7683B7F3">
            <w:pPr>
              <w:pStyle w:val="34"/>
            </w:pPr>
            <w:r>
              <w:t>商砼搅拌车</w:t>
            </w:r>
          </w:p>
        </w:tc>
        <w:tc>
          <w:tcPr>
            <w:tcW w:w="585" w:type="pct"/>
            <w:tcBorders>
              <w:tl2br w:val="nil"/>
              <w:tr2bl w:val="nil"/>
            </w:tcBorders>
            <w:vAlign w:val="center"/>
          </w:tcPr>
          <w:p w14:paraId="3634D525">
            <w:pPr>
              <w:pStyle w:val="34"/>
            </w:pPr>
            <w:r>
              <w:t>90</w:t>
            </w:r>
          </w:p>
        </w:tc>
        <w:tc>
          <w:tcPr>
            <w:tcW w:w="586" w:type="pct"/>
            <w:tcBorders>
              <w:tl2br w:val="nil"/>
              <w:tr2bl w:val="nil"/>
            </w:tcBorders>
            <w:vAlign w:val="center"/>
          </w:tcPr>
          <w:p w14:paraId="23E1CDA0">
            <w:pPr>
              <w:pStyle w:val="34"/>
            </w:pPr>
            <w:r>
              <w:t>84</w:t>
            </w:r>
          </w:p>
        </w:tc>
        <w:tc>
          <w:tcPr>
            <w:tcW w:w="588" w:type="pct"/>
            <w:tcBorders>
              <w:tl2br w:val="nil"/>
              <w:tr2bl w:val="nil"/>
            </w:tcBorders>
            <w:vAlign w:val="center"/>
          </w:tcPr>
          <w:p w14:paraId="289A3D28">
            <w:pPr>
              <w:pStyle w:val="34"/>
            </w:pPr>
            <w:r>
              <w:t>78</w:t>
            </w:r>
          </w:p>
        </w:tc>
        <w:tc>
          <w:tcPr>
            <w:tcW w:w="588" w:type="pct"/>
            <w:tcBorders>
              <w:tl2br w:val="nil"/>
              <w:tr2bl w:val="nil"/>
            </w:tcBorders>
            <w:vAlign w:val="center"/>
          </w:tcPr>
          <w:p w14:paraId="4028ECB1">
            <w:pPr>
              <w:pStyle w:val="34"/>
            </w:pPr>
            <w:r>
              <w:t>72</w:t>
            </w:r>
          </w:p>
        </w:tc>
        <w:tc>
          <w:tcPr>
            <w:tcW w:w="588" w:type="pct"/>
            <w:tcBorders>
              <w:tl2br w:val="nil"/>
              <w:tr2bl w:val="nil"/>
            </w:tcBorders>
            <w:vAlign w:val="center"/>
          </w:tcPr>
          <w:p w14:paraId="7D0D0EE0">
            <w:pPr>
              <w:pStyle w:val="34"/>
            </w:pPr>
            <w:r>
              <w:t>66</w:t>
            </w:r>
          </w:p>
        </w:tc>
        <w:tc>
          <w:tcPr>
            <w:tcW w:w="588" w:type="pct"/>
            <w:tcBorders>
              <w:tl2br w:val="nil"/>
              <w:tr2bl w:val="nil"/>
            </w:tcBorders>
            <w:vAlign w:val="center"/>
          </w:tcPr>
          <w:p w14:paraId="790099A3">
            <w:pPr>
              <w:pStyle w:val="34"/>
            </w:pPr>
            <w:r>
              <w:t>62</w:t>
            </w:r>
          </w:p>
        </w:tc>
        <w:tc>
          <w:tcPr>
            <w:tcW w:w="605" w:type="pct"/>
            <w:tcBorders>
              <w:tl2br w:val="nil"/>
              <w:tr2bl w:val="nil"/>
            </w:tcBorders>
            <w:vAlign w:val="center"/>
          </w:tcPr>
          <w:p w14:paraId="27130292">
            <w:pPr>
              <w:pStyle w:val="34"/>
            </w:pPr>
            <w:r>
              <w:t>58</w:t>
            </w:r>
          </w:p>
        </w:tc>
      </w:tr>
      <w:tr w14:paraId="4D8558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1" w:type="pct"/>
            <w:tcBorders>
              <w:tl2br w:val="nil"/>
              <w:tr2bl w:val="nil"/>
            </w:tcBorders>
            <w:vAlign w:val="center"/>
          </w:tcPr>
          <w:p w14:paraId="4DEF2589">
            <w:pPr>
              <w:pStyle w:val="34"/>
            </w:pPr>
            <w:r>
              <w:t>木工电锯</w:t>
            </w:r>
          </w:p>
        </w:tc>
        <w:tc>
          <w:tcPr>
            <w:tcW w:w="585" w:type="pct"/>
            <w:tcBorders>
              <w:tl2br w:val="nil"/>
              <w:tr2bl w:val="nil"/>
            </w:tcBorders>
            <w:vAlign w:val="center"/>
          </w:tcPr>
          <w:p w14:paraId="6A7FE9FC">
            <w:pPr>
              <w:pStyle w:val="34"/>
            </w:pPr>
            <w:r>
              <w:t>99</w:t>
            </w:r>
          </w:p>
        </w:tc>
        <w:tc>
          <w:tcPr>
            <w:tcW w:w="586" w:type="pct"/>
            <w:tcBorders>
              <w:tl2br w:val="nil"/>
              <w:tr2bl w:val="nil"/>
            </w:tcBorders>
            <w:vAlign w:val="center"/>
          </w:tcPr>
          <w:p w14:paraId="484053FE">
            <w:pPr>
              <w:pStyle w:val="34"/>
            </w:pPr>
            <w:r>
              <w:t>93</w:t>
            </w:r>
          </w:p>
        </w:tc>
        <w:tc>
          <w:tcPr>
            <w:tcW w:w="588" w:type="pct"/>
            <w:tcBorders>
              <w:tl2br w:val="nil"/>
              <w:tr2bl w:val="nil"/>
            </w:tcBorders>
            <w:vAlign w:val="center"/>
          </w:tcPr>
          <w:p w14:paraId="66E3233E">
            <w:pPr>
              <w:pStyle w:val="34"/>
            </w:pPr>
            <w:r>
              <w:t>87</w:t>
            </w:r>
          </w:p>
        </w:tc>
        <w:tc>
          <w:tcPr>
            <w:tcW w:w="588" w:type="pct"/>
            <w:tcBorders>
              <w:tl2br w:val="nil"/>
              <w:tr2bl w:val="nil"/>
            </w:tcBorders>
            <w:vAlign w:val="center"/>
          </w:tcPr>
          <w:p w14:paraId="32CBF7E9">
            <w:pPr>
              <w:pStyle w:val="34"/>
            </w:pPr>
            <w:r>
              <w:t>81</w:t>
            </w:r>
          </w:p>
        </w:tc>
        <w:tc>
          <w:tcPr>
            <w:tcW w:w="588" w:type="pct"/>
            <w:tcBorders>
              <w:tl2br w:val="nil"/>
              <w:tr2bl w:val="nil"/>
            </w:tcBorders>
            <w:vAlign w:val="center"/>
          </w:tcPr>
          <w:p w14:paraId="55F27F2F">
            <w:pPr>
              <w:pStyle w:val="34"/>
            </w:pPr>
            <w:r>
              <w:t>75</w:t>
            </w:r>
          </w:p>
        </w:tc>
        <w:tc>
          <w:tcPr>
            <w:tcW w:w="588" w:type="pct"/>
            <w:tcBorders>
              <w:tl2br w:val="nil"/>
              <w:tr2bl w:val="nil"/>
            </w:tcBorders>
            <w:vAlign w:val="center"/>
          </w:tcPr>
          <w:p w14:paraId="53060A3C">
            <w:pPr>
              <w:pStyle w:val="34"/>
            </w:pPr>
            <w:r>
              <w:t>71</w:t>
            </w:r>
          </w:p>
        </w:tc>
        <w:tc>
          <w:tcPr>
            <w:tcW w:w="605" w:type="pct"/>
            <w:tcBorders>
              <w:tl2br w:val="nil"/>
              <w:tr2bl w:val="nil"/>
            </w:tcBorders>
            <w:vAlign w:val="center"/>
          </w:tcPr>
          <w:p w14:paraId="29C389AC">
            <w:pPr>
              <w:pStyle w:val="34"/>
            </w:pPr>
            <w:r>
              <w:t>67</w:t>
            </w:r>
          </w:p>
        </w:tc>
      </w:tr>
    </w:tbl>
    <w:p w14:paraId="0F95E976">
      <w:pPr>
        <w:pStyle w:val="49"/>
      </w:pPr>
      <w:r>
        <w:t>（2）施工噪声预测结果及影响分析</w:t>
      </w:r>
    </w:p>
    <w:p w14:paraId="0529FF2E">
      <w:pPr>
        <w:pStyle w:val="49"/>
      </w:pPr>
      <w:r>
        <w:t>1）厂址区域</w:t>
      </w:r>
    </w:p>
    <w:p w14:paraId="372F3ABD">
      <w:pPr>
        <w:pStyle w:val="49"/>
      </w:pPr>
      <w:r>
        <w:rPr>
          <w:rFonts w:ascii="Cambria Math" w:hAnsi="Cambria Math" w:cs="Cambria Math"/>
        </w:rPr>
        <w:t>①</w:t>
      </w:r>
      <w:r>
        <w:t>施工期一般为露天作业，无隔声与消声措施；施工场地内机械设备大多属于移动声源，要准确预测施工场地各场界噪声值较为困难，因此本次影响评价仅针对各噪声源单独作用时的超标范围进行预测。</w:t>
      </w:r>
    </w:p>
    <w:p w14:paraId="29ED32E3">
      <w:pPr>
        <w:pStyle w:val="49"/>
      </w:pPr>
      <w:r>
        <w:rPr>
          <w:rFonts w:ascii="Cambria Math" w:hAnsi="Cambria Math" w:cs="Cambria Math"/>
        </w:rPr>
        <w:t>②</w:t>
      </w:r>
      <w:r>
        <w:t>根据施工机械环境噪声源及噪声影响预测结果可知，施工机械噪声级较高，对空旷地带声传播距离较远，昼间施工机械影响范围主要集中在120m范围内。夜间若施工影响范围则较远，部分机械200m外仍超标。</w:t>
      </w:r>
    </w:p>
    <w:p w14:paraId="0BC5FA39">
      <w:pPr>
        <w:pStyle w:val="49"/>
      </w:pPr>
      <w:r>
        <w:rPr>
          <w:rFonts w:ascii="Cambria Math" w:hAnsi="Cambria Math" w:cs="Cambria Math"/>
        </w:rPr>
        <w:t>③</w:t>
      </w:r>
      <w:r>
        <w:t>本次预测未考虑空气吸收、地面效应、屏障等引起的噪声衰减，另外施工期各机械设备多为间歇性作业，所以，实际施工期等效连续噪声值较以上预测值要小。</w:t>
      </w:r>
    </w:p>
    <w:p w14:paraId="451D0252">
      <w:pPr>
        <w:pStyle w:val="49"/>
      </w:pPr>
      <w:r>
        <w:t>根据调查，本项目拟建厂区200m范围内无集中居民居住区、学校、医院等声环境敏感点。噪声随着施工结束，这种影响将消失。因此，施工期噪声对外环境影响不大。</w:t>
      </w:r>
    </w:p>
    <w:p w14:paraId="04EEE4AD">
      <w:pPr>
        <w:pStyle w:val="49"/>
      </w:pPr>
      <w:r>
        <w:t>2）运输线路</w:t>
      </w:r>
    </w:p>
    <w:p w14:paraId="5BC76F01">
      <w:pPr>
        <w:pStyle w:val="49"/>
      </w:pPr>
      <w:r>
        <w:t>施工期间运输建筑物料车辆增多，将会增加道路车流量及沿线交通噪声污染。</w:t>
      </w:r>
    </w:p>
    <w:p w14:paraId="0CFA4F02">
      <w:pPr>
        <w:pStyle w:val="49"/>
      </w:pPr>
      <w:r>
        <w:t>根据类比同类噪声监测，该类运输车辆噪声级一般在75~85dB（A），属间断运行。通过加强管理，禁止车辆鸣笛，施工期间运输车辆产生噪声污染是暂时的，一般不会对沿线居民生活造成大的影响。</w:t>
      </w:r>
    </w:p>
    <w:p w14:paraId="79B5CACD">
      <w:pPr>
        <w:pStyle w:val="5"/>
        <w:spacing w:before="120"/>
      </w:pPr>
      <w:r>
        <w:fldChar w:fldCharType="begin"/>
      </w:r>
      <w:r>
        <w:instrText xml:space="preserve"> HYPERLINK \l "_Toc29521" </w:instrText>
      </w:r>
      <w:r>
        <w:fldChar w:fldCharType="separate"/>
      </w:r>
      <w:r>
        <w:t>施工期固体废物影响分析</w:t>
      </w:r>
      <w:r>
        <w:fldChar w:fldCharType="end"/>
      </w:r>
    </w:p>
    <w:p w14:paraId="4E321AD3">
      <w:pPr>
        <w:pStyle w:val="49"/>
      </w:pPr>
      <w:r>
        <w:t>施工期的固废主要为生活垃圾、施工土石方及建筑垃圾等固体废物。</w:t>
      </w:r>
    </w:p>
    <w:p w14:paraId="733BF055">
      <w:pPr>
        <w:pStyle w:val="49"/>
      </w:pPr>
      <w:r>
        <w:t>（1）生活垃圾</w:t>
      </w:r>
    </w:p>
    <w:p w14:paraId="5D7FEB5B">
      <w:pPr>
        <w:pStyle w:val="49"/>
      </w:pPr>
      <w:r>
        <w:t>本项目施工期生活垃圾产生总量3.96t，定点堆放，由环卫部门统一清运至当地垃圾填埋场处置。</w:t>
      </w:r>
    </w:p>
    <w:p w14:paraId="0F74F347">
      <w:pPr>
        <w:pStyle w:val="49"/>
      </w:pPr>
      <w:r>
        <w:t>（2）施工土石方及建筑垃圾</w:t>
      </w:r>
    </w:p>
    <w:p w14:paraId="14A5AFE1">
      <w:pPr>
        <w:pStyle w:val="49"/>
      </w:pPr>
      <w:r>
        <w:t>施工期厂房基础建设、沉淀池等开挖产生的土石方量，厂区比较平整，且项目挖方量较小，基本可实现挖填平衡。施工期产生的建筑垃圾主要包括砂石、石块、碎砖瓦、废木料、废金属、废钢筋等。产生的废木料、废金属和废钢筋，可分类进行回收。对于不能回收的建筑垃圾，如砂石、石块、碎砖瓦等，经集中收集后拉运至建筑垃圾填埋场填埋处置。</w:t>
      </w:r>
    </w:p>
    <w:p w14:paraId="33591059">
      <w:pPr>
        <w:pStyle w:val="49"/>
      </w:pPr>
      <w:r>
        <w:t>通过采取以上措施，施工固体废物得以合理处置，对周围环境影响不大。</w:t>
      </w:r>
    </w:p>
    <w:p w14:paraId="7AD4F65A">
      <w:pPr>
        <w:pStyle w:val="5"/>
        <w:spacing w:before="120"/>
      </w:pPr>
      <w:r>
        <w:fldChar w:fldCharType="begin"/>
      </w:r>
      <w:r>
        <w:instrText xml:space="preserve"> HYPERLINK \l "_Toc24048" </w:instrText>
      </w:r>
      <w:r>
        <w:fldChar w:fldCharType="separate"/>
      </w:r>
      <w:r>
        <w:t>施工期生态环境影响分析</w:t>
      </w:r>
      <w:r>
        <w:fldChar w:fldCharType="end"/>
      </w:r>
    </w:p>
    <w:p w14:paraId="56FBDA99">
      <w:pPr>
        <w:pStyle w:val="49"/>
      </w:pPr>
      <w:r>
        <w:t>施工前进行场地平整，将会剥离一定厚度的表土，土方施工产生的表层土及剩余土方在场内进行临时贮存，极易形成新的水土流失源。在对施工过程场地四周设围挡，对临时堆土覆盖土工布，四周设截水沟情况下，场地施工土方不会随雨水流出场地，则不会产生新的水土流失影响。</w:t>
      </w:r>
    </w:p>
    <w:p w14:paraId="16FDFBD2">
      <w:pPr>
        <w:pStyle w:val="49"/>
      </w:pPr>
      <w:r>
        <w:t>施工期运输建筑材料、土方等均依托现有道路。运土车和混凝土搅拌车会增加周边道路的交通压力，由于项目建设地点远离城市中心和交通干道，周边道路的车流量小，对交通的影响不大，这种影响将随着工程建设结束而消失，对周围交通影响不大。</w:t>
      </w:r>
    </w:p>
    <w:p w14:paraId="28B271C5">
      <w:pPr>
        <w:pStyle w:val="5"/>
        <w:spacing w:before="120"/>
      </w:pPr>
      <w:r>
        <w:t>防沙治沙</w:t>
      </w:r>
    </w:p>
    <w:p w14:paraId="60C35B2C">
      <w:pPr>
        <w:pStyle w:val="49"/>
      </w:pPr>
      <w:r>
        <w:t>项目建设过程中对原有地表造成扰动，造成地表原有结构的破坏，可能导致沙化进一步加剧。</w:t>
      </w:r>
    </w:p>
    <w:p w14:paraId="418D8133">
      <w:pPr>
        <w:pStyle w:val="49"/>
      </w:pPr>
      <w:r>
        <w:t>上述施工作业过程中，对原地貌的扰动大大降低了项目占地范围内的土壤抗侵蚀能力，若未采取相应的防护措施，遇大风天气，极易加重区域沙尘天气。</w:t>
      </w:r>
    </w:p>
    <w:p w14:paraId="6CA24FAD">
      <w:pPr>
        <w:pStyle w:val="49"/>
      </w:pPr>
      <w:r>
        <w:t>针对施工机械及运输车辆，提出如下措施：施工期间应划定施工活动范围，严格控制和管理运输车辆及重型机械的运输路线和范围，不得离开运输道路随意行驶，由专人负责，以防破坏土壤和植被，加剧土地荒漠化。</w:t>
      </w:r>
    </w:p>
    <w:p w14:paraId="29D78AFF">
      <w:pPr>
        <w:pStyle w:val="4"/>
      </w:pPr>
      <w:bookmarkStart w:id="194" w:name="_Toc28559"/>
      <w:bookmarkStart w:id="195" w:name="_Toc27099"/>
      <w:bookmarkStart w:id="196" w:name="_Toc207208398"/>
      <w:r>
        <w:t>运营期环境影响预测与评价</w:t>
      </w:r>
      <w:bookmarkEnd w:id="194"/>
      <w:bookmarkEnd w:id="195"/>
      <w:bookmarkEnd w:id="196"/>
    </w:p>
    <w:p w14:paraId="4CFC28E2">
      <w:pPr>
        <w:pStyle w:val="5"/>
        <w:spacing w:before="120"/>
      </w:pPr>
      <w:bookmarkStart w:id="197" w:name="_Hlk172058667"/>
      <w:r>
        <w:t>运营期大气环境影响预测与评价</w:t>
      </w:r>
    </w:p>
    <w:bookmarkEnd w:id="197"/>
    <w:p w14:paraId="53B9F65B">
      <w:pPr>
        <w:pStyle w:val="6"/>
        <w:spacing w:before="120" w:after="120"/>
      </w:pPr>
      <w:bookmarkStart w:id="198" w:name="_Toc533018342"/>
      <w:bookmarkStart w:id="199" w:name="_Toc533186027"/>
      <w:r>
        <w:t>预测模式选择及相关情况说明</w:t>
      </w:r>
      <w:bookmarkEnd w:id="198"/>
      <w:bookmarkEnd w:id="199"/>
    </w:p>
    <w:p w14:paraId="202CF473">
      <w:pPr>
        <w:pStyle w:val="49"/>
      </w:pPr>
      <w:r>
        <w:t>（1）预测模式选取</w:t>
      </w:r>
    </w:p>
    <w:p w14:paraId="77AAAF20">
      <w:pPr>
        <w:pStyle w:val="49"/>
      </w:pPr>
      <w:r>
        <w:t>根据模型计算统计，风速≤0.5m/s的最大持续小时=10h，选取AERMOD模型计算，该模型是美国国家环保署与美国气象学会联合开发的新扩散模型，主要包括三个方面的内容：AERMOD（AERMIC扩散模型）、AERMAP（AERMOD地形预处理）和AERMET（AERMOD气象预处理）。</w:t>
      </w:r>
    </w:p>
    <w:p w14:paraId="6A0D462C">
      <w:pPr>
        <w:pStyle w:val="49"/>
      </w:pPr>
      <w:r>
        <w:t>AERMOD是一个稳态烟羽扩散模式，可基于大气边界层数据特征模拟点源、面源、体源等排放出的污染物在短期（小时平均、日平均）、长期（年平均）的浓度分布，适用于农村或城市地区、简单或复杂地形。AERMOD模式使用每小时连续预处理气象数据模拟大于等于1小时平均时间的浓度分布。</w:t>
      </w:r>
    </w:p>
    <w:p w14:paraId="1A4A0763">
      <w:pPr>
        <w:pStyle w:val="49"/>
      </w:pPr>
      <w:r>
        <w:t>（2）气象参数</w:t>
      </w:r>
    </w:p>
    <w:p w14:paraId="250A2F0B">
      <w:pPr>
        <w:pStyle w:val="49"/>
      </w:pPr>
      <w:r>
        <w:t>地面气象资料使用2023年逐时气象场（温度场，风场），主要包括风速、风向、总云量、低云量和干球温度等。</w:t>
      </w:r>
    </w:p>
    <w:p w14:paraId="12BB76D1">
      <w:pPr>
        <w:pStyle w:val="49"/>
      </w:pPr>
      <w:r>
        <w:t>高空数据采用MM5高空气象模拟数据，数据来自生态环境部环境工程评估中心。</w:t>
      </w:r>
    </w:p>
    <w:p w14:paraId="3CC9DDC8">
      <w:pPr>
        <w:pStyle w:val="49"/>
      </w:pPr>
      <w:r>
        <w:t>（3）地理地形参数</w:t>
      </w:r>
    </w:p>
    <w:p w14:paraId="50265784">
      <w:pPr>
        <w:pStyle w:val="49"/>
      </w:pPr>
      <w:r>
        <w:t>地理地形参数包括计算区的海拔高度，土地利用类型，海拔高度及土地利用类型由计算区域的卫星遥感影像图及数字高程DEM数据提取。</w:t>
      </w:r>
      <w:bookmarkStart w:id="200" w:name="_Toc533018349"/>
      <w:bookmarkStart w:id="201" w:name="_Toc533186034"/>
      <w:bookmarkStart w:id="202" w:name="_Toc400803374"/>
    </w:p>
    <w:bookmarkEnd w:id="200"/>
    <w:bookmarkEnd w:id="201"/>
    <w:p w14:paraId="69F8452F">
      <w:pPr>
        <w:pStyle w:val="6"/>
        <w:spacing w:before="120" w:after="120"/>
      </w:pPr>
      <w:bookmarkStart w:id="203" w:name="_Toc533018350"/>
      <w:r>
        <w:t>大气环境防护距离及卫生防护距离</w:t>
      </w:r>
    </w:p>
    <w:p w14:paraId="7482FAEE">
      <w:pPr>
        <w:ind w:firstLine="480"/>
        <w:rPr>
          <w:kern w:val="11"/>
          <w:szCs w:val="28"/>
        </w:rPr>
      </w:pPr>
      <w:r>
        <w:rPr>
          <w:kern w:val="11"/>
          <w:szCs w:val="28"/>
        </w:rPr>
        <w:t>1）大气防护距离</w:t>
      </w:r>
    </w:p>
    <w:p w14:paraId="5FE17B03">
      <w:pPr>
        <w:ind w:firstLine="480"/>
        <w:rPr>
          <w:kern w:val="11"/>
          <w:szCs w:val="28"/>
        </w:rPr>
      </w:pPr>
      <w:r>
        <w:rPr>
          <w:kern w:val="11"/>
          <w:szCs w:val="28"/>
        </w:rPr>
        <w:t>（1）环境防护距离计算方法</w:t>
      </w:r>
    </w:p>
    <w:p w14:paraId="68391A59">
      <w:pPr>
        <w:rPr>
          <w:kern w:val="0"/>
        </w:rPr>
      </w:pPr>
      <w:r>
        <w:rPr>
          <w:kern w:val="11"/>
          <w:szCs w:val="28"/>
        </w:rPr>
        <w:t>根据《环境影响评价技术导则</w:t>
      </w:r>
      <w:r>
        <w:t xml:space="preserve">  </w:t>
      </w:r>
      <w:r>
        <w:rPr>
          <w:kern w:val="11"/>
          <w:szCs w:val="28"/>
        </w:rPr>
        <w:t>大气环境》（HJ2.2-2018），使用AERMOD模型预测本项目污染源所有污染因子对厂址附近网格点（网格间距取100m）的</w:t>
      </w:r>
      <w:r>
        <w:t>PM</w:t>
      </w:r>
      <w:r>
        <w:rPr>
          <w:vertAlign w:val="subscript"/>
        </w:rPr>
        <w:t>10</w:t>
      </w:r>
      <w:r>
        <w:t>、SO</w:t>
      </w:r>
      <w:r>
        <w:rPr>
          <w:vertAlign w:val="subscript"/>
        </w:rPr>
        <w:t>2</w:t>
      </w:r>
      <w:r>
        <w:t>、NO</w:t>
      </w:r>
      <w:r>
        <w:rPr>
          <w:vertAlign w:val="subscript"/>
        </w:rPr>
        <w:t>X</w:t>
      </w:r>
      <w:r>
        <w:t>、氟化物、TSP、NH</w:t>
      </w:r>
      <w:r>
        <w:rPr>
          <w:vertAlign w:val="subscript"/>
        </w:rPr>
        <w:t>3</w:t>
      </w:r>
      <w:r>
        <w:t>、二噁英类。</w:t>
      </w:r>
    </w:p>
    <w:p w14:paraId="71B4B6A0">
      <w:pPr>
        <w:ind w:firstLine="480"/>
      </w:pPr>
      <w:r>
        <w:t>（2）计算结果</w:t>
      </w:r>
    </w:p>
    <w:p w14:paraId="3CCF005A">
      <w:pPr>
        <w:ind w:firstLine="480"/>
        <w:rPr>
          <w:kern w:val="11"/>
        </w:rPr>
      </w:pPr>
      <w:r>
        <w:t>根据《环境影响评价技术导则—大气环境》（HJ2.2-2018），使用进一步预测模型AERMOD进行预测，根</w:t>
      </w:r>
      <w:r>
        <w:rPr>
          <w:kern w:val="11"/>
          <w:szCs w:val="28"/>
        </w:rPr>
        <w:t>据预测结果，本项目污染源对厂址附近的</w:t>
      </w:r>
      <w:r>
        <w:t>PM</w:t>
      </w:r>
      <w:r>
        <w:rPr>
          <w:vertAlign w:val="subscript"/>
        </w:rPr>
        <w:t>10</w:t>
      </w:r>
      <w:r>
        <w:t>、SO</w:t>
      </w:r>
      <w:r>
        <w:rPr>
          <w:vertAlign w:val="subscript"/>
        </w:rPr>
        <w:t>2</w:t>
      </w:r>
      <w:r>
        <w:t>、NO</w:t>
      </w:r>
      <w:r>
        <w:rPr>
          <w:vertAlign w:val="subscript"/>
        </w:rPr>
        <w:t>X</w:t>
      </w:r>
      <w:r>
        <w:t>、氟化物、TSP、NH</w:t>
      </w:r>
      <w:r>
        <w:rPr>
          <w:vertAlign w:val="subscript"/>
        </w:rPr>
        <w:t>3</w:t>
      </w:r>
      <w:r>
        <w:t>及二噁英类</w:t>
      </w:r>
      <w:r>
        <w:rPr>
          <w:kern w:val="11"/>
        </w:rPr>
        <w:t>短期浓度均无超标点，因此计算无环境防护距离。</w:t>
      </w:r>
    </w:p>
    <w:p w14:paraId="6C4D49A5">
      <w:pPr>
        <w:ind w:firstLine="480"/>
      </w:pPr>
      <w:r>
        <w:t>2）卫生防护距离</w:t>
      </w:r>
    </w:p>
    <w:p w14:paraId="6C0F2DAF">
      <w:pPr>
        <w:ind w:firstLine="480"/>
      </w:pPr>
      <w:r>
        <w:t>卫生防护距离系指为了防控通过无组织排放的大气污染物的健康危害，产生大气有害物质的生产单元（生产车间或作业场所）的边界至敏感区边界的最小距离。</w:t>
      </w:r>
    </w:p>
    <w:p w14:paraId="1D587E66">
      <w:pPr>
        <w:ind w:firstLine="480"/>
      </w:pPr>
      <w:r>
        <w:rPr>
          <w:rFonts w:ascii="Cambria Math" w:hAnsi="Cambria Math" w:cs="Cambria Math"/>
        </w:rPr>
        <w:t>①</w:t>
      </w:r>
      <w:r>
        <w:t>卫生防护距离初值计算</w:t>
      </w:r>
    </w:p>
    <w:p w14:paraId="66F5D137">
      <w:pPr>
        <w:ind w:firstLine="480"/>
      </w:pPr>
      <w:r>
        <w:t>根据《大气有害物质无组织排放卫生防护距离推导技术导则》（GB/T39499-2020），卫生防护距离初值采用GB/T3840-1991中7.4推荐的估算方法进行。具体公式如下：</w:t>
      </w:r>
    </w:p>
    <w:p w14:paraId="7F6813BA">
      <w:pPr>
        <w:ind w:firstLine="1920" w:firstLineChars="800"/>
      </w:pPr>
      <w:r>
        <w:rPr>
          <w:position w:val="-30"/>
        </w:rPr>
        <w:object>
          <v:shape id="_x0000_i1032" o:spt="75" type="#_x0000_t75" style="height:36pt;width:144pt;" o:ole="t" filled="f" o:preferrelative="t" stroked="f" coordsize="21600,21600">
            <v:path/>
            <v:fill on="f" focussize="0,0"/>
            <v:stroke on="f" joinstyle="miter"/>
            <v:imagedata r:id="rId29" o:title=""/>
            <o:lock v:ext="edit" aspectratio="t"/>
            <w10:wrap type="none"/>
            <w10:anchorlock/>
          </v:shape>
          <o:OLEObject Type="Embed" ProgID="Equation.3" ShapeID="_x0000_i1032" DrawAspect="Content" ObjectID="_1468075732" r:id="rId28">
            <o:LockedField>false</o:LockedField>
          </o:OLEObject>
        </w:object>
      </w:r>
    </w:p>
    <w:p w14:paraId="56C9C439">
      <w:pPr>
        <w:pBdr>
          <w:right w:val="single" w:color="000000" w:sz="12" w:space="0"/>
        </w:pBdr>
        <w:spacing w:line="480" w:lineRule="exact"/>
        <w:ind w:firstLine="480"/>
      </w:pPr>
      <w:r>
        <w:t>式中：Qc——大气有害物质的无组织排放量，kg/h；</w:t>
      </w:r>
    </w:p>
    <w:p w14:paraId="1579B014">
      <w:pPr>
        <w:spacing w:line="480" w:lineRule="exact"/>
        <w:ind w:firstLine="480"/>
      </w:pPr>
      <w:r>
        <w:t xml:space="preserve">      Cm——大气有害物质环境空气质量的标准限值，mg/m</w:t>
      </w:r>
      <w:r>
        <w:rPr>
          <w:vertAlign w:val="superscript"/>
        </w:rPr>
        <w:t>3</w:t>
      </w:r>
      <w:r>
        <w:t>；</w:t>
      </w:r>
    </w:p>
    <w:p w14:paraId="78649BEB">
      <w:pPr>
        <w:spacing w:line="480" w:lineRule="exact"/>
        <w:ind w:firstLine="480"/>
      </w:pPr>
      <w:r>
        <w:t xml:space="preserve">      L——大气有害物质卫生防护距离初值，m；</w:t>
      </w:r>
    </w:p>
    <w:p w14:paraId="46BE9077">
      <w:pPr>
        <w:spacing w:line="480" w:lineRule="exact"/>
        <w:ind w:firstLine="480"/>
      </w:pPr>
      <w:r>
        <w:t xml:space="preserve">      r ——大气有害物质无组织排放源等效半径，m；r=(S/π)0.5</w:t>
      </w:r>
    </w:p>
    <w:p w14:paraId="17B8F615">
      <w:pPr>
        <w:numPr>
          <w:ilvl w:val="0"/>
          <w:numId w:val="8"/>
        </w:numPr>
        <w:spacing w:line="480" w:lineRule="exact"/>
        <w:ind w:left="480" w:leftChars="200" w:firstLine="720" w:firstLineChars="300"/>
      </w:pPr>
      <w:r>
        <w:t>B、C、D——卫生防护距离初值计算系数，无因次。根据工业企业所在地区近5年平均风速及大气污染源构成类别从表1查取。</w:t>
      </w:r>
    </w:p>
    <w:p w14:paraId="2DC536BB">
      <w:pPr>
        <w:pStyle w:val="40"/>
        <w:spacing w:before="120"/>
        <w:rPr>
          <w:lang w:val="zh-CN"/>
        </w:rPr>
      </w:pPr>
      <w:r>
        <w:rPr>
          <w:lang w:val="zh-CN"/>
        </w:rPr>
        <w:t>表</w:t>
      </w:r>
      <w:r>
        <w:t>6.2.1-24</w:t>
      </w:r>
      <w:r>
        <w:rPr>
          <w:lang w:val="zh-CN"/>
        </w:rPr>
        <w:t xml:space="preserve">    卫生防护距离计算系数（GB/T13201-91）</w:t>
      </w:r>
    </w:p>
    <w:tbl>
      <w:tblPr>
        <w:tblStyle w:val="44"/>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014"/>
        <w:gridCol w:w="814"/>
        <w:gridCol w:w="815"/>
        <w:gridCol w:w="820"/>
        <w:gridCol w:w="815"/>
        <w:gridCol w:w="815"/>
        <w:gridCol w:w="820"/>
        <w:gridCol w:w="815"/>
        <w:gridCol w:w="815"/>
        <w:gridCol w:w="823"/>
      </w:tblGrid>
      <w:tr w14:paraId="2F3E0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Merge w:val="restart"/>
            <w:vAlign w:val="center"/>
          </w:tcPr>
          <w:p w14:paraId="01D17922">
            <w:pPr>
              <w:pStyle w:val="34"/>
              <w:rPr>
                <w:rFonts w:ascii="Calibri" w:hAnsi="Calibri"/>
              </w:rPr>
            </w:pPr>
            <w:r>
              <w:rPr>
                <w:rFonts w:ascii="Calibri" w:hAnsi="Calibri"/>
              </w:rPr>
              <w:t>计算系数</w:t>
            </w:r>
          </w:p>
        </w:tc>
        <w:tc>
          <w:tcPr>
            <w:tcW w:w="573" w:type="pct"/>
            <w:vMerge w:val="restart"/>
            <w:vAlign w:val="center"/>
          </w:tcPr>
          <w:p w14:paraId="5C20AE9E">
            <w:pPr>
              <w:pStyle w:val="34"/>
              <w:rPr>
                <w:rFonts w:ascii="Calibri" w:hAnsi="Calibri"/>
              </w:rPr>
            </w:pPr>
            <w:r>
              <w:rPr>
                <w:rFonts w:ascii="Calibri" w:hAnsi="Calibri"/>
              </w:rPr>
              <w:t>工业企业所在地近5年平均风速</w:t>
            </w:r>
          </w:p>
        </w:tc>
        <w:tc>
          <w:tcPr>
            <w:tcW w:w="4150" w:type="pct"/>
            <w:gridSpan w:val="9"/>
            <w:vAlign w:val="center"/>
          </w:tcPr>
          <w:p w14:paraId="6CD7D61D">
            <w:pPr>
              <w:pStyle w:val="34"/>
              <w:rPr>
                <w:rFonts w:ascii="Calibri" w:hAnsi="Calibri"/>
              </w:rPr>
            </w:pPr>
            <w:r>
              <w:rPr>
                <w:rFonts w:ascii="Calibri" w:hAnsi="Calibri"/>
              </w:rPr>
              <w:t>卫生防护距离L（m）</w:t>
            </w:r>
          </w:p>
        </w:tc>
      </w:tr>
      <w:tr w14:paraId="79257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Merge w:val="continue"/>
            <w:vAlign w:val="center"/>
          </w:tcPr>
          <w:p w14:paraId="7A34F6D6">
            <w:pPr>
              <w:pStyle w:val="34"/>
              <w:rPr>
                <w:rFonts w:ascii="Calibri" w:hAnsi="Calibri"/>
              </w:rPr>
            </w:pPr>
          </w:p>
        </w:tc>
        <w:tc>
          <w:tcPr>
            <w:tcW w:w="573" w:type="pct"/>
            <w:vMerge w:val="continue"/>
            <w:vAlign w:val="center"/>
          </w:tcPr>
          <w:p w14:paraId="5CEE756A">
            <w:pPr>
              <w:pStyle w:val="34"/>
              <w:rPr>
                <w:rFonts w:ascii="Calibri" w:hAnsi="Calibri"/>
              </w:rPr>
            </w:pPr>
          </w:p>
        </w:tc>
        <w:tc>
          <w:tcPr>
            <w:tcW w:w="1383" w:type="pct"/>
            <w:gridSpan w:val="3"/>
            <w:vAlign w:val="center"/>
          </w:tcPr>
          <w:p w14:paraId="431B3F25">
            <w:pPr>
              <w:pStyle w:val="34"/>
              <w:rPr>
                <w:rFonts w:ascii="Calibri" w:hAnsi="Calibri"/>
              </w:rPr>
            </w:pPr>
            <w:r>
              <w:rPr>
                <w:rFonts w:ascii="Calibri" w:hAnsi="Calibri"/>
              </w:rPr>
              <w:t>L≤1000</w:t>
            </w:r>
          </w:p>
        </w:tc>
        <w:tc>
          <w:tcPr>
            <w:tcW w:w="1383" w:type="pct"/>
            <w:gridSpan w:val="3"/>
            <w:vAlign w:val="center"/>
          </w:tcPr>
          <w:p w14:paraId="07524DE7">
            <w:pPr>
              <w:pStyle w:val="34"/>
              <w:rPr>
                <w:rFonts w:ascii="Calibri" w:hAnsi="Calibri"/>
              </w:rPr>
            </w:pPr>
            <w:r>
              <w:rPr>
                <w:rFonts w:ascii="Calibri" w:hAnsi="Calibri"/>
              </w:rPr>
              <w:t>1000&lt;L≤2000</w:t>
            </w:r>
          </w:p>
        </w:tc>
        <w:tc>
          <w:tcPr>
            <w:tcW w:w="1384" w:type="pct"/>
            <w:gridSpan w:val="3"/>
            <w:vAlign w:val="center"/>
          </w:tcPr>
          <w:p w14:paraId="7B835A20">
            <w:pPr>
              <w:pStyle w:val="34"/>
              <w:rPr>
                <w:rFonts w:ascii="Calibri" w:hAnsi="Calibri"/>
              </w:rPr>
            </w:pPr>
            <w:r>
              <w:rPr>
                <w:rFonts w:ascii="Calibri" w:hAnsi="Calibri"/>
              </w:rPr>
              <w:t>L&gt;2000</w:t>
            </w:r>
          </w:p>
        </w:tc>
      </w:tr>
      <w:tr w14:paraId="28594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Merge w:val="continue"/>
            <w:vAlign w:val="center"/>
          </w:tcPr>
          <w:p w14:paraId="2DF46437">
            <w:pPr>
              <w:pStyle w:val="34"/>
              <w:rPr>
                <w:rFonts w:ascii="Calibri" w:hAnsi="Calibri"/>
              </w:rPr>
            </w:pPr>
          </w:p>
        </w:tc>
        <w:tc>
          <w:tcPr>
            <w:tcW w:w="573" w:type="pct"/>
            <w:vMerge w:val="continue"/>
            <w:vAlign w:val="center"/>
          </w:tcPr>
          <w:p w14:paraId="13B5623B">
            <w:pPr>
              <w:pStyle w:val="34"/>
              <w:rPr>
                <w:rFonts w:ascii="Calibri" w:hAnsi="Calibri"/>
              </w:rPr>
            </w:pPr>
          </w:p>
        </w:tc>
        <w:tc>
          <w:tcPr>
            <w:tcW w:w="4150" w:type="pct"/>
            <w:gridSpan w:val="9"/>
            <w:vAlign w:val="center"/>
          </w:tcPr>
          <w:p w14:paraId="30863984">
            <w:pPr>
              <w:pStyle w:val="34"/>
              <w:rPr>
                <w:rFonts w:ascii="Calibri" w:hAnsi="Calibri"/>
              </w:rPr>
            </w:pPr>
            <w:r>
              <w:rPr>
                <w:rFonts w:ascii="Calibri" w:hAnsi="Calibri"/>
              </w:rPr>
              <w:t>工业企业大气污染源构成类别</w:t>
            </w:r>
          </w:p>
        </w:tc>
      </w:tr>
      <w:tr w14:paraId="05D21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Merge w:val="continue"/>
            <w:vAlign w:val="center"/>
          </w:tcPr>
          <w:p w14:paraId="04E24CC0">
            <w:pPr>
              <w:pStyle w:val="34"/>
              <w:rPr>
                <w:rFonts w:ascii="Calibri" w:hAnsi="Calibri"/>
              </w:rPr>
            </w:pPr>
          </w:p>
        </w:tc>
        <w:tc>
          <w:tcPr>
            <w:tcW w:w="573" w:type="pct"/>
            <w:vMerge w:val="continue"/>
            <w:vAlign w:val="center"/>
          </w:tcPr>
          <w:p w14:paraId="78A723E9">
            <w:pPr>
              <w:pStyle w:val="34"/>
              <w:rPr>
                <w:rFonts w:ascii="Calibri" w:hAnsi="Calibri"/>
              </w:rPr>
            </w:pPr>
          </w:p>
        </w:tc>
        <w:tc>
          <w:tcPr>
            <w:tcW w:w="460" w:type="pct"/>
            <w:vAlign w:val="center"/>
          </w:tcPr>
          <w:p w14:paraId="3F198A65">
            <w:pPr>
              <w:pStyle w:val="34"/>
              <w:rPr>
                <w:rFonts w:ascii="Calibri" w:hAnsi="Calibri"/>
              </w:rPr>
            </w:pPr>
            <w:r>
              <w:rPr>
                <w:rFonts w:ascii="Calibri" w:hAnsi="Calibri"/>
              </w:rPr>
              <w:t>Ⅰ</w:t>
            </w:r>
          </w:p>
        </w:tc>
        <w:tc>
          <w:tcPr>
            <w:tcW w:w="460" w:type="pct"/>
            <w:vAlign w:val="center"/>
          </w:tcPr>
          <w:p w14:paraId="51DF1C22">
            <w:pPr>
              <w:pStyle w:val="34"/>
              <w:rPr>
                <w:rFonts w:ascii="Calibri" w:hAnsi="Calibri"/>
              </w:rPr>
            </w:pPr>
            <w:r>
              <w:rPr>
                <w:rFonts w:ascii="Calibri" w:hAnsi="Calibri"/>
              </w:rPr>
              <w:t>Ⅱ</w:t>
            </w:r>
          </w:p>
        </w:tc>
        <w:tc>
          <w:tcPr>
            <w:tcW w:w="461" w:type="pct"/>
            <w:vAlign w:val="center"/>
          </w:tcPr>
          <w:p w14:paraId="77471D37">
            <w:pPr>
              <w:pStyle w:val="34"/>
              <w:rPr>
                <w:rFonts w:ascii="Calibri" w:hAnsi="Calibri"/>
              </w:rPr>
            </w:pPr>
            <w:r>
              <w:rPr>
                <w:rFonts w:ascii="Calibri" w:hAnsi="Calibri"/>
              </w:rPr>
              <w:t>Ⅲ</w:t>
            </w:r>
          </w:p>
        </w:tc>
        <w:tc>
          <w:tcPr>
            <w:tcW w:w="460" w:type="pct"/>
            <w:vAlign w:val="center"/>
          </w:tcPr>
          <w:p w14:paraId="7E38B127">
            <w:pPr>
              <w:pStyle w:val="34"/>
              <w:rPr>
                <w:rFonts w:ascii="Calibri" w:hAnsi="Calibri"/>
              </w:rPr>
            </w:pPr>
            <w:r>
              <w:rPr>
                <w:rFonts w:ascii="Calibri" w:hAnsi="Calibri"/>
              </w:rPr>
              <w:t>Ⅰ</w:t>
            </w:r>
          </w:p>
        </w:tc>
        <w:tc>
          <w:tcPr>
            <w:tcW w:w="460" w:type="pct"/>
            <w:vAlign w:val="center"/>
          </w:tcPr>
          <w:p w14:paraId="5FF10DD7">
            <w:pPr>
              <w:pStyle w:val="34"/>
              <w:rPr>
                <w:rFonts w:ascii="Calibri" w:hAnsi="Calibri"/>
              </w:rPr>
            </w:pPr>
            <w:r>
              <w:rPr>
                <w:rFonts w:ascii="Calibri" w:hAnsi="Calibri"/>
              </w:rPr>
              <w:t>Ⅱ</w:t>
            </w:r>
          </w:p>
        </w:tc>
        <w:tc>
          <w:tcPr>
            <w:tcW w:w="461" w:type="pct"/>
            <w:vAlign w:val="center"/>
          </w:tcPr>
          <w:p w14:paraId="3DACE7DE">
            <w:pPr>
              <w:pStyle w:val="34"/>
              <w:rPr>
                <w:rFonts w:ascii="Calibri" w:hAnsi="Calibri"/>
              </w:rPr>
            </w:pPr>
            <w:r>
              <w:rPr>
                <w:rFonts w:ascii="Calibri" w:hAnsi="Calibri"/>
              </w:rPr>
              <w:t>Ⅲ</w:t>
            </w:r>
          </w:p>
        </w:tc>
        <w:tc>
          <w:tcPr>
            <w:tcW w:w="460" w:type="pct"/>
            <w:vAlign w:val="center"/>
          </w:tcPr>
          <w:p w14:paraId="2D4805AB">
            <w:pPr>
              <w:pStyle w:val="34"/>
              <w:rPr>
                <w:rFonts w:ascii="Calibri" w:hAnsi="Calibri"/>
              </w:rPr>
            </w:pPr>
            <w:r>
              <w:rPr>
                <w:rFonts w:ascii="Calibri" w:hAnsi="Calibri"/>
              </w:rPr>
              <w:t>Ⅰ</w:t>
            </w:r>
          </w:p>
        </w:tc>
        <w:tc>
          <w:tcPr>
            <w:tcW w:w="460" w:type="pct"/>
            <w:vAlign w:val="center"/>
          </w:tcPr>
          <w:p w14:paraId="3F0E38AE">
            <w:pPr>
              <w:pStyle w:val="34"/>
              <w:rPr>
                <w:rFonts w:ascii="Calibri" w:hAnsi="Calibri"/>
              </w:rPr>
            </w:pPr>
            <w:r>
              <w:rPr>
                <w:rFonts w:ascii="Calibri" w:hAnsi="Calibri"/>
              </w:rPr>
              <w:t>Ⅱ</w:t>
            </w:r>
          </w:p>
        </w:tc>
        <w:tc>
          <w:tcPr>
            <w:tcW w:w="462" w:type="pct"/>
            <w:vAlign w:val="center"/>
          </w:tcPr>
          <w:p w14:paraId="1FA13099">
            <w:pPr>
              <w:pStyle w:val="34"/>
              <w:rPr>
                <w:rFonts w:ascii="Calibri" w:hAnsi="Calibri"/>
              </w:rPr>
            </w:pPr>
            <w:r>
              <w:rPr>
                <w:rFonts w:ascii="Calibri" w:hAnsi="Calibri"/>
              </w:rPr>
              <w:t>Ⅲ</w:t>
            </w:r>
          </w:p>
        </w:tc>
      </w:tr>
      <w:tr w14:paraId="1BF58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680A70ED">
            <w:pPr>
              <w:pStyle w:val="34"/>
              <w:rPr>
                <w:rFonts w:ascii="Calibri" w:hAnsi="Calibri"/>
              </w:rPr>
            </w:pPr>
            <w:r>
              <w:rPr>
                <w:rFonts w:ascii="Calibri" w:hAnsi="Calibri"/>
              </w:rPr>
              <w:t>A</w:t>
            </w:r>
          </w:p>
        </w:tc>
        <w:tc>
          <w:tcPr>
            <w:tcW w:w="573" w:type="pct"/>
            <w:vAlign w:val="center"/>
          </w:tcPr>
          <w:p w14:paraId="739B357F">
            <w:pPr>
              <w:pStyle w:val="34"/>
              <w:rPr>
                <w:rFonts w:ascii="Calibri" w:hAnsi="Calibri"/>
              </w:rPr>
            </w:pPr>
            <w:r>
              <w:rPr>
                <w:rFonts w:ascii="Calibri" w:hAnsi="Calibri"/>
              </w:rPr>
              <w:t>&lt;2</w:t>
            </w:r>
          </w:p>
          <w:p w14:paraId="24603D94">
            <w:pPr>
              <w:pStyle w:val="34"/>
              <w:rPr>
                <w:rFonts w:ascii="Calibri" w:hAnsi="Calibri"/>
              </w:rPr>
            </w:pPr>
            <w:r>
              <w:rPr>
                <w:rFonts w:ascii="Calibri" w:hAnsi="Calibri"/>
              </w:rPr>
              <w:t>2~4</w:t>
            </w:r>
          </w:p>
          <w:p w14:paraId="1B2714BC">
            <w:pPr>
              <w:pStyle w:val="34"/>
              <w:rPr>
                <w:rFonts w:ascii="Calibri" w:hAnsi="Calibri"/>
              </w:rPr>
            </w:pPr>
            <w:r>
              <w:rPr>
                <w:rFonts w:ascii="Calibri" w:hAnsi="Calibri"/>
              </w:rPr>
              <w:t>&gt;2</w:t>
            </w:r>
          </w:p>
        </w:tc>
        <w:tc>
          <w:tcPr>
            <w:tcW w:w="460" w:type="pct"/>
            <w:vAlign w:val="center"/>
          </w:tcPr>
          <w:p w14:paraId="45532C17">
            <w:pPr>
              <w:pStyle w:val="34"/>
              <w:rPr>
                <w:rFonts w:ascii="Calibri" w:hAnsi="Calibri"/>
              </w:rPr>
            </w:pPr>
            <w:r>
              <w:rPr>
                <w:rFonts w:ascii="Calibri" w:hAnsi="Calibri"/>
              </w:rPr>
              <w:t>400</w:t>
            </w:r>
          </w:p>
          <w:p w14:paraId="22CF4640">
            <w:pPr>
              <w:pStyle w:val="34"/>
              <w:rPr>
                <w:rFonts w:ascii="Calibri" w:hAnsi="Calibri"/>
              </w:rPr>
            </w:pPr>
            <w:r>
              <w:rPr>
                <w:rFonts w:ascii="Calibri" w:hAnsi="Calibri"/>
              </w:rPr>
              <w:t>700</w:t>
            </w:r>
          </w:p>
          <w:p w14:paraId="04C6BB34">
            <w:pPr>
              <w:pStyle w:val="34"/>
              <w:rPr>
                <w:rFonts w:ascii="Calibri" w:hAnsi="Calibri"/>
              </w:rPr>
            </w:pPr>
            <w:r>
              <w:rPr>
                <w:rFonts w:ascii="Calibri" w:hAnsi="Calibri"/>
              </w:rPr>
              <w:t>530</w:t>
            </w:r>
          </w:p>
        </w:tc>
        <w:tc>
          <w:tcPr>
            <w:tcW w:w="460" w:type="pct"/>
            <w:vAlign w:val="center"/>
          </w:tcPr>
          <w:p w14:paraId="570864F9">
            <w:pPr>
              <w:pStyle w:val="34"/>
              <w:rPr>
                <w:rFonts w:ascii="Calibri" w:hAnsi="Calibri"/>
              </w:rPr>
            </w:pPr>
            <w:r>
              <w:rPr>
                <w:rFonts w:ascii="Calibri" w:hAnsi="Calibri"/>
              </w:rPr>
              <w:t>400</w:t>
            </w:r>
          </w:p>
          <w:p w14:paraId="78168F4D">
            <w:pPr>
              <w:pStyle w:val="34"/>
              <w:rPr>
                <w:rFonts w:ascii="Calibri" w:hAnsi="Calibri"/>
              </w:rPr>
            </w:pPr>
            <w:r>
              <w:rPr>
                <w:rFonts w:ascii="Calibri" w:hAnsi="Calibri"/>
              </w:rPr>
              <w:t>470</w:t>
            </w:r>
          </w:p>
          <w:p w14:paraId="14847DED">
            <w:pPr>
              <w:pStyle w:val="34"/>
              <w:rPr>
                <w:rFonts w:ascii="Calibri" w:hAnsi="Calibri"/>
              </w:rPr>
            </w:pPr>
            <w:r>
              <w:rPr>
                <w:rFonts w:ascii="Calibri" w:hAnsi="Calibri"/>
              </w:rPr>
              <w:t>350</w:t>
            </w:r>
          </w:p>
        </w:tc>
        <w:tc>
          <w:tcPr>
            <w:tcW w:w="461" w:type="pct"/>
            <w:vAlign w:val="center"/>
          </w:tcPr>
          <w:p w14:paraId="39DFB7CD">
            <w:pPr>
              <w:pStyle w:val="34"/>
              <w:rPr>
                <w:rFonts w:ascii="Calibri" w:hAnsi="Calibri"/>
              </w:rPr>
            </w:pPr>
            <w:r>
              <w:rPr>
                <w:rFonts w:ascii="Calibri" w:hAnsi="Calibri"/>
              </w:rPr>
              <w:t>400</w:t>
            </w:r>
          </w:p>
          <w:p w14:paraId="569B10FB">
            <w:pPr>
              <w:pStyle w:val="34"/>
              <w:rPr>
                <w:rFonts w:ascii="Calibri" w:hAnsi="Calibri"/>
              </w:rPr>
            </w:pPr>
            <w:r>
              <w:rPr>
                <w:rFonts w:ascii="Calibri" w:hAnsi="Calibri"/>
              </w:rPr>
              <w:t>350</w:t>
            </w:r>
          </w:p>
          <w:p w14:paraId="15E76166">
            <w:pPr>
              <w:pStyle w:val="34"/>
              <w:rPr>
                <w:rFonts w:ascii="Calibri" w:hAnsi="Calibri"/>
              </w:rPr>
            </w:pPr>
            <w:r>
              <w:rPr>
                <w:rFonts w:ascii="Calibri" w:hAnsi="Calibri"/>
              </w:rPr>
              <w:t>260</w:t>
            </w:r>
          </w:p>
        </w:tc>
        <w:tc>
          <w:tcPr>
            <w:tcW w:w="460" w:type="pct"/>
            <w:vAlign w:val="center"/>
          </w:tcPr>
          <w:p w14:paraId="68905554">
            <w:pPr>
              <w:pStyle w:val="34"/>
              <w:rPr>
                <w:rFonts w:ascii="Calibri" w:hAnsi="Calibri"/>
              </w:rPr>
            </w:pPr>
            <w:r>
              <w:rPr>
                <w:rFonts w:ascii="Calibri" w:hAnsi="Calibri"/>
              </w:rPr>
              <w:t>400</w:t>
            </w:r>
          </w:p>
          <w:p w14:paraId="0426581A">
            <w:pPr>
              <w:pStyle w:val="34"/>
              <w:rPr>
                <w:rFonts w:ascii="Calibri" w:hAnsi="Calibri"/>
              </w:rPr>
            </w:pPr>
            <w:r>
              <w:rPr>
                <w:rFonts w:ascii="Calibri" w:hAnsi="Calibri"/>
              </w:rPr>
              <w:t>700</w:t>
            </w:r>
          </w:p>
          <w:p w14:paraId="4E0E9617">
            <w:pPr>
              <w:pStyle w:val="34"/>
              <w:rPr>
                <w:rFonts w:ascii="Calibri" w:hAnsi="Calibri"/>
              </w:rPr>
            </w:pPr>
            <w:r>
              <w:rPr>
                <w:rFonts w:ascii="Calibri" w:hAnsi="Calibri"/>
              </w:rPr>
              <w:t>530</w:t>
            </w:r>
          </w:p>
        </w:tc>
        <w:tc>
          <w:tcPr>
            <w:tcW w:w="460" w:type="pct"/>
            <w:vAlign w:val="center"/>
          </w:tcPr>
          <w:p w14:paraId="20A0D67C">
            <w:pPr>
              <w:pStyle w:val="34"/>
              <w:rPr>
                <w:rFonts w:ascii="Calibri" w:hAnsi="Calibri"/>
              </w:rPr>
            </w:pPr>
            <w:r>
              <w:rPr>
                <w:rFonts w:ascii="Calibri" w:hAnsi="Calibri"/>
              </w:rPr>
              <w:t>400</w:t>
            </w:r>
          </w:p>
          <w:p w14:paraId="55511CA0">
            <w:pPr>
              <w:pStyle w:val="34"/>
              <w:rPr>
                <w:rFonts w:ascii="Calibri" w:hAnsi="Calibri"/>
              </w:rPr>
            </w:pPr>
            <w:r>
              <w:rPr>
                <w:rFonts w:ascii="Calibri" w:hAnsi="Calibri"/>
              </w:rPr>
              <w:t>470</w:t>
            </w:r>
          </w:p>
          <w:p w14:paraId="23C40E34">
            <w:pPr>
              <w:pStyle w:val="34"/>
              <w:rPr>
                <w:rFonts w:ascii="Calibri" w:hAnsi="Calibri"/>
              </w:rPr>
            </w:pPr>
            <w:r>
              <w:rPr>
                <w:rFonts w:ascii="Calibri" w:hAnsi="Calibri"/>
              </w:rPr>
              <w:t>350</w:t>
            </w:r>
          </w:p>
        </w:tc>
        <w:tc>
          <w:tcPr>
            <w:tcW w:w="461" w:type="pct"/>
            <w:vAlign w:val="center"/>
          </w:tcPr>
          <w:p w14:paraId="33619FD5">
            <w:pPr>
              <w:pStyle w:val="34"/>
              <w:rPr>
                <w:rFonts w:ascii="Calibri" w:hAnsi="Calibri"/>
              </w:rPr>
            </w:pPr>
            <w:r>
              <w:rPr>
                <w:rFonts w:ascii="Calibri" w:hAnsi="Calibri"/>
              </w:rPr>
              <w:t>400</w:t>
            </w:r>
          </w:p>
          <w:p w14:paraId="433D7809">
            <w:pPr>
              <w:pStyle w:val="34"/>
              <w:rPr>
                <w:rFonts w:ascii="Calibri" w:hAnsi="Calibri"/>
              </w:rPr>
            </w:pPr>
            <w:r>
              <w:rPr>
                <w:rFonts w:ascii="Calibri" w:hAnsi="Calibri"/>
              </w:rPr>
              <w:t>350</w:t>
            </w:r>
          </w:p>
          <w:p w14:paraId="2832B9F4">
            <w:pPr>
              <w:pStyle w:val="34"/>
              <w:rPr>
                <w:rFonts w:ascii="Calibri" w:hAnsi="Calibri"/>
              </w:rPr>
            </w:pPr>
            <w:r>
              <w:rPr>
                <w:rFonts w:ascii="Calibri" w:hAnsi="Calibri"/>
              </w:rPr>
              <w:t>260</w:t>
            </w:r>
          </w:p>
        </w:tc>
        <w:tc>
          <w:tcPr>
            <w:tcW w:w="460" w:type="pct"/>
            <w:vAlign w:val="center"/>
          </w:tcPr>
          <w:p w14:paraId="3D148076">
            <w:pPr>
              <w:pStyle w:val="34"/>
              <w:rPr>
                <w:rFonts w:ascii="Calibri" w:hAnsi="Calibri"/>
              </w:rPr>
            </w:pPr>
            <w:r>
              <w:rPr>
                <w:rFonts w:ascii="Calibri" w:hAnsi="Calibri"/>
              </w:rPr>
              <w:t>80</w:t>
            </w:r>
          </w:p>
          <w:p w14:paraId="5690F8E5">
            <w:pPr>
              <w:pStyle w:val="34"/>
              <w:rPr>
                <w:rFonts w:ascii="Calibri" w:hAnsi="Calibri"/>
              </w:rPr>
            </w:pPr>
            <w:r>
              <w:rPr>
                <w:rFonts w:ascii="Calibri" w:hAnsi="Calibri"/>
              </w:rPr>
              <w:t>380</w:t>
            </w:r>
          </w:p>
          <w:p w14:paraId="12A954B7">
            <w:pPr>
              <w:pStyle w:val="34"/>
              <w:rPr>
                <w:rFonts w:ascii="Calibri" w:hAnsi="Calibri"/>
              </w:rPr>
            </w:pPr>
            <w:r>
              <w:rPr>
                <w:rFonts w:ascii="Calibri" w:hAnsi="Calibri"/>
              </w:rPr>
              <w:t>290</w:t>
            </w:r>
          </w:p>
        </w:tc>
        <w:tc>
          <w:tcPr>
            <w:tcW w:w="460" w:type="pct"/>
            <w:vAlign w:val="center"/>
          </w:tcPr>
          <w:p w14:paraId="0523BD10">
            <w:pPr>
              <w:pStyle w:val="34"/>
              <w:rPr>
                <w:rFonts w:ascii="Calibri" w:hAnsi="Calibri"/>
              </w:rPr>
            </w:pPr>
            <w:r>
              <w:rPr>
                <w:rFonts w:ascii="Calibri" w:hAnsi="Calibri"/>
              </w:rPr>
              <w:t>80</w:t>
            </w:r>
          </w:p>
          <w:p w14:paraId="4718B45A">
            <w:pPr>
              <w:pStyle w:val="34"/>
              <w:rPr>
                <w:rFonts w:ascii="Calibri" w:hAnsi="Calibri"/>
              </w:rPr>
            </w:pPr>
            <w:r>
              <w:rPr>
                <w:rFonts w:ascii="Calibri" w:hAnsi="Calibri"/>
              </w:rPr>
              <w:t>250</w:t>
            </w:r>
          </w:p>
          <w:p w14:paraId="19CBBA9D">
            <w:pPr>
              <w:pStyle w:val="34"/>
              <w:rPr>
                <w:rFonts w:ascii="Calibri" w:hAnsi="Calibri"/>
              </w:rPr>
            </w:pPr>
            <w:r>
              <w:rPr>
                <w:rFonts w:ascii="Calibri" w:hAnsi="Calibri"/>
              </w:rPr>
              <w:t>190</w:t>
            </w:r>
          </w:p>
        </w:tc>
        <w:tc>
          <w:tcPr>
            <w:tcW w:w="462" w:type="pct"/>
            <w:vAlign w:val="center"/>
          </w:tcPr>
          <w:p w14:paraId="37C2CB50">
            <w:pPr>
              <w:pStyle w:val="34"/>
              <w:rPr>
                <w:rFonts w:ascii="Calibri" w:hAnsi="Calibri"/>
              </w:rPr>
            </w:pPr>
            <w:r>
              <w:rPr>
                <w:rFonts w:ascii="Calibri" w:hAnsi="Calibri"/>
              </w:rPr>
              <w:t>80</w:t>
            </w:r>
          </w:p>
          <w:p w14:paraId="46FE9155">
            <w:pPr>
              <w:pStyle w:val="34"/>
              <w:rPr>
                <w:rFonts w:ascii="Calibri" w:hAnsi="Calibri"/>
              </w:rPr>
            </w:pPr>
            <w:r>
              <w:rPr>
                <w:rFonts w:ascii="Calibri" w:hAnsi="Calibri"/>
              </w:rPr>
              <w:t>190</w:t>
            </w:r>
          </w:p>
          <w:p w14:paraId="2F1A387B">
            <w:pPr>
              <w:pStyle w:val="34"/>
              <w:rPr>
                <w:rFonts w:ascii="Calibri" w:hAnsi="Calibri"/>
              </w:rPr>
            </w:pPr>
            <w:r>
              <w:rPr>
                <w:rFonts w:ascii="Calibri" w:hAnsi="Calibri"/>
              </w:rPr>
              <w:t>140</w:t>
            </w:r>
          </w:p>
        </w:tc>
      </w:tr>
      <w:tr w14:paraId="192E9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367884BE">
            <w:pPr>
              <w:pStyle w:val="34"/>
              <w:rPr>
                <w:rFonts w:ascii="Calibri" w:hAnsi="Calibri"/>
              </w:rPr>
            </w:pPr>
            <w:r>
              <w:rPr>
                <w:rFonts w:ascii="Calibri" w:hAnsi="Calibri"/>
              </w:rPr>
              <w:t>B</w:t>
            </w:r>
          </w:p>
        </w:tc>
        <w:tc>
          <w:tcPr>
            <w:tcW w:w="573" w:type="pct"/>
            <w:vAlign w:val="center"/>
          </w:tcPr>
          <w:p w14:paraId="48894FC7">
            <w:pPr>
              <w:pStyle w:val="34"/>
              <w:rPr>
                <w:rFonts w:ascii="Calibri" w:hAnsi="Calibri"/>
              </w:rPr>
            </w:pPr>
            <w:r>
              <w:rPr>
                <w:rFonts w:ascii="Calibri" w:hAnsi="Calibri"/>
              </w:rPr>
              <w:t>&lt;2</w:t>
            </w:r>
          </w:p>
          <w:p w14:paraId="56C66E91">
            <w:pPr>
              <w:pStyle w:val="34"/>
              <w:rPr>
                <w:rFonts w:ascii="Calibri" w:hAnsi="Calibri"/>
              </w:rPr>
            </w:pPr>
            <w:r>
              <w:rPr>
                <w:rFonts w:ascii="Calibri" w:hAnsi="Calibri"/>
              </w:rPr>
              <w:t>&gt;2</w:t>
            </w:r>
          </w:p>
        </w:tc>
        <w:tc>
          <w:tcPr>
            <w:tcW w:w="1383" w:type="pct"/>
            <w:gridSpan w:val="3"/>
            <w:vAlign w:val="center"/>
          </w:tcPr>
          <w:p w14:paraId="158C9263">
            <w:pPr>
              <w:pStyle w:val="34"/>
              <w:rPr>
                <w:rFonts w:ascii="Calibri" w:hAnsi="Calibri"/>
              </w:rPr>
            </w:pPr>
            <w:r>
              <w:rPr>
                <w:rFonts w:ascii="Calibri" w:hAnsi="Calibri"/>
              </w:rPr>
              <w:t>0.01</w:t>
            </w:r>
          </w:p>
          <w:p w14:paraId="4CD88E0C">
            <w:pPr>
              <w:pStyle w:val="34"/>
              <w:rPr>
                <w:rFonts w:ascii="Calibri" w:hAnsi="Calibri"/>
              </w:rPr>
            </w:pPr>
            <w:r>
              <w:rPr>
                <w:rFonts w:ascii="Calibri" w:hAnsi="Calibri"/>
              </w:rPr>
              <w:t>0.021</w:t>
            </w:r>
          </w:p>
        </w:tc>
        <w:tc>
          <w:tcPr>
            <w:tcW w:w="1383" w:type="pct"/>
            <w:gridSpan w:val="3"/>
            <w:vAlign w:val="center"/>
          </w:tcPr>
          <w:p w14:paraId="2ACE3109">
            <w:pPr>
              <w:pStyle w:val="34"/>
              <w:rPr>
                <w:rFonts w:ascii="Calibri" w:hAnsi="Calibri"/>
              </w:rPr>
            </w:pPr>
            <w:r>
              <w:rPr>
                <w:rFonts w:ascii="Calibri" w:hAnsi="Calibri"/>
              </w:rPr>
              <w:t>0.015</w:t>
            </w:r>
          </w:p>
          <w:p w14:paraId="433BF578">
            <w:pPr>
              <w:pStyle w:val="34"/>
              <w:rPr>
                <w:rFonts w:ascii="Calibri" w:hAnsi="Calibri"/>
              </w:rPr>
            </w:pPr>
            <w:r>
              <w:rPr>
                <w:rFonts w:ascii="Calibri" w:hAnsi="Calibri"/>
              </w:rPr>
              <w:t>0.036</w:t>
            </w:r>
          </w:p>
        </w:tc>
        <w:tc>
          <w:tcPr>
            <w:tcW w:w="1384" w:type="pct"/>
            <w:gridSpan w:val="3"/>
            <w:vAlign w:val="center"/>
          </w:tcPr>
          <w:p w14:paraId="6E44D635">
            <w:pPr>
              <w:pStyle w:val="34"/>
              <w:rPr>
                <w:rFonts w:ascii="Calibri" w:hAnsi="Calibri"/>
              </w:rPr>
            </w:pPr>
            <w:r>
              <w:rPr>
                <w:rFonts w:ascii="Calibri" w:hAnsi="Calibri"/>
              </w:rPr>
              <w:t>0.015</w:t>
            </w:r>
          </w:p>
          <w:p w14:paraId="61DA9262">
            <w:pPr>
              <w:pStyle w:val="34"/>
              <w:rPr>
                <w:rFonts w:ascii="Calibri" w:hAnsi="Calibri"/>
              </w:rPr>
            </w:pPr>
            <w:r>
              <w:rPr>
                <w:rFonts w:ascii="Calibri" w:hAnsi="Calibri"/>
              </w:rPr>
              <w:t>0.036</w:t>
            </w:r>
          </w:p>
        </w:tc>
      </w:tr>
      <w:tr w14:paraId="38E1A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2CA71308">
            <w:pPr>
              <w:pStyle w:val="34"/>
              <w:rPr>
                <w:rFonts w:ascii="Calibri" w:hAnsi="Calibri"/>
              </w:rPr>
            </w:pPr>
            <w:r>
              <w:rPr>
                <w:rFonts w:ascii="Calibri" w:hAnsi="Calibri"/>
              </w:rPr>
              <w:t>C</w:t>
            </w:r>
          </w:p>
        </w:tc>
        <w:tc>
          <w:tcPr>
            <w:tcW w:w="573" w:type="pct"/>
            <w:vAlign w:val="center"/>
          </w:tcPr>
          <w:p w14:paraId="2091EC1B">
            <w:pPr>
              <w:pStyle w:val="34"/>
              <w:rPr>
                <w:rFonts w:ascii="Calibri" w:hAnsi="Calibri"/>
              </w:rPr>
            </w:pPr>
            <w:r>
              <w:rPr>
                <w:rFonts w:ascii="Calibri" w:hAnsi="Calibri"/>
              </w:rPr>
              <w:t>&lt;2</w:t>
            </w:r>
          </w:p>
          <w:p w14:paraId="191B8541">
            <w:pPr>
              <w:pStyle w:val="34"/>
              <w:rPr>
                <w:rFonts w:ascii="Calibri" w:hAnsi="Calibri"/>
              </w:rPr>
            </w:pPr>
            <w:r>
              <w:rPr>
                <w:rFonts w:ascii="Calibri" w:hAnsi="Calibri"/>
              </w:rPr>
              <w:t>&gt;2</w:t>
            </w:r>
          </w:p>
        </w:tc>
        <w:tc>
          <w:tcPr>
            <w:tcW w:w="1383" w:type="pct"/>
            <w:gridSpan w:val="3"/>
            <w:vAlign w:val="center"/>
          </w:tcPr>
          <w:p w14:paraId="4FD3BFFE">
            <w:pPr>
              <w:pStyle w:val="34"/>
              <w:rPr>
                <w:rFonts w:ascii="Calibri" w:hAnsi="Calibri"/>
              </w:rPr>
            </w:pPr>
            <w:r>
              <w:rPr>
                <w:rFonts w:ascii="Calibri" w:hAnsi="Calibri"/>
              </w:rPr>
              <w:t>1.85</w:t>
            </w:r>
          </w:p>
          <w:p w14:paraId="097941A7">
            <w:pPr>
              <w:pStyle w:val="34"/>
              <w:rPr>
                <w:rFonts w:ascii="Calibri" w:hAnsi="Calibri"/>
              </w:rPr>
            </w:pPr>
            <w:r>
              <w:rPr>
                <w:rFonts w:ascii="Calibri" w:hAnsi="Calibri"/>
              </w:rPr>
              <w:t>1.85</w:t>
            </w:r>
          </w:p>
        </w:tc>
        <w:tc>
          <w:tcPr>
            <w:tcW w:w="1383" w:type="pct"/>
            <w:gridSpan w:val="3"/>
            <w:vAlign w:val="center"/>
          </w:tcPr>
          <w:p w14:paraId="0BD856FF">
            <w:pPr>
              <w:pStyle w:val="34"/>
              <w:rPr>
                <w:rFonts w:ascii="Calibri" w:hAnsi="Calibri"/>
              </w:rPr>
            </w:pPr>
            <w:r>
              <w:rPr>
                <w:rFonts w:ascii="Calibri" w:hAnsi="Calibri"/>
              </w:rPr>
              <w:t>1.79</w:t>
            </w:r>
          </w:p>
          <w:p w14:paraId="058E3860">
            <w:pPr>
              <w:pStyle w:val="34"/>
              <w:rPr>
                <w:rFonts w:ascii="Calibri" w:hAnsi="Calibri"/>
              </w:rPr>
            </w:pPr>
            <w:r>
              <w:rPr>
                <w:rFonts w:ascii="Calibri" w:hAnsi="Calibri"/>
              </w:rPr>
              <w:t>1.77</w:t>
            </w:r>
          </w:p>
        </w:tc>
        <w:tc>
          <w:tcPr>
            <w:tcW w:w="1384" w:type="pct"/>
            <w:gridSpan w:val="3"/>
            <w:vAlign w:val="center"/>
          </w:tcPr>
          <w:p w14:paraId="3C157625">
            <w:pPr>
              <w:pStyle w:val="34"/>
              <w:rPr>
                <w:rFonts w:ascii="Calibri" w:hAnsi="Calibri"/>
              </w:rPr>
            </w:pPr>
            <w:r>
              <w:rPr>
                <w:rFonts w:ascii="Calibri" w:hAnsi="Calibri"/>
              </w:rPr>
              <w:t>1.79</w:t>
            </w:r>
          </w:p>
          <w:p w14:paraId="1E6236EB">
            <w:pPr>
              <w:pStyle w:val="34"/>
              <w:rPr>
                <w:rFonts w:ascii="Calibri" w:hAnsi="Calibri"/>
              </w:rPr>
            </w:pPr>
            <w:r>
              <w:rPr>
                <w:rFonts w:ascii="Calibri" w:hAnsi="Calibri"/>
              </w:rPr>
              <w:t>1.77</w:t>
            </w:r>
          </w:p>
        </w:tc>
      </w:tr>
      <w:tr w14:paraId="5A4EA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43FD4872">
            <w:pPr>
              <w:pStyle w:val="34"/>
              <w:rPr>
                <w:rFonts w:ascii="Calibri" w:hAnsi="Calibri"/>
              </w:rPr>
            </w:pPr>
            <w:r>
              <w:rPr>
                <w:rFonts w:ascii="Calibri" w:hAnsi="Calibri"/>
              </w:rPr>
              <w:t>D</w:t>
            </w:r>
          </w:p>
        </w:tc>
        <w:tc>
          <w:tcPr>
            <w:tcW w:w="573" w:type="pct"/>
            <w:vAlign w:val="center"/>
          </w:tcPr>
          <w:p w14:paraId="66D11A8C">
            <w:pPr>
              <w:pStyle w:val="34"/>
              <w:rPr>
                <w:rFonts w:ascii="Calibri" w:hAnsi="Calibri"/>
              </w:rPr>
            </w:pPr>
            <w:r>
              <w:rPr>
                <w:rFonts w:ascii="Calibri" w:hAnsi="Calibri"/>
              </w:rPr>
              <w:t>&lt;2</w:t>
            </w:r>
          </w:p>
          <w:p w14:paraId="7EF46497">
            <w:pPr>
              <w:pStyle w:val="34"/>
              <w:rPr>
                <w:rFonts w:ascii="Calibri" w:hAnsi="Calibri"/>
              </w:rPr>
            </w:pPr>
            <w:r>
              <w:rPr>
                <w:rFonts w:ascii="Calibri" w:hAnsi="Calibri"/>
              </w:rPr>
              <w:t>&gt;2</w:t>
            </w:r>
          </w:p>
        </w:tc>
        <w:tc>
          <w:tcPr>
            <w:tcW w:w="1383" w:type="pct"/>
            <w:gridSpan w:val="3"/>
            <w:vAlign w:val="center"/>
          </w:tcPr>
          <w:p w14:paraId="00C3FF1A">
            <w:pPr>
              <w:pStyle w:val="34"/>
              <w:rPr>
                <w:rFonts w:ascii="Calibri" w:hAnsi="Calibri"/>
              </w:rPr>
            </w:pPr>
            <w:r>
              <w:rPr>
                <w:rFonts w:ascii="Calibri" w:hAnsi="Calibri"/>
              </w:rPr>
              <w:t>0.78</w:t>
            </w:r>
          </w:p>
          <w:p w14:paraId="7A1E40DD">
            <w:pPr>
              <w:pStyle w:val="34"/>
              <w:rPr>
                <w:rFonts w:ascii="Calibri" w:hAnsi="Calibri"/>
              </w:rPr>
            </w:pPr>
            <w:r>
              <w:rPr>
                <w:rFonts w:ascii="Calibri" w:hAnsi="Calibri"/>
              </w:rPr>
              <w:t>0.84</w:t>
            </w:r>
          </w:p>
        </w:tc>
        <w:tc>
          <w:tcPr>
            <w:tcW w:w="1383" w:type="pct"/>
            <w:gridSpan w:val="3"/>
            <w:vAlign w:val="center"/>
          </w:tcPr>
          <w:p w14:paraId="75AB55DE">
            <w:pPr>
              <w:pStyle w:val="34"/>
              <w:rPr>
                <w:rFonts w:ascii="Calibri" w:hAnsi="Calibri"/>
              </w:rPr>
            </w:pPr>
            <w:r>
              <w:rPr>
                <w:rFonts w:ascii="Calibri" w:hAnsi="Calibri"/>
              </w:rPr>
              <w:t>0.78</w:t>
            </w:r>
          </w:p>
          <w:p w14:paraId="490A2D7E">
            <w:pPr>
              <w:pStyle w:val="34"/>
              <w:rPr>
                <w:rFonts w:ascii="Calibri" w:hAnsi="Calibri"/>
              </w:rPr>
            </w:pPr>
            <w:r>
              <w:rPr>
                <w:rFonts w:ascii="Calibri" w:hAnsi="Calibri"/>
              </w:rPr>
              <w:t>0.84</w:t>
            </w:r>
          </w:p>
        </w:tc>
        <w:tc>
          <w:tcPr>
            <w:tcW w:w="1384" w:type="pct"/>
            <w:gridSpan w:val="3"/>
            <w:vAlign w:val="center"/>
          </w:tcPr>
          <w:p w14:paraId="268020C1">
            <w:pPr>
              <w:pStyle w:val="34"/>
              <w:rPr>
                <w:rFonts w:ascii="Calibri" w:hAnsi="Calibri"/>
              </w:rPr>
            </w:pPr>
            <w:r>
              <w:rPr>
                <w:rFonts w:ascii="Calibri" w:hAnsi="Calibri"/>
              </w:rPr>
              <w:t>0.57</w:t>
            </w:r>
          </w:p>
          <w:p w14:paraId="1C7547C2">
            <w:pPr>
              <w:pStyle w:val="34"/>
              <w:rPr>
                <w:rFonts w:ascii="Calibri" w:hAnsi="Calibri"/>
              </w:rPr>
            </w:pPr>
            <w:r>
              <w:rPr>
                <w:rFonts w:ascii="Calibri" w:hAnsi="Calibri"/>
              </w:rPr>
              <w:t>0.76</w:t>
            </w:r>
          </w:p>
        </w:tc>
      </w:tr>
    </w:tbl>
    <w:p w14:paraId="167A0B84">
      <w:pPr>
        <w:ind w:firstLine="480"/>
      </w:pPr>
      <w:r>
        <w:t>当地平均风速取1.6m/s＜2m/s。</w:t>
      </w:r>
    </w:p>
    <w:p w14:paraId="631897A6">
      <w:pPr>
        <w:ind w:firstLine="480"/>
      </w:pPr>
      <w:r>
        <w:rPr>
          <w:rFonts w:ascii="Cambria Math" w:hAnsi="Cambria Math" w:cs="Cambria Math"/>
        </w:rPr>
        <w:t>②</w:t>
      </w:r>
      <w:r>
        <w:t>卫生防护距离终值的确定</w:t>
      </w:r>
    </w:p>
    <w:p w14:paraId="417EAD32">
      <w:pPr>
        <w:ind w:firstLine="480"/>
      </w:pPr>
      <w:r>
        <w:t>根据《大气有害物质无组织排放卫生防护距离推导技术导则》（GB/T39499-2020），卫生防护距离终值极差见表</w:t>
      </w:r>
    </w:p>
    <w:p w14:paraId="33C7349A">
      <w:pPr>
        <w:pStyle w:val="40"/>
        <w:spacing w:before="120"/>
      </w:pPr>
      <w:r>
        <w:t>表6.2.1-25    卫生防护距离终值极差范围表</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74"/>
        <w:gridCol w:w="4482"/>
      </w:tblGrid>
      <w:tr w14:paraId="057C0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9" w:type="pct"/>
            <w:vAlign w:val="center"/>
          </w:tcPr>
          <w:p w14:paraId="7C39BED3">
            <w:pPr>
              <w:pStyle w:val="34"/>
              <w:rPr>
                <w:rFonts w:ascii="Calibri" w:hAnsi="Calibri" w:eastAsia="华文中宋"/>
              </w:rPr>
            </w:pPr>
            <w:r>
              <w:rPr>
                <w:rFonts w:ascii="Calibri" w:hAnsi="Calibri"/>
              </w:rPr>
              <w:t>卫生防护距离计算初值L/m</w:t>
            </w:r>
          </w:p>
        </w:tc>
        <w:tc>
          <w:tcPr>
            <w:tcW w:w="2530" w:type="pct"/>
            <w:vAlign w:val="center"/>
          </w:tcPr>
          <w:p w14:paraId="4E5A9E69">
            <w:pPr>
              <w:pStyle w:val="34"/>
              <w:rPr>
                <w:rFonts w:ascii="Calibri" w:hAnsi="Calibri" w:eastAsia="华文中宋"/>
              </w:rPr>
            </w:pPr>
            <w:r>
              <w:rPr>
                <w:rFonts w:ascii="Calibri" w:hAnsi="Calibri"/>
              </w:rPr>
              <w:t>极差/m</w:t>
            </w:r>
          </w:p>
        </w:tc>
      </w:tr>
      <w:tr w14:paraId="6ACCF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9" w:type="pct"/>
            <w:vAlign w:val="center"/>
          </w:tcPr>
          <w:p w14:paraId="0175F91A">
            <w:pPr>
              <w:pStyle w:val="34"/>
              <w:rPr>
                <w:rFonts w:ascii="Calibri" w:hAnsi="Calibri" w:eastAsia="华文中宋"/>
              </w:rPr>
            </w:pPr>
            <w:r>
              <w:rPr>
                <w:rFonts w:ascii="Calibri" w:hAnsi="Calibri"/>
              </w:rPr>
              <w:t>0≤L≤50</w:t>
            </w:r>
          </w:p>
        </w:tc>
        <w:tc>
          <w:tcPr>
            <w:tcW w:w="2530" w:type="pct"/>
            <w:vAlign w:val="center"/>
          </w:tcPr>
          <w:p w14:paraId="25E20455">
            <w:pPr>
              <w:pStyle w:val="34"/>
              <w:rPr>
                <w:rFonts w:ascii="Calibri" w:hAnsi="Calibri" w:eastAsia="华文中宋"/>
              </w:rPr>
            </w:pPr>
            <w:r>
              <w:rPr>
                <w:rFonts w:ascii="Calibri" w:hAnsi="Calibri"/>
              </w:rPr>
              <w:t>50</w:t>
            </w:r>
          </w:p>
        </w:tc>
      </w:tr>
      <w:tr w14:paraId="23CCB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9" w:type="pct"/>
            <w:vAlign w:val="center"/>
          </w:tcPr>
          <w:p w14:paraId="5477D0AB">
            <w:pPr>
              <w:pStyle w:val="34"/>
              <w:rPr>
                <w:rFonts w:ascii="Calibri" w:hAnsi="Calibri"/>
              </w:rPr>
            </w:pPr>
            <w:r>
              <w:rPr>
                <w:rFonts w:ascii="Calibri" w:hAnsi="Calibri"/>
              </w:rPr>
              <w:t>50≤L≤100</w:t>
            </w:r>
          </w:p>
        </w:tc>
        <w:tc>
          <w:tcPr>
            <w:tcW w:w="2530" w:type="pct"/>
            <w:vAlign w:val="center"/>
          </w:tcPr>
          <w:p w14:paraId="138D0385">
            <w:pPr>
              <w:pStyle w:val="34"/>
              <w:rPr>
                <w:rFonts w:ascii="Calibri" w:hAnsi="Calibri" w:eastAsia="华文中宋"/>
              </w:rPr>
            </w:pPr>
            <w:r>
              <w:rPr>
                <w:rFonts w:ascii="Calibri" w:hAnsi="Calibri"/>
              </w:rPr>
              <w:t>50</w:t>
            </w:r>
          </w:p>
        </w:tc>
      </w:tr>
      <w:tr w14:paraId="65331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9" w:type="pct"/>
            <w:vAlign w:val="center"/>
          </w:tcPr>
          <w:p w14:paraId="00CE6A6E">
            <w:pPr>
              <w:pStyle w:val="34"/>
              <w:rPr>
                <w:rFonts w:ascii="Calibri" w:hAnsi="Calibri"/>
              </w:rPr>
            </w:pPr>
            <w:r>
              <w:rPr>
                <w:rFonts w:ascii="Calibri" w:hAnsi="Calibri"/>
              </w:rPr>
              <w:t>100≤L≤1000</w:t>
            </w:r>
          </w:p>
        </w:tc>
        <w:tc>
          <w:tcPr>
            <w:tcW w:w="2530" w:type="pct"/>
            <w:vAlign w:val="center"/>
          </w:tcPr>
          <w:p w14:paraId="09D5ABF8">
            <w:pPr>
              <w:pStyle w:val="34"/>
              <w:rPr>
                <w:rFonts w:ascii="Calibri" w:hAnsi="Calibri" w:eastAsia="华文中宋"/>
              </w:rPr>
            </w:pPr>
            <w:r>
              <w:rPr>
                <w:rFonts w:ascii="Calibri" w:hAnsi="Calibri"/>
              </w:rPr>
              <w:t>100</w:t>
            </w:r>
          </w:p>
        </w:tc>
      </w:tr>
      <w:tr w14:paraId="4387D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9" w:type="pct"/>
            <w:vAlign w:val="center"/>
          </w:tcPr>
          <w:p w14:paraId="7318674B">
            <w:pPr>
              <w:pStyle w:val="34"/>
              <w:rPr>
                <w:rFonts w:ascii="Calibri" w:hAnsi="Calibri" w:eastAsia="华文中宋"/>
              </w:rPr>
            </w:pPr>
            <w:r>
              <w:rPr>
                <w:rFonts w:ascii="Calibri" w:hAnsi="Calibri"/>
              </w:rPr>
              <w:t>L≥1000</w:t>
            </w:r>
          </w:p>
        </w:tc>
        <w:tc>
          <w:tcPr>
            <w:tcW w:w="2530" w:type="pct"/>
            <w:vAlign w:val="center"/>
          </w:tcPr>
          <w:p w14:paraId="0A3F901A">
            <w:pPr>
              <w:pStyle w:val="34"/>
              <w:rPr>
                <w:rFonts w:ascii="Calibri" w:hAnsi="Calibri" w:eastAsia="华文中宋"/>
              </w:rPr>
            </w:pPr>
            <w:r>
              <w:rPr>
                <w:rFonts w:ascii="Calibri" w:hAnsi="Calibri"/>
              </w:rPr>
              <w:t>200</w:t>
            </w:r>
          </w:p>
        </w:tc>
      </w:tr>
    </w:tbl>
    <w:p w14:paraId="4E9B0771">
      <w:pPr>
        <w:pStyle w:val="49"/>
      </w:pPr>
      <w:r>
        <w:t>当企业某生产单元的无组织排放存在多种特征大气有害物质时，如果分别推导出的卫生防护距离初值在同一级别时，则该企业的卫生防护距离终值应提高一级；卫生防护距离初值不在同一级别时，以卫生防护距离终值较大者为准。</w:t>
      </w:r>
    </w:p>
    <w:p w14:paraId="2C795FBB">
      <w:pPr>
        <w:pStyle w:val="49"/>
      </w:pPr>
      <w:r>
        <w:t>本次技改工程不涉及新增大气有害物质的无组织排放量，根据该复函中“从严掌握”的精神，结合大气环境防护距离计算结果、卫生防护距离，考虑到技改前现有工程原防护距离是800m，确定本技改项目的环境防护距离延续原防护距离，为厂区外800m。防护距离内禁止新建居住、学校、医院等环境空气敏感建筑。</w:t>
      </w:r>
    </w:p>
    <w:p w14:paraId="475A4F11">
      <w:pPr>
        <w:pStyle w:val="6"/>
        <w:spacing w:before="120" w:after="120"/>
      </w:pPr>
      <w:r>
        <w:t>污染物排放量核算</w:t>
      </w:r>
    </w:p>
    <w:p w14:paraId="6E98199D">
      <w:pPr>
        <w:adjustRightInd w:val="0"/>
        <w:snapToGrid w:val="0"/>
        <w:spacing w:line="520" w:lineRule="exact"/>
        <w:ind w:firstLine="480" w:firstLineChars="200"/>
        <w:textAlignment w:val="baseline"/>
      </w:pPr>
      <w:r>
        <w:t>（1）有组织污染物排放量核算</w:t>
      </w:r>
    </w:p>
    <w:p w14:paraId="5C1B7F17">
      <w:pPr>
        <w:pStyle w:val="88"/>
        <w:rPr>
          <w:rFonts w:ascii="Times New Roman" w:hAnsi="Times New Roman" w:cs="Times New Roman"/>
        </w:rPr>
      </w:pPr>
      <w:r>
        <w:rPr>
          <w:rFonts w:ascii="Times New Roman" w:hAnsi="Times New Roman" w:cs="Times New Roman"/>
        </w:rPr>
        <w:t>表</w:t>
      </w:r>
      <w:r>
        <w:rPr>
          <w:rFonts w:ascii="Times New Roman" w:hAnsi="Times New Roman" w:cs="Times New Roman"/>
          <w:kern w:val="11"/>
        </w:rPr>
        <w:t>6.2.1-2</w:t>
      </w:r>
      <w:r>
        <w:rPr>
          <w:rFonts w:ascii="Times New Roman" w:hAnsi="Times New Roman" w:cs="Times New Roman"/>
        </w:rPr>
        <w:t>6    技改工程实施后全厂大气污染物有组织排放量核算表</w:t>
      </w:r>
    </w:p>
    <w:tbl>
      <w:tblPr>
        <w:tblStyle w:val="119"/>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98"/>
        <w:gridCol w:w="1951"/>
        <w:gridCol w:w="2776"/>
        <w:gridCol w:w="2326"/>
      </w:tblGrid>
      <w:tr w14:paraId="21FC69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blHeader/>
        </w:trPr>
        <w:tc>
          <w:tcPr>
            <w:tcW w:w="1016" w:type="pct"/>
            <w:vAlign w:val="center"/>
          </w:tcPr>
          <w:p w14:paraId="25E7744B">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排放口编号</w:t>
            </w:r>
          </w:p>
        </w:tc>
        <w:tc>
          <w:tcPr>
            <w:tcW w:w="1102" w:type="pct"/>
            <w:vAlign w:val="center"/>
          </w:tcPr>
          <w:p w14:paraId="3B651A0B">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污染物</w:t>
            </w:r>
          </w:p>
        </w:tc>
        <w:tc>
          <w:tcPr>
            <w:tcW w:w="1568" w:type="pct"/>
            <w:vAlign w:val="center"/>
          </w:tcPr>
          <w:p w14:paraId="30A4E5B3">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核算排放浓度（mg/m</w:t>
            </w:r>
            <w:r>
              <w:rPr>
                <w:rFonts w:eastAsiaTheme="minorEastAsia"/>
                <w:kern w:val="0"/>
                <w:sz w:val="21"/>
                <w:szCs w:val="21"/>
                <w:vertAlign w:val="superscript"/>
              </w:rPr>
              <w:t>3</w:t>
            </w:r>
            <w:r>
              <w:rPr>
                <w:rFonts w:eastAsiaTheme="minorEastAsia"/>
                <w:kern w:val="0"/>
                <w:sz w:val="21"/>
                <w:szCs w:val="21"/>
              </w:rPr>
              <w:t>）</w:t>
            </w:r>
          </w:p>
        </w:tc>
        <w:tc>
          <w:tcPr>
            <w:tcW w:w="1314" w:type="pct"/>
            <w:vAlign w:val="center"/>
          </w:tcPr>
          <w:p w14:paraId="410CC55D">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核算年排放量（t/a）</w:t>
            </w:r>
          </w:p>
        </w:tc>
      </w:tr>
      <w:tr w14:paraId="38428E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000" w:type="pct"/>
            <w:gridSpan w:val="4"/>
            <w:vAlign w:val="center"/>
          </w:tcPr>
          <w:p w14:paraId="6B6C63EE">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主要排放口</w:t>
            </w:r>
          </w:p>
        </w:tc>
      </w:tr>
      <w:tr w14:paraId="1E7AEC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6" w:type="pct"/>
            <w:vMerge w:val="restart"/>
            <w:vAlign w:val="center"/>
          </w:tcPr>
          <w:p w14:paraId="6C66A95A">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DA001</w:t>
            </w:r>
          </w:p>
        </w:tc>
        <w:tc>
          <w:tcPr>
            <w:tcW w:w="1102" w:type="pct"/>
            <w:vAlign w:val="center"/>
          </w:tcPr>
          <w:p w14:paraId="397BCCFE">
            <w:pPr>
              <w:widowControl/>
              <w:adjustRightInd w:val="0"/>
              <w:snapToGrid w:val="0"/>
              <w:spacing w:line="240" w:lineRule="auto"/>
              <w:jc w:val="center"/>
              <w:rPr>
                <w:rFonts w:eastAsiaTheme="minorEastAsia"/>
                <w:kern w:val="0"/>
                <w:sz w:val="21"/>
                <w:szCs w:val="21"/>
              </w:rPr>
            </w:pPr>
            <w:r>
              <w:rPr>
                <w:rFonts w:eastAsiaTheme="minorEastAsia"/>
                <w:spacing w:val="-5"/>
                <w:sz w:val="21"/>
                <w:szCs w:val="21"/>
                <w:lang w:eastAsia="en-US"/>
              </w:rPr>
              <w:t>SO</w:t>
            </w:r>
            <w:r>
              <w:rPr>
                <w:rFonts w:eastAsiaTheme="minorEastAsia"/>
                <w:spacing w:val="-5"/>
                <w:position w:val="-2"/>
                <w:sz w:val="21"/>
                <w:szCs w:val="21"/>
                <w:vertAlign w:val="subscript"/>
                <w:lang w:eastAsia="en-US"/>
              </w:rPr>
              <w:t>2</w:t>
            </w:r>
          </w:p>
        </w:tc>
        <w:tc>
          <w:tcPr>
            <w:tcW w:w="1568" w:type="pct"/>
            <w:vAlign w:val="center"/>
          </w:tcPr>
          <w:p w14:paraId="5D740A4F">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0.76</w:t>
            </w:r>
          </w:p>
        </w:tc>
        <w:tc>
          <w:tcPr>
            <w:tcW w:w="1314" w:type="pct"/>
            <w:vAlign w:val="center"/>
          </w:tcPr>
          <w:p w14:paraId="47BC50F7">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1.798</w:t>
            </w:r>
          </w:p>
        </w:tc>
      </w:tr>
      <w:tr w14:paraId="5F8BDE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CD08D85">
            <w:pPr>
              <w:widowControl/>
              <w:adjustRightInd w:val="0"/>
              <w:snapToGrid w:val="0"/>
              <w:spacing w:line="240" w:lineRule="auto"/>
              <w:rPr>
                <w:rFonts w:eastAsiaTheme="minorEastAsia"/>
                <w:kern w:val="0"/>
                <w:sz w:val="21"/>
                <w:szCs w:val="21"/>
              </w:rPr>
            </w:pPr>
          </w:p>
        </w:tc>
        <w:tc>
          <w:tcPr>
            <w:tcW w:w="1102" w:type="pct"/>
            <w:vAlign w:val="center"/>
          </w:tcPr>
          <w:p w14:paraId="17D2140A">
            <w:pPr>
              <w:widowControl/>
              <w:adjustRightInd w:val="0"/>
              <w:snapToGrid w:val="0"/>
              <w:spacing w:line="240" w:lineRule="auto"/>
              <w:jc w:val="center"/>
              <w:rPr>
                <w:rFonts w:eastAsiaTheme="minorEastAsia"/>
                <w:kern w:val="0"/>
                <w:sz w:val="21"/>
                <w:szCs w:val="21"/>
              </w:rPr>
            </w:pPr>
            <w:r>
              <w:rPr>
                <w:rFonts w:eastAsiaTheme="minorEastAsia"/>
                <w:sz w:val="21"/>
                <w:szCs w:val="21"/>
                <w:lang w:eastAsia="en-US"/>
              </w:rPr>
              <w:t>NO</w:t>
            </w:r>
            <w:r>
              <w:rPr>
                <w:rFonts w:eastAsiaTheme="minorEastAsia"/>
                <w:position w:val="-2"/>
                <w:sz w:val="21"/>
                <w:szCs w:val="21"/>
                <w:vertAlign w:val="subscript"/>
                <w:lang w:eastAsia="en-US"/>
              </w:rPr>
              <w:t>X</w:t>
            </w:r>
          </w:p>
        </w:tc>
        <w:tc>
          <w:tcPr>
            <w:tcW w:w="1568" w:type="pct"/>
            <w:vAlign w:val="center"/>
          </w:tcPr>
          <w:p w14:paraId="71578CAF">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17.00</w:t>
            </w:r>
          </w:p>
        </w:tc>
        <w:tc>
          <w:tcPr>
            <w:tcW w:w="1314" w:type="pct"/>
            <w:vAlign w:val="center"/>
          </w:tcPr>
          <w:p w14:paraId="46BD1999">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40.402</w:t>
            </w:r>
          </w:p>
        </w:tc>
      </w:tr>
      <w:tr w14:paraId="304DA6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3E4694A">
            <w:pPr>
              <w:widowControl/>
              <w:adjustRightInd w:val="0"/>
              <w:snapToGrid w:val="0"/>
              <w:spacing w:line="240" w:lineRule="auto"/>
              <w:rPr>
                <w:rFonts w:eastAsiaTheme="minorEastAsia"/>
                <w:kern w:val="0"/>
                <w:sz w:val="21"/>
                <w:szCs w:val="21"/>
              </w:rPr>
            </w:pPr>
          </w:p>
        </w:tc>
        <w:tc>
          <w:tcPr>
            <w:tcW w:w="1102" w:type="pct"/>
            <w:vAlign w:val="center"/>
          </w:tcPr>
          <w:p w14:paraId="3CA7EE9C">
            <w:pPr>
              <w:widowControl/>
              <w:adjustRightInd w:val="0"/>
              <w:snapToGrid w:val="0"/>
              <w:spacing w:line="240" w:lineRule="auto"/>
              <w:jc w:val="center"/>
              <w:rPr>
                <w:rFonts w:eastAsiaTheme="minorEastAsia"/>
                <w:kern w:val="0"/>
                <w:sz w:val="21"/>
                <w:szCs w:val="21"/>
              </w:rPr>
            </w:pPr>
            <w:r>
              <w:rPr>
                <w:rFonts w:eastAsiaTheme="minorEastAsia"/>
                <w:spacing w:val="-2"/>
                <w:sz w:val="21"/>
                <w:szCs w:val="21"/>
                <w:lang w:eastAsia="en-US"/>
              </w:rPr>
              <w:t>颗粒物</w:t>
            </w:r>
          </w:p>
        </w:tc>
        <w:tc>
          <w:tcPr>
            <w:tcW w:w="1568" w:type="pct"/>
            <w:vAlign w:val="center"/>
          </w:tcPr>
          <w:p w14:paraId="1179AF64">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4.72</w:t>
            </w:r>
          </w:p>
        </w:tc>
        <w:tc>
          <w:tcPr>
            <w:tcW w:w="1314" w:type="pct"/>
            <w:vAlign w:val="center"/>
          </w:tcPr>
          <w:p w14:paraId="044A4535">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11.224</w:t>
            </w:r>
          </w:p>
        </w:tc>
      </w:tr>
      <w:tr w14:paraId="2CF8F3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2DF4531E">
            <w:pPr>
              <w:widowControl/>
              <w:adjustRightInd w:val="0"/>
              <w:snapToGrid w:val="0"/>
              <w:spacing w:line="240" w:lineRule="auto"/>
              <w:rPr>
                <w:rFonts w:eastAsiaTheme="minorEastAsia"/>
                <w:kern w:val="0"/>
                <w:sz w:val="21"/>
                <w:szCs w:val="21"/>
              </w:rPr>
            </w:pPr>
          </w:p>
        </w:tc>
        <w:tc>
          <w:tcPr>
            <w:tcW w:w="1102" w:type="pct"/>
            <w:vAlign w:val="center"/>
          </w:tcPr>
          <w:p w14:paraId="1125801E">
            <w:pPr>
              <w:widowControl/>
              <w:adjustRightInd w:val="0"/>
              <w:snapToGrid w:val="0"/>
              <w:spacing w:line="240" w:lineRule="auto"/>
              <w:jc w:val="center"/>
              <w:rPr>
                <w:rFonts w:eastAsiaTheme="minorEastAsia"/>
                <w:kern w:val="0"/>
                <w:sz w:val="21"/>
                <w:szCs w:val="21"/>
              </w:rPr>
            </w:pPr>
            <w:r>
              <w:rPr>
                <w:rFonts w:eastAsiaTheme="minorEastAsia"/>
                <w:sz w:val="21"/>
                <w:szCs w:val="21"/>
                <w:lang w:eastAsia="en-US"/>
              </w:rPr>
              <w:t>汞及其化合物</w:t>
            </w:r>
          </w:p>
        </w:tc>
        <w:tc>
          <w:tcPr>
            <w:tcW w:w="1568" w:type="pct"/>
            <w:vAlign w:val="center"/>
          </w:tcPr>
          <w:p w14:paraId="66B0A6AF">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0.002</w:t>
            </w:r>
          </w:p>
        </w:tc>
        <w:tc>
          <w:tcPr>
            <w:tcW w:w="1314" w:type="pct"/>
            <w:vAlign w:val="center"/>
          </w:tcPr>
          <w:p w14:paraId="21F772B9">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0.005</w:t>
            </w:r>
          </w:p>
        </w:tc>
      </w:tr>
      <w:tr w14:paraId="1FED1D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59AD7D7">
            <w:pPr>
              <w:widowControl/>
              <w:adjustRightInd w:val="0"/>
              <w:snapToGrid w:val="0"/>
              <w:spacing w:line="240" w:lineRule="auto"/>
              <w:rPr>
                <w:rFonts w:eastAsiaTheme="minorEastAsia"/>
                <w:kern w:val="0"/>
                <w:sz w:val="21"/>
                <w:szCs w:val="21"/>
              </w:rPr>
            </w:pPr>
          </w:p>
        </w:tc>
        <w:tc>
          <w:tcPr>
            <w:tcW w:w="1102" w:type="pct"/>
            <w:vAlign w:val="center"/>
          </w:tcPr>
          <w:p w14:paraId="00575184">
            <w:pPr>
              <w:widowControl/>
              <w:adjustRightInd w:val="0"/>
              <w:snapToGrid w:val="0"/>
              <w:spacing w:line="240" w:lineRule="auto"/>
              <w:jc w:val="center"/>
              <w:rPr>
                <w:rFonts w:eastAsiaTheme="minorEastAsia"/>
                <w:kern w:val="0"/>
                <w:sz w:val="21"/>
                <w:szCs w:val="21"/>
              </w:rPr>
            </w:pPr>
            <w:r>
              <w:rPr>
                <w:rFonts w:eastAsiaTheme="minorEastAsia"/>
                <w:sz w:val="21"/>
                <w:szCs w:val="21"/>
              </w:rPr>
              <w:t>氨</w:t>
            </w:r>
          </w:p>
        </w:tc>
        <w:tc>
          <w:tcPr>
            <w:tcW w:w="1568" w:type="pct"/>
            <w:vAlign w:val="center"/>
          </w:tcPr>
          <w:p w14:paraId="30DED27A">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0.94</w:t>
            </w:r>
          </w:p>
        </w:tc>
        <w:tc>
          <w:tcPr>
            <w:tcW w:w="1314" w:type="pct"/>
            <w:vAlign w:val="center"/>
          </w:tcPr>
          <w:p w14:paraId="6F3D5B86">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2.235</w:t>
            </w:r>
          </w:p>
        </w:tc>
      </w:tr>
      <w:tr w14:paraId="5EB473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restart"/>
            <w:vAlign w:val="center"/>
          </w:tcPr>
          <w:p w14:paraId="6697D181">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DA002</w:t>
            </w:r>
          </w:p>
        </w:tc>
        <w:tc>
          <w:tcPr>
            <w:tcW w:w="1102" w:type="pct"/>
            <w:vAlign w:val="top"/>
          </w:tcPr>
          <w:p w14:paraId="694D3E64">
            <w:pPr>
              <w:widowControl/>
              <w:adjustRightInd w:val="0"/>
              <w:snapToGrid w:val="0"/>
              <w:spacing w:line="240" w:lineRule="auto"/>
              <w:jc w:val="center"/>
              <w:rPr>
                <w:rFonts w:eastAsiaTheme="minorEastAsia"/>
                <w:sz w:val="21"/>
                <w:szCs w:val="21"/>
              </w:rPr>
            </w:pPr>
            <w:r>
              <w:rPr>
                <w:rFonts w:eastAsiaTheme="minorEastAsia"/>
                <w:sz w:val="21"/>
                <w:szCs w:val="21"/>
              </w:rPr>
              <w:t>SO</w:t>
            </w:r>
            <w:r>
              <w:rPr>
                <w:rFonts w:eastAsiaTheme="minorEastAsia"/>
                <w:sz w:val="21"/>
                <w:szCs w:val="21"/>
                <w:vertAlign w:val="subscript"/>
              </w:rPr>
              <w:t>2</w:t>
            </w:r>
          </w:p>
        </w:tc>
        <w:tc>
          <w:tcPr>
            <w:tcW w:w="1568" w:type="pct"/>
            <w:vAlign w:val="center"/>
          </w:tcPr>
          <w:p w14:paraId="535F7E2F">
            <w:pPr>
              <w:widowControl/>
              <w:adjustRightInd w:val="0"/>
              <w:snapToGrid w:val="0"/>
              <w:spacing w:line="240" w:lineRule="auto"/>
              <w:jc w:val="center"/>
              <w:rPr>
                <w:rFonts w:eastAsiaTheme="minorEastAsia"/>
                <w:kern w:val="0"/>
                <w:sz w:val="21"/>
                <w:szCs w:val="21"/>
              </w:rPr>
            </w:pPr>
            <w:r>
              <w:rPr>
                <w:rFonts w:eastAsiaTheme="minorEastAsia"/>
                <w:spacing w:val="-3"/>
                <w:sz w:val="21"/>
                <w:szCs w:val="21"/>
              </w:rPr>
              <w:t>20</w:t>
            </w:r>
          </w:p>
        </w:tc>
        <w:tc>
          <w:tcPr>
            <w:tcW w:w="1314" w:type="pct"/>
            <w:vAlign w:val="top"/>
          </w:tcPr>
          <w:p w14:paraId="1178B495">
            <w:pPr>
              <w:widowControl/>
              <w:adjustRightInd w:val="0"/>
              <w:snapToGrid w:val="0"/>
              <w:spacing w:line="240" w:lineRule="auto"/>
              <w:jc w:val="center"/>
              <w:rPr>
                <w:rFonts w:eastAsiaTheme="minorEastAsia"/>
                <w:kern w:val="0"/>
                <w:sz w:val="21"/>
                <w:szCs w:val="21"/>
              </w:rPr>
            </w:pPr>
            <w:r>
              <w:rPr>
                <w:rFonts w:eastAsiaTheme="minorEastAsia"/>
                <w:sz w:val="21"/>
                <w:szCs w:val="21"/>
              </w:rPr>
              <w:t>19.008</w:t>
            </w:r>
          </w:p>
        </w:tc>
      </w:tr>
      <w:tr w14:paraId="3480AD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4BD2DC7F">
            <w:pPr>
              <w:widowControl/>
              <w:adjustRightInd w:val="0"/>
              <w:snapToGrid w:val="0"/>
              <w:spacing w:line="240" w:lineRule="auto"/>
              <w:rPr>
                <w:rFonts w:eastAsiaTheme="minorEastAsia"/>
                <w:kern w:val="0"/>
                <w:sz w:val="21"/>
                <w:szCs w:val="21"/>
              </w:rPr>
            </w:pPr>
          </w:p>
        </w:tc>
        <w:tc>
          <w:tcPr>
            <w:tcW w:w="1102" w:type="pct"/>
            <w:vAlign w:val="top"/>
          </w:tcPr>
          <w:p w14:paraId="7361CC53">
            <w:pPr>
              <w:widowControl/>
              <w:adjustRightInd w:val="0"/>
              <w:snapToGrid w:val="0"/>
              <w:spacing w:line="240" w:lineRule="auto"/>
              <w:jc w:val="center"/>
              <w:rPr>
                <w:rFonts w:eastAsiaTheme="minorEastAsia"/>
                <w:sz w:val="21"/>
                <w:szCs w:val="21"/>
              </w:rPr>
            </w:pPr>
            <w:r>
              <w:rPr>
                <w:rFonts w:eastAsiaTheme="minorEastAsia"/>
                <w:sz w:val="21"/>
                <w:szCs w:val="21"/>
              </w:rPr>
              <w:t>NOx</w:t>
            </w:r>
          </w:p>
        </w:tc>
        <w:tc>
          <w:tcPr>
            <w:tcW w:w="1568" w:type="pct"/>
            <w:vAlign w:val="center"/>
          </w:tcPr>
          <w:p w14:paraId="09E88457">
            <w:pPr>
              <w:widowControl/>
              <w:adjustRightInd w:val="0"/>
              <w:snapToGrid w:val="0"/>
              <w:spacing w:line="240" w:lineRule="auto"/>
              <w:jc w:val="center"/>
              <w:rPr>
                <w:rFonts w:eastAsiaTheme="minorEastAsia"/>
                <w:kern w:val="0"/>
                <w:sz w:val="21"/>
                <w:szCs w:val="21"/>
              </w:rPr>
            </w:pPr>
            <w:r>
              <w:rPr>
                <w:rFonts w:eastAsiaTheme="minorEastAsia"/>
                <w:spacing w:val="-3"/>
                <w:sz w:val="21"/>
                <w:szCs w:val="21"/>
              </w:rPr>
              <w:t>45</w:t>
            </w:r>
          </w:p>
        </w:tc>
        <w:tc>
          <w:tcPr>
            <w:tcW w:w="1314" w:type="pct"/>
            <w:vAlign w:val="top"/>
          </w:tcPr>
          <w:p w14:paraId="3829BE92">
            <w:pPr>
              <w:widowControl/>
              <w:adjustRightInd w:val="0"/>
              <w:snapToGrid w:val="0"/>
              <w:spacing w:line="240" w:lineRule="auto"/>
              <w:jc w:val="center"/>
              <w:rPr>
                <w:rFonts w:eastAsiaTheme="minorEastAsia"/>
                <w:kern w:val="0"/>
                <w:sz w:val="21"/>
                <w:szCs w:val="21"/>
              </w:rPr>
            </w:pPr>
            <w:r>
              <w:rPr>
                <w:rFonts w:eastAsiaTheme="minorEastAsia"/>
                <w:sz w:val="21"/>
                <w:szCs w:val="21"/>
              </w:rPr>
              <w:t>42.768</w:t>
            </w:r>
          </w:p>
        </w:tc>
      </w:tr>
      <w:tr w14:paraId="4E467F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477A8BAE">
            <w:pPr>
              <w:widowControl/>
              <w:adjustRightInd w:val="0"/>
              <w:snapToGrid w:val="0"/>
              <w:spacing w:line="240" w:lineRule="auto"/>
              <w:rPr>
                <w:rFonts w:eastAsiaTheme="minorEastAsia"/>
                <w:kern w:val="0"/>
                <w:sz w:val="21"/>
                <w:szCs w:val="21"/>
              </w:rPr>
            </w:pPr>
          </w:p>
        </w:tc>
        <w:tc>
          <w:tcPr>
            <w:tcW w:w="1102" w:type="pct"/>
            <w:vAlign w:val="top"/>
          </w:tcPr>
          <w:p w14:paraId="434D7D82">
            <w:pPr>
              <w:widowControl/>
              <w:adjustRightInd w:val="0"/>
              <w:snapToGrid w:val="0"/>
              <w:spacing w:line="240" w:lineRule="auto"/>
              <w:jc w:val="center"/>
              <w:rPr>
                <w:rFonts w:eastAsiaTheme="minorEastAsia"/>
                <w:sz w:val="21"/>
                <w:szCs w:val="21"/>
              </w:rPr>
            </w:pPr>
            <w:r>
              <w:rPr>
                <w:rFonts w:eastAsiaTheme="minorEastAsia"/>
                <w:sz w:val="21"/>
                <w:szCs w:val="21"/>
              </w:rPr>
              <w:t>颗粒物</w:t>
            </w:r>
          </w:p>
        </w:tc>
        <w:tc>
          <w:tcPr>
            <w:tcW w:w="1568" w:type="pct"/>
            <w:vAlign w:val="center"/>
          </w:tcPr>
          <w:p w14:paraId="0ED4C244">
            <w:pPr>
              <w:widowControl/>
              <w:adjustRightInd w:val="0"/>
              <w:snapToGrid w:val="0"/>
              <w:spacing w:line="240" w:lineRule="auto"/>
              <w:jc w:val="center"/>
              <w:rPr>
                <w:rFonts w:eastAsiaTheme="minorEastAsia"/>
                <w:kern w:val="0"/>
                <w:sz w:val="21"/>
                <w:szCs w:val="21"/>
              </w:rPr>
            </w:pPr>
            <w:r>
              <w:rPr>
                <w:rFonts w:eastAsiaTheme="minorEastAsia"/>
                <w:spacing w:val="-8"/>
                <w:sz w:val="21"/>
                <w:szCs w:val="21"/>
              </w:rPr>
              <w:t>4</w:t>
            </w:r>
          </w:p>
        </w:tc>
        <w:tc>
          <w:tcPr>
            <w:tcW w:w="1314" w:type="pct"/>
            <w:vAlign w:val="top"/>
          </w:tcPr>
          <w:p w14:paraId="132D5C9C">
            <w:pPr>
              <w:widowControl/>
              <w:adjustRightInd w:val="0"/>
              <w:snapToGrid w:val="0"/>
              <w:spacing w:line="240" w:lineRule="auto"/>
              <w:jc w:val="center"/>
              <w:rPr>
                <w:rFonts w:eastAsiaTheme="minorEastAsia"/>
                <w:kern w:val="0"/>
                <w:sz w:val="21"/>
                <w:szCs w:val="21"/>
              </w:rPr>
            </w:pPr>
            <w:r>
              <w:rPr>
                <w:rFonts w:eastAsiaTheme="minorEastAsia"/>
                <w:sz w:val="21"/>
                <w:szCs w:val="21"/>
              </w:rPr>
              <w:t>3.802</w:t>
            </w:r>
          </w:p>
        </w:tc>
      </w:tr>
      <w:tr w14:paraId="66B213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0186C54B">
            <w:pPr>
              <w:widowControl/>
              <w:adjustRightInd w:val="0"/>
              <w:snapToGrid w:val="0"/>
              <w:spacing w:line="240" w:lineRule="auto"/>
              <w:rPr>
                <w:rFonts w:eastAsiaTheme="minorEastAsia"/>
                <w:kern w:val="0"/>
                <w:sz w:val="21"/>
                <w:szCs w:val="21"/>
              </w:rPr>
            </w:pPr>
          </w:p>
        </w:tc>
        <w:tc>
          <w:tcPr>
            <w:tcW w:w="1102" w:type="pct"/>
            <w:vAlign w:val="top"/>
          </w:tcPr>
          <w:p w14:paraId="2A4B6E3E">
            <w:pPr>
              <w:widowControl/>
              <w:adjustRightInd w:val="0"/>
              <w:snapToGrid w:val="0"/>
              <w:spacing w:line="240" w:lineRule="auto"/>
              <w:jc w:val="center"/>
              <w:rPr>
                <w:rFonts w:eastAsiaTheme="minorEastAsia"/>
                <w:sz w:val="21"/>
                <w:szCs w:val="21"/>
              </w:rPr>
            </w:pPr>
            <w:r>
              <w:rPr>
                <w:rFonts w:eastAsiaTheme="minorEastAsia"/>
                <w:sz w:val="21"/>
                <w:szCs w:val="21"/>
              </w:rPr>
              <w:t>氨</w:t>
            </w:r>
          </w:p>
        </w:tc>
        <w:tc>
          <w:tcPr>
            <w:tcW w:w="1568" w:type="pct"/>
            <w:vAlign w:val="center"/>
          </w:tcPr>
          <w:p w14:paraId="2AD10982">
            <w:pPr>
              <w:widowControl/>
              <w:adjustRightInd w:val="0"/>
              <w:snapToGrid w:val="0"/>
              <w:spacing w:line="240" w:lineRule="auto"/>
              <w:jc w:val="center"/>
              <w:rPr>
                <w:rFonts w:eastAsiaTheme="minorEastAsia"/>
                <w:kern w:val="0"/>
                <w:sz w:val="21"/>
                <w:szCs w:val="21"/>
              </w:rPr>
            </w:pPr>
            <w:r>
              <w:rPr>
                <w:rFonts w:eastAsiaTheme="minorEastAsia"/>
                <w:spacing w:val="-8"/>
                <w:sz w:val="21"/>
                <w:szCs w:val="21"/>
              </w:rPr>
              <w:t>2.28</w:t>
            </w:r>
          </w:p>
        </w:tc>
        <w:tc>
          <w:tcPr>
            <w:tcW w:w="1314" w:type="pct"/>
            <w:vAlign w:val="top"/>
          </w:tcPr>
          <w:p w14:paraId="30667C0F">
            <w:pPr>
              <w:widowControl/>
              <w:adjustRightInd w:val="0"/>
              <w:snapToGrid w:val="0"/>
              <w:spacing w:line="240" w:lineRule="auto"/>
              <w:jc w:val="center"/>
              <w:rPr>
                <w:rFonts w:eastAsiaTheme="minorEastAsia"/>
                <w:kern w:val="0"/>
                <w:sz w:val="21"/>
                <w:szCs w:val="21"/>
              </w:rPr>
            </w:pPr>
            <w:r>
              <w:rPr>
                <w:rFonts w:eastAsiaTheme="minorEastAsia"/>
                <w:sz w:val="21"/>
                <w:szCs w:val="21"/>
              </w:rPr>
              <w:t>2.17</w:t>
            </w:r>
          </w:p>
        </w:tc>
      </w:tr>
      <w:tr w14:paraId="0D8A6E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58A86802">
            <w:pPr>
              <w:widowControl/>
              <w:adjustRightInd w:val="0"/>
              <w:snapToGrid w:val="0"/>
              <w:spacing w:line="240" w:lineRule="auto"/>
              <w:rPr>
                <w:rFonts w:eastAsiaTheme="minorEastAsia"/>
                <w:kern w:val="0"/>
                <w:sz w:val="21"/>
                <w:szCs w:val="21"/>
              </w:rPr>
            </w:pPr>
          </w:p>
        </w:tc>
        <w:tc>
          <w:tcPr>
            <w:tcW w:w="1102" w:type="pct"/>
            <w:vAlign w:val="top"/>
          </w:tcPr>
          <w:p w14:paraId="4FAB0CC3">
            <w:pPr>
              <w:widowControl/>
              <w:adjustRightInd w:val="0"/>
              <w:snapToGrid w:val="0"/>
              <w:spacing w:line="240" w:lineRule="auto"/>
              <w:jc w:val="center"/>
              <w:rPr>
                <w:rFonts w:eastAsiaTheme="minorEastAsia"/>
                <w:sz w:val="21"/>
                <w:szCs w:val="21"/>
              </w:rPr>
            </w:pPr>
            <w:r>
              <w:rPr>
                <w:rFonts w:eastAsiaTheme="minorEastAsia"/>
                <w:sz w:val="21"/>
                <w:szCs w:val="21"/>
              </w:rPr>
              <w:t>氟化物</w:t>
            </w:r>
          </w:p>
        </w:tc>
        <w:tc>
          <w:tcPr>
            <w:tcW w:w="1568" w:type="pct"/>
            <w:vAlign w:val="center"/>
          </w:tcPr>
          <w:p w14:paraId="70156E3A">
            <w:pPr>
              <w:widowControl/>
              <w:adjustRightInd w:val="0"/>
              <w:snapToGrid w:val="0"/>
              <w:spacing w:line="240" w:lineRule="auto"/>
              <w:jc w:val="center"/>
              <w:rPr>
                <w:rFonts w:eastAsiaTheme="minorEastAsia"/>
                <w:kern w:val="0"/>
                <w:sz w:val="21"/>
                <w:szCs w:val="21"/>
              </w:rPr>
            </w:pPr>
            <w:r>
              <w:rPr>
                <w:rFonts w:eastAsiaTheme="minorEastAsia"/>
                <w:spacing w:val="-3"/>
                <w:sz w:val="21"/>
                <w:szCs w:val="21"/>
              </w:rPr>
              <w:t>0.012</w:t>
            </w:r>
          </w:p>
        </w:tc>
        <w:tc>
          <w:tcPr>
            <w:tcW w:w="1314" w:type="pct"/>
            <w:vAlign w:val="top"/>
          </w:tcPr>
          <w:p w14:paraId="01329BAA">
            <w:pPr>
              <w:widowControl/>
              <w:adjustRightInd w:val="0"/>
              <w:snapToGrid w:val="0"/>
              <w:spacing w:line="240" w:lineRule="auto"/>
              <w:jc w:val="center"/>
              <w:rPr>
                <w:rFonts w:eastAsiaTheme="minorEastAsia"/>
                <w:kern w:val="0"/>
                <w:sz w:val="21"/>
                <w:szCs w:val="21"/>
              </w:rPr>
            </w:pPr>
            <w:r>
              <w:rPr>
                <w:rFonts w:eastAsiaTheme="minorEastAsia"/>
                <w:sz w:val="21"/>
                <w:szCs w:val="21"/>
              </w:rPr>
              <w:t>0.0114</w:t>
            </w:r>
          </w:p>
        </w:tc>
      </w:tr>
      <w:tr w14:paraId="55BDFD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2B073C9">
            <w:pPr>
              <w:widowControl/>
              <w:adjustRightInd w:val="0"/>
              <w:snapToGrid w:val="0"/>
              <w:spacing w:line="240" w:lineRule="auto"/>
              <w:rPr>
                <w:rFonts w:eastAsiaTheme="minorEastAsia"/>
                <w:kern w:val="0"/>
                <w:sz w:val="21"/>
                <w:szCs w:val="21"/>
              </w:rPr>
            </w:pPr>
          </w:p>
        </w:tc>
        <w:tc>
          <w:tcPr>
            <w:tcW w:w="1102" w:type="pct"/>
            <w:vAlign w:val="top"/>
          </w:tcPr>
          <w:p w14:paraId="1656AC0B">
            <w:pPr>
              <w:widowControl/>
              <w:adjustRightInd w:val="0"/>
              <w:snapToGrid w:val="0"/>
              <w:spacing w:line="240" w:lineRule="auto"/>
              <w:jc w:val="center"/>
              <w:rPr>
                <w:rFonts w:eastAsiaTheme="minorEastAsia"/>
                <w:sz w:val="21"/>
                <w:szCs w:val="21"/>
              </w:rPr>
            </w:pPr>
            <w:r>
              <w:rPr>
                <w:rFonts w:eastAsiaTheme="minorEastAsia"/>
                <w:sz w:val="21"/>
                <w:szCs w:val="21"/>
              </w:rPr>
              <w:t>二噁英类</w:t>
            </w:r>
          </w:p>
        </w:tc>
        <w:tc>
          <w:tcPr>
            <w:tcW w:w="1568" w:type="pct"/>
            <w:vAlign w:val="center"/>
          </w:tcPr>
          <w:p w14:paraId="1612DECE">
            <w:pPr>
              <w:widowControl/>
              <w:adjustRightInd w:val="0"/>
              <w:snapToGrid w:val="0"/>
              <w:spacing w:line="240" w:lineRule="auto"/>
              <w:jc w:val="center"/>
              <w:rPr>
                <w:rFonts w:eastAsiaTheme="minorEastAsia"/>
                <w:kern w:val="0"/>
                <w:sz w:val="21"/>
                <w:szCs w:val="21"/>
              </w:rPr>
            </w:pPr>
            <w:r>
              <w:rPr>
                <w:rFonts w:eastAsiaTheme="minorEastAsia"/>
                <w:spacing w:val="-3"/>
                <w:sz w:val="21"/>
                <w:szCs w:val="21"/>
              </w:rPr>
              <w:t>0.45ng</w:t>
            </w:r>
            <w:r>
              <w:rPr>
                <w:rFonts w:eastAsiaTheme="minorEastAsia"/>
                <w:sz w:val="21"/>
                <w:szCs w:val="21"/>
              </w:rPr>
              <w:t>TEQ/m³</w:t>
            </w:r>
          </w:p>
        </w:tc>
        <w:tc>
          <w:tcPr>
            <w:tcW w:w="1314" w:type="pct"/>
            <w:vAlign w:val="top"/>
          </w:tcPr>
          <w:p w14:paraId="6CFA3486">
            <w:pPr>
              <w:widowControl/>
              <w:adjustRightInd w:val="0"/>
              <w:snapToGrid w:val="0"/>
              <w:spacing w:line="240" w:lineRule="auto"/>
              <w:jc w:val="center"/>
              <w:rPr>
                <w:rFonts w:eastAsiaTheme="minorEastAsia"/>
                <w:kern w:val="0"/>
                <w:sz w:val="21"/>
                <w:szCs w:val="21"/>
              </w:rPr>
            </w:pPr>
            <w:r>
              <w:rPr>
                <w:rFonts w:eastAsiaTheme="minorEastAsia"/>
                <w:sz w:val="21"/>
                <w:szCs w:val="21"/>
              </w:rPr>
              <w:t>0.4277gTEQ/a</w:t>
            </w:r>
          </w:p>
        </w:tc>
      </w:tr>
      <w:tr w14:paraId="367272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5000" w:type="pct"/>
            <w:gridSpan w:val="4"/>
            <w:vAlign w:val="center"/>
          </w:tcPr>
          <w:p w14:paraId="74A9F03E">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一般排放口</w:t>
            </w:r>
          </w:p>
        </w:tc>
      </w:tr>
      <w:tr w14:paraId="573468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Align w:val="center"/>
          </w:tcPr>
          <w:p w14:paraId="5FAD30F8">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DA003</w:t>
            </w:r>
          </w:p>
        </w:tc>
        <w:tc>
          <w:tcPr>
            <w:tcW w:w="1102" w:type="pct"/>
            <w:vAlign w:val="top"/>
          </w:tcPr>
          <w:p w14:paraId="123C8C23">
            <w:pPr>
              <w:widowControl/>
              <w:adjustRightInd w:val="0"/>
              <w:snapToGrid w:val="0"/>
              <w:spacing w:line="240" w:lineRule="auto"/>
              <w:jc w:val="center"/>
              <w:rPr>
                <w:rFonts w:eastAsiaTheme="minorEastAsia"/>
                <w:kern w:val="0"/>
                <w:sz w:val="21"/>
                <w:szCs w:val="21"/>
              </w:rPr>
            </w:pPr>
            <w:r>
              <w:rPr>
                <w:rFonts w:eastAsiaTheme="minorEastAsia"/>
                <w:sz w:val="21"/>
                <w:szCs w:val="21"/>
              </w:rPr>
              <w:t>颗粒物</w:t>
            </w:r>
          </w:p>
        </w:tc>
        <w:tc>
          <w:tcPr>
            <w:tcW w:w="1568" w:type="pct"/>
            <w:vAlign w:val="center"/>
          </w:tcPr>
          <w:p w14:paraId="37D8DFBA">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4.34</w:t>
            </w:r>
          </w:p>
        </w:tc>
        <w:tc>
          <w:tcPr>
            <w:tcW w:w="1314" w:type="pct"/>
            <w:vAlign w:val="center"/>
          </w:tcPr>
          <w:p w14:paraId="160BA137">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1.203</w:t>
            </w:r>
          </w:p>
        </w:tc>
      </w:tr>
      <w:tr w14:paraId="642E46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Align w:val="center"/>
          </w:tcPr>
          <w:p w14:paraId="10A3DA02">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DA004</w:t>
            </w:r>
          </w:p>
        </w:tc>
        <w:tc>
          <w:tcPr>
            <w:tcW w:w="1102" w:type="pct"/>
            <w:vAlign w:val="top"/>
          </w:tcPr>
          <w:p w14:paraId="78EF380B">
            <w:pPr>
              <w:widowControl/>
              <w:adjustRightInd w:val="0"/>
              <w:snapToGrid w:val="0"/>
              <w:spacing w:line="240" w:lineRule="auto"/>
              <w:jc w:val="center"/>
              <w:rPr>
                <w:rFonts w:eastAsiaTheme="minorEastAsia"/>
                <w:kern w:val="0"/>
                <w:sz w:val="21"/>
                <w:szCs w:val="21"/>
              </w:rPr>
            </w:pPr>
            <w:r>
              <w:rPr>
                <w:rFonts w:eastAsiaTheme="minorEastAsia"/>
                <w:sz w:val="21"/>
                <w:szCs w:val="21"/>
              </w:rPr>
              <w:t>颗粒物</w:t>
            </w:r>
          </w:p>
        </w:tc>
        <w:tc>
          <w:tcPr>
            <w:tcW w:w="1568" w:type="pct"/>
            <w:vAlign w:val="center"/>
          </w:tcPr>
          <w:p w14:paraId="0C45FC7B">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7.23</w:t>
            </w:r>
          </w:p>
        </w:tc>
        <w:tc>
          <w:tcPr>
            <w:tcW w:w="1314" w:type="pct"/>
            <w:vAlign w:val="center"/>
          </w:tcPr>
          <w:p w14:paraId="73F39F2C">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0.716</w:t>
            </w:r>
          </w:p>
        </w:tc>
      </w:tr>
      <w:tr w14:paraId="0878EA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Merge w:val="restart"/>
            <w:vAlign w:val="center"/>
          </w:tcPr>
          <w:p w14:paraId="5E50D615">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DA005</w:t>
            </w:r>
          </w:p>
        </w:tc>
        <w:tc>
          <w:tcPr>
            <w:tcW w:w="1102" w:type="pct"/>
            <w:vAlign w:val="center"/>
          </w:tcPr>
          <w:p w14:paraId="5E31C196">
            <w:pPr>
              <w:widowControl/>
              <w:adjustRightInd w:val="0"/>
              <w:snapToGrid w:val="0"/>
              <w:spacing w:line="240" w:lineRule="auto"/>
              <w:jc w:val="center"/>
              <w:rPr>
                <w:rFonts w:eastAsiaTheme="minorEastAsia"/>
                <w:kern w:val="0"/>
                <w:sz w:val="21"/>
                <w:szCs w:val="21"/>
              </w:rPr>
            </w:pPr>
            <w:r>
              <w:rPr>
                <w:rFonts w:eastAsiaTheme="minorEastAsia"/>
                <w:spacing w:val="-2"/>
                <w:sz w:val="21"/>
                <w:szCs w:val="21"/>
              </w:rPr>
              <w:t>颗粒物</w:t>
            </w:r>
          </w:p>
        </w:tc>
        <w:tc>
          <w:tcPr>
            <w:tcW w:w="1568" w:type="pct"/>
            <w:vAlign w:val="center"/>
          </w:tcPr>
          <w:p w14:paraId="35DC8F27">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10.51</w:t>
            </w:r>
          </w:p>
        </w:tc>
        <w:tc>
          <w:tcPr>
            <w:tcW w:w="1314" w:type="pct"/>
            <w:vAlign w:val="center"/>
          </w:tcPr>
          <w:p w14:paraId="696CA814">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9.985</w:t>
            </w:r>
          </w:p>
        </w:tc>
      </w:tr>
      <w:tr w14:paraId="45DD8B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Merge w:val="continue"/>
            <w:vAlign w:val="center"/>
          </w:tcPr>
          <w:p w14:paraId="21B98AF7">
            <w:pPr>
              <w:widowControl/>
              <w:adjustRightInd w:val="0"/>
              <w:snapToGrid w:val="0"/>
              <w:spacing w:line="240" w:lineRule="auto"/>
              <w:jc w:val="center"/>
              <w:rPr>
                <w:rFonts w:eastAsiaTheme="minorEastAsia"/>
                <w:kern w:val="0"/>
                <w:sz w:val="21"/>
                <w:szCs w:val="21"/>
              </w:rPr>
            </w:pPr>
          </w:p>
        </w:tc>
        <w:tc>
          <w:tcPr>
            <w:tcW w:w="1102" w:type="pct"/>
            <w:vAlign w:val="center"/>
          </w:tcPr>
          <w:p w14:paraId="6614DCF3">
            <w:pPr>
              <w:widowControl/>
              <w:adjustRightInd w:val="0"/>
              <w:snapToGrid w:val="0"/>
              <w:spacing w:line="240" w:lineRule="auto"/>
              <w:jc w:val="center"/>
              <w:rPr>
                <w:rFonts w:eastAsiaTheme="minorEastAsia"/>
                <w:sz w:val="21"/>
                <w:szCs w:val="21"/>
              </w:rPr>
            </w:pPr>
            <w:r>
              <w:rPr>
                <w:rFonts w:eastAsiaTheme="minorEastAsia"/>
                <w:spacing w:val="-5"/>
                <w:sz w:val="21"/>
                <w:szCs w:val="21"/>
                <w:lang w:eastAsia="en-US"/>
              </w:rPr>
              <w:t>SO</w:t>
            </w:r>
            <w:r>
              <w:rPr>
                <w:rFonts w:eastAsiaTheme="minorEastAsia"/>
                <w:spacing w:val="-5"/>
                <w:position w:val="-2"/>
                <w:sz w:val="21"/>
                <w:szCs w:val="21"/>
                <w:vertAlign w:val="subscript"/>
                <w:lang w:eastAsia="en-US"/>
              </w:rPr>
              <w:t>2</w:t>
            </w:r>
          </w:p>
        </w:tc>
        <w:tc>
          <w:tcPr>
            <w:tcW w:w="1568" w:type="pct"/>
            <w:vAlign w:val="center"/>
          </w:tcPr>
          <w:p w14:paraId="496D5176">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9.36</w:t>
            </w:r>
          </w:p>
        </w:tc>
        <w:tc>
          <w:tcPr>
            <w:tcW w:w="1314" w:type="pct"/>
            <w:vAlign w:val="center"/>
          </w:tcPr>
          <w:p w14:paraId="01DAE706">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8.897</w:t>
            </w:r>
          </w:p>
        </w:tc>
      </w:tr>
      <w:tr w14:paraId="5D8226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Merge w:val="continue"/>
            <w:vAlign w:val="center"/>
          </w:tcPr>
          <w:p w14:paraId="5F48066B">
            <w:pPr>
              <w:widowControl/>
              <w:adjustRightInd w:val="0"/>
              <w:snapToGrid w:val="0"/>
              <w:spacing w:line="240" w:lineRule="auto"/>
              <w:jc w:val="center"/>
              <w:rPr>
                <w:rFonts w:eastAsiaTheme="minorEastAsia"/>
                <w:kern w:val="0"/>
                <w:sz w:val="21"/>
                <w:szCs w:val="21"/>
              </w:rPr>
            </w:pPr>
          </w:p>
        </w:tc>
        <w:tc>
          <w:tcPr>
            <w:tcW w:w="1102" w:type="pct"/>
            <w:vAlign w:val="center"/>
          </w:tcPr>
          <w:p w14:paraId="692B1F65">
            <w:pPr>
              <w:widowControl/>
              <w:adjustRightInd w:val="0"/>
              <w:snapToGrid w:val="0"/>
              <w:spacing w:line="240" w:lineRule="auto"/>
              <w:jc w:val="center"/>
              <w:rPr>
                <w:rFonts w:eastAsiaTheme="minorEastAsia"/>
                <w:sz w:val="21"/>
                <w:szCs w:val="21"/>
              </w:rPr>
            </w:pPr>
            <w:r>
              <w:rPr>
                <w:rFonts w:eastAsiaTheme="minorEastAsia"/>
                <w:sz w:val="21"/>
                <w:szCs w:val="21"/>
                <w:lang w:eastAsia="en-US"/>
              </w:rPr>
              <w:t>NO</w:t>
            </w:r>
            <w:r>
              <w:rPr>
                <w:rFonts w:eastAsiaTheme="minorEastAsia"/>
                <w:position w:val="-2"/>
                <w:sz w:val="21"/>
                <w:szCs w:val="21"/>
                <w:vertAlign w:val="subscript"/>
                <w:lang w:eastAsia="en-US"/>
              </w:rPr>
              <w:t>X</w:t>
            </w:r>
          </w:p>
        </w:tc>
        <w:tc>
          <w:tcPr>
            <w:tcW w:w="1568" w:type="pct"/>
            <w:vAlign w:val="center"/>
          </w:tcPr>
          <w:p w14:paraId="36604E71">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20.16</w:t>
            </w:r>
          </w:p>
        </w:tc>
        <w:tc>
          <w:tcPr>
            <w:tcW w:w="1314" w:type="pct"/>
            <w:vAlign w:val="center"/>
          </w:tcPr>
          <w:p w14:paraId="27AE1C58">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19.160</w:t>
            </w:r>
          </w:p>
        </w:tc>
      </w:tr>
      <w:tr w14:paraId="689FC7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Merge w:val="continue"/>
            <w:vAlign w:val="center"/>
          </w:tcPr>
          <w:p w14:paraId="651B119B">
            <w:pPr>
              <w:widowControl/>
              <w:adjustRightInd w:val="0"/>
              <w:snapToGrid w:val="0"/>
              <w:spacing w:line="240" w:lineRule="auto"/>
              <w:jc w:val="center"/>
              <w:rPr>
                <w:rFonts w:eastAsiaTheme="minorEastAsia"/>
                <w:kern w:val="0"/>
                <w:sz w:val="21"/>
                <w:szCs w:val="21"/>
              </w:rPr>
            </w:pPr>
          </w:p>
        </w:tc>
        <w:tc>
          <w:tcPr>
            <w:tcW w:w="1102" w:type="pct"/>
            <w:vAlign w:val="center"/>
          </w:tcPr>
          <w:p w14:paraId="5A7F4F28">
            <w:pPr>
              <w:widowControl/>
              <w:adjustRightInd w:val="0"/>
              <w:snapToGrid w:val="0"/>
              <w:spacing w:line="240" w:lineRule="auto"/>
              <w:jc w:val="center"/>
              <w:rPr>
                <w:rFonts w:eastAsiaTheme="minorEastAsia"/>
                <w:sz w:val="21"/>
                <w:szCs w:val="21"/>
              </w:rPr>
            </w:pPr>
            <w:r>
              <w:rPr>
                <w:rFonts w:eastAsiaTheme="minorEastAsia"/>
                <w:spacing w:val="-2"/>
                <w:sz w:val="21"/>
                <w:szCs w:val="21"/>
              </w:rPr>
              <w:t>VOCs</w:t>
            </w:r>
          </w:p>
        </w:tc>
        <w:tc>
          <w:tcPr>
            <w:tcW w:w="1568" w:type="pct"/>
            <w:vAlign w:val="center"/>
          </w:tcPr>
          <w:p w14:paraId="610CA84A">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9.43</w:t>
            </w:r>
          </w:p>
        </w:tc>
        <w:tc>
          <w:tcPr>
            <w:tcW w:w="1314" w:type="pct"/>
            <w:vAlign w:val="center"/>
          </w:tcPr>
          <w:p w14:paraId="3DA11B44">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8.964</w:t>
            </w:r>
          </w:p>
        </w:tc>
      </w:tr>
      <w:tr w14:paraId="431CA9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Merge w:val="continue"/>
            <w:vAlign w:val="center"/>
          </w:tcPr>
          <w:p w14:paraId="54AC1AB9">
            <w:pPr>
              <w:widowControl/>
              <w:adjustRightInd w:val="0"/>
              <w:snapToGrid w:val="0"/>
              <w:spacing w:line="240" w:lineRule="auto"/>
              <w:jc w:val="center"/>
              <w:rPr>
                <w:rFonts w:eastAsiaTheme="minorEastAsia"/>
                <w:kern w:val="0"/>
                <w:sz w:val="21"/>
                <w:szCs w:val="21"/>
              </w:rPr>
            </w:pPr>
          </w:p>
        </w:tc>
        <w:tc>
          <w:tcPr>
            <w:tcW w:w="1102" w:type="pct"/>
            <w:vAlign w:val="center"/>
          </w:tcPr>
          <w:p w14:paraId="698A0CB0">
            <w:pPr>
              <w:widowControl/>
              <w:adjustRightInd w:val="0"/>
              <w:snapToGrid w:val="0"/>
              <w:spacing w:line="240" w:lineRule="auto"/>
              <w:jc w:val="center"/>
              <w:rPr>
                <w:rFonts w:eastAsiaTheme="minorEastAsia"/>
                <w:sz w:val="21"/>
                <w:szCs w:val="21"/>
              </w:rPr>
            </w:pPr>
            <w:r>
              <w:rPr>
                <w:rFonts w:eastAsiaTheme="minorEastAsia"/>
                <w:spacing w:val="-2"/>
                <w:sz w:val="21"/>
                <w:szCs w:val="21"/>
              </w:rPr>
              <w:t>甲醛</w:t>
            </w:r>
          </w:p>
        </w:tc>
        <w:tc>
          <w:tcPr>
            <w:tcW w:w="1568" w:type="pct"/>
            <w:vAlign w:val="center"/>
          </w:tcPr>
          <w:p w14:paraId="7015A1D6">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0.41</w:t>
            </w:r>
          </w:p>
        </w:tc>
        <w:tc>
          <w:tcPr>
            <w:tcW w:w="1314" w:type="pct"/>
            <w:vAlign w:val="center"/>
          </w:tcPr>
          <w:p w14:paraId="08EE9026">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0.394</w:t>
            </w:r>
          </w:p>
        </w:tc>
      </w:tr>
      <w:tr w14:paraId="74AFE3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Merge w:val="continue"/>
            <w:vAlign w:val="center"/>
          </w:tcPr>
          <w:p w14:paraId="3DA2F101">
            <w:pPr>
              <w:widowControl/>
              <w:adjustRightInd w:val="0"/>
              <w:snapToGrid w:val="0"/>
              <w:spacing w:line="240" w:lineRule="auto"/>
              <w:jc w:val="center"/>
              <w:rPr>
                <w:rFonts w:eastAsiaTheme="minorEastAsia"/>
                <w:kern w:val="0"/>
                <w:sz w:val="21"/>
                <w:szCs w:val="21"/>
              </w:rPr>
            </w:pPr>
          </w:p>
        </w:tc>
        <w:tc>
          <w:tcPr>
            <w:tcW w:w="1102" w:type="pct"/>
            <w:vAlign w:val="center"/>
          </w:tcPr>
          <w:p w14:paraId="2F048377">
            <w:pPr>
              <w:widowControl/>
              <w:adjustRightInd w:val="0"/>
              <w:snapToGrid w:val="0"/>
              <w:spacing w:line="240" w:lineRule="auto"/>
              <w:jc w:val="center"/>
              <w:rPr>
                <w:rFonts w:eastAsiaTheme="minorEastAsia"/>
                <w:sz w:val="21"/>
                <w:szCs w:val="21"/>
              </w:rPr>
            </w:pPr>
            <w:r>
              <w:rPr>
                <w:rFonts w:eastAsiaTheme="minorEastAsia"/>
                <w:spacing w:val="-2"/>
                <w:sz w:val="21"/>
                <w:szCs w:val="21"/>
              </w:rPr>
              <w:t>酚类</w:t>
            </w:r>
          </w:p>
        </w:tc>
        <w:tc>
          <w:tcPr>
            <w:tcW w:w="1568" w:type="pct"/>
            <w:vAlign w:val="center"/>
          </w:tcPr>
          <w:p w14:paraId="5B342660">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11.95</w:t>
            </w:r>
          </w:p>
        </w:tc>
        <w:tc>
          <w:tcPr>
            <w:tcW w:w="1314" w:type="pct"/>
            <w:vAlign w:val="center"/>
          </w:tcPr>
          <w:p w14:paraId="7AB108EA">
            <w:pPr>
              <w:widowControl/>
              <w:adjustRightInd w:val="0"/>
              <w:snapToGrid w:val="0"/>
              <w:spacing w:line="240" w:lineRule="auto"/>
              <w:jc w:val="center"/>
              <w:rPr>
                <w:rFonts w:eastAsiaTheme="minorEastAsia"/>
                <w:kern w:val="0"/>
                <w:sz w:val="21"/>
                <w:szCs w:val="21"/>
              </w:rPr>
            </w:pPr>
            <w:r>
              <w:rPr>
                <w:rFonts w:eastAsiaTheme="minorEastAsia"/>
                <w:color w:val="000000"/>
                <w:sz w:val="21"/>
                <w:szCs w:val="21"/>
              </w:rPr>
              <w:t>11.361</w:t>
            </w:r>
          </w:p>
        </w:tc>
      </w:tr>
      <w:tr w14:paraId="6B80BF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Align w:val="center"/>
          </w:tcPr>
          <w:p w14:paraId="1AAE2455">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DA006</w:t>
            </w:r>
          </w:p>
        </w:tc>
        <w:tc>
          <w:tcPr>
            <w:tcW w:w="1102" w:type="pct"/>
            <w:vAlign w:val="top"/>
          </w:tcPr>
          <w:p w14:paraId="25B4A420">
            <w:pPr>
              <w:widowControl/>
              <w:adjustRightInd w:val="0"/>
              <w:snapToGrid w:val="0"/>
              <w:spacing w:line="240" w:lineRule="auto"/>
              <w:jc w:val="center"/>
              <w:rPr>
                <w:rFonts w:eastAsiaTheme="minorEastAsia"/>
                <w:sz w:val="21"/>
                <w:szCs w:val="21"/>
              </w:rPr>
            </w:pPr>
            <w:r>
              <w:rPr>
                <w:rFonts w:eastAsiaTheme="minorEastAsia"/>
                <w:sz w:val="21"/>
                <w:szCs w:val="21"/>
              </w:rPr>
              <w:t>颗粒物</w:t>
            </w:r>
          </w:p>
        </w:tc>
        <w:tc>
          <w:tcPr>
            <w:tcW w:w="1568" w:type="pct"/>
            <w:vAlign w:val="center"/>
          </w:tcPr>
          <w:p w14:paraId="1E0931E6">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11.63</w:t>
            </w:r>
          </w:p>
        </w:tc>
        <w:tc>
          <w:tcPr>
            <w:tcW w:w="1314" w:type="pct"/>
            <w:vAlign w:val="center"/>
          </w:tcPr>
          <w:p w14:paraId="61CC08F6">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2.303</w:t>
            </w:r>
          </w:p>
        </w:tc>
      </w:tr>
      <w:tr w14:paraId="5A0AB4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Align w:val="center"/>
          </w:tcPr>
          <w:p w14:paraId="4539AE72">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DA007</w:t>
            </w:r>
          </w:p>
        </w:tc>
        <w:tc>
          <w:tcPr>
            <w:tcW w:w="1102" w:type="pct"/>
            <w:vAlign w:val="top"/>
          </w:tcPr>
          <w:p w14:paraId="50E621A8">
            <w:pPr>
              <w:widowControl/>
              <w:adjustRightInd w:val="0"/>
              <w:snapToGrid w:val="0"/>
              <w:spacing w:line="240" w:lineRule="auto"/>
              <w:jc w:val="center"/>
              <w:rPr>
                <w:rFonts w:eastAsiaTheme="minorEastAsia"/>
                <w:kern w:val="0"/>
                <w:sz w:val="21"/>
                <w:szCs w:val="21"/>
              </w:rPr>
            </w:pPr>
            <w:r>
              <w:rPr>
                <w:rFonts w:eastAsiaTheme="minorEastAsia"/>
                <w:sz w:val="21"/>
                <w:szCs w:val="21"/>
              </w:rPr>
              <w:t>颗粒物</w:t>
            </w:r>
          </w:p>
        </w:tc>
        <w:tc>
          <w:tcPr>
            <w:tcW w:w="1568" w:type="pct"/>
            <w:vAlign w:val="center"/>
          </w:tcPr>
          <w:p w14:paraId="27A6067F">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9.33</w:t>
            </w:r>
          </w:p>
        </w:tc>
        <w:tc>
          <w:tcPr>
            <w:tcW w:w="1314" w:type="pct"/>
            <w:vAlign w:val="center"/>
          </w:tcPr>
          <w:p w14:paraId="2753EF29">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6.649</w:t>
            </w:r>
          </w:p>
        </w:tc>
      </w:tr>
      <w:tr w14:paraId="3F64F4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Align w:val="center"/>
          </w:tcPr>
          <w:p w14:paraId="67AD7E0D">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DA008</w:t>
            </w:r>
          </w:p>
        </w:tc>
        <w:tc>
          <w:tcPr>
            <w:tcW w:w="1102" w:type="pct"/>
            <w:vAlign w:val="top"/>
          </w:tcPr>
          <w:p w14:paraId="05C9A2AD">
            <w:pPr>
              <w:widowControl/>
              <w:adjustRightInd w:val="0"/>
              <w:snapToGrid w:val="0"/>
              <w:spacing w:line="240" w:lineRule="auto"/>
              <w:jc w:val="center"/>
              <w:rPr>
                <w:rFonts w:eastAsiaTheme="minorEastAsia"/>
                <w:kern w:val="0"/>
                <w:sz w:val="21"/>
                <w:szCs w:val="21"/>
              </w:rPr>
            </w:pPr>
            <w:r>
              <w:rPr>
                <w:rFonts w:eastAsiaTheme="minorEastAsia"/>
                <w:sz w:val="21"/>
                <w:szCs w:val="21"/>
              </w:rPr>
              <w:t>颗粒物</w:t>
            </w:r>
          </w:p>
        </w:tc>
        <w:tc>
          <w:tcPr>
            <w:tcW w:w="1568" w:type="pct"/>
            <w:vAlign w:val="center"/>
          </w:tcPr>
          <w:p w14:paraId="2372742E">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5</w:t>
            </w:r>
          </w:p>
        </w:tc>
        <w:tc>
          <w:tcPr>
            <w:tcW w:w="1314" w:type="pct"/>
            <w:vAlign w:val="center"/>
          </w:tcPr>
          <w:p w14:paraId="78DFDE6D">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3.168</w:t>
            </w:r>
          </w:p>
        </w:tc>
      </w:tr>
      <w:tr w14:paraId="062F46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4" w:hRule="atLeast"/>
        </w:trPr>
        <w:tc>
          <w:tcPr>
            <w:tcW w:w="1016" w:type="pct"/>
            <w:vAlign w:val="center"/>
          </w:tcPr>
          <w:p w14:paraId="1EF1C6AC">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DA009</w:t>
            </w:r>
          </w:p>
        </w:tc>
        <w:tc>
          <w:tcPr>
            <w:tcW w:w="1102" w:type="pct"/>
            <w:vAlign w:val="top"/>
          </w:tcPr>
          <w:p w14:paraId="3C5F7513">
            <w:pPr>
              <w:widowControl/>
              <w:adjustRightInd w:val="0"/>
              <w:snapToGrid w:val="0"/>
              <w:spacing w:line="240" w:lineRule="auto"/>
              <w:jc w:val="center"/>
              <w:rPr>
                <w:rFonts w:eastAsiaTheme="minorEastAsia"/>
                <w:kern w:val="0"/>
                <w:sz w:val="21"/>
                <w:szCs w:val="21"/>
              </w:rPr>
            </w:pPr>
            <w:r>
              <w:rPr>
                <w:rFonts w:eastAsiaTheme="minorEastAsia"/>
                <w:sz w:val="21"/>
                <w:szCs w:val="21"/>
              </w:rPr>
              <w:t>颗粒物</w:t>
            </w:r>
          </w:p>
        </w:tc>
        <w:tc>
          <w:tcPr>
            <w:tcW w:w="1568" w:type="pct"/>
            <w:vAlign w:val="center"/>
          </w:tcPr>
          <w:p w14:paraId="351B2368">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5</w:t>
            </w:r>
          </w:p>
        </w:tc>
        <w:tc>
          <w:tcPr>
            <w:tcW w:w="1314" w:type="pct"/>
            <w:vAlign w:val="center"/>
          </w:tcPr>
          <w:p w14:paraId="6D2A2DE3">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3.168</w:t>
            </w:r>
          </w:p>
        </w:tc>
      </w:tr>
      <w:tr w14:paraId="72DC24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6" w:type="pct"/>
            <w:vMerge w:val="restart"/>
            <w:vAlign w:val="center"/>
          </w:tcPr>
          <w:p w14:paraId="5EBF622E">
            <w:pPr>
              <w:widowControl/>
              <w:adjustRightInd w:val="0"/>
              <w:snapToGrid w:val="0"/>
              <w:spacing w:line="240" w:lineRule="auto"/>
              <w:jc w:val="center"/>
              <w:rPr>
                <w:rFonts w:eastAsiaTheme="minorEastAsia"/>
                <w:kern w:val="0"/>
                <w:sz w:val="21"/>
                <w:szCs w:val="21"/>
              </w:rPr>
            </w:pPr>
            <w:r>
              <w:rPr>
                <w:rFonts w:eastAsiaTheme="minorEastAsia"/>
                <w:kern w:val="0"/>
                <w:sz w:val="21"/>
                <w:szCs w:val="21"/>
              </w:rPr>
              <w:t>有组织排放总计</w:t>
            </w:r>
          </w:p>
        </w:tc>
        <w:tc>
          <w:tcPr>
            <w:tcW w:w="2670" w:type="pct"/>
            <w:gridSpan w:val="2"/>
            <w:vAlign w:val="center"/>
          </w:tcPr>
          <w:p w14:paraId="6F26783E">
            <w:pPr>
              <w:widowControl/>
              <w:adjustRightInd w:val="0"/>
              <w:snapToGrid w:val="0"/>
              <w:spacing w:line="240" w:lineRule="auto"/>
              <w:jc w:val="center"/>
              <w:rPr>
                <w:rFonts w:eastAsiaTheme="minorEastAsia"/>
                <w:kern w:val="0"/>
                <w:sz w:val="21"/>
                <w:szCs w:val="21"/>
              </w:rPr>
            </w:pPr>
            <w:r>
              <w:rPr>
                <w:rFonts w:hint="eastAsia" w:ascii="宋体" w:hAnsi="宋体" w:eastAsia="Times New Roman" w:cs="宋体"/>
                <w:sz w:val="21"/>
                <w:szCs w:val="21"/>
              </w:rPr>
              <w:t>颗粒物</w:t>
            </w:r>
          </w:p>
        </w:tc>
        <w:tc>
          <w:tcPr>
            <w:tcW w:w="1314" w:type="pct"/>
            <w:vAlign w:val="center"/>
          </w:tcPr>
          <w:p w14:paraId="31DFD431">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43.135</w:t>
            </w:r>
          </w:p>
        </w:tc>
      </w:tr>
      <w:tr w14:paraId="71AFAD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026D8400">
            <w:pPr>
              <w:widowControl/>
              <w:adjustRightInd w:val="0"/>
              <w:snapToGrid w:val="0"/>
              <w:spacing w:line="240" w:lineRule="auto"/>
              <w:rPr>
                <w:rFonts w:eastAsiaTheme="minorEastAsia"/>
                <w:kern w:val="0"/>
                <w:sz w:val="21"/>
                <w:szCs w:val="21"/>
              </w:rPr>
            </w:pPr>
          </w:p>
        </w:tc>
        <w:tc>
          <w:tcPr>
            <w:tcW w:w="2670" w:type="pct"/>
            <w:gridSpan w:val="2"/>
            <w:vAlign w:val="center"/>
          </w:tcPr>
          <w:p w14:paraId="3E6D9BCA">
            <w:pPr>
              <w:widowControl/>
              <w:adjustRightInd w:val="0"/>
              <w:snapToGrid w:val="0"/>
              <w:spacing w:line="240" w:lineRule="auto"/>
              <w:jc w:val="center"/>
              <w:rPr>
                <w:rFonts w:eastAsiaTheme="minorEastAsia"/>
                <w:kern w:val="0"/>
                <w:sz w:val="21"/>
                <w:szCs w:val="21"/>
              </w:rPr>
            </w:pPr>
            <w:r>
              <w:rPr>
                <w:rFonts w:eastAsia="Times New Roman"/>
                <w:sz w:val="21"/>
                <w:szCs w:val="21"/>
              </w:rPr>
              <w:t>SO</w:t>
            </w:r>
            <w:r>
              <w:rPr>
                <w:rFonts w:eastAsia="Times New Roman"/>
                <w:sz w:val="21"/>
                <w:szCs w:val="21"/>
                <w:vertAlign w:val="subscript"/>
              </w:rPr>
              <w:t>2</w:t>
            </w:r>
          </w:p>
        </w:tc>
        <w:tc>
          <w:tcPr>
            <w:tcW w:w="1314" w:type="pct"/>
            <w:vAlign w:val="center"/>
          </w:tcPr>
          <w:p w14:paraId="0DFE592C">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29.703</w:t>
            </w:r>
          </w:p>
        </w:tc>
      </w:tr>
      <w:tr w14:paraId="7783FB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7BA869A5">
            <w:pPr>
              <w:widowControl/>
              <w:adjustRightInd w:val="0"/>
              <w:snapToGrid w:val="0"/>
              <w:spacing w:line="240" w:lineRule="auto"/>
              <w:rPr>
                <w:rFonts w:eastAsiaTheme="minorEastAsia"/>
                <w:kern w:val="0"/>
                <w:sz w:val="21"/>
                <w:szCs w:val="21"/>
              </w:rPr>
            </w:pPr>
          </w:p>
        </w:tc>
        <w:tc>
          <w:tcPr>
            <w:tcW w:w="2670" w:type="pct"/>
            <w:gridSpan w:val="2"/>
            <w:vAlign w:val="center"/>
          </w:tcPr>
          <w:p w14:paraId="06E9DE40">
            <w:pPr>
              <w:widowControl/>
              <w:adjustRightInd w:val="0"/>
              <w:snapToGrid w:val="0"/>
              <w:spacing w:line="240" w:lineRule="auto"/>
              <w:jc w:val="center"/>
              <w:rPr>
                <w:rFonts w:eastAsiaTheme="minorEastAsia"/>
                <w:kern w:val="0"/>
                <w:sz w:val="21"/>
                <w:szCs w:val="21"/>
              </w:rPr>
            </w:pPr>
            <w:r>
              <w:rPr>
                <w:rFonts w:eastAsia="Times New Roman"/>
                <w:sz w:val="21"/>
                <w:szCs w:val="21"/>
              </w:rPr>
              <w:t>NOx</w:t>
            </w:r>
          </w:p>
        </w:tc>
        <w:tc>
          <w:tcPr>
            <w:tcW w:w="1314" w:type="pct"/>
            <w:vAlign w:val="center"/>
          </w:tcPr>
          <w:p w14:paraId="54FFE1BD">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102.33</w:t>
            </w:r>
          </w:p>
        </w:tc>
      </w:tr>
      <w:tr w14:paraId="39E48D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D4526C8">
            <w:pPr>
              <w:widowControl/>
              <w:adjustRightInd w:val="0"/>
              <w:snapToGrid w:val="0"/>
              <w:spacing w:line="240" w:lineRule="auto"/>
              <w:rPr>
                <w:rFonts w:eastAsiaTheme="minorEastAsia"/>
                <w:kern w:val="0"/>
                <w:sz w:val="21"/>
                <w:szCs w:val="21"/>
              </w:rPr>
            </w:pPr>
          </w:p>
        </w:tc>
        <w:tc>
          <w:tcPr>
            <w:tcW w:w="2670" w:type="pct"/>
            <w:gridSpan w:val="2"/>
            <w:vAlign w:val="center"/>
          </w:tcPr>
          <w:p w14:paraId="00ED96C2">
            <w:pPr>
              <w:widowControl/>
              <w:adjustRightInd w:val="0"/>
              <w:snapToGrid w:val="0"/>
              <w:spacing w:line="240" w:lineRule="auto"/>
              <w:jc w:val="center"/>
              <w:rPr>
                <w:rFonts w:eastAsiaTheme="minorEastAsia"/>
                <w:kern w:val="0"/>
                <w:sz w:val="21"/>
                <w:szCs w:val="21"/>
              </w:rPr>
            </w:pPr>
            <w:r>
              <w:rPr>
                <w:rFonts w:hint="eastAsia" w:ascii="宋体" w:hAnsi="宋体" w:eastAsia="Times New Roman" w:cs="宋体"/>
                <w:sz w:val="21"/>
                <w:szCs w:val="21"/>
              </w:rPr>
              <w:t>汞及其化合物</w:t>
            </w:r>
          </w:p>
        </w:tc>
        <w:tc>
          <w:tcPr>
            <w:tcW w:w="1314" w:type="pct"/>
            <w:vAlign w:val="center"/>
          </w:tcPr>
          <w:p w14:paraId="35BD4A9F">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0.005</w:t>
            </w:r>
          </w:p>
        </w:tc>
      </w:tr>
      <w:tr w14:paraId="637C3F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020E730">
            <w:pPr>
              <w:widowControl/>
              <w:adjustRightInd w:val="0"/>
              <w:snapToGrid w:val="0"/>
              <w:spacing w:line="240" w:lineRule="auto"/>
              <w:rPr>
                <w:rFonts w:eastAsiaTheme="minorEastAsia"/>
                <w:kern w:val="0"/>
                <w:sz w:val="21"/>
                <w:szCs w:val="21"/>
              </w:rPr>
            </w:pPr>
          </w:p>
        </w:tc>
        <w:tc>
          <w:tcPr>
            <w:tcW w:w="2670" w:type="pct"/>
            <w:gridSpan w:val="2"/>
            <w:vAlign w:val="center"/>
          </w:tcPr>
          <w:p w14:paraId="5951DDA0">
            <w:pPr>
              <w:widowControl/>
              <w:adjustRightInd w:val="0"/>
              <w:snapToGrid w:val="0"/>
              <w:spacing w:line="240" w:lineRule="auto"/>
              <w:jc w:val="center"/>
              <w:rPr>
                <w:rFonts w:eastAsiaTheme="minorEastAsia"/>
                <w:kern w:val="0"/>
                <w:sz w:val="21"/>
                <w:szCs w:val="21"/>
              </w:rPr>
            </w:pPr>
            <w:r>
              <w:rPr>
                <w:rFonts w:hint="eastAsia" w:ascii="宋体" w:hAnsi="宋体" w:eastAsia="Times New Roman" w:cs="宋体"/>
                <w:sz w:val="21"/>
                <w:szCs w:val="21"/>
              </w:rPr>
              <w:t>氨</w:t>
            </w:r>
          </w:p>
        </w:tc>
        <w:tc>
          <w:tcPr>
            <w:tcW w:w="1314" w:type="pct"/>
            <w:vAlign w:val="center"/>
          </w:tcPr>
          <w:p w14:paraId="34B01E04">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4.405</w:t>
            </w:r>
          </w:p>
        </w:tc>
      </w:tr>
      <w:tr w14:paraId="5625D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0A07047">
            <w:pPr>
              <w:widowControl/>
              <w:adjustRightInd w:val="0"/>
              <w:snapToGrid w:val="0"/>
              <w:spacing w:line="240" w:lineRule="auto"/>
              <w:rPr>
                <w:rFonts w:eastAsiaTheme="minorEastAsia"/>
                <w:kern w:val="0"/>
                <w:sz w:val="21"/>
                <w:szCs w:val="21"/>
              </w:rPr>
            </w:pPr>
          </w:p>
        </w:tc>
        <w:tc>
          <w:tcPr>
            <w:tcW w:w="2670" w:type="pct"/>
            <w:gridSpan w:val="2"/>
            <w:vAlign w:val="center"/>
          </w:tcPr>
          <w:p w14:paraId="16002744">
            <w:pPr>
              <w:widowControl/>
              <w:adjustRightInd w:val="0"/>
              <w:snapToGrid w:val="0"/>
              <w:spacing w:line="240" w:lineRule="auto"/>
              <w:jc w:val="center"/>
              <w:rPr>
                <w:rFonts w:eastAsiaTheme="minorEastAsia"/>
                <w:kern w:val="0"/>
                <w:sz w:val="21"/>
                <w:szCs w:val="21"/>
              </w:rPr>
            </w:pPr>
            <w:r>
              <w:rPr>
                <w:rFonts w:hint="eastAsia" w:ascii="宋体" w:hAnsi="宋体" w:eastAsia="Times New Roman" w:cs="宋体"/>
                <w:sz w:val="21"/>
                <w:szCs w:val="21"/>
              </w:rPr>
              <w:t>氟化物</w:t>
            </w:r>
          </w:p>
        </w:tc>
        <w:tc>
          <w:tcPr>
            <w:tcW w:w="1314" w:type="pct"/>
            <w:vAlign w:val="center"/>
          </w:tcPr>
          <w:p w14:paraId="1EEF1C85">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0.0114</w:t>
            </w:r>
          </w:p>
        </w:tc>
      </w:tr>
      <w:tr w14:paraId="66314F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04040E88">
            <w:pPr>
              <w:widowControl/>
              <w:adjustRightInd w:val="0"/>
              <w:snapToGrid w:val="0"/>
              <w:spacing w:line="240" w:lineRule="auto"/>
              <w:rPr>
                <w:rFonts w:eastAsiaTheme="minorEastAsia"/>
                <w:kern w:val="0"/>
                <w:sz w:val="21"/>
                <w:szCs w:val="21"/>
              </w:rPr>
            </w:pPr>
          </w:p>
        </w:tc>
        <w:tc>
          <w:tcPr>
            <w:tcW w:w="2670" w:type="pct"/>
            <w:gridSpan w:val="2"/>
            <w:vAlign w:val="center"/>
          </w:tcPr>
          <w:p w14:paraId="2AAE3B98">
            <w:pPr>
              <w:widowControl/>
              <w:adjustRightInd w:val="0"/>
              <w:snapToGrid w:val="0"/>
              <w:spacing w:line="240" w:lineRule="auto"/>
              <w:jc w:val="center"/>
              <w:rPr>
                <w:rFonts w:eastAsiaTheme="minorEastAsia"/>
                <w:kern w:val="0"/>
                <w:sz w:val="21"/>
                <w:szCs w:val="21"/>
              </w:rPr>
            </w:pPr>
            <w:r>
              <w:rPr>
                <w:rFonts w:hint="eastAsia" w:ascii="宋体" w:hAnsi="宋体" w:eastAsia="Times New Roman" w:cs="宋体"/>
                <w:sz w:val="21"/>
                <w:szCs w:val="21"/>
              </w:rPr>
              <w:t>二噁英类（</w:t>
            </w:r>
            <w:r>
              <w:rPr>
                <w:rFonts w:eastAsiaTheme="minorEastAsia"/>
                <w:sz w:val="21"/>
                <w:szCs w:val="21"/>
              </w:rPr>
              <w:t>gTEQ/a</w:t>
            </w:r>
            <w:r>
              <w:rPr>
                <w:rFonts w:hint="eastAsia" w:ascii="宋体" w:hAnsi="宋体" w:eastAsia="Times New Roman" w:cs="宋体"/>
                <w:sz w:val="21"/>
                <w:szCs w:val="21"/>
              </w:rPr>
              <w:t>）</w:t>
            </w:r>
          </w:p>
        </w:tc>
        <w:tc>
          <w:tcPr>
            <w:tcW w:w="1314" w:type="pct"/>
            <w:vAlign w:val="center"/>
          </w:tcPr>
          <w:p w14:paraId="7930F4EE">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0.4277</w:t>
            </w:r>
          </w:p>
        </w:tc>
      </w:tr>
      <w:tr w14:paraId="702A3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0CD47F3C">
            <w:pPr>
              <w:widowControl/>
              <w:adjustRightInd w:val="0"/>
              <w:snapToGrid w:val="0"/>
              <w:spacing w:line="240" w:lineRule="auto"/>
              <w:rPr>
                <w:rFonts w:eastAsiaTheme="minorEastAsia"/>
                <w:kern w:val="0"/>
                <w:sz w:val="21"/>
                <w:szCs w:val="21"/>
              </w:rPr>
            </w:pPr>
          </w:p>
        </w:tc>
        <w:tc>
          <w:tcPr>
            <w:tcW w:w="2670" w:type="pct"/>
            <w:gridSpan w:val="2"/>
            <w:vAlign w:val="center"/>
          </w:tcPr>
          <w:p w14:paraId="4F21DA7E">
            <w:pPr>
              <w:widowControl/>
              <w:adjustRightInd w:val="0"/>
              <w:snapToGrid w:val="0"/>
              <w:spacing w:line="240" w:lineRule="auto"/>
              <w:jc w:val="center"/>
              <w:rPr>
                <w:rFonts w:eastAsiaTheme="minorEastAsia"/>
                <w:kern w:val="0"/>
                <w:sz w:val="21"/>
                <w:szCs w:val="21"/>
              </w:rPr>
            </w:pPr>
            <w:r>
              <w:rPr>
                <w:rFonts w:hint="eastAsia" w:ascii="宋体" w:hAnsi="宋体" w:eastAsia="Times New Roman" w:cs="宋体"/>
                <w:sz w:val="21"/>
                <w:szCs w:val="21"/>
              </w:rPr>
              <w:t>非甲烷总烃</w:t>
            </w:r>
          </w:p>
        </w:tc>
        <w:tc>
          <w:tcPr>
            <w:tcW w:w="1314" w:type="pct"/>
            <w:vAlign w:val="center"/>
          </w:tcPr>
          <w:p w14:paraId="60C7E85E">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8.964</w:t>
            </w:r>
          </w:p>
        </w:tc>
      </w:tr>
      <w:tr w14:paraId="48F859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F1D11CD">
            <w:pPr>
              <w:widowControl/>
              <w:adjustRightInd w:val="0"/>
              <w:snapToGrid w:val="0"/>
              <w:spacing w:line="240" w:lineRule="auto"/>
              <w:rPr>
                <w:rFonts w:eastAsiaTheme="minorEastAsia"/>
                <w:kern w:val="0"/>
                <w:sz w:val="21"/>
                <w:szCs w:val="21"/>
              </w:rPr>
            </w:pPr>
          </w:p>
        </w:tc>
        <w:tc>
          <w:tcPr>
            <w:tcW w:w="2670" w:type="pct"/>
            <w:gridSpan w:val="2"/>
            <w:vAlign w:val="center"/>
          </w:tcPr>
          <w:p w14:paraId="3940998C">
            <w:pPr>
              <w:widowControl/>
              <w:adjustRightInd w:val="0"/>
              <w:snapToGrid w:val="0"/>
              <w:spacing w:line="240" w:lineRule="auto"/>
              <w:jc w:val="center"/>
              <w:rPr>
                <w:rFonts w:eastAsia="Times New Roman"/>
                <w:sz w:val="21"/>
                <w:szCs w:val="21"/>
              </w:rPr>
            </w:pPr>
            <w:r>
              <w:rPr>
                <w:rFonts w:hint="eastAsia" w:ascii="宋体" w:hAnsi="宋体" w:eastAsia="Times New Roman" w:cs="宋体"/>
                <w:sz w:val="21"/>
                <w:szCs w:val="21"/>
              </w:rPr>
              <w:t>甲醛</w:t>
            </w:r>
          </w:p>
        </w:tc>
        <w:tc>
          <w:tcPr>
            <w:tcW w:w="1314" w:type="pct"/>
            <w:vAlign w:val="center"/>
          </w:tcPr>
          <w:p w14:paraId="7E4F72E9">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0.394</w:t>
            </w:r>
          </w:p>
        </w:tc>
      </w:tr>
      <w:tr w14:paraId="3598B9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7A99920A">
            <w:pPr>
              <w:widowControl/>
              <w:adjustRightInd w:val="0"/>
              <w:snapToGrid w:val="0"/>
              <w:spacing w:line="240" w:lineRule="auto"/>
              <w:rPr>
                <w:rFonts w:eastAsiaTheme="minorEastAsia"/>
                <w:kern w:val="0"/>
                <w:sz w:val="21"/>
                <w:szCs w:val="21"/>
              </w:rPr>
            </w:pPr>
          </w:p>
        </w:tc>
        <w:tc>
          <w:tcPr>
            <w:tcW w:w="2670" w:type="pct"/>
            <w:gridSpan w:val="2"/>
            <w:vAlign w:val="center"/>
          </w:tcPr>
          <w:p w14:paraId="70848CE8">
            <w:pPr>
              <w:widowControl/>
              <w:adjustRightInd w:val="0"/>
              <w:snapToGrid w:val="0"/>
              <w:spacing w:line="240" w:lineRule="auto"/>
              <w:jc w:val="center"/>
              <w:rPr>
                <w:rFonts w:eastAsiaTheme="minorEastAsia"/>
                <w:kern w:val="0"/>
                <w:sz w:val="21"/>
                <w:szCs w:val="21"/>
              </w:rPr>
            </w:pPr>
            <w:r>
              <w:rPr>
                <w:rFonts w:hint="eastAsia" w:ascii="宋体" w:hAnsi="宋体" w:eastAsia="Times New Roman" w:cs="宋体"/>
                <w:sz w:val="21"/>
                <w:szCs w:val="21"/>
              </w:rPr>
              <w:t>酚类</w:t>
            </w:r>
          </w:p>
        </w:tc>
        <w:tc>
          <w:tcPr>
            <w:tcW w:w="1314" w:type="pct"/>
            <w:vAlign w:val="center"/>
          </w:tcPr>
          <w:p w14:paraId="281E831D">
            <w:pPr>
              <w:widowControl/>
              <w:adjustRightInd w:val="0"/>
              <w:snapToGrid w:val="0"/>
              <w:spacing w:line="240" w:lineRule="auto"/>
              <w:jc w:val="center"/>
              <w:rPr>
                <w:rFonts w:eastAsiaTheme="minorEastAsia"/>
                <w:kern w:val="0"/>
                <w:sz w:val="21"/>
                <w:szCs w:val="21"/>
              </w:rPr>
            </w:pPr>
            <w:r>
              <w:rPr>
                <w:rFonts w:eastAsia="Times New Roman"/>
                <w:color w:val="000000"/>
                <w:sz w:val="21"/>
                <w:szCs w:val="21"/>
              </w:rPr>
              <w:t>11.361</w:t>
            </w:r>
          </w:p>
        </w:tc>
      </w:tr>
    </w:tbl>
    <w:p w14:paraId="3F10D4F7">
      <w:pPr>
        <w:adjustRightInd w:val="0"/>
        <w:snapToGrid w:val="0"/>
        <w:spacing w:line="520" w:lineRule="exact"/>
        <w:ind w:firstLine="480" w:firstLineChars="200"/>
        <w:textAlignment w:val="baseline"/>
      </w:pPr>
      <w:r>
        <w:t>（2）无组织污染物排放量核算</w:t>
      </w:r>
    </w:p>
    <w:p w14:paraId="03C6D86F">
      <w:pPr>
        <w:adjustRightInd w:val="0"/>
        <w:snapToGrid w:val="0"/>
        <w:spacing w:line="520" w:lineRule="exact"/>
        <w:ind w:firstLine="480" w:firstLineChars="200"/>
        <w:textAlignment w:val="baseline"/>
        <w:rPr>
          <w:kern w:val="0"/>
        </w:rPr>
      </w:pPr>
      <w:r>
        <w:rPr>
          <w:kern w:val="0"/>
        </w:rPr>
        <w:t>本项目运行期，在各类环保设施正常运行的情况下，废气无组织排放量核算见表</w:t>
      </w:r>
      <w:r>
        <w:rPr>
          <w:kern w:val="11"/>
        </w:rPr>
        <w:t>6.2.1-27</w:t>
      </w:r>
      <w:r>
        <w:rPr>
          <w:kern w:val="0"/>
        </w:rPr>
        <w:t>。</w:t>
      </w:r>
    </w:p>
    <w:p w14:paraId="7E69BF7C">
      <w:pPr>
        <w:pStyle w:val="88"/>
        <w:rPr>
          <w:rFonts w:ascii="Times New Roman" w:hAnsi="Times New Roman" w:cs="Times New Roman"/>
        </w:rPr>
      </w:pPr>
      <w:r>
        <w:rPr>
          <w:rFonts w:ascii="Times New Roman" w:hAnsi="Times New Roman" w:cs="Times New Roman"/>
        </w:rPr>
        <w:t>表</w:t>
      </w:r>
      <w:r>
        <w:rPr>
          <w:rFonts w:ascii="Times New Roman" w:hAnsi="Times New Roman" w:cs="Times New Roman"/>
          <w:kern w:val="11"/>
        </w:rPr>
        <w:t>6.2.1-27</w:t>
      </w:r>
      <w:r>
        <w:rPr>
          <w:rFonts w:ascii="Times New Roman" w:hAnsi="Times New Roman" w:cs="Times New Roman"/>
        </w:rPr>
        <w:t xml:space="preserve">    技改工程实施后全厂废气无组织排放量核算表</w:t>
      </w:r>
    </w:p>
    <w:tbl>
      <w:tblPr>
        <w:tblStyle w:val="44"/>
        <w:tblW w:w="834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779"/>
        <w:gridCol w:w="639"/>
        <w:gridCol w:w="2196"/>
        <w:gridCol w:w="2126"/>
        <w:gridCol w:w="1134"/>
        <w:gridCol w:w="972"/>
      </w:tblGrid>
      <w:tr w14:paraId="68ED3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dxa"/>
            <w:vMerge w:val="restart"/>
            <w:vAlign w:val="center"/>
          </w:tcPr>
          <w:p w14:paraId="39E3FBD9">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序号</w:t>
            </w:r>
          </w:p>
        </w:tc>
        <w:tc>
          <w:tcPr>
            <w:tcW w:w="779" w:type="dxa"/>
            <w:vMerge w:val="restart"/>
            <w:vAlign w:val="center"/>
          </w:tcPr>
          <w:p w14:paraId="7A417AC9">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产污环节</w:t>
            </w:r>
          </w:p>
        </w:tc>
        <w:tc>
          <w:tcPr>
            <w:tcW w:w="639" w:type="dxa"/>
            <w:vMerge w:val="restart"/>
            <w:vAlign w:val="center"/>
          </w:tcPr>
          <w:p w14:paraId="3D1071BF">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污染物</w:t>
            </w:r>
          </w:p>
        </w:tc>
        <w:tc>
          <w:tcPr>
            <w:tcW w:w="2196" w:type="dxa"/>
            <w:vMerge w:val="restart"/>
            <w:vAlign w:val="center"/>
          </w:tcPr>
          <w:p w14:paraId="3AE888A0">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主要污染防治措施</w:t>
            </w:r>
          </w:p>
        </w:tc>
        <w:tc>
          <w:tcPr>
            <w:tcW w:w="3260" w:type="dxa"/>
            <w:gridSpan w:val="2"/>
            <w:vAlign w:val="center"/>
          </w:tcPr>
          <w:p w14:paraId="05CE2C9C">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污染物排放标准</w:t>
            </w:r>
          </w:p>
        </w:tc>
        <w:tc>
          <w:tcPr>
            <w:tcW w:w="972" w:type="dxa"/>
            <w:vMerge w:val="restart"/>
            <w:vAlign w:val="center"/>
          </w:tcPr>
          <w:p w14:paraId="5191FEEA">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排放量（</w:t>
            </w:r>
            <w:r>
              <w:rPr>
                <w:rFonts w:ascii="Calibri" w:hAnsi="Calibri" w:eastAsia="Times New Roman"/>
                <w:kern w:val="0"/>
                <w:sz w:val="21"/>
                <w:szCs w:val="21"/>
              </w:rPr>
              <w:t>t/a</w:t>
            </w:r>
            <w:r>
              <w:rPr>
                <w:rFonts w:hint="eastAsia" w:ascii="宋体" w:hAnsi="宋体" w:cs="宋体"/>
                <w:kern w:val="0"/>
                <w:sz w:val="21"/>
                <w:szCs w:val="21"/>
              </w:rPr>
              <w:t>）</w:t>
            </w:r>
          </w:p>
        </w:tc>
      </w:tr>
      <w:tr w14:paraId="75778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dxa"/>
            <w:vMerge w:val="continue"/>
            <w:vAlign w:val="center"/>
          </w:tcPr>
          <w:p w14:paraId="6E8625DB">
            <w:pPr>
              <w:widowControl/>
              <w:adjustRightInd w:val="0"/>
              <w:snapToGrid w:val="0"/>
              <w:spacing w:line="240" w:lineRule="auto"/>
              <w:rPr>
                <w:rFonts w:ascii="Calibri" w:hAnsi="Calibri"/>
                <w:kern w:val="0"/>
                <w:sz w:val="21"/>
                <w:szCs w:val="21"/>
              </w:rPr>
            </w:pPr>
          </w:p>
        </w:tc>
        <w:tc>
          <w:tcPr>
            <w:tcW w:w="779" w:type="dxa"/>
            <w:vMerge w:val="continue"/>
            <w:vAlign w:val="center"/>
          </w:tcPr>
          <w:p w14:paraId="2B672DB5">
            <w:pPr>
              <w:widowControl/>
              <w:adjustRightInd w:val="0"/>
              <w:snapToGrid w:val="0"/>
              <w:spacing w:line="240" w:lineRule="auto"/>
              <w:rPr>
                <w:rFonts w:ascii="Calibri" w:hAnsi="Calibri"/>
                <w:kern w:val="0"/>
                <w:sz w:val="21"/>
                <w:szCs w:val="21"/>
              </w:rPr>
            </w:pPr>
          </w:p>
        </w:tc>
        <w:tc>
          <w:tcPr>
            <w:tcW w:w="639" w:type="dxa"/>
            <w:vMerge w:val="continue"/>
            <w:vAlign w:val="center"/>
          </w:tcPr>
          <w:p w14:paraId="30514901">
            <w:pPr>
              <w:widowControl/>
              <w:adjustRightInd w:val="0"/>
              <w:snapToGrid w:val="0"/>
              <w:spacing w:line="240" w:lineRule="auto"/>
              <w:rPr>
                <w:rFonts w:ascii="Calibri" w:hAnsi="Calibri"/>
                <w:kern w:val="0"/>
                <w:sz w:val="21"/>
                <w:szCs w:val="21"/>
              </w:rPr>
            </w:pPr>
          </w:p>
        </w:tc>
        <w:tc>
          <w:tcPr>
            <w:tcW w:w="2196" w:type="dxa"/>
            <w:vMerge w:val="continue"/>
            <w:vAlign w:val="center"/>
          </w:tcPr>
          <w:p w14:paraId="396A7372">
            <w:pPr>
              <w:widowControl/>
              <w:adjustRightInd w:val="0"/>
              <w:snapToGrid w:val="0"/>
              <w:spacing w:line="240" w:lineRule="auto"/>
              <w:rPr>
                <w:rFonts w:ascii="Calibri" w:hAnsi="Calibri"/>
                <w:kern w:val="0"/>
                <w:sz w:val="21"/>
                <w:szCs w:val="21"/>
              </w:rPr>
            </w:pPr>
          </w:p>
        </w:tc>
        <w:tc>
          <w:tcPr>
            <w:tcW w:w="2126" w:type="dxa"/>
            <w:vAlign w:val="center"/>
          </w:tcPr>
          <w:p w14:paraId="43DBAC36">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标准号</w:t>
            </w:r>
          </w:p>
        </w:tc>
        <w:tc>
          <w:tcPr>
            <w:tcW w:w="1134" w:type="dxa"/>
            <w:vAlign w:val="center"/>
          </w:tcPr>
          <w:p w14:paraId="5D6A7E9D">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浓度限值</w:t>
            </w:r>
          </w:p>
          <w:p w14:paraId="5988358F">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w:t>
            </w:r>
            <w:r>
              <w:rPr>
                <w:rFonts w:ascii="Calibri" w:hAnsi="Calibri" w:eastAsia="Times New Roman"/>
                <w:kern w:val="0"/>
                <w:sz w:val="21"/>
                <w:szCs w:val="21"/>
              </w:rPr>
              <w:t>mg/m</w:t>
            </w:r>
            <w:r>
              <w:rPr>
                <w:rFonts w:ascii="Calibri" w:hAnsi="Calibri" w:eastAsia="Times New Roman"/>
                <w:kern w:val="0"/>
                <w:sz w:val="21"/>
                <w:szCs w:val="21"/>
                <w:vertAlign w:val="superscript"/>
              </w:rPr>
              <w:t>3)</w:t>
            </w:r>
          </w:p>
        </w:tc>
        <w:tc>
          <w:tcPr>
            <w:tcW w:w="972" w:type="dxa"/>
            <w:vMerge w:val="continue"/>
            <w:vAlign w:val="center"/>
          </w:tcPr>
          <w:p w14:paraId="597B97B3">
            <w:pPr>
              <w:widowControl/>
              <w:adjustRightInd w:val="0"/>
              <w:snapToGrid w:val="0"/>
              <w:spacing w:line="240" w:lineRule="auto"/>
              <w:rPr>
                <w:rFonts w:ascii="Calibri" w:hAnsi="Calibri"/>
                <w:kern w:val="0"/>
                <w:sz w:val="21"/>
                <w:szCs w:val="21"/>
              </w:rPr>
            </w:pPr>
          </w:p>
        </w:tc>
      </w:tr>
      <w:tr w14:paraId="7C479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7" w:type="dxa"/>
            <w:vAlign w:val="center"/>
          </w:tcPr>
          <w:p w14:paraId="054265B9">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1</w:t>
            </w:r>
          </w:p>
        </w:tc>
        <w:tc>
          <w:tcPr>
            <w:tcW w:w="779" w:type="dxa"/>
            <w:vMerge w:val="restart"/>
            <w:vAlign w:val="center"/>
          </w:tcPr>
          <w:p w14:paraId="5F450FE5">
            <w:pPr>
              <w:widowControl/>
              <w:adjustRightInd w:val="0"/>
              <w:snapToGrid w:val="0"/>
              <w:spacing w:line="240" w:lineRule="auto"/>
              <w:jc w:val="center"/>
              <w:rPr>
                <w:rFonts w:ascii="Calibri" w:hAnsi="Calibri" w:eastAsia="Times New Roman"/>
                <w:kern w:val="0"/>
                <w:sz w:val="21"/>
                <w:szCs w:val="21"/>
              </w:rPr>
            </w:pPr>
            <w:r>
              <w:rPr>
                <w:rFonts w:ascii="Calibri" w:hAnsi="Calibri"/>
                <w:kern w:val="0"/>
                <w:sz w:val="21"/>
                <w:szCs w:val="21"/>
              </w:rPr>
              <w:t>岩棉生产</w:t>
            </w:r>
          </w:p>
        </w:tc>
        <w:tc>
          <w:tcPr>
            <w:tcW w:w="639" w:type="dxa"/>
            <w:vAlign w:val="center"/>
          </w:tcPr>
          <w:p w14:paraId="777FAC0A">
            <w:pPr>
              <w:widowControl/>
              <w:adjustRightInd w:val="0"/>
              <w:snapToGrid w:val="0"/>
              <w:spacing w:line="240" w:lineRule="auto"/>
              <w:jc w:val="center"/>
              <w:rPr>
                <w:rFonts w:ascii="Calibri" w:hAnsi="Calibri" w:eastAsia="Times New Roman"/>
                <w:kern w:val="0"/>
                <w:sz w:val="21"/>
                <w:szCs w:val="21"/>
              </w:rPr>
            </w:pPr>
            <w:r>
              <w:rPr>
                <w:rFonts w:ascii="Calibri" w:hAnsi="Calibri"/>
                <w:kern w:val="0"/>
                <w:sz w:val="21"/>
                <w:szCs w:val="21"/>
              </w:rPr>
              <w:t>甲醛</w:t>
            </w:r>
          </w:p>
        </w:tc>
        <w:tc>
          <w:tcPr>
            <w:tcW w:w="2196" w:type="dxa"/>
            <w:vMerge w:val="restart"/>
            <w:vAlign w:val="center"/>
          </w:tcPr>
          <w:p w14:paraId="77F7F264">
            <w:pPr>
              <w:widowControl/>
              <w:adjustRightInd w:val="0"/>
              <w:snapToGrid w:val="0"/>
              <w:spacing w:line="240" w:lineRule="auto"/>
              <w:jc w:val="center"/>
              <w:rPr>
                <w:rFonts w:ascii="Calibri" w:hAnsi="Calibri" w:eastAsia="Times New Roman"/>
                <w:kern w:val="0"/>
                <w:sz w:val="21"/>
                <w:szCs w:val="21"/>
              </w:rPr>
            </w:pPr>
            <w:r>
              <w:rPr>
                <w:rFonts w:ascii="Calibri" w:hAnsi="Calibri"/>
                <w:kern w:val="0"/>
                <w:sz w:val="21"/>
                <w:szCs w:val="21"/>
              </w:rPr>
              <w:t>生产工段密闭，输送带进出口均设软帘，以提高废气收集效率</w:t>
            </w:r>
          </w:p>
        </w:tc>
        <w:tc>
          <w:tcPr>
            <w:tcW w:w="2126" w:type="dxa"/>
            <w:vAlign w:val="center"/>
          </w:tcPr>
          <w:p w14:paraId="7E1AE2C8">
            <w:pPr>
              <w:widowControl/>
              <w:adjustRightInd w:val="0"/>
              <w:snapToGrid w:val="0"/>
              <w:spacing w:line="240" w:lineRule="auto"/>
              <w:jc w:val="center"/>
              <w:rPr>
                <w:rFonts w:ascii="Calibri" w:hAnsi="Calibri" w:eastAsia="Times New Roman"/>
                <w:kern w:val="0"/>
                <w:sz w:val="21"/>
                <w:szCs w:val="21"/>
              </w:rPr>
            </w:pPr>
            <w:r>
              <w:rPr>
                <w:rFonts w:ascii="Calibri" w:hAnsi="Calibri"/>
                <w:kern w:val="0"/>
                <w:sz w:val="21"/>
                <w:szCs w:val="21"/>
              </w:rPr>
              <w:t>《</w:t>
            </w:r>
            <w:r>
              <w:rPr>
                <w:rFonts w:hint="eastAsia" w:ascii="宋体" w:hAnsi="宋体" w:cs="宋体"/>
                <w:kern w:val="0"/>
                <w:sz w:val="21"/>
                <w:szCs w:val="21"/>
              </w:rPr>
              <w:t>矿物棉工业大气污染物排放标准</w:t>
            </w:r>
            <w:r>
              <w:rPr>
                <w:rFonts w:ascii="Calibri" w:hAnsi="Calibri"/>
                <w:kern w:val="0"/>
                <w:sz w:val="21"/>
                <w:szCs w:val="21"/>
              </w:rPr>
              <w:t>》（</w:t>
            </w:r>
            <w:r>
              <w:rPr>
                <w:rFonts w:ascii="Calibri" w:hAnsi="Calibri" w:eastAsia="Times New Roman"/>
                <w:kern w:val="0"/>
                <w:sz w:val="21"/>
                <w:szCs w:val="21"/>
              </w:rPr>
              <w:t>GB41617-2022</w:t>
            </w:r>
            <w:r>
              <w:rPr>
                <w:rFonts w:ascii="Calibri" w:hAnsi="Calibri"/>
                <w:kern w:val="0"/>
                <w:sz w:val="21"/>
                <w:szCs w:val="21"/>
              </w:rPr>
              <w:t>）</w:t>
            </w:r>
          </w:p>
        </w:tc>
        <w:tc>
          <w:tcPr>
            <w:tcW w:w="1134" w:type="dxa"/>
            <w:vAlign w:val="center"/>
          </w:tcPr>
          <w:p w14:paraId="687B079E">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color w:val="000000"/>
                <w:kern w:val="0"/>
                <w:sz w:val="21"/>
                <w:szCs w:val="21"/>
              </w:rPr>
              <w:t>0.2</w:t>
            </w:r>
          </w:p>
        </w:tc>
        <w:tc>
          <w:tcPr>
            <w:tcW w:w="972" w:type="dxa"/>
            <w:vAlign w:val="center"/>
          </w:tcPr>
          <w:p w14:paraId="52E02711">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0.039</w:t>
            </w:r>
          </w:p>
        </w:tc>
      </w:tr>
      <w:tr w14:paraId="34C0E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14:paraId="6233E55F">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2</w:t>
            </w:r>
          </w:p>
        </w:tc>
        <w:tc>
          <w:tcPr>
            <w:tcW w:w="779" w:type="dxa"/>
            <w:vMerge w:val="continue"/>
            <w:vAlign w:val="center"/>
          </w:tcPr>
          <w:p w14:paraId="7BF3573B">
            <w:pPr>
              <w:widowControl/>
              <w:adjustRightInd w:val="0"/>
              <w:snapToGrid w:val="0"/>
              <w:spacing w:line="240" w:lineRule="auto"/>
              <w:jc w:val="center"/>
              <w:rPr>
                <w:rFonts w:ascii="Calibri" w:hAnsi="Calibri"/>
                <w:kern w:val="0"/>
                <w:sz w:val="21"/>
                <w:szCs w:val="21"/>
              </w:rPr>
            </w:pPr>
          </w:p>
        </w:tc>
        <w:tc>
          <w:tcPr>
            <w:tcW w:w="639" w:type="dxa"/>
            <w:vAlign w:val="center"/>
          </w:tcPr>
          <w:p w14:paraId="41667DF3">
            <w:pPr>
              <w:widowControl/>
              <w:adjustRightInd w:val="0"/>
              <w:snapToGrid w:val="0"/>
              <w:spacing w:line="240" w:lineRule="auto"/>
              <w:jc w:val="center"/>
              <w:rPr>
                <w:rFonts w:ascii="Calibri" w:hAnsi="Calibri"/>
                <w:kern w:val="0"/>
                <w:sz w:val="21"/>
                <w:szCs w:val="21"/>
              </w:rPr>
            </w:pPr>
            <w:r>
              <w:rPr>
                <w:rFonts w:ascii="Calibri" w:hAnsi="Calibri"/>
                <w:kern w:val="0"/>
                <w:sz w:val="21"/>
                <w:szCs w:val="21"/>
              </w:rPr>
              <w:t>酚类</w:t>
            </w:r>
          </w:p>
        </w:tc>
        <w:tc>
          <w:tcPr>
            <w:tcW w:w="2196" w:type="dxa"/>
            <w:vMerge w:val="continue"/>
            <w:vAlign w:val="center"/>
          </w:tcPr>
          <w:p w14:paraId="13FAB583">
            <w:pPr>
              <w:widowControl/>
              <w:adjustRightInd w:val="0"/>
              <w:snapToGrid w:val="0"/>
              <w:spacing w:line="240" w:lineRule="auto"/>
              <w:jc w:val="center"/>
              <w:rPr>
                <w:rFonts w:ascii="Calibri" w:hAnsi="Calibri" w:eastAsia="Times New Roman"/>
                <w:kern w:val="0"/>
                <w:sz w:val="21"/>
                <w:szCs w:val="21"/>
              </w:rPr>
            </w:pPr>
          </w:p>
        </w:tc>
        <w:tc>
          <w:tcPr>
            <w:tcW w:w="2126" w:type="dxa"/>
            <w:vMerge w:val="restart"/>
            <w:vAlign w:val="center"/>
          </w:tcPr>
          <w:p w14:paraId="14121B17">
            <w:pPr>
              <w:adjustRightInd w:val="0"/>
              <w:snapToGrid w:val="0"/>
              <w:spacing w:line="240" w:lineRule="auto"/>
              <w:jc w:val="center"/>
              <w:rPr>
                <w:rFonts w:ascii="Calibri" w:hAnsi="Calibri"/>
                <w:kern w:val="0"/>
                <w:sz w:val="21"/>
                <w:szCs w:val="21"/>
              </w:rPr>
            </w:pPr>
            <w:r>
              <w:rPr>
                <w:rFonts w:hint="eastAsia" w:ascii="宋体" w:hAnsi="宋体" w:cs="宋体"/>
                <w:kern w:val="0"/>
                <w:sz w:val="21"/>
                <w:szCs w:val="21"/>
              </w:rPr>
              <w:t>《大气污染物综合排放标准》（</w:t>
            </w:r>
            <w:r>
              <w:rPr>
                <w:rFonts w:ascii="Calibri" w:hAnsi="Calibri" w:eastAsia="Times New Roman"/>
                <w:kern w:val="0"/>
                <w:sz w:val="21"/>
                <w:szCs w:val="21"/>
              </w:rPr>
              <w:t>GB16297-1996</w:t>
            </w:r>
            <w:r>
              <w:rPr>
                <w:rFonts w:hint="eastAsia" w:ascii="宋体" w:hAnsi="宋体" w:cs="宋体"/>
                <w:kern w:val="0"/>
                <w:sz w:val="21"/>
                <w:szCs w:val="21"/>
              </w:rPr>
              <w:t>）厂界无组织排放监控浓度限值</w:t>
            </w:r>
          </w:p>
        </w:tc>
        <w:tc>
          <w:tcPr>
            <w:tcW w:w="1134" w:type="dxa"/>
            <w:vAlign w:val="center"/>
          </w:tcPr>
          <w:p w14:paraId="15A5F330">
            <w:pPr>
              <w:widowControl/>
              <w:adjustRightInd w:val="0"/>
              <w:snapToGrid w:val="0"/>
              <w:spacing w:line="240" w:lineRule="auto"/>
              <w:jc w:val="center"/>
              <w:rPr>
                <w:rFonts w:ascii="Calibri" w:hAnsi="Calibri" w:eastAsiaTheme="minorEastAsia"/>
                <w:color w:val="000000"/>
                <w:kern w:val="0"/>
                <w:sz w:val="21"/>
                <w:szCs w:val="21"/>
              </w:rPr>
            </w:pPr>
            <w:r>
              <w:rPr>
                <w:rFonts w:ascii="Calibri" w:hAnsi="Calibri" w:eastAsiaTheme="minorEastAsia"/>
                <w:color w:val="000000"/>
                <w:kern w:val="0"/>
                <w:sz w:val="21"/>
                <w:szCs w:val="21"/>
              </w:rPr>
              <w:t>0.08</w:t>
            </w:r>
          </w:p>
        </w:tc>
        <w:tc>
          <w:tcPr>
            <w:tcW w:w="972" w:type="dxa"/>
            <w:vAlign w:val="center"/>
          </w:tcPr>
          <w:p w14:paraId="1A6F23E6">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0.0039</w:t>
            </w:r>
          </w:p>
        </w:tc>
      </w:tr>
      <w:tr w14:paraId="64B8F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14:paraId="68B1874C">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3</w:t>
            </w:r>
          </w:p>
        </w:tc>
        <w:tc>
          <w:tcPr>
            <w:tcW w:w="779" w:type="dxa"/>
            <w:vAlign w:val="center"/>
          </w:tcPr>
          <w:p w14:paraId="7DA06179">
            <w:pPr>
              <w:widowControl/>
              <w:adjustRightInd w:val="0"/>
              <w:snapToGrid w:val="0"/>
              <w:spacing w:line="240" w:lineRule="auto"/>
              <w:jc w:val="center"/>
              <w:rPr>
                <w:rFonts w:ascii="Calibri" w:hAnsi="Calibri" w:eastAsia="Times New Roman"/>
                <w:kern w:val="0"/>
                <w:sz w:val="21"/>
                <w:szCs w:val="21"/>
              </w:rPr>
            </w:pPr>
            <w:r>
              <w:rPr>
                <w:rFonts w:ascii="Calibri" w:hAnsi="Calibri"/>
                <w:kern w:val="0"/>
                <w:sz w:val="21"/>
                <w:szCs w:val="21"/>
              </w:rPr>
              <w:t>仓储及锰铁合金生产过程</w:t>
            </w:r>
          </w:p>
        </w:tc>
        <w:tc>
          <w:tcPr>
            <w:tcW w:w="639" w:type="dxa"/>
            <w:vAlign w:val="center"/>
          </w:tcPr>
          <w:p w14:paraId="0CC84A42">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TSP</w:t>
            </w:r>
          </w:p>
        </w:tc>
        <w:tc>
          <w:tcPr>
            <w:tcW w:w="2196" w:type="dxa"/>
            <w:vAlign w:val="center"/>
          </w:tcPr>
          <w:p w14:paraId="7AD57DA5">
            <w:pPr>
              <w:widowControl/>
              <w:adjustRightInd w:val="0"/>
              <w:snapToGrid w:val="0"/>
              <w:spacing w:line="240" w:lineRule="auto"/>
              <w:jc w:val="center"/>
              <w:rPr>
                <w:rFonts w:ascii="Calibri" w:hAnsi="Calibri" w:eastAsia="Times New Roman"/>
                <w:kern w:val="0"/>
                <w:sz w:val="21"/>
                <w:szCs w:val="21"/>
              </w:rPr>
            </w:pPr>
            <w:r>
              <w:rPr>
                <w:rFonts w:ascii="Calibri" w:hAnsi="Calibri"/>
                <w:kern w:val="0"/>
                <w:sz w:val="21"/>
                <w:szCs w:val="21"/>
              </w:rPr>
              <w:t>煤粉、石灰或石灰石粉等粉状物料须采用筒仓等全封闭料库存储</w:t>
            </w:r>
            <w:r>
              <w:rPr>
                <w:rFonts w:ascii="Calibri" w:hAnsi="Calibri" w:eastAsia="Times New Roman"/>
                <w:kern w:val="0"/>
                <w:sz w:val="21"/>
                <w:szCs w:val="21"/>
              </w:rPr>
              <w:t>,</w:t>
            </w:r>
            <w:r>
              <w:rPr>
                <w:rFonts w:ascii="Calibri" w:hAnsi="Calibri"/>
                <w:kern w:val="0"/>
                <w:sz w:val="21"/>
                <w:szCs w:val="21"/>
              </w:rPr>
              <w:t>石灰石卸料斗和储仓上设置布袋除尘器或其他粉尘收集处理设施</w:t>
            </w:r>
            <w:r>
              <w:rPr>
                <w:rFonts w:ascii="Calibri" w:hAnsi="Calibri" w:eastAsia="Times New Roman"/>
                <w:kern w:val="0"/>
                <w:sz w:val="21"/>
                <w:szCs w:val="21"/>
              </w:rPr>
              <w:t>,</w:t>
            </w:r>
            <w:r>
              <w:rPr>
                <w:rFonts w:ascii="Calibri" w:hAnsi="Calibri"/>
                <w:kern w:val="0"/>
                <w:sz w:val="21"/>
                <w:szCs w:val="21"/>
              </w:rPr>
              <w:t>输煤栈桥、输煤转动站采用封闭措施并配置袋式除尘器；生产车间封闭式厂房</w:t>
            </w:r>
          </w:p>
        </w:tc>
        <w:tc>
          <w:tcPr>
            <w:tcW w:w="2126" w:type="dxa"/>
            <w:vMerge w:val="continue"/>
            <w:vAlign w:val="center"/>
          </w:tcPr>
          <w:p w14:paraId="6B422191">
            <w:pPr>
              <w:widowControl/>
              <w:adjustRightInd w:val="0"/>
              <w:snapToGrid w:val="0"/>
              <w:spacing w:line="240" w:lineRule="auto"/>
              <w:jc w:val="center"/>
              <w:rPr>
                <w:rFonts w:ascii="Calibri" w:hAnsi="Calibri" w:eastAsia="Times New Roman"/>
                <w:kern w:val="0"/>
                <w:sz w:val="21"/>
                <w:szCs w:val="21"/>
              </w:rPr>
            </w:pPr>
          </w:p>
        </w:tc>
        <w:tc>
          <w:tcPr>
            <w:tcW w:w="1134" w:type="dxa"/>
            <w:vAlign w:val="center"/>
          </w:tcPr>
          <w:p w14:paraId="630EB6FA">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1.0</w:t>
            </w:r>
          </w:p>
        </w:tc>
        <w:tc>
          <w:tcPr>
            <w:tcW w:w="972" w:type="dxa"/>
            <w:vAlign w:val="center"/>
          </w:tcPr>
          <w:p w14:paraId="468E8609">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3.467</w:t>
            </w:r>
          </w:p>
        </w:tc>
      </w:tr>
      <w:tr w14:paraId="24FC0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1" w:type="dxa"/>
            <w:gridSpan w:val="4"/>
            <w:vMerge w:val="restart"/>
            <w:vAlign w:val="center"/>
          </w:tcPr>
          <w:p w14:paraId="26444274">
            <w:pPr>
              <w:widowControl/>
              <w:adjustRightInd w:val="0"/>
              <w:snapToGrid w:val="0"/>
              <w:spacing w:line="240" w:lineRule="auto"/>
              <w:jc w:val="center"/>
              <w:rPr>
                <w:rFonts w:ascii="Calibri" w:hAnsi="Calibri" w:eastAsia="Times New Roman"/>
                <w:kern w:val="0"/>
                <w:sz w:val="21"/>
                <w:szCs w:val="21"/>
              </w:rPr>
            </w:pPr>
            <w:r>
              <w:rPr>
                <w:rFonts w:hint="eastAsia" w:ascii="宋体" w:hAnsi="宋体" w:cs="宋体"/>
                <w:kern w:val="0"/>
                <w:sz w:val="21"/>
                <w:szCs w:val="21"/>
              </w:rPr>
              <w:t>无组织排放总计</w:t>
            </w:r>
          </w:p>
        </w:tc>
        <w:tc>
          <w:tcPr>
            <w:tcW w:w="3260" w:type="dxa"/>
            <w:gridSpan w:val="2"/>
            <w:vAlign w:val="center"/>
          </w:tcPr>
          <w:p w14:paraId="23B62C2B">
            <w:pPr>
              <w:widowControl/>
              <w:adjustRightInd w:val="0"/>
              <w:snapToGrid w:val="0"/>
              <w:spacing w:line="240" w:lineRule="auto"/>
              <w:jc w:val="center"/>
              <w:rPr>
                <w:rFonts w:ascii="Calibri" w:hAnsi="Calibri" w:eastAsia="Times New Roman"/>
                <w:kern w:val="0"/>
                <w:sz w:val="21"/>
                <w:szCs w:val="21"/>
              </w:rPr>
            </w:pPr>
            <w:r>
              <w:rPr>
                <w:rFonts w:ascii="Calibri" w:hAnsi="Calibri"/>
                <w:kern w:val="0"/>
                <w:sz w:val="21"/>
                <w:szCs w:val="21"/>
              </w:rPr>
              <w:t>甲醛</w:t>
            </w:r>
          </w:p>
        </w:tc>
        <w:tc>
          <w:tcPr>
            <w:tcW w:w="972" w:type="dxa"/>
            <w:vAlign w:val="center"/>
          </w:tcPr>
          <w:p w14:paraId="1EC920CD">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0.039</w:t>
            </w:r>
          </w:p>
        </w:tc>
      </w:tr>
      <w:tr w14:paraId="4842E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1" w:type="dxa"/>
            <w:gridSpan w:val="4"/>
            <w:vMerge w:val="continue"/>
            <w:vAlign w:val="center"/>
          </w:tcPr>
          <w:p w14:paraId="74BC56F0">
            <w:pPr>
              <w:widowControl/>
              <w:adjustRightInd w:val="0"/>
              <w:snapToGrid w:val="0"/>
              <w:spacing w:line="240" w:lineRule="auto"/>
              <w:jc w:val="center"/>
              <w:rPr>
                <w:rFonts w:ascii="Calibri" w:hAnsi="Calibri" w:eastAsia="Times New Roman"/>
                <w:kern w:val="0"/>
                <w:sz w:val="21"/>
                <w:szCs w:val="21"/>
              </w:rPr>
            </w:pPr>
          </w:p>
        </w:tc>
        <w:tc>
          <w:tcPr>
            <w:tcW w:w="3260" w:type="dxa"/>
            <w:gridSpan w:val="2"/>
            <w:vAlign w:val="center"/>
          </w:tcPr>
          <w:p w14:paraId="78602846">
            <w:pPr>
              <w:widowControl/>
              <w:adjustRightInd w:val="0"/>
              <w:snapToGrid w:val="0"/>
              <w:spacing w:line="240" w:lineRule="auto"/>
              <w:jc w:val="center"/>
              <w:rPr>
                <w:rFonts w:ascii="Calibri" w:hAnsi="Calibri"/>
                <w:kern w:val="0"/>
                <w:sz w:val="21"/>
                <w:szCs w:val="21"/>
              </w:rPr>
            </w:pPr>
            <w:r>
              <w:rPr>
                <w:rFonts w:ascii="Calibri" w:hAnsi="Calibri"/>
                <w:kern w:val="0"/>
                <w:sz w:val="21"/>
                <w:szCs w:val="21"/>
              </w:rPr>
              <w:t>酚类</w:t>
            </w:r>
          </w:p>
        </w:tc>
        <w:tc>
          <w:tcPr>
            <w:tcW w:w="972" w:type="dxa"/>
            <w:vAlign w:val="center"/>
          </w:tcPr>
          <w:p w14:paraId="1BF605A2">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0.039</w:t>
            </w:r>
          </w:p>
        </w:tc>
      </w:tr>
      <w:tr w14:paraId="68FEF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11" w:type="dxa"/>
            <w:gridSpan w:val="4"/>
            <w:vMerge w:val="continue"/>
            <w:vAlign w:val="center"/>
          </w:tcPr>
          <w:p w14:paraId="4A0872F1">
            <w:pPr>
              <w:widowControl/>
              <w:adjustRightInd w:val="0"/>
              <w:snapToGrid w:val="0"/>
              <w:spacing w:line="240" w:lineRule="auto"/>
              <w:rPr>
                <w:rFonts w:ascii="Calibri" w:hAnsi="Calibri"/>
                <w:kern w:val="0"/>
                <w:sz w:val="21"/>
                <w:szCs w:val="21"/>
              </w:rPr>
            </w:pPr>
          </w:p>
        </w:tc>
        <w:tc>
          <w:tcPr>
            <w:tcW w:w="3260" w:type="dxa"/>
            <w:gridSpan w:val="2"/>
            <w:vAlign w:val="center"/>
          </w:tcPr>
          <w:p w14:paraId="412E51A8">
            <w:pPr>
              <w:widowControl/>
              <w:adjustRightInd w:val="0"/>
              <w:snapToGrid w:val="0"/>
              <w:spacing w:line="240" w:lineRule="auto"/>
              <w:jc w:val="center"/>
              <w:rPr>
                <w:rFonts w:ascii="Calibri" w:hAnsi="Calibri" w:eastAsia="Times New Roman"/>
                <w:kern w:val="0"/>
                <w:sz w:val="21"/>
                <w:szCs w:val="21"/>
              </w:rPr>
            </w:pPr>
            <w:r>
              <w:rPr>
                <w:rFonts w:ascii="Calibri" w:hAnsi="Calibri" w:eastAsiaTheme="minorEastAsia"/>
                <w:kern w:val="0"/>
                <w:sz w:val="21"/>
                <w:szCs w:val="21"/>
              </w:rPr>
              <w:t>TSP</w:t>
            </w:r>
          </w:p>
        </w:tc>
        <w:tc>
          <w:tcPr>
            <w:tcW w:w="972" w:type="dxa"/>
            <w:vAlign w:val="center"/>
          </w:tcPr>
          <w:p w14:paraId="28FF6629">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3.467</w:t>
            </w:r>
          </w:p>
        </w:tc>
      </w:tr>
    </w:tbl>
    <w:p w14:paraId="18FD77FA">
      <w:pPr>
        <w:adjustRightInd w:val="0"/>
        <w:snapToGrid w:val="0"/>
        <w:spacing w:line="520" w:lineRule="exact"/>
        <w:ind w:firstLine="480" w:firstLineChars="200"/>
        <w:textAlignment w:val="baseline"/>
      </w:pPr>
      <w:r>
        <w:t>（3）大气污染物排放量核算</w:t>
      </w:r>
    </w:p>
    <w:p w14:paraId="4EF061D9">
      <w:pPr>
        <w:adjustRightInd w:val="0"/>
        <w:snapToGrid w:val="0"/>
        <w:spacing w:line="520" w:lineRule="exact"/>
        <w:ind w:firstLine="480" w:firstLineChars="200"/>
        <w:textAlignment w:val="baseline"/>
        <w:rPr>
          <w:kern w:val="0"/>
        </w:rPr>
      </w:pPr>
      <w:r>
        <w:rPr>
          <w:kern w:val="0"/>
        </w:rPr>
        <w:t>本项目大气污染物年排放量核算情况见表</w:t>
      </w:r>
      <w:r>
        <w:rPr>
          <w:kern w:val="11"/>
        </w:rPr>
        <w:t>6.2.1-28</w:t>
      </w:r>
      <w:r>
        <w:rPr>
          <w:kern w:val="0"/>
        </w:rPr>
        <w:t>。</w:t>
      </w:r>
    </w:p>
    <w:p w14:paraId="76E6AC3A">
      <w:pPr>
        <w:pStyle w:val="88"/>
        <w:keepNext/>
        <w:rPr>
          <w:rFonts w:ascii="Times New Roman" w:hAnsi="Times New Roman" w:cs="Times New Roman"/>
        </w:rPr>
      </w:pPr>
      <w:r>
        <w:rPr>
          <w:rFonts w:ascii="Times New Roman" w:hAnsi="Times New Roman" w:cs="Times New Roman"/>
        </w:rPr>
        <w:t>表</w:t>
      </w:r>
      <w:r>
        <w:rPr>
          <w:rFonts w:ascii="Times New Roman" w:hAnsi="Times New Roman" w:cs="Times New Roman"/>
          <w:kern w:val="11"/>
        </w:rPr>
        <w:t>6.2.1-28</w:t>
      </w:r>
      <w:r>
        <w:rPr>
          <w:rFonts w:ascii="Times New Roman" w:hAnsi="Times New Roman" w:cs="Times New Roman"/>
        </w:rPr>
        <w:t xml:space="preserve">    大气污染物年排放量核算表</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4924"/>
        <w:gridCol w:w="2556"/>
      </w:tblGrid>
      <w:tr w14:paraId="0DDBF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77" w:type="pct"/>
            <w:vAlign w:val="center"/>
          </w:tcPr>
          <w:p w14:paraId="0A6A2A94">
            <w:pPr>
              <w:widowControl/>
              <w:adjustRightInd w:val="0"/>
              <w:snapToGrid w:val="0"/>
              <w:spacing w:line="240" w:lineRule="auto"/>
              <w:jc w:val="center"/>
              <w:rPr>
                <w:rFonts w:ascii="Calibri" w:hAnsi="Calibri" w:eastAsia="Times New Roman"/>
                <w:kern w:val="0"/>
                <w:sz w:val="21"/>
                <w:szCs w:val="21"/>
              </w:rPr>
            </w:pPr>
            <w:r>
              <w:rPr>
                <w:rFonts w:ascii="Calibri" w:hAnsi="Calibri"/>
                <w:kern w:val="0"/>
                <w:sz w:val="21"/>
                <w:szCs w:val="21"/>
              </w:rPr>
              <w:t>序号</w:t>
            </w:r>
          </w:p>
        </w:tc>
        <w:tc>
          <w:tcPr>
            <w:tcW w:w="2780" w:type="pct"/>
            <w:vAlign w:val="center"/>
          </w:tcPr>
          <w:p w14:paraId="25F02CD6">
            <w:pPr>
              <w:widowControl/>
              <w:adjustRightInd w:val="0"/>
              <w:snapToGrid w:val="0"/>
              <w:spacing w:line="240" w:lineRule="auto"/>
              <w:jc w:val="center"/>
              <w:rPr>
                <w:rFonts w:ascii="Calibri" w:hAnsi="Calibri"/>
                <w:sz w:val="21"/>
                <w:szCs w:val="21"/>
              </w:rPr>
            </w:pPr>
            <w:r>
              <w:rPr>
                <w:rFonts w:ascii="Calibri" w:hAnsi="Calibri"/>
                <w:kern w:val="0"/>
                <w:sz w:val="21"/>
                <w:szCs w:val="21"/>
              </w:rPr>
              <w:t>污染物</w:t>
            </w:r>
          </w:p>
        </w:tc>
        <w:tc>
          <w:tcPr>
            <w:tcW w:w="1443" w:type="pct"/>
            <w:vAlign w:val="center"/>
          </w:tcPr>
          <w:p w14:paraId="09F4C2A5">
            <w:pPr>
              <w:widowControl/>
              <w:adjustRightInd w:val="0"/>
              <w:snapToGrid w:val="0"/>
              <w:spacing w:line="240" w:lineRule="auto"/>
              <w:jc w:val="center"/>
              <w:rPr>
                <w:rFonts w:ascii="Calibri" w:hAnsi="Calibri" w:eastAsiaTheme="minorEastAsia"/>
                <w:color w:val="000000"/>
                <w:sz w:val="21"/>
                <w:szCs w:val="21"/>
              </w:rPr>
            </w:pPr>
            <w:r>
              <w:rPr>
                <w:rFonts w:ascii="Calibri" w:hAnsi="Calibri"/>
                <w:kern w:val="0"/>
                <w:sz w:val="21"/>
                <w:szCs w:val="21"/>
              </w:rPr>
              <w:t>年排放量（</w:t>
            </w:r>
            <w:r>
              <w:rPr>
                <w:rFonts w:ascii="Calibri" w:hAnsi="Calibri" w:eastAsia="Times New Roman"/>
                <w:kern w:val="0"/>
                <w:sz w:val="21"/>
                <w:szCs w:val="21"/>
              </w:rPr>
              <w:t>t/a</w:t>
            </w:r>
            <w:r>
              <w:rPr>
                <w:rFonts w:ascii="Calibri" w:hAnsi="Calibri"/>
                <w:kern w:val="0"/>
                <w:sz w:val="21"/>
                <w:szCs w:val="21"/>
              </w:rPr>
              <w:t>）</w:t>
            </w:r>
          </w:p>
        </w:tc>
      </w:tr>
      <w:tr w14:paraId="3E7EE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49A875C4">
            <w:pPr>
              <w:widowControl/>
              <w:adjustRightInd w:val="0"/>
              <w:snapToGrid w:val="0"/>
              <w:spacing w:line="240" w:lineRule="auto"/>
              <w:jc w:val="center"/>
              <w:rPr>
                <w:rFonts w:ascii="Calibri" w:hAnsi="Calibri"/>
                <w:kern w:val="0"/>
                <w:sz w:val="21"/>
                <w:szCs w:val="21"/>
              </w:rPr>
            </w:pPr>
            <w:r>
              <w:rPr>
                <w:rFonts w:ascii="Calibri" w:hAnsi="Calibri" w:eastAsia="Times New Roman"/>
                <w:kern w:val="0"/>
                <w:sz w:val="21"/>
                <w:szCs w:val="21"/>
              </w:rPr>
              <w:t>1</w:t>
            </w:r>
          </w:p>
        </w:tc>
        <w:tc>
          <w:tcPr>
            <w:tcW w:w="2780" w:type="pct"/>
            <w:vAlign w:val="center"/>
          </w:tcPr>
          <w:p w14:paraId="5EBAB58B">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颗粒物</w:t>
            </w:r>
          </w:p>
        </w:tc>
        <w:tc>
          <w:tcPr>
            <w:tcW w:w="1443" w:type="pct"/>
            <w:vAlign w:val="center"/>
          </w:tcPr>
          <w:p w14:paraId="3BD3916E">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color w:val="000000"/>
                <w:sz w:val="21"/>
                <w:szCs w:val="21"/>
              </w:rPr>
              <w:t>43.838</w:t>
            </w:r>
          </w:p>
        </w:tc>
      </w:tr>
      <w:tr w14:paraId="36121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2659A9A7">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2</w:t>
            </w:r>
          </w:p>
        </w:tc>
        <w:tc>
          <w:tcPr>
            <w:tcW w:w="2780" w:type="pct"/>
            <w:vAlign w:val="center"/>
          </w:tcPr>
          <w:p w14:paraId="58CE248A">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SO</w:t>
            </w:r>
            <w:r>
              <w:rPr>
                <w:rFonts w:ascii="Calibri" w:hAnsi="Calibri"/>
                <w:sz w:val="21"/>
                <w:szCs w:val="21"/>
                <w:vertAlign w:val="subscript"/>
              </w:rPr>
              <w:t>2</w:t>
            </w:r>
          </w:p>
        </w:tc>
        <w:tc>
          <w:tcPr>
            <w:tcW w:w="1443" w:type="pct"/>
            <w:vAlign w:val="center"/>
          </w:tcPr>
          <w:p w14:paraId="775C96CC">
            <w:pPr>
              <w:widowControl/>
              <w:adjustRightInd w:val="0"/>
              <w:snapToGrid w:val="0"/>
              <w:spacing w:line="240" w:lineRule="auto"/>
              <w:jc w:val="center"/>
              <w:rPr>
                <w:rFonts w:ascii="Calibri" w:hAnsi="Calibri" w:eastAsia="Times New Roman"/>
                <w:kern w:val="0"/>
                <w:sz w:val="21"/>
                <w:szCs w:val="21"/>
              </w:rPr>
            </w:pPr>
            <w:r>
              <w:rPr>
                <w:rFonts w:ascii="Calibri" w:hAnsi="Calibri"/>
                <w:color w:val="000000"/>
                <w:sz w:val="21"/>
                <w:szCs w:val="21"/>
              </w:rPr>
              <w:t>29.703</w:t>
            </w:r>
          </w:p>
        </w:tc>
      </w:tr>
      <w:tr w14:paraId="1C9D7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6F7E4DFF">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3</w:t>
            </w:r>
          </w:p>
        </w:tc>
        <w:tc>
          <w:tcPr>
            <w:tcW w:w="2780" w:type="pct"/>
            <w:vAlign w:val="center"/>
          </w:tcPr>
          <w:p w14:paraId="5B831158">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NOx</w:t>
            </w:r>
          </w:p>
        </w:tc>
        <w:tc>
          <w:tcPr>
            <w:tcW w:w="1443" w:type="pct"/>
            <w:vAlign w:val="center"/>
          </w:tcPr>
          <w:p w14:paraId="4E3D316A">
            <w:pPr>
              <w:widowControl/>
              <w:adjustRightInd w:val="0"/>
              <w:snapToGrid w:val="0"/>
              <w:spacing w:line="240" w:lineRule="auto"/>
              <w:jc w:val="center"/>
              <w:rPr>
                <w:rFonts w:ascii="Calibri" w:hAnsi="Calibri" w:eastAsia="Times New Roman"/>
                <w:kern w:val="0"/>
                <w:sz w:val="21"/>
                <w:szCs w:val="21"/>
              </w:rPr>
            </w:pPr>
            <w:r>
              <w:rPr>
                <w:rFonts w:ascii="Calibri" w:hAnsi="Calibri"/>
                <w:color w:val="000000"/>
                <w:sz w:val="21"/>
                <w:szCs w:val="21"/>
              </w:rPr>
              <w:t>102.33</w:t>
            </w:r>
          </w:p>
        </w:tc>
      </w:tr>
      <w:tr w14:paraId="3336E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60FEA046">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4</w:t>
            </w:r>
          </w:p>
        </w:tc>
        <w:tc>
          <w:tcPr>
            <w:tcW w:w="2780" w:type="pct"/>
            <w:vAlign w:val="center"/>
          </w:tcPr>
          <w:p w14:paraId="2357770C">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汞及其化合物</w:t>
            </w:r>
          </w:p>
        </w:tc>
        <w:tc>
          <w:tcPr>
            <w:tcW w:w="1443" w:type="pct"/>
            <w:vAlign w:val="center"/>
          </w:tcPr>
          <w:p w14:paraId="6D7EC420">
            <w:pPr>
              <w:widowControl/>
              <w:adjustRightInd w:val="0"/>
              <w:snapToGrid w:val="0"/>
              <w:spacing w:line="240" w:lineRule="auto"/>
              <w:jc w:val="center"/>
              <w:rPr>
                <w:rFonts w:ascii="Calibri" w:hAnsi="Calibri" w:eastAsia="Times New Roman"/>
                <w:kern w:val="0"/>
                <w:sz w:val="21"/>
                <w:szCs w:val="21"/>
              </w:rPr>
            </w:pPr>
            <w:r>
              <w:rPr>
                <w:rFonts w:ascii="Calibri" w:hAnsi="Calibri"/>
                <w:color w:val="000000"/>
                <w:sz w:val="21"/>
                <w:szCs w:val="21"/>
              </w:rPr>
              <w:t>0.005</w:t>
            </w:r>
          </w:p>
        </w:tc>
      </w:tr>
      <w:tr w14:paraId="38791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5C0A877D">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5</w:t>
            </w:r>
          </w:p>
        </w:tc>
        <w:tc>
          <w:tcPr>
            <w:tcW w:w="2780" w:type="pct"/>
            <w:vAlign w:val="center"/>
          </w:tcPr>
          <w:p w14:paraId="1AFCAAAB">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氨</w:t>
            </w:r>
          </w:p>
        </w:tc>
        <w:tc>
          <w:tcPr>
            <w:tcW w:w="1443" w:type="pct"/>
            <w:vAlign w:val="center"/>
          </w:tcPr>
          <w:p w14:paraId="6A2C16F1">
            <w:pPr>
              <w:widowControl/>
              <w:adjustRightInd w:val="0"/>
              <w:snapToGrid w:val="0"/>
              <w:spacing w:line="240" w:lineRule="auto"/>
              <w:jc w:val="center"/>
              <w:rPr>
                <w:rFonts w:ascii="Calibri" w:hAnsi="Calibri" w:eastAsia="Times New Roman"/>
                <w:kern w:val="0"/>
                <w:sz w:val="21"/>
                <w:szCs w:val="21"/>
              </w:rPr>
            </w:pPr>
            <w:r>
              <w:rPr>
                <w:rFonts w:ascii="Calibri" w:hAnsi="Calibri"/>
                <w:color w:val="000000"/>
                <w:sz w:val="21"/>
                <w:szCs w:val="21"/>
              </w:rPr>
              <w:t>4.405</w:t>
            </w:r>
          </w:p>
        </w:tc>
      </w:tr>
      <w:tr w14:paraId="26370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197DE90A">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6</w:t>
            </w:r>
          </w:p>
        </w:tc>
        <w:tc>
          <w:tcPr>
            <w:tcW w:w="2780" w:type="pct"/>
            <w:vAlign w:val="center"/>
          </w:tcPr>
          <w:p w14:paraId="0E61D33E">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氟化物</w:t>
            </w:r>
          </w:p>
        </w:tc>
        <w:tc>
          <w:tcPr>
            <w:tcW w:w="1443" w:type="pct"/>
            <w:vAlign w:val="center"/>
          </w:tcPr>
          <w:p w14:paraId="59F1A440">
            <w:pPr>
              <w:widowControl/>
              <w:adjustRightInd w:val="0"/>
              <w:snapToGrid w:val="0"/>
              <w:spacing w:line="240" w:lineRule="auto"/>
              <w:jc w:val="center"/>
              <w:rPr>
                <w:rFonts w:ascii="Calibri" w:hAnsi="Calibri" w:eastAsia="Times New Roman"/>
                <w:kern w:val="0"/>
                <w:sz w:val="21"/>
                <w:szCs w:val="21"/>
              </w:rPr>
            </w:pPr>
            <w:r>
              <w:rPr>
                <w:rFonts w:ascii="Calibri" w:hAnsi="Calibri"/>
                <w:color w:val="000000"/>
                <w:sz w:val="21"/>
                <w:szCs w:val="21"/>
              </w:rPr>
              <w:t>0.0114</w:t>
            </w:r>
          </w:p>
        </w:tc>
      </w:tr>
      <w:tr w14:paraId="693F1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279FF6F8">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7</w:t>
            </w:r>
          </w:p>
        </w:tc>
        <w:tc>
          <w:tcPr>
            <w:tcW w:w="2780" w:type="pct"/>
            <w:vAlign w:val="center"/>
          </w:tcPr>
          <w:p w14:paraId="3ED25293">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二噁英类（</w:t>
            </w:r>
            <w:r>
              <w:rPr>
                <w:rFonts w:ascii="Calibri" w:hAnsi="Calibri" w:eastAsiaTheme="minorEastAsia"/>
                <w:sz w:val="21"/>
                <w:szCs w:val="21"/>
              </w:rPr>
              <w:t>gTEQ/a</w:t>
            </w:r>
            <w:r>
              <w:rPr>
                <w:rFonts w:ascii="Calibri" w:hAnsi="Calibri"/>
                <w:sz w:val="21"/>
                <w:szCs w:val="21"/>
              </w:rPr>
              <w:t>）</w:t>
            </w:r>
          </w:p>
        </w:tc>
        <w:tc>
          <w:tcPr>
            <w:tcW w:w="1443" w:type="pct"/>
            <w:vAlign w:val="center"/>
          </w:tcPr>
          <w:p w14:paraId="25B69A03">
            <w:pPr>
              <w:widowControl/>
              <w:adjustRightInd w:val="0"/>
              <w:snapToGrid w:val="0"/>
              <w:spacing w:line="240" w:lineRule="auto"/>
              <w:jc w:val="center"/>
              <w:rPr>
                <w:rFonts w:ascii="Calibri" w:hAnsi="Calibri" w:eastAsia="Times New Roman"/>
                <w:kern w:val="0"/>
                <w:sz w:val="21"/>
                <w:szCs w:val="21"/>
              </w:rPr>
            </w:pPr>
            <w:r>
              <w:rPr>
                <w:rFonts w:ascii="Calibri" w:hAnsi="Calibri"/>
                <w:color w:val="000000"/>
                <w:sz w:val="21"/>
                <w:szCs w:val="21"/>
              </w:rPr>
              <w:t>0.4277</w:t>
            </w:r>
          </w:p>
        </w:tc>
      </w:tr>
      <w:tr w14:paraId="037DE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34ACA3B4">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8</w:t>
            </w:r>
          </w:p>
        </w:tc>
        <w:tc>
          <w:tcPr>
            <w:tcW w:w="2780" w:type="pct"/>
            <w:vAlign w:val="center"/>
          </w:tcPr>
          <w:p w14:paraId="5E10F52C">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非甲烷总烃</w:t>
            </w:r>
          </w:p>
        </w:tc>
        <w:tc>
          <w:tcPr>
            <w:tcW w:w="1443" w:type="pct"/>
            <w:vAlign w:val="center"/>
          </w:tcPr>
          <w:p w14:paraId="4B9A8F72">
            <w:pPr>
              <w:widowControl/>
              <w:adjustRightInd w:val="0"/>
              <w:snapToGrid w:val="0"/>
              <w:spacing w:line="240" w:lineRule="auto"/>
              <w:jc w:val="center"/>
              <w:rPr>
                <w:rFonts w:ascii="Calibri" w:hAnsi="Calibri" w:eastAsia="Times New Roman"/>
                <w:kern w:val="0"/>
                <w:sz w:val="21"/>
                <w:szCs w:val="21"/>
              </w:rPr>
            </w:pPr>
            <w:r>
              <w:rPr>
                <w:rFonts w:ascii="Calibri" w:hAnsi="Calibri"/>
                <w:color w:val="000000"/>
                <w:sz w:val="21"/>
                <w:szCs w:val="21"/>
              </w:rPr>
              <w:t>8.964</w:t>
            </w:r>
          </w:p>
        </w:tc>
      </w:tr>
      <w:tr w14:paraId="6EAD0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105D7DC7">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9</w:t>
            </w:r>
          </w:p>
        </w:tc>
        <w:tc>
          <w:tcPr>
            <w:tcW w:w="2780" w:type="pct"/>
            <w:vAlign w:val="center"/>
          </w:tcPr>
          <w:p w14:paraId="6DAEFF2D">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甲醛</w:t>
            </w:r>
          </w:p>
        </w:tc>
        <w:tc>
          <w:tcPr>
            <w:tcW w:w="1443" w:type="pct"/>
            <w:vAlign w:val="center"/>
          </w:tcPr>
          <w:p w14:paraId="6D8050EA">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0.433</w:t>
            </w:r>
          </w:p>
        </w:tc>
      </w:tr>
      <w:tr w14:paraId="4F383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7FCC49CC">
            <w:pPr>
              <w:widowControl/>
              <w:adjustRightInd w:val="0"/>
              <w:snapToGrid w:val="0"/>
              <w:spacing w:line="240" w:lineRule="auto"/>
              <w:jc w:val="center"/>
              <w:rPr>
                <w:rFonts w:ascii="Calibri" w:hAnsi="Calibri" w:eastAsia="Times New Roman"/>
                <w:kern w:val="0"/>
                <w:sz w:val="21"/>
                <w:szCs w:val="21"/>
              </w:rPr>
            </w:pPr>
            <w:r>
              <w:rPr>
                <w:rFonts w:ascii="Calibri" w:hAnsi="Calibri" w:eastAsia="Times New Roman"/>
                <w:kern w:val="0"/>
                <w:sz w:val="21"/>
                <w:szCs w:val="21"/>
              </w:rPr>
              <w:t>10</w:t>
            </w:r>
          </w:p>
        </w:tc>
        <w:tc>
          <w:tcPr>
            <w:tcW w:w="2780" w:type="pct"/>
            <w:vAlign w:val="center"/>
          </w:tcPr>
          <w:p w14:paraId="5B38082D">
            <w:pPr>
              <w:widowControl/>
              <w:adjustRightInd w:val="0"/>
              <w:snapToGrid w:val="0"/>
              <w:spacing w:line="240" w:lineRule="auto"/>
              <w:jc w:val="center"/>
              <w:rPr>
                <w:rFonts w:ascii="Calibri" w:hAnsi="Calibri" w:eastAsia="Times New Roman"/>
                <w:kern w:val="0"/>
                <w:sz w:val="21"/>
                <w:szCs w:val="21"/>
              </w:rPr>
            </w:pPr>
            <w:r>
              <w:rPr>
                <w:rFonts w:ascii="Calibri" w:hAnsi="Calibri"/>
                <w:sz w:val="21"/>
                <w:szCs w:val="21"/>
              </w:rPr>
              <w:t>酚类</w:t>
            </w:r>
          </w:p>
        </w:tc>
        <w:tc>
          <w:tcPr>
            <w:tcW w:w="1443" w:type="pct"/>
            <w:vAlign w:val="center"/>
          </w:tcPr>
          <w:p w14:paraId="0F9E83F0">
            <w:pPr>
              <w:widowControl/>
              <w:adjustRightInd w:val="0"/>
              <w:snapToGrid w:val="0"/>
              <w:spacing w:line="240" w:lineRule="auto"/>
              <w:jc w:val="center"/>
              <w:rPr>
                <w:rFonts w:ascii="Calibri" w:hAnsi="Calibri" w:eastAsiaTheme="minorEastAsia"/>
                <w:kern w:val="0"/>
                <w:sz w:val="21"/>
                <w:szCs w:val="21"/>
              </w:rPr>
            </w:pPr>
            <w:r>
              <w:rPr>
                <w:rFonts w:ascii="Calibri" w:hAnsi="Calibri" w:eastAsiaTheme="minorEastAsia"/>
                <w:kern w:val="0"/>
                <w:sz w:val="21"/>
                <w:szCs w:val="21"/>
              </w:rPr>
              <w:t>11.4</w:t>
            </w:r>
          </w:p>
        </w:tc>
      </w:tr>
      <w:bookmarkEnd w:id="202"/>
      <w:bookmarkEnd w:id="203"/>
    </w:tbl>
    <w:p w14:paraId="3B7B5118">
      <w:pPr>
        <w:pStyle w:val="6"/>
        <w:spacing w:before="120" w:after="120"/>
      </w:pPr>
      <w:r>
        <w:t>大气影响评价结论</w:t>
      </w:r>
    </w:p>
    <w:p w14:paraId="04E2E6AE">
      <w:pPr>
        <w:pStyle w:val="49"/>
      </w:pPr>
      <w:bookmarkStart w:id="204" w:name="_Toc298914331"/>
      <w:bookmarkStart w:id="205" w:name="_Toc385918352"/>
      <w:r>
        <w:t>（1）本项目及预测对比分析结果</w:t>
      </w:r>
    </w:p>
    <w:p w14:paraId="0FB85657">
      <w:pPr>
        <w:pStyle w:val="49"/>
      </w:pPr>
      <w:r>
        <w:t>1）由预测结果可知，本项目各预测因子短期贡献浓度占标率均小于100%。</w:t>
      </w:r>
    </w:p>
    <w:p w14:paraId="2DD4F2C4">
      <w:pPr>
        <w:pStyle w:val="49"/>
      </w:pPr>
      <w:r>
        <w:t>2）由预测结果可知，各污染物的长期浓度贡献值的最大浓度占标率小于30%。</w:t>
      </w:r>
    </w:p>
    <w:p w14:paraId="5D7214A8">
      <w:pPr>
        <w:pStyle w:val="49"/>
      </w:pPr>
      <w:r>
        <w:t>3）由预测结果可知，在叠加背景值后，除PM</w:t>
      </w:r>
      <w:r>
        <w:rPr>
          <w:vertAlign w:val="subscript"/>
        </w:rPr>
        <w:t>10</w:t>
      </w:r>
      <w:r>
        <w:t>以外，其它污染物短期浓度与长期浓度均符合相应的环境质量标准。PM</w:t>
      </w:r>
      <w:r>
        <w:rPr>
          <w:vertAlign w:val="subscript"/>
        </w:rPr>
        <w:t>10</w:t>
      </w:r>
      <w:r>
        <w:t>超标主要由于背景浓度超标导致。</w:t>
      </w:r>
    </w:p>
    <w:p w14:paraId="7C8F477F">
      <w:pPr>
        <w:pStyle w:val="49"/>
      </w:pPr>
      <w:r>
        <w:t>4）非正常工况下，在各污染物贡献浓度大幅增加，各敏感点以及预测网格最大浓度值点均明显增大，但未出现超标现象，应极力避免此类状况的发生。</w:t>
      </w:r>
    </w:p>
    <w:p w14:paraId="1FB6C481">
      <w:pPr>
        <w:pStyle w:val="49"/>
      </w:pPr>
      <w:r>
        <w:t>（2）大气环境防护距离</w:t>
      </w:r>
    </w:p>
    <w:p w14:paraId="419D5BF6">
      <w:pPr>
        <w:pStyle w:val="49"/>
      </w:pPr>
      <w:r>
        <w:t>根据《环境影响评价技术导则  大气环境》（HJ2.2-2018），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4CDDB0B4">
      <w:pPr>
        <w:pStyle w:val="49"/>
      </w:pPr>
      <w:r>
        <w:t>本项目最终确定的防护距离为厂界外800m，该范围内无居民。本工程的选址符合环境防护距离的要求。</w:t>
      </w:r>
    </w:p>
    <w:p w14:paraId="6FD0B60A">
      <w:pPr>
        <w:pStyle w:val="49"/>
      </w:pPr>
      <w:r>
        <w:t>总体来看，本工程无论从选址、污染源排放强度与方式、大气污染控制措施以及预测评价结果来看，从大气环境影响方面考虑均可行。</w:t>
      </w:r>
    </w:p>
    <w:p w14:paraId="34E496DE">
      <w:pPr>
        <w:pStyle w:val="49"/>
      </w:pPr>
      <w:r>
        <w:t>（3）大气环境影响评价自查表</w:t>
      </w:r>
    </w:p>
    <w:p w14:paraId="407C9897">
      <w:pPr>
        <w:pStyle w:val="49"/>
      </w:pPr>
      <w:r>
        <w:t>本项目大气环境影响评价自查表见表6.2.1-29。</w:t>
      </w:r>
    </w:p>
    <w:bookmarkEnd w:id="204"/>
    <w:bookmarkEnd w:id="205"/>
    <w:p w14:paraId="06F6BFD0">
      <w:pPr>
        <w:pStyle w:val="40"/>
        <w:adjustRightInd w:val="0"/>
        <w:snapToGrid w:val="0"/>
        <w:spacing w:before="0" w:beforeLines="0"/>
      </w:pPr>
      <w:r>
        <w:t>表6.2.1-29    大气环境影响评价自查表</w:t>
      </w:r>
    </w:p>
    <w:tbl>
      <w:tblPr>
        <w:tblStyle w:val="28"/>
        <w:tblW w:w="55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37"/>
        <w:gridCol w:w="1836"/>
        <w:gridCol w:w="1024"/>
        <w:gridCol w:w="107"/>
        <w:gridCol w:w="556"/>
        <w:gridCol w:w="223"/>
        <w:gridCol w:w="68"/>
        <w:gridCol w:w="199"/>
        <w:gridCol w:w="115"/>
        <w:gridCol w:w="164"/>
        <w:gridCol w:w="368"/>
        <w:gridCol w:w="107"/>
        <w:gridCol w:w="566"/>
        <w:gridCol w:w="23"/>
        <w:gridCol w:w="366"/>
        <w:gridCol w:w="127"/>
        <w:gridCol w:w="107"/>
        <w:gridCol w:w="133"/>
        <w:gridCol w:w="263"/>
        <w:gridCol w:w="323"/>
        <w:gridCol w:w="8"/>
        <w:gridCol w:w="468"/>
        <w:gridCol w:w="323"/>
        <w:gridCol w:w="156"/>
        <w:gridCol w:w="959"/>
      </w:tblGrid>
      <w:tr w14:paraId="167A9C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blHeader/>
          <w:jc w:val="center"/>
        </w:trPr>
        <w:tc>
          <w:tcPr>
            <w:tcW w:w="1491" w:type="pct"/>
            <w:gridSpan w:val="2"/>
            <w:vAlign w:val="center"/>
          </w:tcPr>
          <w:p w14:paraId="432931B4">
            <w:pPr>
              <w:pStyle w:val="41"/>
            </w:pPr>
            <w:r>
              <w:t>工作内容</w:t>
            </w:r>
          </w:p>
        </w:tc>
        <w:tc>
          <w:tcPr>
            <w:tcW w:w="3509" w:type="pct"/>
            <w:gridSpan w:val="23"/>
            <w:vAlign w:val="center"/>
          </w:tcPr>
          <w:p w14:paraId="1E64A780">
            <w:pPr>
              <w:pStyle w:val="41"/>
            </w:pPr>
            <w:r>
              <w:t>自查项目</w:t>
            </w:r>
          </w:p>
        </w:tc>
      </w:tr>
      <w:tr w14:paraId="6A605C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restart"/>
            <w:vAlign w:val="center"/>
          </w:tcPr>
          <w:p w14:paraId="78D50997">
            <w:pPr>
              <w:pStyle w:val="41"/>
            </w:pPr>
            <w:r>
              <w:t>评价等级与范围</w:t>
            </w:r>
          </w:p>
        </w:tc>
        <w:tc>
          <w:tcPr>
            <w:tcW w:w="953" w:type="pct"/>
            <w:vAlign w:val="center"/>
          </w:tcPr>
          <w:p w14:paraId="1FDDD86C">
            <w:pPr>
              <w:pStyle w:val="41"/>
            </w:pPr>
            <w:r>
              <w:t>评价等级</w:t>
            </w:r>
          </w:p>
        </w:tc>
        <w:tc>
          <w:tcPr>
            <w:tcW w:w="1131" w:type="pct"/>
            <w:gridSpan w:val="6"/>
            <w:vAlign w:val="center"/>
          </w:tcPr>
          <w:p w14:paraId="1CC476BC">
            <w:pPr>
              <w:pStyle w:val="41"/>
            </w:pPr>
            <w:r>
              <w:t xml:space="preserve">一级 </w:t>
            </w:r>
            <w:r>
              <w:rPr/>
              <w:sym w:font="Wingdings" w:char="00FE"/>
            </w:r>
          </w:p>
        </w:tc>
        <w:tc>
          <w:tcPr>
            <w:tcW w:w="1216" w:type="pct"/>
            <w:gridSpan w:val="11"/>
            <w:vAlign w:val="center"/>
          </w:tcPr>
          <w:p w14:paraId="380BD96C">
            <w:pPr>
              <w:pStyle w:val="41"/>
            </w:pPr>
            <w:r>
              <w:t xml:space="preserve">二级 </w:t>
            </w:r>
            <w:r>
              <w:rPr/>
              <w:sym w:font="Wingdings" w:char="00A8"/>
            </w:r>
          </w:p>
        </w:tc>
        <w:tc>
          <w:tcPr>
            <w:tcW w:w="1162" w:type="pct"/>
            <w:gridSpan w:val="6"/>
            <w:vAlign w:val="center"/>
          </w:tcPr>
          <w:p w14:paraId="39A0D6E2">
            <w:pPr>
              <w:pStyle w:val="41"/>
            </w:pPr>
            <w:r>
              <w:t xml:space="preserve">三级 </w:t>
            </w:r>
            <w:r>
              <w:rPr/>
              <w:sym w:font="Wingdings" w:char="00A8"/>
            </w:r>
          </w:p>
        </w:tc>
      </w:tr>
      <w:tr w14:paraId="274F29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0DDC3B4B">
            <w:pPr>
              <w:pStyle w:val="41"/>
            </w:pPr>
          </w:p>
        </w:tc>
        <w:tc>
          <w:tcPr>
            <w:tcW w:w="953" w:type="pct"/>
            <w:vAlign w:val="center"/>
          </w:tcPr>
          <w:p w14:paraId="54DB5681">
            <w:pPr>
              <w:pStyle w:val="41"/>
            </w:pPr>
            <w:r>
              <w:t>评价范围</w:t>
            </w:r>
          </w:p>
        </w:tc>
        <w:tc>
          <w:tcPr>
            <w:tcW w:w="1131" w:type="pct"/>
            <w:gridSpan w:val="6"/>
            <w:vAlign w:val="center"/>
          </w:tcPr>
          <w:p w14:paraId="7D927DC8">
            <w:pPr>
              <w:pStyle w:val="41"/>
            </w:pPr>
            <w:r>
              <w:t xml:space="preserve">边长=50km </w:t>
            </w:r>
            <w:r>
              <w:rPr/>
              <w:sym w:font="Wingdings" w:char="00A8"/>
            </w:r>
          </w:p>
        </w:tc>
        <w:tc>
          <w:tcPr>
            <w:tcW w:w="1216" w:type="pct"/>
            <w:gridSpan w:val="11"/>
            <w:vAlign w:val="center"/>
          </w:tcPr>
          <w:p w14:paraId="77F06993">
            <w:pPr>
              <w:pStyle w:val="41"/>
            </w:pPr>
            <w:r>
              <w:t xml:space="preserve">边长5～50km </w:t>
            </w:r>
            <w:r>
              <w:rPr/>
              <w:sym w:font="Wingdings" w:char="00A8"/>
            </w:r>
          </w:p>
        </w:tc>
        <w:tc>
          <w:tcPr>
            <w:tcW w:w="1162" w:type="pct"/>
            <w:gridSpan w:val="6"/>
            <w:vAlign w:val="center"/>
          </w:tcPr>
          <w:p w14:paraId="5D0F196C">
            <w:pPr>
              <w:pStyle w:val="41"/>
            </w:pPr>
            <w:r>
              <w:t xml:space="preserve">边长=5km </w:t>
            </w:r>
            <w:r>
              <w:rPr/>
              <w:sym w:font="Wingdings" w:char="00FE"/>
            </w:r>
          </w:p>
        </w:tc>
      </w:tr>
      <w:tr w14:paraId="36DD5E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restart"/>
            <w:vAlign w:val="center"/>
          </w:tcPr>
          <w:p w14:paraId="22EAFD70">
            <w:pPr>
              <w:pStyle w:val="41"/>
            </w:pPr>
            <w:r>
              <w:t>评价因子</w:t>
            </w:r>
          </w:p>
        </w:tc>
        <w:tc>
          <w:tcPr>
            <w:tcW w:w="953" w:type="pct"/>
            <w:vAlign w:val="center"/>
          </w:tcPr>
          <w:p w14:paraId="2C09689D">
            <w:pPr>
              <w:pStyle w:val="41"/>
            </w:pPr>
            <w:r>
              <w:t>SO</w:t>
            </w:r>
            <w:r>
              <w:rPr>
                <w:vertAlign w:val="subscript"/>
              </w:rPr>
              <w:t>2</w:t>
            </w:r>
            <w:r>
              <w:t>+NO</w:t>
            </w:r>
            <w:r>
              <w:rPr>
                <w:vertAlign w:val="subscript"/>
              </w:rPr>
              <w:t>X</w:t>
            </w:r>
            <w:r>
              <w:t>排放量</w:t>
            </w:r>
          </w:p>
        </w:tc>
        <w:tc>
          <w:tcPr>
            <w:tcW w:w="1131" w:type="pct"/>
            <w:gridSpan w:val="6"/>
            <w:vAlign w:val="center"/>
          </w:tcPr>
          <w:p w14:paraId="7FFF07FA">
            <w:pPr>
              <w:pStyle w:val="41"/>
            </w:pPr>
            <w:r>
              <w:t xml:space="preserve">≥2000t/a </w:t>
            </w:r>
            <w:r>
              <w:rPr/>
              <w:sym w:font="Wingdings" w:char="00A8"/>
            </w:r>
          </w:p>
        </w:tc>
        <w:tc>
          <w:tcPr>
            <w:tcW w:w="1216" w:type="pct"/>
            <w:gridSpan w:val="11"/>
            <w:vAlign w:val="center"/>
          </w:tcPr>
          <w:p w14:paraId="75E203D1">
            <w:pPr>
              <w:pStyle w:val="41"/>
            </w:pPr>
            <w:r>
              <w:t xml:space="preserve">500～2000t/a </w:t>
            </w:r>
            <w:r>
              <w:rPr/>
              <w:sym w:font="Wingdings" w:char="00A8"/>
            </w:r>
          </w:p>
        </w:tc>
        <w:tc>
          <w:tcPr>
            <w:tcW w:w="1162" w:type="pct"/>
            <w:gridSpan w:val="6"/>
            <w:vAlign w:val="center"/>
          </w:tcPr>
          <w:p w14:paraId="7AB96ED2">
            <w:pPr>
              <w:pStyle w:val="41"/>
            </w:pPr>
            <w:r>
              <w:t xml:space="preserve">≤500t/a </w:t>
            </w:r>
            <w:r>
              <w:rPr/>
              <w:sym w:font="Wingdings" w:char="00FE"/>
            </w:r>
          </w:p>
        </w:tc>
      </w:tr>
      <w:tr w14:paraId="083955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658EC46B">
            <w:pPr>
              <w:pStyle w:val="41"/>
            </w:pPr>
          </w:p>
        </w:tc>
        <w:tc>
          <w:tcPr>
            <w:tcW w:w="953" w:type="pct"/>
            <w:vAlign w:val="center"/>
          </w:tcPr>
          <w:p w14:paraId="31122A6B">
            <w:pPr>
              <w:pStyle w:val="41"/>
            </w:pPr>
            <w:r>
              <w:t>评价因子</w:t>
            </w:r>
          </w:p>
        </w:tc>
        <w:tc>
          <w:tcPr>
            <w:tcW w:w="2347" w:type="pct"/>
            <w:gridSpan w:val="17"/>
            <w:tcMar>
              <w:left w:w="57" w:type="dxa"/>
              <w:right w:w="57" w:type="dxa"/>
            </w:tcMar>
            <w:vAlign w:val="center"/>
          </w:tcPr>
          <w:p w14:paraId="20F213C7">
            <w:pPr>
              <w:pStyle w:val="41"/>
            </w:pPr>
            <w:r>
              <w:t>基本污染物（</w:t>
            </w:r>
            <w:r>
              <w:rPr>
                <w:snapToGrid w:val="0"/>
              </w:rPr>
              <w:t>SO</w:t>
            </w:r>
            <w:r>
              <w:rPr>
                <w:snapToGrid w:val="0"/>
                <w:vertAlign w:val="subscript"/>
              </w:rPr>
              <w:t>2</w:t>
            </w:r>
            <w:r>
              <w:rPr>
                <w:snapToGrid w:val="0"/>
              </w:rPr>
              <w:t>、NO</w:t>
            </w:r>
            <w:r>
              <w:rPr>
                <w:snapToGrid w:val="0"/>
                <w:vertAlign w:val="subscript"/>
              </w:rPr>
              <w:t>2</w:t>
            </w:r>
            <w:r>
              <w:rPr>
                <w:snapToGrid w:val="0"/>
              </w:rPr>
              <w:t>、PM</w:t>
            </w:r>
            <w:r>
              <w:rPr>
                <w:snapToGrid w:val="0"/>
                <w:vertAlign w:val="subscript"/>
              </w:rPr>
              <w:t>10</w:t>
            </w:r>
            <w:r>
              <w:rPr>
                <w:snapToGrid w:val="0"/>
              </w:rPr>
              <w:t>、氟化物、二噁英类、NH</w:t>
            </w:r>
            <w:r>
              <w:rPr>
                <w:snapToGrid w:val="0"/>
                <w:vertAlign w:val="subscript"/>
              </w:rPr>
              <w:t>3</w:t>
            </w:r>
            <w:r>
              <w:rPr>
                <w:snapToGrid w:val="0"/>
              </w:rPr>
              <w:t>、TSP。</w:t>
            </w:r>
            <w:r>
              <w:t>）</w:t>
            </w:r>
          </w:p>
        </w:tc>
        <w:tc>
          <w:tcPr>
            <w:tcW w:w="1162" w:type="pct"/>
            <w:gridSpan w:val="6"/>
            <w:vAlign w:val="center"/>
          </w:tcPr>
          <w:p w14:paraId="01ED8905">
            <w:pPr>
              <w:pStyle w:val="41"/>
            </w:pPr>
            <w:r>
              <w:t>包括二次PM</w:t>
            </w:r>
            <w:r>
              <w:rPr>
                <w:vertAlign w:val="subscript"/>
              </w:rPr>
              <w:t>2.5</w:t>
            </w:r>
            <w:r>
              <w:t xml:space="preserve"> </w:t>
            </w:r>
            <w:r>
              <w:rPr/>
              <w:sym w:font="Wingdings" w:char="00A8"/>
            </w:r>
          </w:p>
          <w:p w14:paraId="10AE427C">
            <w:pPr>
              <w:pStyle w:val="41"/>
            </w:pPr>
            <w:r>
              <w:t>不包括二次PM</w:t>
            </w:r>
            <w:r>
              <w:rPr>
                <w:vertAlign w:val="subscript"/>
              </w:rPr>
              <w:t>2.5</w:t>
            </w:r>
            <w:r>
              <w:t xml:space="preserve"> </w:t>
            </w:r>
            <w:r>
              <w:rPr/>
              <w:sym w:font="Wingdings" w:char="00FE"/>
            </w:r>
          </w:p>
        </w:tc>
      </w:tr>
      <w:tr w14:paraId="240957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Align w:val="center"/>
          </w:tcPr>
          <w:p w14:paraId="1A8B76E5">
            <w:pPr>
              <w:pStyle w:val="41"/>
            </w:pPr>
            <w:r>
              <w:t>评价标准</w:t>
            </w:r>
          </w:p>
        </w:tc>
        <w:tc>
          <w:tcPr>
            <w:tcW w:w="953" w:type="pct"/>
            <w:vAlign w:val="center"/>
          </w:tcPr>
          <w:p w14:paraId="735D00EF">
            <w:pPr>
              <w:pStyle w:val="41"/>
            </w:pPr>
            <w:r>
              <w:t>评价标准</w:t>
            </w:r>
          </w:p>
        </w:tc>
        <w:tc>
          <w:tcPr>
            <w:tcW w:w="877" w:type="pct"/>
            <w:gridSpan w:val="3"/>
            <w:vAlign w:val="center"/>
          </w:tcPr>
          <w:p w14:paraId="51F9D78B">
            <w:pPr>
              <w:pStyle w:val="41"/>
            </w:pPr>
            <w:r>
              <w:t xml:space="preserve">国家标准 </w:t>
            </w:r>
            <w:r>
              <w:rPr/>
              <w:sym w:font="Wingdings" w:char="00FE"/>
            </w:r>
          </w:p>
        </w:tc>
        <w:tc>
          <w:tcPr>
            <w:tcW w:w="940" w:type="pct"/>
            <w:gridSpan w:val="8"/>
            <w:vAlign w:val="center"/>
          </w:tcPr>
          <w:p w14:paraId="78CEE01C">
            <w:pPr>
              <w:pStyle w:val="41"/>
            </w:pPr>
            <w:r>
              <w:t xml:space="preserve">地方标准 </w:t>
            </w:r>
            <w:r>
              <w:rPr/>
              <w:sym w:font="Wingdings" w:char="00A8"/>
            </w:r>
          </w:p>
        </w:tc>
        <w:tc>
          <w:tcPr>
            <w:tcW w:w="945" w:type="pct"/>
            <w:gridSpan w:val="9"/>
            <w:vAlign w:val="center"/>
          </w:tcPr>
          <w:p w14:paraId="3378929A">
            <w:pPr>
              <w:pStyle w:val="41"/>
            </w:pPr>
            <w:r>
              <w:t xml:space="preserve">附录D </w:t>
            </w:r>
            <w:r>
              <w:rPr/>
              <w:sym w:font="Wingdings" w:char="00FE"/>
            </w:r>
          </w:p>
        </w:tc>
        <w:tc>
          <w:tcPr>
            <w:tcW w:w="747" w:type="pct"/>
            <w:gridSpan w:val="3"/>
            <w:vAlign w:val="center"/>
          </w:tcPr>
          <w:p w14:paraId="339CDE4F">
            <w:pPr>
              <w:pStyle w:val="41"/>
            </w:pPr>
            <w:r>
              <w:t xml:space="preserve">其他标准 </w:t>
            </w:r>
            <w:r>
              <w:rPr/>
              <w:sym w:font="Wingdings" w:char="00FE"/>
            </w:r>
          </w:p>
        </w:tc>
      </w:tr>
      <w:tr w14:paraId="6AF5DE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restart"/>
            <w:vAlign w:val="center"/>
          </w:tcPr>
          <w:p w14:paraId="1574DBDE">
            <w:pPr>
              <w:pStyle w:val="41"/>
            </w:pPr>
            <w:r>
              <w:t>现状评价</w:t>
            </w:r>
          </w:p>
        </w:tc>
        <w:tc>
          <w:tcPr>
            <w:tcW w:w="953" w:type="pct"/>
            <w:vAlign w:val="center"/>
          </w:tcPr>
          <w:p w14:paraId="3F239596">
            <w:pPr>
              <w:pStyle w:val="41"/>
            </w:pPr>
            <w:r>
              <w:t>环境功能区</w:t>
            </w:r>
          </w:p>
        </w:tc>
        <w:tc>
          <w:tcPr>
            <w:tcW w:w="993" w:type="pct"/>
            <w:gridSpan w:val="4"/>
            <w:vAlign w:val="center"/>
          </w:tcPr>
          <w:p w14:paraId="532E6F56">
            <w:pPr>
              <w:pStyle w:val="41"/>
            </w:pPr>
            <w:r>
              <w:t xml:space="preserve">一类区 </w:t>
            </w:r>
            <w:r>
              <w:rPr/>
              <w:sym w:font="Wingdings" w:char="00A8"/>
            </w:r>
          </w:p>
        </w:tc>
        <w:tc>
          <w:tcPr>
            <w:tcW w:w="1148" w:type="pct"/>
            <w:gridSpan w:val="11"/>
            <w:vAlign w:val="center"/>
          </w:tcPr>
          <w:p w14:paraId="377219E6">
            <w:pPr>
              <w:pStyle w:val="41"/>
            </w:pPr>
            <w:r>
              <w:t xml:space="preserve">二类区 </w:t>
            </w:r>
            <w:r>
              <w:rPr/>
              <w:sym w:font="Wingdings" w:char="00FE"/>
            </w:r>
          </w:p>
        </w:tc>
        <w:tc>
          <w:tcPr>
            <w:tcW w:w="1368" w:type="pct"/>
            <w:gridSpan w:val="8"/>
            <w:vAlign w:val="center"/>
          </w:tcPr>
          <w:p w14:paraId="2F58565C">
            <w:pPr>
              <w:pStyle w:val="41"/>
            </w:pPr>
            <w:r>
              <w:t xml:space="preserve">一类区和二类区 </w:t>
            </w:r>
            <w:r>
              <w:rPr/>
              <w:sym w:font="Wingdings" w:char="00A8"/>
            </w:r>
          </w:p>
        </w:tc>
      </w:tr>
      <w:tr w14:paraId="43D848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7553FE92">
            <w:pPr>
              <w:pStyle w:val="41"/>
            </w:pPr>
          </w:p>
        </w:tc>
        <w:tc>
          <w:tcPr>
            <w:tcW w:w="953" w:type="pct"/>
            <w:vAlign w:val="center"/>
          </w:tcPr>
          <w:p w14:paraId="325A1842">
            <w:pPr>
              <w:pStyle w:val="41"/>
            </w:pPr>
            <w:r>
              <w:t>评价基准年</w:t>
            </w:r>
          </w:p>
        </w:tc>
        <w:tc>
          <w:tcPr>
            <w:tcW w:w="3509" w:type="pct"/>
            <w:gridSpan w:val="23"/>
            <w:vAlign w:val="center"/>
          </w:tcPr>
          <w:p w14:paraId="45616123">
            <w:pPr>
              <w:pStyle w:val="41"/>
            </w:pPr>
            <w:r>
              <w:t>（2023）年</w:t>
            </w:r>
          </w:p>
        </w:tc>
      </w:tr>
      <w:tr w14:paraId="12E3E7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5B5A3126">
            <w:pPr>
              <w:pStyle w:val="41"/>
            </w:pPr>
          </w:p>
        </w:tc>
        <w:tc>
          <w:tcPr>
            <w:tcW w:w="953" w:type="pct"/>
            <w:vAlign w:val="center"/>
          </w:tcPr>
          <w:p w14:paraId="2E1C58B8">
            <w:pPr>
              <w:pStyle w:val="41"/>
            </w:pPr>
            <w:r>
              <w:t>环境空气质量现状调查数据来源</w:t>
            </w:r>
          </w:p>
        </w:tc>
        <w:tc>
          <w:tcPr>
            <w:tcW w:w="1131" w:type="pct"/>
            <w:gridSpan w:val="6"/>
            <w:vAlign w:val="center"/>
          </w:tcPr>
          <w:p w14:paraId="1084637D">
            <w:pPr>
              <w:pStyle w:val="41"/>
            </w:pPr>
            <w:r>
              <w:t xml:space="preserve">长期例行监测数据 </w:t>
            </w:r>
            <w:r>
              <w:rPr/>
              <w:sym w:font="Wingdings" w:char="00FE"/>
            </w:r>
          </w:p>
        </w:tc>
        <w:tc>
          <w:tcPr>
            <w:tcW w:w="1388" w:type="pct"/>
            <w:gridSpan w:val="13"/>
            <w:vAlign w:val="center"/>
          </w:tcPr>
          <w:p w14:paraId="41E96151">
            <w:pPr>
              <w:pStyle w:val="41"/>
            </w:pPr>
            <w:r>
              <w:t xml:space="preserve">主管部门发布的数据 </w:t>
            </w:r>
            <w:r>
              <w:rPr/>
              <w:sym w:font="Wingdings" w:char="00A8"/>
            </w:r>
          </w:p>
        </w:tc>
        <w:tc>
          <w:tcPr>
            <w:tcW w:w="990" w:type="pct"/>
            <w:gridSpan w:val="4"/>
            <w:vAlign w:val="center"/>
          </w:tcPr>
          <w:p w14:paraId="31472F07">
            <w:pPr>
              <w:pStyle w:val="41"/>
            </w:pPr>
            <w:r>
              <w:t xml:space="preserve">现状补充监测 </w:t>
            </w:r>
            <w:r>
              <w:rPr/>
              <w:sym w:font="Wingdings" w:char="00FE"/>
            </w:r>
          </w:p>
        </w:tc>
      </w:tr>
      <w:tr w14:paraId="324A61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4C3F74AA">
            <w:pPr>
              <w:pStyle w:val="41"/>
            </w:pPr>
          </w:p>
        </w:tc>
        <w:tc>
          <w:tcPr>
            <w:tcW w:w="953" w:type="pct"/>
            <w:vAlign w:val="center"/>
          </w:tcPr>
          <w:p w14:paraId="396B8084">
            <w:pPr>
              <w:pStyle w:val="41"/>
            </w:pPr>
            <w:r>
              <w:t>现状评价</w:t>
            </w:r>
          </w:p>
        </w:tc>
        <w:tc>
          <w:tcPr>
            <w:tcW w:w="1817" w:type="pct"/>
            <w:gridSpan w:val="11"/>
            <w:vAlign w:val="center"/>
          </w:tcPr>
          <w:p w14:paraId="6C2E0ADD">
            <w:pPr>
              <w:pStyle w:val="41"/>
            </w:pPr>
            <w:r>
              <w:t xml:space="preserve">达标区 </w:t>
            </w:r>
            <w:r>
              <w:rPr/>
              <w:sym w:font="Wingdings" w:char="00FE"/>
            </w:r>
          </w:p>
        </w:tc>
        <w:tc>
          <w:tcPr>
            <w:tcW w:w="1692" w:type="pct"/>
            <w:gridSpan w:val="12"/>
            <w:vAlign w:val="center"/>
          </w:tcPr>
          <w:p w14:paraId="3D63A1FE">
            <w:pPr>
              <w:pStyle w:val="41"/>
            </w:pPr>
            <w:r>
              <w:t xml:space="preserve">不达标区 </w:t>
            </w:r>
            <w:r>
              <w:rPr/>
              <w:sym w:font="Wingdings" w:char="00A8"/>
            </w:r>
          </w:p>
        </w:tc>
      </w:tr>
      <w:tr w14:paraId="137204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Align w:val="center"/>
          </w:tcPr>
          <w:p w14:paraId="6A939E84">
            <w:pPr>
              <w:pStyle w:val="41"/>
            </w:pPr>
            <w:r>
              <w:t>污染源调查</w:t>
            </w:r>
          </w:p>
        </w:tc>
        <w:tc>
          <w:tcPr>
            <w:tcW w:w="953" w:type="pct"/>
            <w:vAlign w:val="center"/>
          </w:tcPr>
          <w:p w14:paraId="3C352384">
            <w:pPr>
              <w:pStyle w:val="41"/>
            </w:pPr>
            <w:r>
              <w:t>调查内容</w:t>
            </w:r>
          </w:p>
        </w:tc>
        <w:tc>
          <w:tcPr>
            <w:tcW w:w="1276" w:type="pct"/>
            <w:gridSpan w:val="8"/>
            <w:vAlign w:val="center"/>
          </w:tcPr>
          <w:p w14:paraId="5DA05891">
            <w:pPr>
              <w:pStyle w:val="41"/>
            </w:pPr>
            <w:r>
              <w:t xml:space="preserve">本项目正常排放源 </w:t>
            </w:r>
            <w:r>
              <w:rPr/>
              <w:sym w:font="Wingdings" w:char="00FE"/>
            </w:r>
          </w:p>
          <w:p w14:paraId="6B7295CE">
            <w:pPr>
              <w:pStyle w:val="41"/>
            </w:pPr>
            <w:r>
              <w:t xml:space="preserve">本项目非正常排放源 </w:t>
            </w:r>
            <w:r>
              <w:rPr/>
              <w:sym w:font="Wingdings" w:char="00FE"/>
            </w:r>
          </w:p>
          <w:p w14:paraId="25E9E597">
            <w:pPr>
              <w:pStyle w:val="41"/>
            </w:pPr>
            <w:r>
              <w:t xml:space="preserve">现有污染源 </w:t>
            </w:r>
            <w:r>
              <w:rPr/>
              <w:sym w:font="Wingdings" w:char="00A8"/>
            </w:r>
          </w:p>
        </w:tc>
        <w:tc>
          <w:tcPr>
            <w:tcW w:w="809" w:type="pct"/>
            <w:gridSpan w:val="6"/>
            <w:vAlign w:val="center"/>
          </w:tcPr>
          <w:p w14:paraId="19199F1C">
            <w:pPr>
              <w:pStyle w:val="41"/>
            </w:pPr>
            <w:r>
              <w:t xml:space="preserve">拟替代的污染源 </w:t>
            </w:r>
            <w:r>
              <w:rPr/>
              <w:sym w:font="Wingdings" w:char="00A8"/>
            </w:r>
          </w:p>
        </w:tc>
        <w:tc>
          <w:tcPr>
            <w:tcW w:w="844" w:type="pct"/>
            <w:gridSpan w:val="7"/>
            <w:vAlign w:val="center"/>
          </w:tcPr>
          <w:p w14:paraId="06F9B311">
            <w:pPr>
              <w:pStyle w:val="41"/>
            </w:pPr>
            <w:r>
              <w:t xml:space="preserve">其他在建、拟建项目污染源 </w:t>
            </w:r>
            <w:r>
              <w:rPr/>
              <w:sym w:font="Wingdings" w:char="00A8"/>
            </w:r>
          </w:p>
        </w:tc>
        <w:tc>
          <w:tcPr>
            <w:tcW w:w="579" w:type="pct"/>
            <w:gridSpan w:val="2"/>
            <w:vAlign w:val="center"/>
          </w:tcPr>
          <w:p w14:paraId="34574800">
            <w:pPr>
              <w:pStyle w:val="41"/>
            </w:pPr>
            <w:r>
              <w:t>区域污染源</w:t>
            </w:r>
            <w:r>
              <w:rPr/>
              <w:sym w:font="Wingdings" w:char="00A8"/>
            </w:r>
          </w:p>
        </w:tc>
      </w:tr>
      <w:tr w14:paraId="2ACEC1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restart"/>
            <w:vAlign w:val="center"/>
          </w:tcPr>
          <w:p w14:paraId="1810C308">
            <w:pPr>
              <w:pStyle w:val="41"/>
            </w:pPr>
            <w:r>
              <w:t>大气环境影响预测与评价</w:t>
            </w:r>
          </w:p>
        </w:tc>
        <w:tc>
          <w:tcPr>
            <w:tcW w:w="953" w:type="pct"/>
            <w:vAlign w:val="center"/>
          </w:tcPr>
          <w:p w14:paraId="5616B883">
            <w:pPr>
              <w:pStyle w:val="41"/>
            </w:pPr>
            <w:r>
              <w:t>预测模型</w:t>
            </w:r>
          </w:p>
        </w:tc>
        <w:tc>
          <w:tcPr>
            <w:tcW w:w="532" w:type="pct"/>
            <w:vAlign w:val="center"/>
          </w:tcPr>
          <w:p w14:paraId="40B152AE">
            <w:pPr>
              <w:pStyle w:val="41"/>
            </w:pPr>
            <w:r>
              <w:t xml:space="preserve">AERMOD </w:t>
            </w:r>
            <w:r>
              <w:rPr/>
              <w:sym w:font="Wingdings" w:char="00FE"/>
            </w:r>
          </w:p>
        </w:tc>
        <w:tc>
          <w:tcPr>
            <w:tcW w:w="496" w:type="pct"/>
            <w:gridSpan w:val="4"/>
            <w:vAlign w:val="center"/>
          </w:tcPr>
          <w:p w14:paraId="6DBDB5EC">
            <w:pPr>
              <w:pStyle w:val="41"/>
            </w:pPr>
            <w:r>
              <w:t xml:space="preserve">ADMS </w:t>
            </w:r>
            <w:r>
              <w:rPr/>
              <w:sym w:font="Wingdings" w:char="00A8"/>
            </w:r>
          </w:p>
        </w:tc>
        <w:tc>
          <w:tcPr>
            <w:tcW w:w="495" w:type="pct"/>
            <w:gridSpan w:val="5"/>
            <w:vAlign w:val="center"/>
          </w:tcPr>
          <w:p w14:paraId="21F92156">
            <w:pPr>
              <w:pStyle w:val="41"/>
            </w:pPr>
            <w:r>
              <w:t>AUSTAL2000</w:t>
            </w:r>
            <w:r>
              <w:rPr/>
              <w:sym w:font="Wingdings" w:char="00A8"/>
            </w:r>
          </w:p>
        </w:tc>
        <w:tc>
          <w:tcPr>
            <w:tcW w:w="496" w:type="pct"/>
            <w:gridSpan w:val="3"/>
            <w:vAlign w:val="center"/>
          </w:tcPr>
          <w:p w14:paraId="6D80AACB">
            <w:pPr>
              <w:pStyle w:val="41"/>
            </w:pPr>
            <w:r>
              <w:t xml:space="preserve">EDMS/AEDT </w:t>
            </w:r>
            <w:r>
              <w:rPr/>
              <w:sym w:font="Wingdings" w:char="00A8"/>
            </w:r>
          </w:p>
        </w:tc>
        <w:tc>
          <w:tcPr>
            <w:tcW w:w="496" w:type="pct"/>
            <w:gridSpan w:val="5"/>
            <w:vAlign w:val="center"/>
          </w:tcPr>
          <w:p w14:paraId="7C2523AE">
            <w:pPr>
              <w:pStyle w:val="41"/>
            </w:pPr>
            <w:r>
              <w:t xml:space="preserve">CALPUFF </w:t>
            </w:r>
            <w:r>
              <w:rPr/>
              <w:sym w:font="Wingdings" w:char="00A8"/>
            </w:r>
          </w:p>
        </w:tc>
        <w:tc>
          <w:tcPr>
            <w:tcW w:w="496" w:type="pct"/>
            <w:gridSpan w:val="4"/>
            <w:vAlign w:val="center"/>
          </w:tcPr>
          <w:p w14:paraId="37D6C6D1">
            <w:pPr>
              <w:pStyle w:val="41"/>
            </w:pPr>
            <w:r>
              <w:t>网格模型</w:t>
            </w:r>
            <w:r>
              <w:rPr/>
              <w:sym w:font="Wingdings" w:char="00A8"/>
            </w:r>
          </w:p>
        </w:tc>
        <w:tc>
          <w:tcPr>
            <w:tcW w:w="498" w:type="pct"/>
            <w:vAlign w:val="center"/>
          </w:tcPr>
          <w:p w14:paraId="45961C76">
            <w:pPr>
              <w:pStyle w:val="41"/>
            </w:pPr>
            <w:r>
              <w:t xml:space="preserve">其他 </w:t>
            </w:r>
            <w:r>
              <w:rPr/>
              <w:sym w:font="Wingdings" w:char="00A8"/>
            </w:r>
          </w:p>
        </w:tc>
      </w:tr>
      <w:tr w14:paraId="35681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58D75FD4">
            <w:pPr>
              <w:pStyle w:val="41"/>
            </w:pPr>
          </w:p>
        </w:tc>
        <w:tc>
          <w:tcPr>
            <w:tcW w:w="953" w:type="pct"/>
            <w:vAlign w:val="center"/>
          </w:tcPr>
          <w:p w14:paraId="598423BA">
            <w:pPr>
              <w:pStyle w:val="41"/>
            </w:pPr>
            <w:r>
              <w:t>预测范围</w:t>
            </w:r>
          </w:p>
        </w:tc>
        <w:tc>
          <w:tcPr>
            <w:tcW w:w="1191" w:type="pct"/>
            <w:gridSpan w:val="7"/>
            <w:vAlign w:val="center"/>
          </w:tcPr>
          <w:p w14:paraId="3D5B7CFF">
            <w:pPr>
              <w:pStyle w:val="41"/>
            </w:pPr>
            <w:r>
              <w:t xml:space="preserve">边长≥50km </w:t>
            </w:r>
            <w:r>
              <w:rPr/>
              <w:sym w:font="Wingdings" w:char="00A8"/>
            </w:r>
          </w:p>
        </w:tc>
        <w:tc>
          <w:tcPr>
            <w:tcW w:w="1156" w:type="pct"/>
            <w:gridSpan w:val="10"/>
            <w:vAlign w:val="center"/>
          </w:tcPr>
          <w:p w14:paraId="79D72816">
            <w:pPr>
              <w:pStyle w:val="41"/>
            </w:pPr>
            <w:r>
              <w:t xml:space="preserve">边长5～50km </w:t>
            </w:r>
            <w:r>
              <w:rPr/>
              <w:sym w:font="Wingdings" w:char="00A8"/>
            </w:r>
          </w:p>
        </w:tc>
        <w:tc>
          <w:tcPr>
            <w:tcW w:w="1162" w:type="pct"/>
            <w:gridSpan w:val="6"/>
            <w:vAlign w:val="center"/>
          </w:tcPr>
          <w:p w14:paraId="4E29D1F2">
            <w:pPr>
              <w:pStyle w:val="41"/>
            </w:pPr>
            <w:r>
              <w:t xml:space="preserve">边长=5km </w:t>
            </w:r>
            <w:r>
              <w:rPr/>
              <w:sym w:font="Wingdings" w:char="00FE"/>
            </w:r>
          </w:p>
        </w:tc>
      </w:tr>
      <w:tr w14:paraId="7964D0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75658948">
            <w:pPr>
              <w:pStyle w:val="41"/>
            </w:pPr>
          </w:p>
        </w:tc>
        <w:tc>
          <w:tcPr>
            <w:tcW w:w="953" w:type="pct"/>
            <w:vAlign w:val="center"/>
          </w:tcPr>
          <w:p w14:paraId="53507462">
            <w:pPr>
              <w:pStyle w:val="41"/>
            </w:pPr>
            <w:r>
              <w:t>预测因子</w:t>
            </w:r>
          </w:p>
        </w:tc>
        <w:tc>
          <w:tcPr>
            <w:tcW w:w="1829" w:type="pct"/>
            <w:gridSpan w:val="12"/>
            <w:vAlign w:val="center"/>
          </w:tcPr>
          <w:p w14:paraId="508DBCBA">
            <w:pPr>
              <w:pStyle w:val="41"/>
            </w:pPr>
            <w:r>
              <w:t>预测因子（</w:t>
            </w:r>
            <w:r>
              <w:rPr>
                <w:snapToGrid w:val="0"/>
              </w:rPr>
              <w:t>SO</w:t>
            </w:r>
            <w:r>
              <w:rPr>
                <w:snapToGrid w:val="0"/>
                <w:vertAlign w:val="subscript"/>
              </w:rPr>
              <w:t>2</w:t>
            </w:r>
            <w:r>
              <w:rPr>
                <w:snapToGrid w:val="0"/>
              </w:rPr>
              <w:t>、NO</w:t>
            </w:r>
            <w:r>
              <w:rPr>
                <w:snapToGrid w:val="0"/>
                <w:vertAlign w:val="subscript"/>
              </w:rPr>
              <w:t>2</w:t>
            </w:r>
            <w:r>
              <w:rPr>
                <w:snapToGrid w:val="0"/>
              </w:rPr>
              <w:t>、PM</w:t>
            </w:r>
            <w:r>
              <w:rPr>
                <w:snapToGrid w:val="0"/>
                <w:vertAlign w:val="subscript"/>
              </w:rPr>
              <w:t>10</w:t>
            </w:r>
            <w:r>
              <w:rPr>
                <w:snapToGrid w:val="0"/>
              </w:rPr>
              <w:t>、氟化物、二噁英类、NH</w:t>
            </w:r>
            <w:r>
              <w:rPr>
                <w:snapToGrid w:val="0"/>
                <w:vertAlign w:val="subscript"/>
              </w:rPr>
              <w:t>3</w:t>
            </w:r>
            <w:r>
              <w:rPr>
                <w:snapToGrid w:val="0"/>
              </w:rPr>
              <w:t>、TSP。</w:t>
            </w:r>
            <w:r>
              <w:t>）</w:t>
            </w:r>
          </w:p>
        </w:tc>
        <w:tc>
          <w:tcPr>
            <w:tcW w:w="1680" w:type="pct"/>
            <w:gridSpan w:val="11"/>
            <w:vAlign w:val="center"/>
          </w:tcPr>
          <w:p w14:paraId="688DFF57">
            <w:pPr>
              <w:pStyle w:val="41"/>
            </w:pPr>
            <w:r>
              <w:t>包括二次PM</w:t>
            </w:r>
            <w:r>
              <w:rPr>
                <w:vertAlign w:val="subscript"/>
              </w:rPr>
              <w:t>2.5</w:t>
            </w:r>
            <w:r>
              <w:t xml:space="preserve"> </w:t>
            </w:r>
            <w:r>
              <w:rPr/>
              <w:sym w:font="Wingdings" w:char="00A8"/>
            </w:r>
          </w:p>
          <w:p w14:paraId="2A89894B">
            <w:pPr>
              <w:pStyle w:val="41"/>
            </w:pPr>
            <w:r>
              <w:t>不包括二次PM</w:t>
            </w:r>
            <w:r>
              <w:rPr>
                <w:vertAlign w:val="subscript"/>
              </w:rPr>
              <w:t>2.5</w:t>
            </w:r>
            <w:r>
              <w:t xml:space="preserve"> </w:t>
            </w:r>
            <w:r>
              <w:rPr/>
              <w:sym w:font="Wingdings" w:char="00FE"/>
            </w:r>
          </w:p>
        </w:tc>
      </w:tr>
      <w:tr w14:paraId="0A189F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2B92FE3A">
            <w:pPr>
              <w:pStyle w:val="41"/>
            </w:pPr>
          </w:p>
        </w:tc>
        <w:tc>
          <w:tcPr>
            <w:tcW w:w="953" w:type="pct"/>
            <w:vAlign w:val="center"/>
          </w:tcPr>
          <w:p w14:paraId="412FD39B">
            <w:pPr>
              <w:pStyle w:val="41"/>
            </w:pPr>
            <w:r>
              <w:t>正常排放短期浓度贡献值</w:t>
            </w:r>
          </w:p>
        </w:tc>
        <w:tc>
          <w:tcPr>
            <w:tcW w:w="1829" w:type="pct"/>
            <w:gridSpan w:val="12"/>
            <w:vAlign w:val="center"/>
          </w:tcPr>
          <w:p w14:paraId="62D5C7A9">
            <w:pPr>
              <w:pStyle w:val="41"/>
            </w:pPr>
            <w:r>
              <w:t xml:space="preserve">C本项目最大占标率≤100% </w:t>
            </w:r>
            <w:r>
              <w:rPr/>
              <w:sym w:font="Wingdings" w:char="00FE"/>
            </w:r>
          </w:p>
        </w:tc>
        <w:tc>
          <w:tcPr>
            <w:tcW w:w="1680" w:type="pct"/>
            <w:gridSpan w:val="11"/>
            <w:vAlign w:val="center"/>
          </w:tcPr>
          <w:p w14:paraId="3E597CE1">
            <w:pPr>
              <w:pStyle w:val="41"/>
            </w:pPr>
            <w:r>
              <w:t xml:space="preserve">C本项目最大占标率&gt;100% </w:t>
            </w:r>
            <w:r>
              <w:rPr/>
              <w:sym w:font="Wingdings" w:char="00A8"/>
            </w:r>
          </w:p>
        </w:tc>
      </w:tr>
      <w:tr w14:paraId="01C60F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6DA9E534">
            <w:pPr>
              <w:pStyle w:val="41"/>
            </w:pPr>
          </w:p>
        </w:tc>
        <w:tc>
          <w:tcPr>
            <w:tcW w:w="953" w:type="pct"/>
            <w:vMerge w:val="restart"/>
            <w:vAlign w:val="center"/>
          </w:tcPr>
          <w:p w14:paraId="29CAE158">
            <w:pPr>
              <w:pStyle w:val="41"/>
            </w:pPr>
            <w:r>
              <w:t>正常排放年均浓度贡献值</w:t>
            </w:r>
          </w:p>
        </w:tc>
        <w:tc>
          <w:tcPr>
            <w:tcW w:w="588" w:type="pct"/>
            <w:gridSpan w:val="2"/>
            <w:vAlign w:val="center"/>
          </w:tcPr>
          <w:p w14:paraId="6733C4B5">
            <w:pPr>
              <w:pStyle w:val="41"/>
            </w:pPr>
            <w:r>
              <w:t>一类区</w:t>
            </w:r>
          </w:p>
        </w:tc>
        <w:tc>
          <w:tcPr>
            <w:tcW w:w="1497" w:type="pct"/>
            <w:gridSpan w:val="12"/>
            <w:vAlign w:val="center"/>
          </w:tcPr>
          <w:p w14:paraId="480E487E">
            <w:pPr>
              <w:pStyle w:val="41"/>
            </w:pPr>
            <w:r>
              <w:t>C</w:t>
            </w:r>
            <w:r>
              <w:rPr>
                <w:vertAlign w:val="subscript"/>
              </w:rPr>
              <w:t>本项目</w:t>
            </w:r>
            <w:r>
              <w:t xml:space="preserve">最大占标率≤10% </w:t>
            </w:r>
            <w:r>
              <w:rPr/>
              <w:sym w:font="Wingdings" w:char="00A8"/>
            </w:r>
          </w:p>
        </w:tc>
        <w:tc>
          <w:tcPr>
            <w:tcW w:w="1423" w:type="pct"/>
            <w:gridSpan w:val="9"/>
            <w:vAlign w:val="center"/>
          </w:tcPr>
          <w:p w14:paraId="66FFE376">
            <w:pPr>
              <w:pStyle w:val="41"/>
            </w:pPr>
            <w:r>
              <w:t>C</w:t>
            </w:r>
            <w:r>
              <w:rPr>
                <w:vertAlign w:val="subscript"/>
              </w:rPr>
              <w:t>本项目</w:t>
            </w:r>
            <w:r>
              <w:t xml:space="preserve">最大占标率&gt;10% </w:t>
            </w:r>
            <w:r>
              <w:rPr/>
              <w:sym w:font="Wingdings" w:char="00A8"/>
            </w:r>
          </w:p>
        </w:tc>
      </w:tr>
      <w:tr w14:paraId="161020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265F585D">
            <w:pPr>
              <w:pStyle w:val="41"/>
            </w:pPr>
          </w:p>
        </w:tc>
        <w:tc>
          <w:tcPr>
            <w:tcW w:w="953" w:type="pct"/>
            <w:vMerge w:val="continue"/>
            <w:vAlign w:val="center"/>
          </w:tcPr>
          <w:p w14:paraId="32CDB544">
            <w:pPr>
              <w:pStyle w:val="41"/>
            </w:pPr>
          </w:p>
        </w:tc>
        <w:tc>
          <w:tcPr>
            <w:tcW w:w="588" w:type="pct"/>
            <w:gridSpan w:val="2"/>
            <w:vAlign w:val="center"/>
          </w:tcPr>
          <w:p w14:paraId="18AFB524">
            <w:pPr>
              <w:pStyle w:val="41"/>
            </w:pPr>
            <w:r>
              <w:t>二类区</w:t>
            </w:r>
          </w:p>
        </w:tc>
        <w:tc>
          <w:tcPr>
            <w:tcW w:w="1497" w:type="pct"/>
            <w:gridSpan w:val="12"/>
            <w:vAlign w:val="center"/>
          </w:tcPr>
          <w:p w14:paraId="27C4EBD7">
            <w:pPr>
              <w:pStyle w:val="41"/>
            </w:pPr>
            <w:r>
              <w:t>C</w:t>
            </w:r>
            <w:r>
              <w:rPr>
                <w:vertAlign w:val="subscript"/>
              </w:rPr>
              <w:t>本项目</w:t>
            </w:r>
            <w:r>
              <w:t xml:space="preserve">最大占标率≤30% </w:t>
            </w:r>
            <w:r>
              <w:rPr/>
              <w:sym w:font="Wingdings" w:char="00FE"/>
            </w:r>
          </w:p>
        </w:tc>
        <w:tc>
          <w:tcPr>
            <w:tcW w:w="1423" w:type="pct"/>
            <w:gridSpan w:val="9"/>
            <w:vAlign w:val="center"/>
          </w:tcPr>
          <w:p w14:paraId="48984EB4">
            <w:pPr>
              <w:pStyle w:val="41"/>
            </w:pPr>
            <w:r>
              <w:t>C</w:t>
            </w:r>
            <w:r>
              <w:rPr>
                <w:vertAlign w:val="subscript"/>
              </w:rPr>
              <w:t>本项目</w:t>
            </w:r>
            <w:r>
              <w:t xml:space="preserve">最大占标率&gt;30% </w:t>
            </w:r>
            <w:r>
              <w:rPr/>
              <w:sym w:font="Wingdings" w:char="00A8"/>
            </w:r>
          </w:p>
        </w:tc>
      </w:tr>
      <w:tr w14:paraId="15506D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03C2DCDA">
            <w:pPr>
              <w:pStyle w:val="41"/>
            </w:pPr>
          </w:p>
        </w:tc>
        <w:tc>
          <w:tcPr>
            <w:tcW w:w="953" w:type="pct"/>
            <w:vAlign w:val="center"/>
          </w:tcPr>
          <w:p w14:paraId="659F53A9">
            <w:pPr>
              <w:pStyle w:val="41"/>
            </w:pPr>
            <w:r>
              <w:t>非正常排放1h浓度贡献值</w:t>
            </w:r>
          </w:p>
        </w:tc>
        <w:tc>
          <w:tcPr>
            <w:tcW w:w="877" w:type="pct"/>
            <w:gridSpan w:val="3"/>
            <w:vAlign w:val="center"/>
          </w:tcPr>
          <w:p w14:paraId="2C596AA3">
            <w:pPr>
              <w:pStyle w:val="41"/>
            </w:pPr>
            <w:r>
              <w:t>非正常持续时长（1）h</w:t>
            </w:r>
          </w:p>
        </w:tc>
        <w:tc>
          <w:tcPr>
            <w:tcW w:w="1333" w:type="pct"/>
            <w:gridSpan w:val="13"/>
            <w:vAlign w:val="center"/>
          </w:tcPr>
          <w:p w14:paraId="7D5CCCCC">
            <w:pPr>
              <w:pStyle w:val="41"/>
            </w:pPr>
            <w:r>
              <w:t xml:space="preserve">C非正常占标率≤100% </w:t>
            </w:r>
            <w:r>
              <w:rPr/>
              <w:sym w:font="Wingdings" w:char="00FE"/>
            </w:r>
          </w:p>
        </w:tc>
        <w:tc>
          <w:tcPr>
            <w:tcW w:w="1299" w:type="pct"/>
            <w:gridSpan w:val="7"/>
            <w:vAlign w:val="center"/>
          </w:tcPr>
          <w:p w14:paraId="6C29A94A">
            <w:pPr>
              <w:pStyle w:val="41"/>
            </w:pPr>
            <w:r>
              <w:t xml:space="preserve">C非正常占标率&gt;100% </w:t>
            </w:r>
            <w:r>
              <w:rPr/>
              <w:sym w:font="Wingdings" w:char="00A8"/>
            </w:r>
          </w:p>
        </w:tc>
      </w:tr>
      <w:tr w14:paraId="39489B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4981C316">
            <w:pPr>
              <w:pStyle w:val="41"/>
            </w:pPr>
          </w:p>
        </w:tc>
        <w:tc>
          <w:tcPr>
            <w:tcW w:w="953" w:type="pct"/>
            <w:vAlign w:val="center"/>
          </w:tcPr>
          <w:p w14:paraId="12260573">
            <w:pPr>
              <w:pStyle w:val="41"/>
            </w:pPr>
            <w:r>
              <w:t>保证率日平均浓度和年平均浓度叠加值</w:t>
            </w:r>
          </w:p>
        </w:tc>
        <w:tc>
          <w:tcPr>
            <w:tcW w:w="1467" w:type="pct"/>
            <w:gridSpan w:val="9"/>
            <w:vAlign w:val="center"/>
          </w:tcPr>
          <w:p w14:paraId="57ABDA2D">
            <w:pPr>
              <w:pStyle w:val="41"/>
            </w:pPr>
            <w:r>
              <w:t xml:space="preserve">C叠加达标 </w:t>
            </w:r>
            <w:r>
              <w:rPr/>
              <w:sym w:font="Wingdings" w:char="00FE"/>
            </w:r>
          </w:p>
        </w:tc>
        <w:tc>
          <w:tcPr>
            <w:tcW w:w="2042" w:type="pct"/>
            <w:gridSpan w:val="14"/>
            <w:vAlign w:val="center"/>
          </w:tcPr>
          <w:p w14:paraId="76DDE289">
            <w:pPr>
              <w:pStyle w:val="41"/>
            </w:pPr>
            <w:r>
              <w:t xml:space="preserve">C叠加不达标 </w:t>
            </w:r>
            <w:r>
              <w:rPr/>
              <w:sym w:font="Wingdings" w:char="00A8"/>
            </w:r>
          </w:p>
        </w:tc>
      </w:tr>
      <w:tr w14:paraId="0EAB90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31722B1A">
            <w:pPr>
              <w:pStyle w:val="41"/>
            </w:pPr>
          </w:p>
        </w:tc>
        <w:tc>
          <w:tcPr>
            <w:tcW w:w="953" w:type="pct"/>
            <w:vAlign w:val="center"/>
          </w:tcPr>
          <w:p w14:paraId="03EC6050">
            <w:pPr>
              <w:pStyle w:val="41"/>
            </w:pPr>
            <w:r>
              <w:t>区域环境质量的整体变化情况</w:t>
            </w:r>
          </w:p>
        </w:tc>
        <w:tc>
          <w:tcPr>
            <w:tcW w:w="1467" w:type="pct"/>
            <w:gridSpan w:val="9"/>
            <w:vAlign w:val="center"/>
          </w:tcPr>
          <w:p w14:paraId="1E3784B4">
            <w:pPr>
              <w:pStyle w:val="41"/>
            </w:pPr>
            <w:r>
              <w:t xml:space="preserve">k≤-20% </w:t>
            </w:r>
            <w:r>
              <w:rPr/>
              <w:sym w:font="Wingdings" w:char="00A8"/>
            </w:r>
          </w:p>
        </w:tc>
        <w:tc>
          <w:tcPr>
            <w:tcW w:w="2042" w:type="pct"/>
            <w:gridSpan w:val="14"/>
            <w:vAlign w:val="center"/>
          </w:tcPr>
          <w:p w14:paraId="52EAA43D">
            <w:pPr>
              <w:pStyle w:val="41"/>
            </w:pPr>
            <w:r>
              <w:t xml:space="preserve">k&gt;-20% </w:t>
            </w:r>
            <w:r>
              <w:rPr/>
              <w:sym w:font="Wingdings" w:char="00A8"/>
            </w:r>
          </w:p>
        </w:tc>
      </w:tr>
      <w:tr w14:paraId="22D7A4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restart"/>
            <w:vAlign w:val="center"/>
          </w:tcPr>
          <w:p w14:paraId="66D35E42">
            <w:pPr>
              <w:pStyle w:val="41"/>
            </w:pPr>
            <w:r>
              <w:t>环境监测计划</w:t>
            </w:r>
          </w:p>
        </w:tc>
        <w:tc>
          <w:tcPr>
            <w:tcW w:w="953" w:type="pct"/>
            <w:vAlign w:val="center"/>
          </w:tcPr>
          <w:p w14:paraId="55D3E90F">
            <w:pPr>
              <w:pStyle w:val="41"/>
            </w:pPr>
            <w:r>
              <w:t>污染源监测</w:t>
            </w:r>
          </w:p>
        </w:tc>
        <w:tc>
          <w:tcPr>
            <w:tcW w:w="1829" w:type="pct"/>
            <w:gridSpan w:val="12"/>
            <w:vAlign w:val="center"/>
          </w:tcPr>
          <w:p w14:paraId="3DA0D18C">
            <w:pPr>
              <w:pStyle w:val="41"/>
            </w:pPr>
            <w:r>
              <w:t>监测因子：（</w:t>
            </w:r>
            <w:r>
              <w:rPr>
                <w:snapToGrid w:val="0"/>
              </w:rPr>
              <w:t>SO</w:t>
            </w:r>
            <w:r>
              <w:rPr>
                <w:snapToGrid w:val="0"/>
                <w:vertAlign w:val="subscript"/>
              </w:rPr>
              <w:t>2</w:t>
            </w:r>
            <w:r>
              <w:rPr>
                <w:snapToGrid w:val="0"/>
              </w:rPr>
              <w:t>、NO</w:t>
            </w:r>
            <w:r>
              <w:rPr>
                <w:snapToGrid w:val="0"/>
                <w:vertAlign w:val="subscript"/>
              </w:rPr>
              <w:t>2</w:t>
            </w:r>
            <w:r>
              <w:rPr>
                <w:snapToGrid w:val="0"/>
              </w:rPr>
              <w:t>、PM</w:t>
            </w:r>
            <w:r>
              <w:rPr>
                <w:snapToGrid w:val="0"/>
                <w:vertAlign w:val="subscript"/>
              </w:rPr>
              <w:t>10</w:t>
            </w:r>
            <w:r>
              <w:rPr>
                <w:snapToGrid w:val="0"/>
              </w:rPr>
              <w:t>、氟化物、二噁英类、NH</w:t>
            </w:r>
            <w:r>
              <w:rPr>
                <w:snapToGrid w:val="0"/>
                <w:vertAlign w:val="subscript"/>
              </w:rPr>
              <w:t>3</w:t>
            </w:r>
            <w:r>
              <w:rPr>
                <w:snapToGrid w:val="0"/>
              </w:rPr>
              <w:t>、TSP。</w:t>
            </w:r>
            <w:r>
              <w:t>）</w:t>
            </w:r>
          </w:p>
        </w:tc>
        <w:tc>
          <w:tcPr>
            <w:tcW w:w="1101" w:type="pct"/>
            <w:gridSpan w:val="9"/>
            <w:vAlign w:val="center"/>
          </w:tcPr>
          <w:p w14:paraId="5D93AD51">
            <w:pPr>
              <w:pStyle w:val="41"/>
            </w:pPr>
            <w:r>
              <w:t xml:space="preserve">有组织废气监测 </w:t>
            </w:r>
            <w:r>
              <w:rPr/>
              <w:sym w:font="Wingdings" w:char="00FE"/>
            </w:r>
          </w:p>
          <w:p w14:paraId="056CE4E1">
            <w:pPr>
              <w:pStyle w:val="41"/>
            </w:pPr>
            <w:r>
              <w:t xml:space="preserve">无组织废气监测 </w:t>
            </w:r>
            <w:r>
              <w:rPr/>
              <w:sym w:font="Wingdings" w:char="00FE"/>
            </w:r>
          </w:p>
        </w:tc>
        <w:tc>
          <w:tcPr>
            <w:tcW w:w="579" w:type="pct"/>
            <w:gridSpan w:val="2"/>
            <w:vAlign w:val="center"/>
          </w:tcPr>
          <w:p w14:paraId="3D954728">
            <w:pPr>
              <w:pStyle w:val="41"/>
            </w:pPr>
            <w:r>
              <w:t xml:space="preserve">无监测 </w:t>
            </w:r>
            <w:r>
              <w:rPr/>
              <w:sym w:font="Wingdings" w:char="00A8"/>
            </w:r>
          </w:p>
        </w:tc>
      </w:tr>
      <w:tr w14:paraId="74ADEF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45DFA278">
            <w:pPr>
              <w:pStyle w:val="41"/>
            </w:pPr>
          </w:p>
        </w:tc>
        <w:tc>
          <w:tcPr>
            <w:tcW w:w="953" w:type="pct"/>
            <w:vAlign w:val="center"/>
          </w:tcPr>
          <w:p w14:paraId="2F68A52B">
            <w:pPr>
              <w:pStyle w:val="41"/>
            </w:pPr>
            <w:r>
              <w:t>环境质量监测</w:t>
            </w:r>
          </w:p>
        </w:tc>
        <w:tc>
          <w:tcPr>
            <w:tcW w:w="1829" w:type="pct"/>
            <w:gridSpan w:val="12"/>
            <w:vAlign w:val="center"/>
          </w:tcPr>
          <w:p w14:paraId="5C9538B6">
            <w:pPr>
              <w:pStyle w:val="41"/>
            </w:pPr>
            <w:r>
              <w:t>监测因子：（</w:t>
            </w:r>
            <w:r>
              <w:rPr>
                <w:snapToGrid w:val="0"/>
              </w:rPr>
              <w:t>SO</w:t>
            </w:r>
            <w:r>
              <w:rPr>
                <w:snapToGrid w:val="0"/>
                <w:vertAlign w:val="subscript"/>
              </w:rPr>
              <w:t>2</w:t>
            </w:r>
            <w:r>
              <w:rPr>
                <w:snapToGrid w:val="0"/>
              </w:rPr>
              <w:t>、NO</w:t>
            </w:r>
            <w:r>
              <w:rPr>
                <w:snapToGrid w:val="0"/>
                <w:vertAlign w:val="subscript"/>
              </w:rPr>
              <w:t>2</w:t>
            </w:r>
            <w:r>
              <w:rPr>
                <w:snapToGrid w:val="0"/>
              </w:rPr>
              <w:t>、PM</w:t>
            </w:r>
            <w:r>
              <w:rPr>
                <w:snapToGrid w:val="0"/>
                <w:vertAlign w:val="subscript"/>
              </w:rPr>
              <w:t>10</w:t>
            </w:r>
            <w:r>
              <w:rPr>
                <w:snapToGrid w:val="0"/>
              </w:rPr>
              <w:t>、氟化物、二噁英类、NH</w:t>
            </w:r>
            <w:r>
              <w:rPr>
                <w:snapToGrid w:val="0"/>
                <w:vertAlign w:val="subscript"/>
              </w:rPr>
              <w:t>3</w:t>
            </w:r>
            <w:r>
              <w:rPr>
                <w:snapToGrid w:val="0"/>
              </w:rPr>
              <w:t>、TSP。</w:t>
            </w:r>
            <w:r>
              <w:t>）</w:t>
            </w:r>
          </w:p>
        </w:tc>
        <w:tc>
          <w:tcPr>
            <w:tcW w:w="1101" w:type="pct"/>
            <w:gridSpan w:val="9"/>
            <w:vAlign w:val="center"/>
          </w:tcPr>
          <w:p w14:paraId="63AD9301">
            <w:pPr>
              <w:pStyle w:val="41"/>
            </w:pPr>
            <w:r>
              <w:t>监测点位数（   ）</w:t>
            </w:r>
          </w:p>
        </w:tc>
        <w:tc>
          <w:tcPr>
            <w:tcW w:w="579" w:type="pct"/>
            <w:gridSpan w:val="2"/>
            <w:vAlign w:val="center"/>
          </w:tcPr>
          <w:p w14:paraId="14ED74FE">
            <w:pPr>
              <w:pStyle w:val="41"/>
            </w:pPr>
            <w:r>
              <w:t xml:space="preserve">无监测 </w:t>
            </w:r>
            <w:r>
              <w:rPr/>
              <w:sym w:font="Wingdings" w:char="00A8"/>
            </w:r>
          </w:p>
        </w:tc>
      </w:tr>
      <w:tr w14:paraId="660D30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restart"/>
            <w:vAlign w:val="center"/>
          </w:tcPr>
          <w:p w14:paraId="4FD41495">
            <w:pPr>
              <w:pStyle w:val="41"/>
            </w:pPr>
            <w:r>
              <w:t>评价结论</w:t>
            </w:r>
          </w:p>
        </w:tc>
        <w:tc>
          <w:tcPr>
            <w:tcW w:w="953" w:type="pct"/>
            <w:vAlign w:val="center"/>
          </w:tcPr>
          <w:p w14:paraId="16268501">
            <w:pPr>
              <w:pStyle w:val="41"/>
            </w:pPr>
            <w:r>
              <w:t>环境影响</w:t>
            </w:r>
          </w:p>
        </w:tc>
        <w:tc>
          <w:tcPr>
            <w:tcW w:w="3509" w:type="pct"/>
            <w:gridSpan w:val="23"/>
            <w:vAlign w:val="center"/>
          </w:tcPr>
          <w:p w14:paraId="5EC927EA">
            <w:pPr>
              <w:pStyle w:val="41"/>
            </w:pPr>
            <w:r>
              <w:t xml:space="preserve">可以接受 </w:t>
            </w:r>
            <w:r>
              <w:rPr/>
              <w:sym w:font="Wingdings" w:char="00FE"/>
            </w:r>
            <w:r>
              <w:t xml:space="preserve">   不可以接受 </w:t>
            </w:r>
            <w:r>
              <w:rPr/>
              <w:sym w:font="Wingdings" w:char="00A8"/>
            </w:r>
          </w:p>
        </w:tc>
      </w:tr>
      <w:tr w14:paraId="069C50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2316C8F3">
            <w:pPr>
              <w:pStyle w:val="41"/>
            </w:pPr>
          </w:p>
        </w:tc>
        <w:tc>
          <w:tcPr>
            <w:tcW w:w="953" w:type="pct"/>
            <w:vAlign w:val="center"/>
          </w:tcPr>
          <w:p w14:paraId="3C27D1E4">
            <w:pPr>
              <w:pStyle w:val="41"/>
            </w:pPr>
            <w:r>
              <w:t>大气环境防护距离</w:t>
            </w:r>
          </w:p>
        </w:tc>
        <w:tc>
          <w:tcPr>
            <w:tcW w:w="3509" w:type="pct"/>
            <w:gridSpan w:val="23"/>
            <w:vAlign w:val="center"/>
          </w:tcPr>
          <w:p w14:paraId="5EABF9D5">
            <w:pPr>
              <w:pStyle w:val="41"/>
            </w:pPr>
            <w:r>
              <w:t>距厂界最远（/）m</w:t>
            </w:r>
          </w:p>
        </w:tc>
      </w:tr>
      <w:tr w14:paraId="48C8C1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38" w:type="pct"/>
            <w:vMerge w:val="continue"/>
            <w:vAlign w:val="center"/>
          </w:tcPr>
          <w:p w14:paraId="35D0A138">
            <w:pPr>
              <w:pStyle w:val="41"/>
            </w:pPr>
          </w:p>
        </w:tc>
        <w:tc>
          <w:tcPr>
            <w:tcW w:w="953" w:type="pct"/>
            <w:vAlign w:val="center"/>
          </w:tcPr>
          <w:p w14:paraId="1FC5B20B">
            <w:pPr>
              <w:pStyle w:val="41"/>
            </w:pPr>
            <w:r>
              <w:t>污染源年排放量</w:t>
            </w:r>
          </w:p>
        </w:tc>
        <w:tc>
          <w:tcPr>
            <w:tcW w:w="3509" w:type="pct"/>
            <w:gridSpan w:val="23"/>
            <w:vAlign w:val="center"/>
          </w:tcPr>
          <w:p w14:paraId="7E4C1B85">
            <w:pPr>
              <w:pStyle w:val="41"/>
            </w:pPr>
            <w:r>
              <w:t>SO</w:t>
            </w:r>
            <w:r>
              <w:rPr>
                <w:vertAlign w:val="subscript"/>
              </w:rPr>
              <w:t>2</w:t>
            </w:r>
            <w:r>
              <w:t>：（29.703）t/a，NO</w:t>
            </w:r>
            <w:r>
              <w:rPr>
                <w:vertAlign w:val="subscript"/>
              </w:rPr>
              <w:t>X</w:t>
            </w:r>
            <w:r>
              <w:t>：（102.33）t/a，颗粒物：（43.838）t/a，VOCs：（8.964）t/a</w:t>
            </w:r>
          </w:p>
        </w:tc>
      </w:tr>
      <w:tr w14:paraId="5BCE45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000" w:type="pct"/>
            <w:gridSpan w:val="25"/>
            <w:vAlign w:val="center"/>
          </w:tcPr>
          <w:p w14:paraId="58A562DB">
            <w:pPr>
              <w:pStyle w:val="41"/>
              <w:jc w:val="left"/>
            </w:pPr>
            <w:r>
              <w:t>注：“□”为勾选项，填“√”；“（   ）”为内容填写项</w:t>
            </w:r>
          </w:p>
        </w:tc>
      </w:tr>
    </w:tbl>
    <w:p w14:paraId="135D4AD3">
      <w:pPr>
        <w:pStyle w:val="5"/>
        <w:spacing w:before="120"/>
      </w:pPr>
      <w:r>
        <w:t>运营期地表水环境影响分析</w:t>
      </w:r>
    </w:p>
    <w:p w14:paraId="7D0C3D31">
      <w:pPr>
        <w:pStyle w:val="6"/>
        <w:spacing w:before="120" w:after="120"/>
      </w:pPr>
      <w:r>
        <w:t>生产废水</w:t>
      </w:r>
    </w:p>
    <w:p w14:paraId="59947803">
      <w:pPr>
        <w:pStyle w:val="3"/>
        <w:ind w:firstLine="480"/>
      </w:pPr>
      <w:r>
        <w:t>本项目新增用水主要为循环冷却水，全部循环使用，不外排。·</w:t>
      </w:r>
    </w:p>
    <w:p w14:paraId="2FCCE4A1">
      <w:pPr>
        <w:pStyle w:val="6"/>
        <w:spacing w:before="120" w:after="120"/>
      </w:pPr>
      <w:r>
        <w:t>生活污水</w:t>
      </w:r>
    </w:p>
    <w:p w14:paraId="626BD0A6">
      <w:pPr>
        <w:pStyle w:val="3"/>
        <w:ind w:firstLine="480"/>
      </w:pPr>
      <w:r>
        <w:t>本次技改工程未新增劳动定员全厂生活用水量无变化。</w:t>
      </w:r>
    </w:p>
    <w:p w14:paraId="5D305A2D">
      <w:pPr>
        <w:pStyle w:val="6"/>
        <w:spacing w:before="120" w:after="120"/>
      </w:pPr>
      <w:r>
        <w:t>地表水环境影响分析结论</w:t>
      </w:r>
    </w:p>
    <w:p w14:paraId="23006371">
      <w:pPr>
        <w:pStyle w:val="3"/>
        <w:ind w:firstLine="480"/>
      </w:pPr>
      <w:r>
        <w:t>综上所述，本项目生产废水处理后达到《铁合金工业污染物排放标准》（GB28666-2012）中表3水污染物特别排放限值后回用，不外排；生活污水经处理后排入园区污水管网。</w:t>
      </w:r>
    </w:p>
    <w:p w14:paraId="60F39986">
      <w:pPr>
        <w:pStyle w:val="5"/>
        <w:spacing w:before="120"/>
      </w:pPr>
      <w:r>
        <w:t>运营期地下水环境影响预测与评价</w:t>
      </w:r>
    </w:p>
    <w:p w14:paraId="23536724">
      <w:pPr>
        <w:pStyle w:val="6"/>
        <w:spacing w:before="120" w:after="120"/>
      </w:pPr>
      <w:r>
        <w:t>地下水污染源及污染途径分析</w:t>
      </w:r>
    </w:p>
    <w:p w14:paraId="51A89BFB">
      <w:pPr>
        <w:pStyle w:val="58"/>
        <w:ind w:firstLine="480"/>
        <w:rPr>
          <w:rFonts w:cs="Times New Roman"/>
        </w:rPr>
      </w:pPr>
      <w:r>
        <w:rPr>
          <w:rFonts w:cs="Times New Roman"/>
        </w:rPr>
        <w:t xml:space="preserve">（1）废水 </w:t>
      </w:r>
    </w:p>
    <w:p w14:paraId="4C74C619">
      <w:pPr>
        <w:pStyle w:val="58"/>
        <w:ind w:firstLine="480"/>
        <w:rPr>
          <w:rFonts w:cs="Times New Roman"/>
        </w:rPr>
      </w:pPr>
      <w:r>
        <w:rPr>
          <w:rFonts w:ascii="Cambria Math" w:hAnsi="Cambria Math" w:cs="Cambria Math"/>
        </w:rPr>
        <w:t>①</w:t>
      </w:r>
      <w:r>
        <w:rPr>
          <w:rFonts w:cs="Times New Roman"/>
        </w:rPr>
        <w:t xml:space="preserve">生产废水：工程实施后无生产废水排放。工程设计对厂区污水管网进行严格的防渗漏设施的建设，本项目拟采取的防渗措施主要有：企业厂区及车间地面进行硬化，生产循环水池做防渗处理；厂内污水排放管线采取防渗管道，采取上述措施后，能够有效隔绝污染物渗入地下的污染途径，对区域地下水环境影响较轻。 </w:t>
      </w:r>
    </w:p>
    <w:p w14:paraId="36E085B9">
      <w:pPr>
        <w:pStyle w:val="58"/>
        <w:ind w:firstLine="480"/>
        <w:rPr>
          <w:rFonts w:cs="Times New Roman"/>
        </w:rPr>
      </w:pPr>
      <w:r>
        <w:rPr>
          <w:rFonts w:ascii="Cambria Math" w:hAnsi="Cambria Math" w:cs="Cambria Math"/>
        </w:rPr>
        <w:t>②</w:t>
      </w:r>
      <w:r>
        <w:rPr>
          <w:rFonts w:cs="Times New Roman"/>
        </w:rPr>
        <w:t xml:space="preserve">生活污水：本项目生活污水通过现有工程化粪池处理后排入园区污水管网。化粪池采取防渗处理，能够有效防治地下水污染。 </w:t>
      </w:r>
    </w:p>
    <w:p w14:paraId="5E76DF79">
      <w:pPr>
        <w:pStyle w:val="58"/>
        <w:ind w:firstLine="480"/>
        <w:rPr>
          <w:rFonts w:cs="Times New Roman"/>
        </w:rPr>
      </w:pPr>
      <w:r>
        <w:rPr>
          <w:rFonts w:cs="Times New Roman"/>
        </w:rPr>
        <w:t xml:space="preserve">（2）废气 </w:t>
      </w:r>
    </w:p>
    <w:p w14:paraId="116819EC">
      <w:pPr>
        <w:pStyle w:val="58"/>
        <w:ind w:firstLine="480"/>
        <w:rPr>
          <w:rFonts w:cs="Times New Roman"/>
        </w:rPr>
      </w:pPr>
      <w:r>
        <w:rPr>
          <w:rFonts w:cs="Times New Roman"/>
        </w:rPr>
        <w:t>本项目废气污染物主要污染物有</w:t>
      </w:r>
      <w:r>
        <w:rPr>
          <w:rFonts w:cs="Times New Roman"/>
          <w:snapToGrid w:val="0"/>
        </w:rPr>
        <w:t>SO</w:t>
      </w:r>
      <w:r>
        <w:rPr>
          <w:rFonts w:cs="Times New Roman"/>
          <w:snapToGrid w:val="0"/>
          <w:vertAlign w:val="subscript"/>
        </w:rPr>
        <w:t>2</w:t>
      </w:r>
      <w:r>
        <w:rPr>
          <w:rFonts w:cs="Times New Roman"/>
          <w:snapToGrid w:val="0"/>
        </w:rPr>
        <w:t>、NO</w:t>
      </w:r>
      <w:r>
        <w:rPr>
          <w:rFonts w:cs="Times New Roman"/>
          <w:snapToGrid w:val="0"/>
          <w:vertAlign w:val="subscript"/>
        </w:rPr>
        <w:t>2</w:t>
      </w:r>
      <w:r>
        <w:rPr>
          <w:rFonts w:cs="Times New Roman"/>
          <w:snapToGrid w:val="0"/>
        </w:rPr>
        <w:t>、PM</w:t>
      </w:r>
      <w:r>
        <w:rPr>
          <w:rFonts w:cs="Times New Roman"/>
          <w:snapToGrid w:val="0"/>
          <w:vertAlign w:val="subscript"/>
        </w:rPr>
        <w:t>10</w:t>
      </w:r>
      <w:r>
        <w:rPr>
          <w:rFonts w:cs="Times New Roman"/>
          <w:snapToGrid w:val="0"/>
        </w:rPr>
        <w:t>、氟化物、二噁英类、NH</w:t>
      </w:r>
      <w:r>
        <w:rPr>
          <w:rFonts w:cs="Times New Roman"/>
          <w:snapToGrid w:val="0"/>
          <w:vertAlign w:val="subscript"/>
        </w:rPr>
        <w:t>3</w:t>
      </w:r>
      <w:r>
        <w:rPr>
          <w:rFonts w:cs="Times New Roman"/>
          <w:snapToGrid w:val="0"/>
        </w:rPr>
        <w:t>、TSP</w:t>
      </w:r>
      <w:r>
        <w:rPr>
          <w:rFonts w:cs="Times New Roman"/>
        </w:rPr>
        <w:t xml:space="preserve">等，通过采用先进工艺和有效治理措施，可使污染物的危害程度和排放量得到大幅度减轻、降低，并使其全部达标排放。由于废气污染物排放量较少，大部分会在较近的地方沉降下来，基本上集中在园区范围内，项目对厂区各个有害物质可能泄漏到地面的区域采取防渗措施，沉降到厂区内的污染物不会对地下水产生影响。 </w:t>
      </w:r>
    </w:p>
    <w:p w14:paraId="61B73AF7">
      <w:pPr>
        <w:pStyle w:val="58"/>
        <w:ind w:firstLine="480"/>
        <w:rPr>
          <w:rFonts w:cs="Times New Roman"/>
        </w:rPr>
      </w:pPr>
      <w:r>
        <w:rPr>
          <w:rFonts w:cs="Times New Roman"/>
        </w:rPr>
        <w:t>（3）固体废物</w:t>
      </w:r>
    </w:p>
    <w:p w14:paraId="4D5DF377">
      <w:pPr>
        <w:pStyle w:val="58"/>
        <w:ind w:firstLine="480"/>
        <w:rPr>
          <w:rFonts w:cs="Times New Roman"/>
        </w:rPr>
      </w:pPr>
      <w:r>
        <w:rPr>
          <w:rFonts w:cs="Times New Roman"/>
        </w:rPr>
        <w:t>本项目冶炼渣、脱硫石膏等一般工业固体废物设有全封闭固废库分类贮存。固废库底部采取人工铺设粘土、HPDE土工膜等材料进行防渗处理，防渗层的渗透系数&lt;1×10</w:t>
      </w:r>
      <w:r>
        <w:rPr>
          <w:rFonts w:cs="Times New Roman"/>
          <w:vertAlign w:val="superscript"/>
        </w:rPr>
        <w:t>-7</w:t>
      </w:r>
      <w:r>
        <w:rPr>
          <w:rFonts w:cs="Times New Roman"/>
        </w:rPr>
        <w:t>cm/s，同时还采取了防风围档和雨水导排设施，一般固体废物贮存场建设符合《一般工业固体废物贮存和填埋污染控制标准》（GB18599-2020）相关规定要求，因此，本项目一般固体废物进行分类、储存、处置，贮存场不会对地下水环境造成影响。各类除尘灰均可实现在厂内利用，暂存于原料库中的粉料仓内，减少污染物排放。</w:t>
      </w:r>
    </w:p>
    <w:p w14:paraId="2851FEFD">
      <w:pPr>
        <w:pStyle w:val="58"/>
        <w:ind w:firstLine="480"/>
        <w:rPr>
          <w:rFonts w:cs="Times New Roman"/>
        </w:rPr>
      </w:pPr>
      <w:r>
        <w:rPr>
          <w:rFonts w:cs="Times New Roman"/>
        </w:rPr>
        <w:t>项目区现状危废暂存间满足《危险废物贮存污染控制标准》（GB 18597—2023）和《危险废物收集 贮存 运输技术规范》（HJ2025-2012）中关于危险废物贮存设施设计相关要求，对危废暂存间采取防风、防雨、防晒、防渗漏措施，正常状况下，污染源从源头上可以得到控制。</w:t>
      </w:r>
    </w:p>
    <w:p w14:paraId="6CAFF2D2">
      <w:pPr>
        <w:pStyle w:val="58"/>
        <w:ind w:firstLine="480"/>
        <w:rPr>
          <w:rFonts w:cs="Times New Roman"/>
        </w:rPr>
      </w:pPr>
      <w:r>
        <w:rPr>
          <w:rFonts w:cs="Times New Roman"/>
        </w:rPr>
        <w:t>综上所述，本项目厂区能够做到源头控制、分区防治，采取合理措施后，项目厂区对地下水影响较小。</w:t>
      </w:r>
    </w:p>
    <w:p w14:paraId="350343FF">
      <w:pPr>
        <w:pStyle w:val="6"/>
        <w:spacing w:before="120" w:after="120"/>
      </w:pPr>
      <w:r>
        <w:t>分区防渗措施</w:t>
      </w:r>
    </w:p>
    <w:p w14:paraId="59546214">
      <w:pPr>
        <w:widowControl/>
        <w:ind w:firstLine="480" w:firstLineChars="200"/>
        <w:jc w:val="left"/>
        <w:rPr>
          <w:kern w:val="0"/>
          <w:lang w:bidi="ar"/>
        </w:rPr>
      </w:pPr>
      <w:r>
        <w:rPr>
          <w:kern w:val="0"/>
          <w:lang w:bidi="ar"/>
        </w:rPr>
        <w:t>本项目所在厂区污染区划分为重点污染防治区和一般污染防治区，根据不同的污染防治区采取相应的防渗措施。</w:t>
      </w:r>
    </w:p>
    <w:p w14:paraId="15438E4E">
      <w:pPr>
        <w:widowControl/>
        <w:ind w:firstLine="480" w:firstLineChars="200"/>
        <w:jc w:val="left"/>
        <w:rPr>
          <w:kern w:val="0"/>
          <w:lang w:bidi="ar"/>
        </w:rPr>
      </w:pPr>
      <w:r>
        <w:rPr>
          <w:kern w:val="0"/>
          <w:lang w:bidi="ar"/>
        </w:rPr>
        <w:t>一般污染防治区：裸露于地面的生产功能单元，污染地下水环境的物料或污染物泄漏后，可及时发现和处理的区域或部位。防渗层的防渗性能不低于1.5m厚渗透系数为1.0×10</w:t>
      </w:r>
      <w:r>
        <w:rPr>
          <w:kern w:val="0"/>
          <w:vertAlign w:val="superscript"/>
          <w:lang w:bidi="ar"/>
        </w:rPr>
        <w:t>-7</w:t>
      </w:r>
      <w:r>
        <w:rPr>
          <w:kern w:val="0"/>
          <w:lang w:bidi="ar"/>
        </w:rPr>
        <w:t>cm/s的黏土层的防渗性能。</w:t>
      </w:r>
    </w:p>
    <w:p w14:paraId="5BB71589">
      <w:pPr>
        <w:widowControl/>
        <w:ind w:firstLine="480" w:firstLineChars="200"/>
        <w:jc w:val="left"/>
        <w:rPr>
          <w:kern w:val="0"/>
          <w:lang w:bidi="ar"/>
        </w:rPr>
      </w:pPr>
      <w:r>
        <w:rPr>
          <w:kern w:val="0"/>
          <w:lang w:bidi="ar"/>
        </w:rPr>
        <w:t>重点污染防治区：位于地下或半地下的生产功能单元，污染地下水环境的物料或污染物泄漏后，不易及时发现和处理的区域或部位。防渗层的防渗性能不低于6.0m厚渗透系数为1.0×10</w:t>
      </w:r>
      <w:r>
        <w:rPr>
          <w:kern w:val="0"/>
          <w:vertAlign w:val="superscript"/>
          <w:lang w:bidi="ar"/>
        </w:rPr>
        <w:t>-7</w:t>
      </w:r>
      <w:r>
        <w:rPr>
          <w:kern w:val="0"/>
          <w:lang w:bidi="ar"/>
        </w:rPr>
        <w:t>cm/s的黏土层的防渗性能。</w:t>
      </w:r>
    </w:p>
    <w:p w14:paraId="19C20263">
      <w:pPr>
        <w:widowControl/>
        <w:ind w:firstLine="480" w:firstLineChars="200"/>
        <w:jc w:val="left"/>
        <w:rPr>
          <w:kern w:val="0"/>
          <w:lang w:bidi="ar"/>
        </w:rPr>
      </w:pPr>
      <w:r>
        <w:rPr>
          <w:kern w:val="0"/>
          <w:lang w:bidi="ar"/>
        </w:rPr>
        <w:t>危险废物存储区：按照《危险废物贮存污染控制标准》(GB18597-2023)防渗要求建设，防渗层的防渗性能不低于2mm厚高密度聚乙烯膜，渗透系数为1.0×10</w:t>
      </w:r>
      <w:r>
        <w:rPr>
          <w:kern w:val="0"/>
          <w:vertAlign w:val="superscript"/>
          <w:lang w:bidi="ar"/>
        </w:rPr>
        <w:t>-10</w:t>
      </w:r>
      <w:r>
        <w:rPr>
          <w:kern w:val="0"/>
          <w:lang w:bidi="ar"/>
        </w:rPr>
        <w:t>cm/s的等效防渗性能。</w:t>
      </w:r>
    </w:p>
    <w:p w14:paraId="42E24CBB">
      <w:pPr>
        <w:widowControl/>
        <w:ind w:firstLine="480" w:firstLineChars="200"/>
        <w:jc w:val="left"/>
        <w:rPr>
          <w:kern w:val="0"/>
          <w:lang w:bidi="ar"/>
        </w:rPr>
      </w:pPr>
      <w:r>
        <w:rPr>
          <w:kern w:val="0"/>
          <w:lang w:bidi="ar"/>
        </w:rPr>
        <w:t>废水池已按照设计要求严格施工，施工过程中对管道、阀门严格检查，采用优质产品，排水管道、阀门采用专用防渗管沟，管沟上设有活动观察顶盖，以便出现渗漏问题及时观察、解决，管沟与废水池相连，并采取合理的排水坡度，便于废水排至废水池。</w:t>
      </w:r>
    </w:p>
    <w:p w14:paraId="7EA687AF">
      <w:pPr>
        <w:widowControl/>
        <w:ind w:firstLine="480" w:firstLineChars="200"/>
        <w:jc w:val="left"/>
        <w:rPr>
          <w:kern w:val="0"/>
          <w:lang w:bidi="ar"/>
        </w:rPr>
      </w:pPr>
      <w:r>
        <w:rPr>
          <w:kern w:val="0"/>
          <w:lang w:bidi="ar"/>
        </w:rPr>
        <w:t>现有危废贮存设施符合“六防”要求，该危废暂存间已经过环境保护竣工验收，库区地面按《危险废物贮存污染控制标准》（GB 18597-2023）要求进行了防渗处理。厂区已采取防渗措施详见下表。</w:t>
      </w:r>
    </w:p>
    <w:p w14:paraId="55B0380A">
      <w:pPr>
        <w:pStyle w:val="40"/>
        <w:spacing w:before="120"/>
      </w:pPr>
      <w:r>
        <w:t>表6.2.3-1    厂区已采取防渗措施一览表</w:t>
      </w:r>
    </w:p>
    <w:tbl>
      <w:tblPr>
        <w:tblStyle w:val="44"/>
        <w:tblW w:w="51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062"/>
        <w:gridCol w:w="2310"/>
        <w:gridCol w:w="2298"/>
        <w:gridCol w:w="1130"/>
        <w:gridCol w:w="1030"/>
      </w:tblGrid>
      <w:tr w14:paraId="0857F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blHeader/>
        </w:trPr>
        <w:tc>
          <w:tcPr>
            <w:tcW w:w="747" w:type="pct"/>
            <w:vAlign w:val="center"/>
          </w:tcPr>
          <w:p w14:paraId="6462AE06">
            <w:pPr>
              <w:pStyle w:val="34"/>
              <w:rPr>
                <w:rFonts w:ascii="Calibri" w:hAnsi="Calibri"/>
              </w:rPr>
            </w:pPr>
            <w:r>
              <w:rPr>
                <w:rFonts w:ascii="Calibri" w:hAnsi="Calibri"/>
              </w:rPr>
              <w:t>防渗分区</w:t>
            </w:r>
          </w:p>
        </w:tc>
        <w:tc>
          <w:tcPr>
            <w:tcW w:w="577" w:type="pct"/>
            <w:vAlign w:val="center"/>
          </w:tcPr>
          <w:p w14:paraId="38BB0694">
            <w:pPr>
              <w:pStyle w:val="34"/>
              <w:rPr>
                <w:rFonts w:ascii="Calibri" w:hAnsi="Calibri"/>
              </w:rPr>
            </w:pPr>
            <w:r>
              <w:rPr>
                <w:rFonts w:ascii="Calibri" w:hAnsi="Calibri"/>
              </w:rPr>
              <w:t>防渗分区等级</w:t>
            </w:r>
          </w:p>
        </w:tc>
        <w:tc>
          <w:tcPr>
            <w:tcW w:w="1255" w:type="pct"/>
            <w:vAlign w:val="center"/>
          </w:tcPr>
          <w:p w14:paraId="79F832E7">
            <w:pPr>
              <w:pStyle w:val="34"/>
              <w:rPr>
                <w:rFonts w:ascii="Calibri" w:hAnsi="Calibri"/>
              </w:rPr>
            </w:pPr>
            <w:r>
              <w:rPr>
                <w:rFonts w:ascii="Calibri" w:hAnsi="Calibri"/>
              </w:rPr>
              <w:t>防渗措施要求</w:t>
            </w:r>
          </w:p>
        </w:tc>
        <w:tc>
          <w:tcPr>
            <w:tcW w:w="1248" w:type="pct"/>
            <w:vAlign w:val="center"/>
          </w:tcPr>
          <w:p w14:paraId="41C5D1A3">
            <w:pPr>
              <w:pStyle w:val="34"/>
              <w:rPr>
                <w:rFonts w:ascii="Calibri" w:hAnsi="Calibri"/>
              </w:rPr>
            </w:pPr>
            <w:r>
              <w:rPr>
                <w:rFonts w:ascii="Calibri" w:hAnsi="Calibri"/>
              </w:rPr>
              <w:t>实际采取的防渗措施</w:t>
            </w:r>
          </w:p>
        </w:tc>
        <w:tc>
          <w:tcPr>
            <w:tcW w:w="614" w:type="pct"/>
            <w:vAlign w:val="center"/>
          </w:tcPr>
          <w:p w14:paraId="5D082EA8">
            <w:pPr>
              <w:pStyle w:val="34"/>
              <w:rPr>
                <w:rFonts w:ascii="Calibri" w:hAnsi="Calibri"/>
              </w:rPr>
            </w:pPr>
            <w:r>
              <w:rPr>
                <w:rFonts w:ascii="Calibri" w:hAnsi="Calibri"/>
              </w:rPr>
              <w:t>是否完成环保验收</w:t>
            </w:r>
          </w:p>
        </w:tc>
        <w:tc>
          <w:tcPr>
            <w:tcW w:w="559" w:type="pct"/>
            <w:vAlign w:val="center"/>
          </w:tcPr>
          <w:p w14:paraId="1DF2D812">
            <w:pPr>
              <w:pStyle w:val="34"/>
              <w:rPr>
                <w:rFonts w:ascii="Calibri" w:hAnsi="Calibri"/>
              </w:rPr>
            </w:pPr>
            <w:r>
              <w:rPr>
                <w:rFonts w:ascii="Calibri" w:hAnsi="Calibri"/>
              </w:rPr>
              <w:t>是否满足要求</w:t>
            </w:r>
          </w:p>
        </w:tc>
      </w:tr>
      <w:tr w14:paraId="49509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47" w:type="pct"/>
            <w:vAlign w:val="center"/>
          </w:tcPr>
          <w:p w14:paraId="3214A147">
            <w:pPr>
              <w:pStyle w:val="34"/>
              <w:rPr>
                <w:rFonts w:ascii="Calibri" w:hAnsi="Calibri"/>
              </w:rPr>
            </w:pPr>
            <w:r>
              <w:rPr>
                <w:rFonts w:ascii="Calibri" w:hAnsi="Calibri"/>
              </w:rPr>
              <w:t>生产区</w:t>
            </w:r>
          </w:p>
        </w:tc>
        <w:tc>
          <w:tcPr>
            <w:tcW w:w="577" w:type="pct"/>
            <w:vAlign w:val="center"/>
          </w:tcPr>
          <w:p w14:paraId="5C7BDD8F">
            <w:pPr>
              <w:pStyle w:val="34"/>
              <w:rPr>
                <w:rFonts w:ascii="Calibri" w:hAnsi="Calibri"/>
              </w:rPr>
            </w:pPr>
            <w:r>
              <w:rPr>
                <w:rFonts w:ascii="Calibri" w:hAnsi="Calibri"/>
              </w:rPr>
              <w:t>重点防渗区域</w:t>
            </w:r>
          </w:p>
        </w:tc>
        <w:tc>
          <w:tcPr>
            <w:tcW w:w="1255" w:type="pct"/>
            <w:vAlign w:val="center"/>
          </w:tcPr>
          <w:p w14:paraId="16EF9CB4">
            <w:pPr>
              <w:pStyle w:val="34"/>
              <w:rPr>
                <w:rFonts w:ascii="Calibri" w:hAnsi="Calibri"/>
              </w:rPr>
            </w:pPr>
            <w:r>
              <w:rPr>
                <w:rFonts w:ascii="Calibri" w:hAnsi="Calibri"/>
              </w:rPr>
              <w:t>等效黏土防渗层Mb≥6.0m，K≤1.0×10</w:t>
            </w:r>
            <w:r>
              <w:rPr>
                <w:rFonts w:ascii="Calibri" w:hAnsi="Calibri"/>
                <w:vertAlign w:val="superscript"/>
              </w:rPr>
              <w:t>-7</w:t>
            </w:r>
            <w:r>
              <w:rPr>
                <w:rFonts w:ascii="Calibri" w:hAnsi="Calibri"/>
              </w:rPr>
              <w:t>cm/s；或参照GB18598执行</w:t>
            </w:r>
          </w:p>
        </w:tc>
        <w:tc>
          <w:tcPr>
            <w:tcW w:w="1248" w:type="pct"/>
            <w:vAlign w:val="center"/>
          </w:tcPr>
          <w:p w14:paraId="015B727F">
            <w:pPr>
              <w:pStyle w:val="34"/>
              <w:rPr>
                <w:rFonts w:ascii="Calibri" w:hAnsi="Calibri"/>
              </w:rPr>
            </w:pPr>
            <w:r>
              <w:rPr>
                <w:rFonts w:ascii="Calibri" w:hAnsi="Calibri"/>
              </w:rPr>
              <w:t>防腐缸砖+防腐涂料+抗渗混凝土</w:t>
            </w:r>
          </w:p>
        </w:tc>
        <w:tc>
          <w:tcPr>
            <w:tcW w:w="614" w:type="pct"/>
            <w:vAlign w:val="center"/>
          </w:tcPr>
          <w:p w14:paraId="2C442218">
            <w:pPr>
              <w:pStyle w:val="34"/>
              <w:rPr>
                <w:rFonts w:ascii="Calibri" w:hAnsi="Calibri"/>
              </w:rPr>
            </w:pPr>
            <w:r>
              <w:rPr>
                <w:rFonts w:ascii="Calibri" w:hAnsi="Calibri"/>
              </w:rPr>
              <w:t>已完成</w:t>
            </w:r>
          </w:p>
        </w:tc>
        <w:tc>
          <w:tcPr>
            <w:tcW w:w="559" w:type="pct"/>
            <w:vAlign w:val="center"/>
          </w:tcPr>
          <w:p w14:paraId="4CDCAFC9">
            <w:pPr>
              <w:pStyle w:val="34"/>
              <w:rPr>
                <w:rFonts w:ascii="Calibri" w:hAnsi="Calibri"/>
              </w:rPr>
            </w:pPr>
            <w:r>
              <w:rPr>
                <w:rFonts w:ascii="Calibri" w:hAnsi="Calibri"/>
              </w:rPr>
              <w:t>满足</w:t>
            </w:r>
          </w:p>
        </w:tc>
      </w:tr>
      <w:tr w14:paraId="793A2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47" w:type="pct"/>
            <w:vAlign w:val="center"/>
          </w:tcPr>
          <w:p w14:paraId="34022240">
            <w:pPr>
              <w:pStyle w:val="34"/>
              <w:rPr>
                <w:rFonts w:ascii="Calibri" w:hAnsi="Calibri"/>
              </w:rPr>
            </w:pPr>
            <w:r>
              <w:rPr>
                <w:rFonts w:ascii="Calibri" w:hAnsi="Calibri"/>
              </w:rPr>
              <w:t>危废贮存库</w:t>
            </w:r>
          </w:p>
        </w:tc>
        <w:tc>
          <w:tcPr>
            <w:tcW w:w="577" w:type="pct"/>
            <w:vAlign w:val="center"/>
          </w:tcPr>
          <w:p w14:paraId="50E8B2D0">
            <w:pPr>
              <w:pStyle w:val="34"/>
              <w:rPr>
                <w:rFonts w:ascii="Calibri" w:hAnsi="Calibri"/>
              </w:rPr>
            </w:pPr>
            <w:r>
              <w:rPr>
                <w:rFonts w:ascii="Calibri" w:hAnsi="Calibri"/>
              </w:rPr>
              <w:t>危废存储区</w:t>
            </w:r>
          </w:p>
        </w:tc>
        <w:tc>
          <w:tcPr>
            <w:tcW w:w="1255" w:type="pct"/>
            <w:vAlign w:val="center"/>
          </w:tcPr>
          <w:p w14:paraId="0A20ACEF">
            <w:pPr>
              <w:pStyle w:val="34"/>
              <w:rPr>
                <w:rFonts w:ascii="Calibri" w:hAnsi="Calibri"/>
              </w:rPr>
            </w:pPr>
            <w:r>
              <w:rPr>
                <w:rFonts w:ascii="Calibri" w:hAnsi="Calibri"/>
              </w:rPr>
              <w:t>为至少1m厚黏土层（渗透系数不大于10</w:t>
            </w:r>
            <w:r>
              <w:rPr>
                <w:rFonts w:ascii="Calibri" w:hAnsi="Calibri"/>
                <w:vertAlign w:val="superscript"/>
              </w:rPr>
              <w:t>-7</w:t>
            </w:r>
            <w:r>
              <w:rPr>
                <w:rFonts w:ascii="Calibri" w:hAnsi="Calibri"/>
              </w:rPr>
              <w:t>cm/s），或至少2mm厚高密度聚乙烯膜等人工防渗材料（渗透系数不大于10</w:t>
            </w:r>
            <w:r>
              <w:rPr>
                <w:rFonts w:ascii="Calibri" w:hAnsi="Calibri"/>
                <w:vertAlign w:val="superscript"/>
              </w:rPr>
              <w:t>-10</w:t>
            </w:r>
            <w:r>
              <w:rPr>
                <w:rFonts w:ascii="Calibri" w:hAnsi="Calibri"/>
              </w:rPr>
              <w:t>cm/s），或其他防渗性能等效的材料</w:t>
            </w:r>
          </w:p>
        </w:tc>
        <w:tc>
          <w:tcPr>
            <w:tcW w:w="1248" w:type="pct"/>
            <w:vAlign w:val="center"/>
          </w:tcPr>
          <w:p w14:paraId="2296F85C">
            <w:pPr>
              <w:pStyle w:val="34"/>
              <w:rPr>
                <w:rFonts w:ascii="Calibri" w:hAnsi="Calibri"/>
              </w:rPr>
            </w:pPr>
            <w:r>
              <w:rPr>
                <w:rFonts w:ascii="Calibri" w:hAnsi="Calibri"/>
              </w:rPr>
              <w:t>20厚1:2水泥砂浆找平+160厚C20混凝土垫层内配钢筋+2.0HDPE防渗膜+素土夯实找坡，夯实系数≥0.9。</w:t>
            </w:r>
          </w:p>
        </w:tc>
        <w:tc>
          <w:tcPr>
            <w:tcW w:w="614" w:type="pct"/>
            <w:vAlign w:val="center"/>
          </w:tcPr>
          <w:p w14:paraId="14C2A95B">
            <w:pPr>
              <w:pStyle w:val="34"/>
              <w:rPr>
                <w:rFonts w:ascii="Calibri" w:hAnsi="Calibri"/>
              </w:rPr>
            </w:pPr>
            <w:r>
              <w:rPr>
                <w:rFonts w:ascii="Calibri" w:hAnsi="Calibri"/>
              </w:rPr>
              <w:t>已完成</w:t>
            </w:r>
          </w:p>
        </w:tc>
        <w:tc>
          <w:tcPr>
            <w:tcW w:w="559" w:type="pct"/>
            <w:vAlign w:val="center"/>
          </w:tcPr>
          <w:p w14:paraId="0AE7C9ED">
            <w:pPr>
              <w:pStyle w:val="34"/>
              <w:rPr>
                <w:rFonts w:ascii="Calibri" w:hAnsi="Calibri"/>
              </w:rPr>
            </w:pPr>
            <w:r>
              <w:rPr>
                <w:rFonts w:ascii="Calibri" w:hAnsi="Calibri"/>
              </w:rPr>
              <w:t>满足</w:t>
            </w:r>
          </w:p>
        </w:tc>
      </w:tr>
      <w:tr w14:paraId="27B6E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47" w:type="pct"/>
            <w:vAlign w:val="center"/>
          </w:tcPr>
          <w:p w14:paraId="48415B73">
            <w:pPr>
              <w:pStyle w:val="34"/>
              <w:rPr>
                <w:rFonts w:ascii="Calibri" w:hAnsi="Calibri"/>
              </w:rPr>
            </w:pPr>
            <w:r>
              <w:rPr>
                <w:rFonts w:ascii="Calibri" w:hAnsi="Calibri"/>
              </w:rPr>
              <w:t>厂区道路</w:t>
            </w:r>
          </w:p>
        </w:tc>
        <w:tc>
          <w:tcPr>
            <w:tcW w:w="577" w:type="pct"/>
            <w:vAlign w:val="center"/>
          </w:tcPr>
          <w:p w14:paraId="0E5E1449">
            <w:pPr>
              <w:pStyle w:val="34"/>
              <w:rPr>
                <w:rFonts w:ascii="Calibri" w:hAnsi="Calibri"/>
              </w:rPr>
            </w:pPr>
            <w:r>
              <w:rPr>
                <w:rFonts w:ascii="Calibri" w:hAnsi="Calibri"/>
              </w:rPr>
              <w:t>一般防渗区</w:t>
            </w:r>
          </w:p>
        </w:tc>
        <w:tc>
          <w:tcPr>
            <w:tcW w:w="1255" w:type="pct"/>
            <w:vAlign w:val="center"/>
          </w:tcPr>
          <w:p w14:paraId="4A3CEF43">
            <w:pPr>
              <w:pStyle w:val="34"/>
              <w:rPr>
                <w:rFonts w:ascii="Calibri" w:hAnsi="Calibri"/>
              </w:rPr>
            </w:pPr>
            <w:r>
              <w:rPr>
                <w:rFonts w:ascii="Calibri" w:hAnsi="Calibri"/>
              </w:rPr>
              <w:t>等效黏土防渗层Mb≥1.5m，K≤1.0×10</w:t>
            </w:r>
            <w:r>
              <w:rPr>
                <w:rFonts w:ascii="Calibri" w:hAnsi="Calibri"/>
                <w:vertAlign w:val="superscript"/>
              </w:rPr>
              <w:t>-7</w:t>
            </w:r>
            <w:r>
              <w:rPr>
                <w:rFonts w:ascii="Calibri" w:hAnsi="Calibri"/>
              </w:rPr>
              <w:t>cm/s；或参照GB16889执行</w:t>
            </w:r>
          </w:p>
        </w:tc>
        <w:tc>
          <w:tcPr>
            <w:tcW w:w="1248" w:type="pct"/>
            <w:vAlign w:val="center"/>
          </w:tcPr>
          <w:p w14:paraId="1EB3C6C4">
            <w:pPr>
              <w:pStyle w:val="34"/>
              <w:rPr>
                <w:rFonts w:ascii="Calibri" w:hAnsi="Calibri"/>
              </w:rPr>
            </w:pPr>
            <w:r>
              <w:rPr>
                <w:rFonts w:ascii="Calibri" w:hAnsi="Calibri"/>
              </w:rPr>
              <w:t>地面夯实+抗渗混凝土</w:t>
            </w:r>
          </w:p>
        </w:tc>
        <w:tc>
          <w:tcPr>
            <w:tcW w:w="614" w:type="pct"/>
            <w:vAlign w:val="center"/>
          </w:tcPr>
          <w:p w14:paraId="71DD167B">
            <w:pPr>
              <w:pStyle w:val="34"/>
              <w:rPr>
                <w:rFonts w:ascii="Calibri" w:hAnsi="Calibri"/>
              </w:rPr>
            </w:pPr>
            <w:r>
              <w:rPr>
                <w:rFonts w:ascii="Calibri" w:hAnsi="Calibri"/>
              </w:rPr>
              <w:t>已完成</w:t>
            </w:r>
          </w:p>
        </w:tc>
        <w:tc>
          <w:tcPr>
            <w:tcW w:w="559" w:type="pct"/>
            <w:vAlign w:val="center"/>
          </w:tcPr>
          <w:p w14:paraId="49B45F40">
            <w:pPr>
              <w:pStyle w:val="34"/>
              <w:rPr>
                <w:rFonts w:ascii="Calibri" w:hAnsi="Calibri"/>
              </w:rPr>
            </w:pPr>
            <w:r>
              <w:rPr>
                <w:rFonts w:ascii="Calibri" w:hAnsi="Calibri"/>
              </w:rPr>
              <w:t>满足</w:t>
            </w:r>
          </w:p>
        </w:tc>
      </w:tr>
      <w:tr w14:paraId="55521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47" w:type="pct"/>
            <w:vAlign w:val="center"/>
          </w:tcPr>
          <w:p w14:paraId="2F3239E0">
            <w:pPr>
              <w:pStyle w:val="34"/>
              <w:rPr>
                <w:rFonts w:ascii="Calibri" w:hAnsi="Calibri"/>
              </w:rPr>
            </w:pPr>
            <w:r>
              <w:rPr>
                <w:rFonts w:ascii="Calibri" w:hAnsi="Calibri"/>
              </w:rPr>
              <w:t>办公生活区</w:t>
            </w:r>
          </w:p>
        </w:tc>
        <w:tc>
          <w:tcPr>
            <w:tcW w:w="577" w:type="pct"/>
            <w:vAlign w:val="center"/>
          </w:tcPr>
          <w:p w14:paraId="34E31906">
            <w:pPr>
              <w:pStyle w:val="34"/>
              <w:rPr>
                <w:rFonts w:ascii="Calibri" w:hAnsi="Calibri"/>
              </w:rPr>
            </w:pPr>
            <w:r>
              <w:rPr>
                <w:rFonts w:ascii="Calibri" w:hAnsi="Calibri"/>
              </w:rPr>
              <w:t>简单防渗区</w:t>
            </w:r>
          </w:p>
        </w:tc>
        <w:tc>
          <w:tcPr>
            <w:tcW w:w="1255" w:type="pct"/>
            <w:vAlign w:val="center"/>
          </w:tcPr>
          <w:p w14:paraId="0743BC12">
            <w:pPr>
              <w:pStyle w:val="34"/>
              <w:rPr>
                <w:rFonts w:ascii="Calibri" w:hAnsi="Calibri"/>
              </w:rPr>
            </w:pPr>
            <w:r>
              <w:rPr>
                <w:rFonts w:ascii="Calibri" w:hAnsi="Calibri"/>
              </w:rPr>
              <w:t>一般地面硬化</w:t>
            </w:r>
          </w:p>
        </w:tc>
        <w:tc>
          <w:tcPr>
            <w:tcW w:w="1248" w:type="pct"/>
            <w:vAlign w:val="center"/>
          </w:tcPr>
          <w:p w14:paraId="4C92BD8E">
            <w:pPr>
              <w:pStyle w:val="34"/>
              <w:rPr>
                <w:rFonts w:ascii="Calibri" w:hAnsi="Calibri"/>
              </w:rPr>
            </w:pPr>
            <w:r>
              <w:rPr>
                <w:rFonts w:ascii="Calibri" w:hAnsi="Calibri"/>
              </w:rPr>
              <w:t>地面夯实+混凝土</w:t>
            </w:r>
          </w:p>
        </w:tc>
        <w:tc>
          <w:tcPr>
            <w:tcW w:w="614" w:type="pct"/>
            <w:vAlign w:val="center"/>
          </w:tcPr>
          <w:p w14:paraId="347EC136">
            <w:pPr>
              <w:pStyle w:val="34"/>
              <w:rPr>
                <w:rFonts w:ascii="Calibri" w:hAnsi="Calibri"/>
              </w:rPr>
            </w:pPr>
            <w:r>
              <w:rPr>
                <w:rFonts w:ascii="Calibri" w:hAnsi="Calibri"/>
              </w:rPr>
              <w:t>已完成</w:t>
            </w:r>
          </w:p>
        </w:tc>
        <w:tc>
          <w:tcPr>
            <w:tcW w:w="559" w:type="pct"/>
            <w:vAlign w:val="center"/>
          </w:tcPr>
          <w:p w14:paraId="7DC6F92C">
            <w:pPr>
              <w:pStyle w:val="34"/>
              <w:rPr>
                <w:rFonts w:ascii="Calibri" w:hAnsi="Calibri"/>
              </w:rPr>
            </w:pPr>
            <w:r>
              <w:rPr>
                <w:rFonts w:ascii="Calibri" w:hAnsi="Calibri"/>
              </w:rPr>
              <w:t>满足</w:t>
            </w:r>
          </w:p>
        </w:tc>
      </w:tr>
    </w:tbl>
    <w:p w14:paraId="48F8CEF0">
      <w:pPr>
        <w:widowControl/>
        <w:ind w:firstLine="480" w:firstLineChars="200"/>
        <w:jc w:val="left"/>
        <w:rPr>
          <w:kern w:val="0"/>
          <w:lang w:bidi="ar"/>
        </w:rPr>
      </w:pPr>
      <w:r>
        <w:rPr>
          <w:kern w:val="0"/>
          <w:lang w:bidi="ar"/>
        </w:rPr>
        <w:t>根据上述分析可知，本项目采取的与土壤及地下水污染相关的阻断措施起到了相应的污染防治效果，土壤阻断措施基本有效。</w:t>
      </w:r>
    </w:p>
    <w:p w14:paraId="0C27B20B">
      <w:pPr>
        <w:pStyle w:val="6"/>
        <w:spacing w:before="120" w:after="120"/>
        <w:rPr>
          <w:lang w:bidi="ar"/>
        </w:rPr>
      </w:pPr>
      <w:r>
        <w:rPr>
          <w:lang w:bidi="ar"/>
        </w:rPr>
        <w:t>地下水环境影响分析结论</w:t>
      </w:r>
    </w:p>
    <w:p w14:paraId="69E61634">
      <w:pPr>
        <w:widowControl/>
        <w:ind w:firstLine="480" w:firstLineChars="200"/>
        <w:jc w:val="left"/>
        <w:rPr>
          <w:kern w:val="0"/>
          <w:lang w:bidi="ar"/>
        </w:rPr>
      </w:pPr>
      <w:r>
        <w:rPr>
          <w:kern w:val="0"/>
          <w:lang w:bidi="ar"/>
        </w:rPr>
        <w:t>本项目地下水环境的影响主要体现在生产中废水下渗或固废淋滤水下渗导致的地下水水质污染。本项目生产废水全部综合利用，可能发生泄露的部位主要为输水管道、池体、水淬渣池等，项目对生产区，所有涉及废水的区域、管道均进行了防渗处理，可防止污水下渗对地下水的污染。固体废物均在全封闭的堆场存放，并且对堆场进行防渗处理，基本上不会对水源地产生影响。</w:t>
      </w:r>
    </w:p>
    <w:p w14:paraId="3AEEAA4C">
      <w:pPr>
        <w:widowControl/>
        <w:ind w:firstLine="480" w:firstLineChars="200"/>
        <w:jc w:val="left"/>
      </w:pPr>
      <w:r>
        <w:rPr>
          <w:kern w:val="0"/>
          <w:lang w:bidi="ar"/>
        </w:rPr>
        <w:t>综上所述，本项目对所产生“三废”采取了相应的治理措施后，可确保本项目不会对地下水产生大的影响。</w:t>
      </w:r>
    </w:p>
    <w:p w14:paraId="7108048A">
      <w:pPr>
        <w:pStyle w:val="5"/>
        <w:spacing w:before="120"/>
      </w:pPr>
      <w:r>
        <w:t>运营期声环境影响预测与评价</w:t>
      </w:r>
    </w:p>
    <w:p w14:paraId="5BA327A7">
      <w:pPr>
        <w:pStyle w:val="6"/>
        <w:spacing w:before="120" w:after="120"/>
        <w:rPr>
          <w:kern w:val="0"/>
        </w:rPr>
      </w:pPr>
      <w:r>
        <w:t>噪声源</w:t>
      </w:r>
    </w:p>
    <w:p w14:paraId="1D3525E2">
      <w:pPr>
        <w:pStyle w:val="58"/>
        <w:ind w:firstLine="480"/>
        <w:rPr>
          <w:rFonts w:cs="Times New Roman"/>
        </w:rPr>
      </w:pPr>
      <w:r>
        <w:rPr>
          <w:rFonts w:cs="Times New Roman"/>
        </w:rPr>
        <w:t>本项目噪声源主要为精炼炉、烧结机、引风机、各类泵、空压机、排气阀等。在设计时，选用低噪声设备，合理布局，并做基础减振、消声等措施。本项目运行后的主要高噪声设备及降噪措施详见4.3.2.4噪声污染源源强核算章节。</w:t>
      </w:r>
    </w:p>
    <w:p w14:paraId="1AFB1E61">
      <w:pPr>
        <w:pStyle w:val="6"/>
        <w:spacing w:before="120" w:after="120"/>
      </w:pPr>
      <w:r>
        <w:t>环境保护目标</w:t>
      </w:r>
    </w:p>
    <w:p w14:paraId="2EC92975">
      <w:pPr>
        <w:pStyle w:val="58"/>
        <w:ind w:firstLine="480"/>
        <w:rPr>
          <w:rFonts w:cs="Times New Roman"/>
        </w:rPr>
      </w:pPr>
      <w:r>
        <w:rPr>
          <w:rFonts w:cs="Times New Roman"/>
        </w:rPr>
        <w:t>根据环境保护目标现状调查可知，本项目周边均为工业园企业，无声环境敏感目标。</w:t>
      </w:r>
    </w:p>
    <w:p w14:paraId="76484C83">
      <w:pPr>
        <w:pStyle w:val="6"/>
        <w:spacing w:before="120" w:after="120"/>
      </w:pPr>
      <w:r>
        <w:t>预测模式</w:t>
      </w:r>
    </w:p>
    <w:p w14:paraId="4EAC23B7">
      <w:pPr>
        <w:pStyle w:val="58"/>
        <w:ind w:firstLine="480"/>
        <w:rPr>
          <w:rFonts w:cs="Times New Roman"/>
        </w:rPr>
      </w:pPr>
      <w:r>
        <w:rPr>
          <w:rFonts w:cs="Times New Roman"/>
        </w:rPr>
        <w:t>根据《环境影响评价技术导则 声环境》（HJ2.4-2021），建设项目噪声预测模式如下：</w:t>
      </w:r>
    </w:p>
    <w:p w14:paraId="3CE31380">
      <w:pPr>
        <w:pStyle w:val="58"/>
        <w:ind w:firstLine="480"/>
        <w:rPr>
          <w:rFonts w:cs="Times New Roman"/>
        </w:rPr>
      </w:pPr>
      <w:r>
        <w:rPr>
          <w:rFonts w:cs="Times New Roman"/>
        </w:rPr>
        <w:t>（1）室内声源计算公式</w:t>
      </w:r>
    </w:p>
    <w:p w14:paraId="6E6FDE2E">
      <w:pPr>
        <w:pStyle w:val="58"/>
        <w:ind w:firstLine="480"/>
        <w:rPr>
          <w:rFonts w:cs="Times New Roman"/>
        </w:rPr>
      </w:pPr>
      <w:r>
        <w:rPr>
          <w:rFonts w:cs="Times New Roman"/>
        </w:rPr>
        <w:t>a.计算出某个室内靠近围护结构处的倍频带声压级：</w:t>
      </w:r>
    </w:p>
    <w:p w14:paraId="54AB6BE4">
      <w:pPr>
        <w:snapToGrid w:val="0"/>
        <w:spacing w:line="240" w:lineRule="auto"/>
        <w:ind w:firstLine="482"/>
        <w:jc w:val="left"/>
        <w:rPr>
          <w:rFonts w:eastAsia="Calibri"/>
        </w:rPr>
      </w:pPr>
      <w:r>
        <w:drawing>
          <wp:inline distT="0" distB="0" distL="0" distR="0">
            <wp:extent cx="1971675" cy="485775"/>
            <wp:effectExtent l="0" t="0" r="9525" b="9525"/>
            <wp:docPr id="10701471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47141" name="图片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71675" cy="485775"/>
                    </a:xfrm>
                    <a:prstGeom prst="rect">
                      <a:avLst/>
                    </a:prstGeom>
                    <a:noFill/>
                    <a:ln>
                      <a:noFill/>
                    </a:ln>
                  </pic:spPr>
                </pic:pic>
              </a:graphicData>
            </a:graphic>
          </wp:inline>
        </w:drawing>
      </w:r>
      <w:r>
        <w:rPr>
          <w:rFonts w:eastAsia="Calibri"/>
        </w:rPr>
        <w:t xml:space="preserve"> </w:t>
      </w:r>
    </w:p>
    <w:p w14:paraId="4F56FA4B">
      <w:pPr>
        <w:pStyle w:val="58"/>
        <w:ind w:firstLine="480"/>
        <w:rPr>
          <w:rFonts w:cs="Times New Roman"/>
        </w:rPr>
      </w:pPr>
      <w:r>
        <w:rPr>
          <w:rFonts w:cs="Times New Roman"/>
        </w:rPr>
        <w:t>式中：L</w:t>
      </w:r>
      <w:r>
        <w:rPr>
          <w:rFonts w:cs="Times New Roman"/>
          <w:vertAlign w:val="subscript"/>
        </w:rPr>
        <w:t>oct,1</w:t>
      </w:r>
      <w:r>
        <w:rPr>
          <w:rFonts w:cs="Times New Roman"/>
        </w:rPr>
        <w:t>为某个室内声源在靠近围护结构处产生的倍频带声压级，L</w:t>
      </w:r>
      <w:r>
        <w:rPr>
          <w:rFonts w:cs="Times New Roman"/>
          <w:vertAlign w:val="subscript"/>
        </w:rPr>
        <w:t>w oct</w:t>
      </w:r>
      <w:r>
        <w:rPr>
          <w:rFonts w:cs="Times New Roman"/>
        </w:rPr>
        <w:t>为某个声源的倍频带声功率级，r1为室内某个声源与靠近围护结构处的距离，R为房间常数，Q为方向因子。</w:t>
      </w:r>
    </w:p>
    <w:p w14:paraId="56CD01BC">
      <w:pPr>
        <w:pStyle w:val="58"/>
        <w:ind w:firstLine="480"/>
        <w:rPr>
          <w:rFonts w:cs="Times New Roman"/>
        </w:rPr>
      </w:pPr>
      <w:r>
        <w:rPr>
          <w:rFonts w:cs="Times New Roman"/>
        </w:rPr>
        <w:t>b.计算出所有室内声源在靠近围护结构处产生的总倍频带声压级：</w:t>
      </w:r>
    </w:p>
    <w:p w14:paraId="11C8781E">
      <w:pPr>
        <w:pStyle w:val="58"/>
        <w:spacing w:line="240" w:lineRule="auto"/>
        <w:ind w:firstLine="480"/>
        <w:rPr>
          <w:rFonts w:cs="Times New Roman"/>
        </w:rPr>
      </w:pPr>
      <w:r>
        <w:rPr>
          <w:rFonts w:cs="Times New Roman"/>
        </w:rPr>
        <w:drawing>
          <wp:inline distT="0" distB="0" distL="0" distR="0">
            <wp:extent cx="1838325" cy="457200"/>
            <wp:effectExtent l="0" t="0" r="9525" b="0"/>
            <wp:docPr id="60904540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45408" name="图片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38325" cy="457200"/>
                    </a:xfrm>
                    <a:prstGeom prst="rect">
                      <a:avLst/>
                    </a:prstGeom>
                    <a:noFill/>
                    <a:ln>
                      <a:noFill/>
                    </a:ln>
                  </pic:spPr>
                </pic:pic>
              </a:graphicData>
            </a:graphic>
          </wp:inline>
        </w:drawing>
      </w:r>
      <w:r>
        <w:rPr>
          <w:rFonts w:cs="Times New Roman"/>
        </w:rPr>
        <w:t xml:space="preserve"> </w:t>
      </w:r>
    </w:p>
    <w:p w14:paraId="52B4E32D">
      <w:pPr>
        <w:pStyle w:val="58"/>
        <w:ind w:firstLine="480"/>
        <w:rPr>
          <w:rFonts w:cs="Times New Roman"/>
        </w:rPr>
      </w:pPr>
      <w:r>
        <w:rPr>
          <w:rFonts w:cs="Times New Roman"/>
        </w:rPr>
        <w:t>（2）室外声源传播衰减公式</w:t>
      </w:r>
    </w:p>
    <w:p w14:paraId="007C0BBF">
      <w:pPr>
        <w:pStyle w:val="58"/>
        <w:ind w:firstLine="480"/>
        <w:rPr>
          <w:rFonts w:cs="Times New Roman"/>
        </w:rPr>
      </w:pPr>
      <w:r>
        <w:rPr>
          <w:rFonts w:cs="Times New Roman"/>
        </w:rPr>
        <w:t>计算某个声源在预测点的倍频带声压级：</w:t>
      </w:r>
    </w:p>
    <w:p w14:paraId="31DB3C0F">
      <w:pPr>
        <w:snapToGrid w:val="0"/>
        <w:ind w:firstLine="480"/>
        <w:jc w:val="left"/>
        <w:rPr>
          <w:rFonts w:eastAsia="Calibri"/>
        </w:rPr>
      </w:pPr>
      <w:r>
        <w:drawing>
          <wp:inline distT="0" distB="0" distL="0" distR="0">
            <wp:extent cx="2143125" cy="485775"/>
            <wp:effectExtent l="0" t="0" r="9525" b="9525"/>
            <wp:docPr id="404337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709"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43125" cy="485775"/>
                    </a:xfrm>
                    <a:prstGeom prst="rect">
                      <a:avLst/>
                    </a:prstGeom>
                    <a:noFill/>
                    <a:ln>
                      <a:noFill/>
                    </a:ln>
                  </pic:spPr>
                </pic:pic>
              </a:graphicData>
            </a:graphic>
          </wp:inline>
        </w:drawing>
      </w:r>
      <w:r>
        <w:rPr>
          <w:rFonts w:eastAsia="Calibri"/>
        </w:rPr>
        <w:t xml:space="preserve"> </w:t>
      </w:r>
    </w:p>
    <w:p w14:paraId="429BE298">
      <w:pPr>
        <w:pStyle w:val="58"/>
        <w:ind w:firstLine="480"/>
        <w:rPr>
          <w:rFonts w:cs="Times New Roman"/>
        </w:rPr>
      </w:pPr>
      <w:r>
        <w:rPr>
          <w:rFonts w:cs="Times New Roman"/>
        </w:rPr>
        <w:t>式中：L</w:t>
      </w:r>
      <w:r>
        <w:rPr>
          <w:rFonts w:cs="Times New Roman"/>
          <w:vertAlign w:val="subscript"/>
        </w:rPr>
        <w:t>oct</w:t>
      </w:r>
      <w:r>
        <w:rPr>
          <w:rFonts w:cs="Times New Roman"/>
        </w:rPr>
        <w:t>（r）—点声源在预测点产生的倍频带声压级；</w:t>
      </w:r>
    </w:p>
    <w:p w14:paraId="7150A9B6">
      <w:pPr>
        <w:pStyle w:val="58"/>
        <w:ind w:firstLine="480"/>
        <w:rPr>
          <w:rFonts w:cs="Times New Roman"/>
        </w:rPr>
      </w:pPr>
      <w:r>
        <w:rPr>
          <w:rFonts w:cs="Times New Roman"/>
        </w:rPr>
        <w:t>L</w:t>
      </w:r>
      <w:r>
        <w:rPr>
          <w:rFonts w:cs="Times New Roman"/>
          <w:vertAlign w:val="subscript"/>
        </w:rPr>
        <w:t>oct</w:t>
      </w:r>
      <w:r>
        <w:rPr>
          <w:rFonts w:cs="Times New Roman"/>
        </w:rPr>
        <w:t>（r</w:t>
      </w:r>
      <w:r>
        <w:rPr>
          <w:rFonts w:cs="Times New Roman"/>
          <w:vertAlign w:val="subscript"/>
        </w:rPr>
        <w:t>0</w:t>
      </w:r>
      <w:r>
        <w:rPr>
          <w:rFonts w:cs="Times New Roman"/>
        </w:rPr>
        <w:t>）—参考位置r0处的倍频带声压级；</w:t>
      </w:r>
    </w:p>
    <w:p w14:paraId="3E8B8E06">
      <w:pPr>
        <w:pStyle w:val="58"/>
        <w:ind w:firstLine="480"/>
        <w:rPr>
          <w:rFonts w:cs="Times New Roman"/>
        </w:rPr>
      </w:pPr>
      <w:r>
        <w:rPr>
          <w:rFonts w:cs="Times New Roman"/>
        </w:rPr>
        <w:t>r —预测点距声源的距离，m；</w:t>
      </w:r>
    </w:p>
    <w:p w14:paraId="0AD44D08">
      <w:pPr>
        <w:pStyle w:val="58"/>
        <w:ind w:firstLine="480"/>
        <w:rPr>
          <w:rFonts w:cs="Times New Roman"/>
        </w:rPr>
      </w:pPr>
      <w:r>
        <w:rPr>
          <w:rFonts w:cs="Times New Roman"/>
        </w:rPr>
        <w:t>r</w:t>
      </w:r>
      <w:r>
        <w:rPr>
          <w:rFonts w:cs="Times New Roman"/>
          <w:vertAlign w:val="subscript"/>
        </w:rPr>
        <w:t>0</w:t>
      </w:r>
      <w:r>
        <w:rPr>
          <w:rFonts w:cs="Times New Roman"/>
        </w:rPr>
        <w:t>—参考位置距声源的距离，m；</w:t>
      </w:r>
    </w:p>
    <w:p w14:paraId="0D9BDF03">
      <w:pPr>
        <w:pStyle w:val="58"/>
        <w:ind w:firstLine="480"/>
        <w:rPr>
          <w:rFonts w:cs="Times New Roman"/>
        </w:rPr>
      </w:pPr>
      <w:r>
        <w:rPr>
          <w:rFonts w:cs="Times New Roman"/>
        </w:rPr>
        <w:t>ΔL</w:t>
      </w:r>
      <w:r>
        <w:rPr>
          <w:rFonts w:cs="Times New Roman"/>
          <w:vertAlign w:val="subscript"/>
        </w:rPr>
        <w:t>oct</w:t>
      </w:r>
      <w:r>
        <w:rPr>
          <w:rFonts w:cs="Times New Roman"/>
        </w:rPr>
        <w:t>—各种因素引起的衰减量。</w:t>
      </w:r>
    </w:p>
    <w:p w14:paraId="2FC724EC">
      <w:pPr>
        <w:pStyle w:val="58"/>
        <w:ind w:firstLine="480"/>
        <w:rPr>
          <w:rFonts w:cs="Times New Roman"/>
        </w:rPr>
      </w:pPr>
      <w:r>
        <w:rPr>
          <w:rFonts w:cs="Times New Roman"/>
        </w:rPr>
        <w:t>（3）声源叠加贡献值（L</w:t>
      </w:r>
      <w:r>
        <w:rPr>
          <w:rFonts w:cs="Times New Roman"/>
          <w:vertAlign w:val="subscript"/>
        </w:rPr>
        <w:t>eqg</w:t>
      </w:r>
      <w:r>
        <w:rPr>
          <w:rFonts w:cs="Times New Roman"/>
        </w:rPr>
        <w:t>）公式 ：</w:t>
      </w:r>
    </w:p>
    <w:p w14:paraId="05E0395F">
      <w:pPr>
        <w:snapToGrid w:val="0"/>
        <w:ind w:firstLine="1200" w:firstLineChars="500"/>
        <w:rPr>
          <w:rFonts w:eastAsia="Calibri"/>
        </w:rPr>
      </w:pPr>
      <w:r>
        <w:drawing>
          <wp:inline distT="0" distB="0" distL="0" distR="0">
            <wp:extent cx="1752600" cy="457200"/>
            <wp:effectExtent l="0" t="0" r="0" b="0"/>
            <wp:docPr id="10934823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82313"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52600" cy="457200"/>
                    </a:xfrm>
                    <a:prstGeom prst="rect">
                      <a:avLst/>
                    </a:prstGeom>
                    <a:noFill/>
                    <a:ln>
                      <a:noFill/>
                    </a:ln>
                  </pic:spPr>
                </pic:pic>
              </a:graphicData>
            </a:graphic>
          </wp:inline>
        </w:drawing>
      </w:r>
      <w:r>
        <w:rPr>
          <w:rFonts w:eastAsia="Calibri"/>
        </w:rPr>
        <w:t xml:space="preserve"> </w:t>
      </w:r>
    </w:p>
    <w:p w14:paraId="06059781">
      <w:pPr>
        <w:pStyle w:val="58"/>
        <w:ind w:firstLine="480"/>
        <w:rPr>
          <w:rFonts w:cs="Times New Roman"/>
        </w:rPr>
      </w:pPr>
      <w:r>
        <w:rPr>
          <w:rFonts w:cs="Times New Roman"/>
        </w:rPr>
        <w:t>式中：L</w:t>
      </w:r>
      <w:r>
        <w:rPr>
          <w:rFonts w:cs="Times New Roman"/>
          <w:vertAlign w:val="subscript"/>
        </w:rPr>
        <w:t>eqg</w:t>
      </w:r>
      <w:r>
        <w:rPr>
          <w:rFonts w:cs="Times New Roman"/>
        </w:rPr>
        <w:t>—建设项目声源在预测点的等声级贡献值，dB（A）；</w:t>
      </w:r>
    </w:p>
    <w:p w14:paraId="1F91E6DD">
      <w:pPr>
        <w:pStyle w:val="58"/>
        <w:ind w:firstLine="480"/>
        <w:rPr>
          <w:rFonts w:cs="Times New Roman"/>
        </w:rPr>
      </w:pPr>
      <w:r>
        <w:rPr>
          <w:rFonts w:cs="Times New Roman"/>
        </w:rPr>
        <w:t>L</w:t>
      </w:r>
      <w:r>
        <w:rPr>
          <w:rFonts w:cs="Times New Roman"/>
          <w:vertAlign w:val="subscript"/>
        </w:rPr>
        <w:t>Ai</w:t>
      </w:r>
      <w:r>
        <w:rPr>
          <w:rFonts w:cs="Times New Roman"/>
        </w:rPr>
        <w:t>—i声源在预测点产生的A声级，dB（A）；</w:t>
      </w:r>
    </w:p>
    <w:p w14:paraId="3B526C33">
      <w:pPr>
        <w:pStyle w:val="58"/>
        <w:ind w:firstLine="480"/>
        <w:rPr>
          <w:rFonts w:cs="Times New Roman"/>
        </w:rPr>
      </w:pPr>
      <w:r>
        <w:rPr>
          <w:rFonts w:cs="Times New Roman"/>
        </w:rPr>
        <w:t>T—预测计算的时间段，s；</w:t>
      </w:r>
    </w:p>
    <w:p w14:paraId="640DB80B">
      <w:pPr>
        <w:pStyle w:val="58"/>
        <w:ind w:firstLine="480"/>
        <w:rPr>
          <w:rFonts w:cs="Times New Roman"/>
        </w:rPr>
      </w:pPr>
      <w:r>
        <w:rPr>
          <w:rFonts w:cs="Times New Roman"/>
        </w:rPr>
        <w:t>t</w:t>
      </w:r>
      <w:r>
        <w:rPr>
          <w:rFonts w:cs="Times New Roman"/>
          <w:vertAlign w:val="subscript"/>
        </w:rPr>
        <w:t>i</w:t>
      </w:r>
      <w:r>
        <w:rPr>
          <w:rFonts w:cs="Times New Roman"/>
        </w:rPr>
        <w:t>—i声源在T时段内的运行时间，s。</w:t>
      </w:r>
    </w:p>
    <w:p w14:paraId="7D5A5DD3">
      <w:pPr>
        <w:pStyle w:val="58"/>
        <w:ind w:firstLine="480"/>
        <w:rPr>
          <w:rFonts w:cs="Times New Roman"/>
        </w:rPr>
      </w:pPr>
      <w:r>
        <w:rPr>
          <w:rFonts w:cs="Times New Roman"/>
        </w:rPr>
        <w:t xml:space="preserve">（4）预测值公式  </w:t>
      </w:r>
    </w:p>
    <w:p w14:paraId="0ECE7412">
      <w:pPr>
        <w:snapToGrid w:val="0"/>
        <w:spacing w:line="240" w:lineRule="auto"/>
        <w:ind w:firstLine="482"/>
        <w:rPr>
          <w:rFonts w:eastAsia="Calibri"/>
        </w:rPr>
      </w:pPr>
      <w:r>
        <w:drawing>
          <wp:inline distT="0" distB="0" distL="0" distR="0">
            <wp:extent cx="1905000" cy="276225"/>
            <wp:effectExtent l="0" t="0" r="0" b="9525"/>
            <wp:docPr id="8192366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6679" name="图片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905000" cy="276225"/>
                    </a:xfrm>
                    <a:prstGeom prst="rect">
                      <a:avLst/>
                    </a:prstGeom>
                    <a:noFill/>
                    <a:ln>
                      <a:noFill/>
                    </a:ln>
                  </pic:spPr>
                </pic:pic>
              </a:graphicData>
            </a:graphic>
          </wp:inline>
        </w:drawing>
      </w:r>
      <w:r>
        <w:rPr>
          <w:rFonts w:eastAsia="Calibri"/>
        </w:rPr>
        <w:t xml:space="preserve"> </w:t>
      </w:r>
    </w:p>
    <w:p w14:paraId="2147994D">
      <w:pPr>
        <w:pStyle w:val="58"/>
        <w:ind w:firstLine="480"/>
        <w:rPr>
          <w:rFonts w:cs="Times New Roman"/>
        </w:rPr>
      </w:pPr>
      <w:r>
        <w:rPr>
          <w:rFonts w:cs="Times New Roman"/>
        </w:rPr>
        <w:t>式中：</w:t>
      </w:r>
    </w:p>
    <w:p w14:paraId="52D0F2BE">
      <w:pPr>
        <w:pStyle w:val="58"/>
        <w:ind w:firstLine="480"/>
        <w:rPr>
          <w:rFonts w:cs="Times New Roman"/>
        </w:rPr>
      </w:pPr>
      <w:r>
        <w:rPr>
          <w:rFonts w:cs="Times New Roman"/>
        </w:rPr>
        <w:t>L</w:t>
      </w:r>
      <w:r>
        <w:rPr>
          <w:rFonts w:cs="Times New Roman"/>
          <w:vertAlign w:val="subscript"/>
        </w:rPr>
        <w:t>eq总</w:t>
      </w:r>
      <w:r>
        <w:rPr>
          <w:rFonts w:cs="Times New Roman"/>
        </w:rPr>
        <w:t>—预测点的贡献值和背景值叠加得到的总声级，dB（A）；</w:t>
      </w:r>
    </w:p>
    <w:p w14:paraId="34FD3FB6">
      <w:pPr>
        <w:pStyle w:val="58"/>
        <w:ind w:firstLine="480"/>
        <w:rPr>
          <w:rFonts w:cs="Times New Roman"/>
        </w:rPr>
      </w:pPr>
      <w:r>
        <w:rPr>
          <w:rFonts w:cs="Times New Roman"/>
        </w:rPr>
        <w:t>L</w:t>
      </w:r>
      <w:r>
        <w:rPr>
          <w:rFonts w:cs="Times New Roman"/>
          <w:vertAlign w:val="subscript"/>
        </w:rPr>
        <w:t>eqg</w:t>
      </w:r>
      <w:r>
        <w:rPr>
          <w:rFonts w:cs="Times New Roman"/>
        </w:rPr>
        <w:t>—建设项目声源在预测点的等效声级贡献值，dB（A）；</w:t>
      </w:r>
    </w:p>
    <w:p w14:paraId="7281F70A">
      <w:pPr>
        <w:pStyle w:val="58"/>
        <w:ind w:firstLine="480"/>
        <w:rPr>
          <w:rFonts w:cs="Times New Roman"/>
        </w:rPr>
      </w:pPr>
      <w:r>
        <w:rPr>
          <w:rFonts w:cs="Times New Roman"/>
        </w:rPr>
        <w:t>L</w:t>
      </w:r>
      <w:r>
        <w:rPr>
          <w:rFonts w:cs="Times New Roman"/>
          <w:vertAlign w:val="subscript"/>
        </w:rPr>
        <w:t>eqb</w:t>
      </w:r>
      <w:r>
        <w:rPr>
          <w:rFonts w:cs="Times New Roman"/>
        </w:rPr>
        <w:t>—预测点的背景值，dB（A）。</w:t>
      </w:r>
    </w:p>
    <w:p w14:paraId="7EEF373C">
      <w:pPr>
        <w:pStyle w:val="6"/>
        <w:spacing w:before="120" w:after="120"/>
      </w:pPr>
      <w:r>
        <w:t>预测结果与评价</w:t>
      </w:r>
    </w:p>
    <w:p w14:paraId="3A26FBB3">
      <w:pPr>
        <w:pStyle w:val="58"/>
        <w:ind w:firstLine="480"/>
        <w:rPr>
          <w:rFonts w:cs="Times New Roman"/>
        </w:rPr>
      </w:pPr>
      <w:r>
        <w:rPr>
          <w:rFonts w:cs="Times New Roman"/>
        </w:rPr>
        <w:t>本项目周边200m范围内无噪声敏感点，本次只针对厂界进行预测和达标分析。将有关参数代入公式计算，本项目噪声预测结果见下表。</w:t>
      </w:r>
    </w:p>
    <w:p w14:paraId="0492C218">
      <w:pPr>
        <w:pStyle w:val="88"/>
        <w:keepNext/>
        <w:rPr>
          <w:rFonts w:ascii="Times New Roman" w:hAnsi="Times New Roman" w:cs="Times New Roman"/>
        </w:rPr>
      </w:pPr>
      <w:r>
        <w:rPr>
          <w:rFonts w:ascii="Times New Roman" w:hAnsi="Times New Roman" w:cs="Times New Roman"/>
        </w:rPr>
        <w:t>表6.2.4-1    本项目厂界噪声预测结果    单位：dB（A）</w:t>
      </w:r>
    </w:p>
    <w:tbl>
      <w:tblPr>
        <w:tblStyle w:val="44"/>
        <w:tblW w:w="496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694"/>
        <w:gridCol w:w="1523"/>
        <w:gridCol w:w="1241"/>
        <w:gridCol w:w="1291"/>
        <w:gridCol w:w="1336"/>
        <w:gridCol w:w="828"/>
        <w:gridCol w:w="767"/>
      </w:tblGrid>
      <w:tr w14:paraId="22552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blHeader/>
        </w:trPr>
        <w:tc>
          <w:tcPr>
            <w:tcW w:w="630" w:type="pct"/>
            <w:vAlign w:val="center"/>
          </w:tcPr>
          <w:p w14:paraId="0D2CD1D0">
            <w:pPr>
              <w:pStyle w:val="34"/>
              <w:rPr>
                <w:rFonts w:ascii="Calibri" w:hAnsi="Calibri"/>
              </w:rPr>
            </w:pPr>
            <w:r>
              <w:rPr>
                <w:rFonts w:ascii="Calibri" w:hAnsi="Calibri"/>
              </w:rPr>
              <w:t>预测点</w:t>
            </w:r>
          </w:p>
        </w:tc>
        <w:tc>
          <w:tcPr>
            <w:tcW w:w="395" w:type="pct"/>
            <w:vAlign w:val="center"/>
          </w:tcPr>
          <w:p w14:paraId="0B79C9CB">
            <w:pPr>
              <w:pStyle w:val="34"/>
              <w:rPr>
                <w:rFonts w:ascii="Calibri" w:hAnsi="Calibri"/>
              </w:rPr>
            </w:pPr>
            <w:r>
              <w:rPr>
                <w:rFonts w:ascii="Calibri" w:hAnsi="Calibri"/>
              </w:rPr>
              <w:t>预测时段</w:t>
            </w:r>
          </w:p>
        </w:tc>
        <w:tc>
          <w:tcPr>
            <w:tcW w:w="866" w:type="pct"/>
            <w:vAlign w:val="center"/>
          </w:tcPr>
          <w:p w14:paraId="5A3F312F">
            <w:pPr>
              <w:pStyle w:val="34"/>
              <w:rPr>
                <w:rFonts w:ascii="Calibri" w:hAnsi="Calibri"/>
              </w:rPr>
            </w:pPr>
            <w:r>
              <w:rPr>
                <w:rFonts w:ascii="Calibri" w:hAnsi="Calibri"/>
              </w:rPr>
              <w:t>噪声源距厂界距离（m）</w:t>
            </w:r>
          </w:p>
        </w:tc>
        <w:tc>
          <w:tcPr>
            <w:tcW w:w="706" w:type="pct"/>
            <w:vAlign w:val="center"/>
          </w:tcPr>
          <w:p w14:paraId="454EBA01">
            <w:pPr>
              <w:pStyle w:val="34"/>
              <w:rPr>
                <w:rFonts w:ascii="Calibri" w:hAnsi="Calibri"/>
              </w:rPr>
            </w:pPr>
            <w:r>
              <w:rPr>
                <w:rFonts w:ascii="Calibri" w:hAnsi="Calibri"/>
              </w:rPr>
              <w:t>噪声现状值</w:t>
            </w:r>
          </w:p>
        </w:tc>
        <w:tc>
          <w:tcPr>
            <w:tcW w:w="734" w:type="pct"/>
            <w:vAlign w:val="center"/>
          </w:tcPr>
          <w:p w14:paraId="7842A1B6">
            <w:pPr>
              <w:pStyle w:val="34"/>
              <w:rPr>
                <w:rFonts w:ascii="Calibri" w:hAnsi="Calibri"/>
              </w:rPr>
            </w:pPr>
            <w:r>
              <w:rPr>
                <w:rFonts w:ascii="Calibri" w:hAnsi="Calibri"/>
              </w:rPr>
              <w:t>噪声贡献值</w:t>
            </w:r>
          </w:p>
        </w:tc>
        <w:tc>
          <w:tcPr>
            <w:tcW w:w="760" w:type="pct"/>
            <w:vAlign w:val="center"/>
          </w:tcPr>
          <w:p w14:paraId="2F42ABCB">
            <w:pPr>
              <w:pStyle w:val="34"/>
              <w:rPr>
                <w:rFonts w:ascii="Calibri" w:hAnsi="Calibri"/>
              </w:rPr>
            </w:pPr>
            <w:r>
              <w:rPr>
                <w:rFonts w:ascii="Calibri" w:hAnsi="Calibri"/>
              </w:rPr>
              <w:t>噪声预测值</w:t>
            </w:r>
          </w:p>
        </w:tc>
        <w:tc>
          <w:tcPr>
            <w:tcW w:w="471" w:type="pct"/>
            <w:vAlign w:val="center"/>
          </w:tcPr>
          <w:p w14:paraId="2BC55B25">
            <w:pPr>
              <w:pStyle w:val="34"/>
              <w:rPr>
                <w:rFonts w:ascii="Calibri" w:hAnsi="Calibri"/>
              </w:rPr>
            </w:pPr>
            <w:r>
              <w:rPr>
                <w:rFonts w:ascii="Calibri" w:hAnsi="Calibri"/>
              </w:rPr>
              <w:t>标准值</w:t>
            </w:r>
          </w:p>
        </w:tc>
        <w:tc>
          <w:tcPr>
            <w:tcW w:w="436" w:type="pct"/>
            <w:vAlign w:val="center"/>
          </w:tcPr>
          <w:p w14:paraId="4D467075">
            <w:pPr>
              <w:pStyle w:val="34"/>
              <w:rPr>
                <w:rFonts w:ascii="Calibri" w:hAnsi="Calibri"/>
              </w:rPr>
            </w:pPr>
            <w:r>
              <w:rPr>
                <w:rFonts w:ascii="Calibri" w:hAnsi="Calibri"/>
              </w:rPr>
              <w:t>达标情况</w:t>
            </w:r>
          </w:p>
        </w:tc>
      </w:tr>
      <w:tr w14:paraId="226E9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30" w:type="pct"/>
            <w:vMerge w:val="restart"/>
            <w:vAlign w:val="center"/>
          </w:tcPr>
          <w:p w14:paraId="37AFE8FB">
            <w:pPr>
              <w:pStyle w:val="34"/>
              <w:rPr>
                <w:rFonts w:ascii="Calibri" w:hAnsi="Calibri"/>
              </w:rPr>
            </w:pPr>
            <w:r>
              <w:rPr>
                <w:rFonts w:ascii="Calibri" w:hAnsi="Calibri"/>
              </w:rPr>
              <w:t>东厂界</w:t>
            </w:r>
          </w:p>
        </w:tc>
        <w:tc>
          <w:tcPr>
            <w:tcW w:w="395" w:type="pct"/>
            <w:vAlign w:val="center"/>
          </w:tcPr>
          <w:p w14:paraId="7289C6AA">
            <w:pPr>
              <w:pStyle w:val="34"/>
              <w:rPr>
                <w:rFonts w:ascii="Calibri" w:hAnsi="Calibri"/>
              </w:rPr>
            </w:pPr>
            <w:r>
              <w:rPr>
                <w:rFonts w:ascii="Calibri" w:hAnsi="Calibri"/>
              </w:rPr>
              <w:t>昼间</w:t>
            </w:r>
          </w:p>
        </w:tc>
        <w:tc>
          <w:tcPr>
            <w:tcW w:w="866" w:type="pct"/>
            <w:vAlign w:val="center"/>
          </w:tcPr>
          <w:p w14:paraId="2A974DA9">
            <w:pPr>
              <w:pStyle w:val="34"/>
              <w:rPr>
                <w:rFonts w:ascii="Calibri" w:hAnsi="Calibri"/>
              </w:rPr>
            </w:pPr>
            <w:r>
              <w:rPr>
                <w:rFonts w:ascii="Calibri" w:hAnsi="Calibri"/>
              </w:rPr>
              <w:t>8</w:t>
            </w:r>
          </w:p>
        </w:tc>
        <w:tc>
          <w:tcPr>
            <w:tcW w:w="706" w:type="pct"/>
            <w:vAlign w:val="center"/>
          </w:tcPr>
          <w:p w14:paraId="098B2770">
            <w:pPr>
              <w:pStyle w:val="34"/>
              <w:rPr>
                <w:rFonts w:ascii="Calibri" w:hAnsi="Calibri"/>
              </w:rPr>
            </w:pPr>
            <w:r>
              <w:rPr>
                <w:rFonts w:ascii="Calibri" w:hAnsi="Calibri"/>
              </w:rPr>
              <w:t>50</w:t>
            </w:r>
          </w:p>
        </w:tc>
        <w:tc>
          <w:tcPr>
            <w:tcW w:w="734" w:type="pct"/>
            <w:vAlign w:val="center"/>
          </w:tcPr>
          <w:p w14:paraId="3A749B66">
            <w:pPr>
              <w:pStyle w:val="34"/>
              <w:rPr>
                <w:rFonts w:ascii="Calibri" w:hAnsi="Calibri"/>
              </w:rPr>
            </w:pPr>
            <w:r>
              <w:rPr>
                <w:rFonts w:ascii="Calibri" w:hAnsi="Calibri"/>
              </w:rPr>
              <w:t>52</w:t>
            </w:r>
          </w:p>
        </w:tc>
        <w:tc>
          <w:tcPr>
            <w:tcW w:w="760" w:type="pct"/>
            <w:vAlign w:val="center"/>
          </w:tcPr>
          <w:p w14:paraId="267A7C3C">
            <w:pPr>
              <w:pStyle w:val="34"/>
              <w:rPr>
                <w:rFonts w:ascii="Calibri" w:hAnsi="Calibri"/>
              </w:rPr>
            </w:pPr>
            <w:r>
              <w:rPr>
                <w:rFonts w:ascii="Calibri" w:hAnsi="Calibri"/>
              </w:rPr>
              <w:t>54</w:t>
            </w:r>
          </w:p>
        </w:tc>
        <w:tc>
          <w:tcPr>
            <w:tcW w:w="471" w:type="pct"/>
            <w:vAlign w:val="center"/>
          </w:tcPr>
          <w:p w14:paraId="43FCDE04">
            <w:pPr>
              <w:pStyle w:val="34"/>
              <w:rPr>
                <w:rFonts w:ascii="Calibri" w:hAnsi="Calibri"/>
              </w:rPr>
            </w:pPr>
            <w:r>
              <w:rPr>
                <w:rFonts w:ascii="Calibri" w:hAnsi="Calibri"/>
              </w:rPr>
              <w:t>65</w:t>
            </w:r>
          </w:p>
        </w:tc>
        <w:tc>
          <w:tcPr>
            <w:tcW w:w="436" w:type="pct"/>
            <w:vAlign w:val="center"/>
          </w:tcPr>
          <w:p w14:paraId="56DE1F96">
            <w:pPr>
              <w:pStyle w:val="34"/>
              <w:rPr>
                <w:rFonts w:ascii="Calibri" w:hAnsi="Calibri"/>
              </w:rPr>
            </w:pPr>
            <w:r>
              <w:rPr>
                <w:rFonts w:ascii="Calibri" w:hAnsi="Calibri"/>
              </w:rPr>
              <w:t>达标</w:t>
            </w:r>
          </w:p>
        </w:tc>
      </w:tr>
      <w:tr w14:paraId="1D262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0" w:type="auto"/>
            <w:vMerge w:val="continue"/>
            <w:vAlign w:val="center"/>
          </w:tcPr>
          <w:p w14:paraId="07F28694">
            <w:pPr>
              <w:pStyle w:val="34"/>
              <w:rPr>
                <w:rFonts w:ascii="Calibri" w:hAnsi="Calibri"/>
              </w:rPr>
            </w:pPr>
          </w:p>
        </w:tc>
        <w:tc>
          <w:tcPr>
            <w:tcW w:w="395" w:type="pct"/>
            <w:vAlign w:val="center"/>
          </w:tcPr>
          <w:p w14:paraId="7E21A318">
            <w:pPr>
              <w:pStyle w:val="34"/>
              <w:rPr>
                <w:rFonts w:ascii="Calibri" w:hAnsi="Calibri"/>
              </w:rPr>
            </w:pPr>
            <w:r>
              <w:rPr>
                <w:rFonts w:ascii="Calibri" w:hAnsi="Calibri"/>
              </w:rPr>
              <w:t>夜间</w:t>
            </w:r>
          </w:p>
        </w:tc>
        <w:tc>
          <w:tcPr>
            <w:tcW w:w="866" w:type="pct"/>
            <w:vAlign w:val="center"/>
          </w:tcPr>
          <w:p w14:paraId="6B7ACCEC">
            <w:pPr>
              <w:pStyle w:val="34"/>
              <w:rPr>
                <w:rFonts w:ascii="Calibri" w:hAnsi="Calibri"/>
              </w:rPr>
            </w:pPr>
            <w:r>
              <w:rPr>
                <w:rFonts w:ascii="Calibri" w:hAnsi="Calibri"/>
              </w:rPr>
              <w:t>8</w:t>
            </w:r>
          </w:p>
        </w:tc>
        <w:tc>
          <w:tcPr>
            <w:tcW w:w="706" w:type="pct"/>
            <w:vAlign w:val="center"/>
          </w:tcPr>
          <w:p w14:paraId="611467A7">
            <w:pPr>
              <w:pStyle w:val="34"/>
              <w:rPr>
                <w:rFonts w:ascii="Calibri" w:hAnsi="Calibri"/>
              </w:rPr>
            </w:pPr>
            <w:r>
              <w:rPr>
                <w:rFonts w:ascii="Calibri" w:hAnsi="Calibri"/>
              </w:rPr>
              <w:t>42</w:t>
            </w:r>
          </w:p>
        </w:tc>
        <w:tc>
          <w:tcPr>
            <w:tcW w:w="734" w:type="pct"/>
            <w:vAlign w:val="center"/>
          </w:tcPr>
          <w:p w14:paraId="66D95D7D">
            <w:pPr>
              <w:pStyle w:val="34"/>
              <w:rPr>
                <w:rFonts w:ascii="Calibri" w:hAnsi="Calibri"/>
              </w:rPr>
            </w:pPr>
            <w:r>
              <w:rPr>
                <w:rFonts w:ascii="Calibri" w:hAnsi="Calibri"/>
              </w:rPr>
              <w:t>52</w:t>
            </w:r>
          </w:p>
        </w:tc>
        <w:tc>
          <w:tcPr>
            <w:tcW w:w="760" w:type="pct"/>
            <w:vAlign w:val="center"/>
          </w:tcPr>
          <w:p w14:paraId="3BE46CDC">
            <w:pPr>
              <w:pStyle w:val="34"/>
              <w:rPr>
                <w:rFonts w:ascii="Calibri" w:hAnsi="Calibri"/>
              </w:rPr>
            </w:pPr>
            <w:r>
              <w:rPr>
                <w:rFonts w:ascii="Calibri" w:hAnsi="Calibri"/>
              </w:rPr>
              <w:t>52</w:t>
            </w:r>
          </w:p>
        </w:tc>
        <w:tc>
          <w:tcPr>
            <w:tcW w:w="471" w:type="pct"/>
            <w:vAlign w:val="center"/>
          </w:tcPr>
          <w:p w14:paraId="453115B4">
            <w:pPr>
              <w:pStyle w:val="34"/>
              <w:rPr>
                <w:rFonts w:ascii="Calibri" w:hAnsi="Calibri"/>
              </w:rPr>
            </w:pPr>
            <w:r>
              <w:rPr>
                <w:rFonts w:ascii="Calibri" w:hAnsi="Calibri"/>
              </w:rPr>
              <w:t>55</w:t>
            </w:r>
          </w:p>
        </w:tc>
        <w:tc>
          <w:tcPr>
            <w:tcW w:w="436" w:type="pct"/>
            <w:vAlign w:val="center"/>
          </w:tcPr>
          <w:p w14:paraId="071A75CF">
            <w:pPr>
              <w:pStyle w:val="34"/>
              <w:rPr>
                <w:rFonts w:ascii="Calibri" w:hAnsi="Calibri"/>
              </w:rPr>
            </w:pPr>
            <w:r>
              <w:rPr>
                <w:rFonts w:ascii="Calibri" w:hAnsi="Calibri"/>
              </w:rPr>
              <w:t>达标</w:t>
            </w:r>
          </w:p>
        </w:tc>
      </w:tr>
      <w:tr w14:paraId="4A0F4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30" w:type="pct"/>
            <w:vMerge w:val="restart"/>
            <w:vAlign w:val="center"/>
          </w:tcPr>
          <w:p w14:paraId="5C350DE7">
            <w:pPr>
              <w:pStyle w:val="34"/>
              <w:rPr>
                <w:rFonts w:ascii="Calibri" w:hAnsi="Calibri"/>
              </w:rPr>
            </w:pPr>
            <w:r>
              <w:rPr>
                <w:rFonts w:ascii="Calibri" w:hAnsi="Calibri"/>
              </w:rPr>
              <w:t>南厂界</w:t>
            </w:r>
          </w:p>
        </w:tc>
        <w:tc>
          <w:tcPr>
            <w:tcW w:w="395" w:type="pct"/>
            <w:vAlign w:val="center"/>
          </w:tcPr>
          <w:p w14:paraId="7A632D02">
            <w:pPr>
              <w:pStyle w:val="34"/>
              <w:rPr>
                <w:rFonts w:ascii="Calibri" w:hAnsi="Calibri"/>
              </w:rPr>
            </w:pPr>
            <w:r>
              <w:rPr>
                <w:rFonts w:ascii="Calibri" w:hAnsi="Calibri"/>
              </w:rPr>
              <w:t>昼间</w:t>
            </w:r>
          </w:p>
        </w:tc>
        <w:tc>
          <w:tcPr>
            <w:tcW w:w="866" w:type="pct"/>
            <w:vAlign w:val="center"/>
          </w:tcPr>
          <w:p w14:paraId="49C29A9D">
            <w:pPr>
              <w:pStyle w:val="34"/>
              <w:rPr>
                <w:rFonts w:ascii="Calibri" w:hAnsi="Calibri"/>
              </w:rPr>
            </w:pPr>
            <w:r>
              <w:rPr>
                <w:rFonts w:ascii="Calibri" w:hAnsi="Calibri"/>
              </w:rPr>
              <w:t>10</w:t>
            </w:r>
          </w:p>
        </w:tc>
        <w:tc>
          <w:tcPr>
            <w:tcW w:w="706" w:type="pct"/>
            <w:vAlign w:val="center"/>
          </w:tcPr>
          <w:p w14:paraId="49B260A9">
            <w:pPr>
              <w:pStyle w:val="34"/>
              <w:rPr>
                <w:rFonts w:ascii="Calibri" w:hAnsi="Calibri"/>
              </w:rPr>
            </w:pPr>
            <w:r>
              <w:rPr>
                <w:rFonts w:ascii="Calibri" w:hAnsi="Calibri"/>
              </w:rPr>
              <w:t>51</w:t>
            </w:r>
          </w:p>
        </w:tc>
        <w:tc>
          <w:tcPr>
            <w:tcW w:w="734" w:type="pct"/>
            <w:vAlign w:val="center"/>
          </w:tcPr>
          <w:p w14:paraId="5B331540">
            <w:pPr>
              <w:pStyle w:val="34"/>
              <w:rPr>
                <w:rFonts w:ascii="Calibri" w:hAnsi="Calibri"/>
              </w:rPr>
            </w:pPr>
            <w:r>
              <w:rPr>
                <w:rFonts w:ascii="Calibri" w:hAnsi="Calibri"/>
              </w:rPr>
              <w:t>50</w:t>
            </w:r>
          </w:p>
        </w:tc>
        <w:tc>
          <w:tcPr>
            <w:tcW w:w="760" w:type="pct"/>
            <w:vAlign w:val="center"/>
          </w:tcPr>
          <w:p w14:paraId="51C31AA1">
            <w:pPr>
              <w:pStyle w:val="34"/>
              <w:rPr>
                <w:rFonts w:ascii="Calibri" w:hAnsi="Calibri"/>
              </w:rPr>
            </w:pPr>
            <w:r>
              <w:rPr>
                <w:rFonts w:ascii="Calibri" w:hAnsi="Calibri"/>
              </w:rPr>
              <w:t>54</w:t>
            </w:r>
          </w:p>
        </w:tc>
        <w:tc>
          <w:tcPr>
            <w:tcW w:w="471" w:type="pct"/>
            <w:vAlign w:val="center"/>
          </w:tcPr>
          <w:p w14:paraId="44E17F49">
            <w:pPr>
              <w:pStyle w:val="34"/>
              <w:rPr>
                <w:rFonts w:ascii="Calibri" w:hAnsi="Calibri"/>
              </w:rPr>
            </w:pPr>
            <w:r>
              <w:rPr>
                <w:rFonts w:ascii="Calibri" w:hAnsi="Calibri"/>
              </w:rPr>
              <w:t>65</w:t>
            </w:r>
          </w:p>
        </w:tc>
        <w:tc>
          <w:tcPr>
            <w:tcW w:w="436" w:type="pct"/>
            <w:vAlign w:val="center"/>
          </w:tcPr>
          <w:p w14:paraId="19DCE378">
            <w:pPr>
              <w:pStyle w:val="34"/>
              <w:rPr>
                <w:rFonts w:ascii="Calibri" w:hAnsi="Calibri"/>
              </w:rPr>
            </w:pPr>
            <w:r>
              <w:rPr>
                <w:rFonts w:ascii="Calibri" w:hAnsi="Calibri"/>
              </w:rPr>
              <w:t>达标</w:t>
            </w:r>
          </w:p>
        </w:tc>
      </w:tr>
      <w:tr w14:paraId="29B51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0" w:type="auto"/>
            <w:vMerge w:val="continue"/>
            <w:vAlign w:val="center"/>
          </w:tcPr>
          <w:p w14:paraId="46DD3C8A">
            <w:pPr>
              <w:pStyle w:val="34"/>
              <w:rPr>
                <w:rFonts w:ascii="Calibri" w:hAnsi="Calibri"/>
              </w:rPr>
            </w:pPr>
          </w:p>
        </w:tc>
        <w:tc>
          <w:tcPr>
            <w:tcW w:w="395" w:type="pct"/>
            <w:vAlign w:val="center"/>
          </w:tcPr>
          <w:p w14:paraId="306863A2">
            <w:pPr>
              <w:pStyle w:val="34"/>
              <w:rPr>
                <w:rFonts w:ascii="Calibri" w:hAnsi="Calibri"/>
              </w:rPr>
            </w:pPr>
            <w:r>
              <w:rPr>
                <w:rFonts w:ascii="Calibri" w:hAnsi="Calibri"/>
              </w:rPr>
              <w:t>夜间</w:t>
            </w:r>
          </w:p>
        </w:tc>
        <w:tc>
          <w:tcPr>
            <w:tcW w:w="866" w:type="pct"/>
            <w:vAlign w:val="center"/>
          </w:tcPr>
          <w:p w14:paraId="2FC30E1A">
            <w:pPr>
              <w:pStyle w:val="34"/>
              <w:rPr>
                <w:rFonts w:ascii="Calibri" w:hAnsi="Calibri"/>
              </w:rPr>
            </w:pPr>
            <w:r>
              <w:rPr>
                <w:rFonts w:ascii="Calibri" w:hAnsi="Calibri"/>
              </w:rPr>
              <w:t>10</w:t>
            </w:r>
          </w:p>
        </w:tc>
        <w:tc>
          <w:tcPr>
            <w:tcW w:w="706" w:type="pct"/>
            <w:vAlign w:val="center"/>
          </w:tcPr>
          <w:p w14:paraId="6900C386">
            <w:pPr>
              <w:pStyle w:val="34"/>
              <w:rPr>
                <w:rFonts w:ascii="Calibri" w:hAnsi="Calibri"/>
              </w:rPr>
            </w:pPr>
            <w:r>
              <w:rPr>
                <w:rFonts w:ascii="Calibri" w:hAnsi="Calibri"/>
              </w:rPr>
              <w:t>43</w:t>
            </w:r>
          </w:p>
        </w:tc>
        <w:tc>
          <w:tcPr>
            <w:tcW w:w="734" w:type="pct"/>
            <w:vAlign w:val="center"/>
          </w:tcPr>
          <w:p w14:paraId="5D59E1D7">
            <w:pPr>
              <w:pStyle w:val="34"/>
              <w:rPr>
                <w:rFonts w:ascii="Calibri" w:hAnsi="Calibri"/>
              </w:rPr>
            </w:pPr>
            <w:r>
              <w:rPr>
                <w:rFonts w:ascii="Calibri" w:hAnsi="Calibri"/>
              </w:rPr>
              <w:t>50</w:t>
            </w:r>
          </w:p>
        </w:tc>
        <w:tc>
          <w:tcPr>
            <w:tcW w:w="760" w:type="pct"/>
            <w:vAlign w:val="center"/>
          </w:tcPr>
          <w:p w14:paraId="5C39E01A">
            <w:pPr>
              <w:pStyle w:val="34"/>
              <w:rPr>
                <w:rFonts w:ascii="Calibri" w:hAnsi="Calibri"/>
              </w:rPr>
            </w:pPr>
            <w:r>
              <w:rPr>
                <w:rFonts w:ascii="Calibri" w:hAnsi="Calibri"/>
              </w:rPr>
              <w:t>51</w:t>
            </w:r>
          </w:p>
        </w:tc>
        <w:tc>
          <w:tcPr>
            <w:tcW w:w="471" w:type="pct"/>
            <w:vAlign w:val="center"/>
          </w:tcPr>
          <w:p w14:paraId="33572DF9">
            <w:pPr>
              <w:pStyle w:val="34"/>
              <w:rPr>
                <w:rFonts w:ascii="Calibri" w:hAnsi="Calibri"/>
              </w:rPr>
            </w:pPr>
            <w:r>
              <w:rPr>
                <w:rFonts w:ascii="Calibri" w:hAnsi="Calibri"/>
              </w:rPr>
              <w:t>55</w:t>
            </w:r>
          </w:p>
        </w:tc>
        <w:tc>
          <w:tcPr>
            <w:tcW w:w="436" w:type="pct"/>
            <w:vAlign w:val="center"/>
          </w:tcPr>
          <w:p w14:paraId="328B6BD8">
            <w:pPr>
              <w:pStyle w:val="34"/>
              <w:rPr>
                <w:rFonts w:ascii="Calibri" w:hAnsi="Calibri"/>
              </w:rPr>
            </w:pPr>
            <w:r>
              <w:rPr>
                <w:rFonts w:ascii="Calibri" w:hAnsi="Calibri"/>
              </w:rPr>
              <w:t>达标</w:t>
            </w:r>
          </w:p>
        </w:tc>
      </w:tr>
      <w:tr w14:paraId="60D57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630" w:type="pct"/>
            <w:vMerge w:val="restart"/>
            <w:vAlign w:val="center"/>
          </w:tcPr>
          <w:p w14:paraId="22EA47C5">
            <w:pPr>
              <w:pStyle w:val="34"/>
              <w:rPr>
                <w:rFonts w:ascii="Calibri" w:hAnsi="Calibri"/>
              </w:rPr>
            </w:pPr>
            <w:r>
              <w:rPr>
                <w:rFonts w:ascii="Calibri" w:hAnsi="Calibri"/>
              </w:rPr>
              <w:t>西厂界</w:t>
            </w:r>
          </w:p>
        </w:tc>
        <w:tc>
          <w:tcPr>
            <w:tcW w:w="395" w:type="pct"/>
            <w:vAlign w:val="center"/>
          </w:tcPr>
          <w:p w14:paraId="10D01C9F">
            <w:pPr>
              <w:pStyle w:val="34"/>
              <w:rPr>
                <w:rFonts w:ascii="Calibri" w:hAnsi="Calibri"/>
              </w:rPr>
            </w:pPr>
            <w:r>
              <w:rPr>
                <w:rFonts w:ascii="Calibri" w:hAnsi="Calibri"/>
              </w:rPr>
              <w:t>昼间</w:t>
            </w:r>
          </w:p>
        </w:tc>
        <w:tc>
          <w:tcPr>
            <w:tcW w:w="866" w:type="pct"/>
            <w:vAlign w:val="center"/>
          </w:tcPr>
          <w:p w14:paraId="1AE6C140">
            <w:pPr>
              <w:pStyle w:val="34"/>
              <w:rPr>
                <w:rFonts w:ascii="Calibri" w:hAnsi="Calibri"/>
              </w:rPr>
            </w:pPr>
            <w:r>
              <w:rPr>
                <w:rFonts w:ascii="Calibri" w:hAnsi="Calibri"/>
              </w:rPr>
              <w:t>230</w:t>
            </w:r>
          </w:p>
        </w:tc>
        <w:tc>
          <w:tcPr>
            <w:tcW w:w="706" w:type="pct"/>
            <w:vAlign w:val="center"/>
          </w:tcPr>
          <w:p w14:paraId="219084A6">
            <w:pPr>
              <w:pStyle w:val="34"/>
              <w:rPr>
                <w:rFonts w:ascii="Calibri" w:hAnsi="Calibri"/>
              </w:rPr>
            </w:pPr>
            <w:r>
              <w:rPr>
                <w:rFonts w:ascii="Calibri" w:hAnsi="Calibri"/>
              </w:rPr>
              <w:t>54</w:t>
            </w:r>
          </w:p>
        </w:tc>
        <w:tc>
          <w:tcPr>
            <w:tcW w:w="734" w:type="pct"/>
            <w:vAlign w:val="center"/>
          </w:tcPr>
          <w:p w14:paraId="403DAA53">
            <w:pPr>
              <w:pStyle w:val="34"/>
              <w:rPr>
                <w:rFonts w:ascii="Calibri" w:hAnsi="Calibri"/>
              </w:rPr>
            </w:pPr>
            <w:r>
              <w:rPr>
                <w:rFonts w:ascii="Calibri" w:hAnsi="Calibri"/>
              </w:rPr>
              <w:t>23</w:t>
            </w:r>
          </w:p>
        </w:tc>
        <w:tc>
          <w:tcPr>
            <w:tcW w:w="760" w:type="pct"/>
            <w:vAlign w:val="center"/>
          </w:tcPr>
          <w:p w14:paraId="18BBF9B6">
            <w:pPr>
              <w:pStyle w:val="34"/>
              <w:rPr>
                <w:rFonts w:ascii="Calibri" w:hAnsi="Calibri"/>
              </w:rPr>
            </w:pPr>
            <w:r>
              <w:rPr>
                <w:rFonts w:ascii="Calibri" w:hAnsi="Calibri"/>
              </w:rPr>
              <w:t>54</w:t>
            </w:r>
          </w:p>
        </w:tc>
        <w:tc>
          <w:tcPr>
            <w:tcW w:w="471" w:type="pct"/>
            <w:vAlign w:val="center"/>
          </w:tcPr>
          <w:p w14:paraId="7E67807F">
            <w:pPr>
              <w:pStyle w:val="34"/>
              <w:rPr>
                <w:rFonts w:ascii="Calibri" w:hAnsi="Calibri"/>
              </w:rPr>
            </w:pPr>
            <w:r>
              <w:rPr>
                <w:rFonts w:ascii="Calibri" w:hAnsi="Calibri"/>
              </w:rPr>
              <w:t>65</w:t>
            </w:r>
          </w:p>
        </w:tc>
        <w:tc>
          <w:tcPr>
            <w:tcW w:w="436" w:type="pct"/>
            <w:vAlign w:val="center"/>
          </w:tcPr>
          <w:p w14:paraId="63B98FFB">
            <w:pPr>
              <w:pStyle w:val="34"/>
              <w:rPr>
                <w:rFonts w:ascii="Calibri" w:hAnsi="Calibri"/>
              </w:rPr>
            </w:pPr>
            <w:r>
              <w:rPr>
                <w:rFonts w:ascii="Calibri" w:hAnsi="Calibri"/>
              </w:rPr>
              <w:t>达标</w:t>
            </w:r>
          </w:p>
        </w:tc>
      </w:tr>
      <w:tr w14:paraId="0A9B1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0" w:type="auto"/>
            <w:vMerge w:val="continue"/>
            <w:vAlign w:val="center"/>
          </w:tcPr>
          <w:p w14:paraId="7822E4E6">
            <w:pPr>
              <w:pStyle w:val="34"/>
              <w:rPr>
                <w:rFonts w:ascii="Calibri" w:hAnsi="Calibri"/>
              </w:rPr>
            </w:pPr>
          </w:p>
        </w:tc>
        <w:tc>
          <w:tcPr>
            <w:tcW w:w="395" w:type="pct"/>
            <w:vAlign w:val="center"/>
          </w:tcPr>
          <w:p w14:paraId="6DB43BDF">
            <w:pPr>
              <w:pStyle w:val="34"/>
              <w:rPr>
                <w:rFonts w:ascii="Calibri" w:hAnsi="Calibri"/>
              </w:rPr>
            </w:pPr>
            <w:r>
              <w:rPr>
                <w:rFonts w:ascii="Calibri" w:hAnsi="Calibri"/>
              </w:rPr>
              <w:t>夜间</w:t>
            </w:r>
          </w:p>
        </w:tc>
        <w:tc>
          <w:tcPr>
            <w:tcW w:w="866" w:type="pct"/>
            <w:vAlign w:val="center"/>
          </w:tcPr>
          <w:p w14:paraId="3669BEA4">
            <w:pPr>
              <w:pStyle w:val="34"/>
              <w:rPr>
                <w:rFonts w:ascii="Calibri" w:hAnsi="Calibri"/>
              </w:rPr>
            </w:pPr>
            <w:r>
              <w:rPr>
                <w:rFonts w:ascii="Calibri" w:hAnsi="Calibri"/>
              </w:rPr>
              <w:t>230</w:t>
            </w:r>
          </w:p>
        </w:tc>
        <w:tc>
          <w:tcPr>
            <w:tcW w:w="706" w:type="pct"/>
            <w:vAlign w:val="center"/>
          </w:tcPr>
          <w:p w14:paraId="11C37153">
            <w:pPr>
              <w:pStyle w:val="34"/>
              <w:rPr>
                <w:rFonts w:ascii="Calibri" w:hAnsi="Calibri"/>
              </w:rPr>
            </w:pPr>
            <w:r>
              <w:rPr>
                <w:rFonts w:ascii="Calibri" w:hAnsi="Calibri"/>
              </w:rPr>
              <w:t>40</w:t>
            </w:r>
          </w:p>
        </w:tc>
        <w:tc>
          <w:tcPr>
            <w:tcW w:w="734" w:type="pct"/>
            <w:vAlign w:val="center"/>
          </w:tcPr>
          <w:p w14:paraId="11DF252B">
            <w:pPr>
              <w:pStyle w:val="34"/>
              <w:rPr>
                <w:rFonts w:ascii="Calibri" w:hAnsi="Calibri"/>
              </w:rPr>
            </w:pPr>
            <w:r>
              <w:rPr>
                <w:rFonts w:ascii="Calibri" w:hAnsi="Calibri"/>
              </w:rPr>
              <w:t>23</w:t>
            </w:r>
          </w:p>
        </w:tc>
        <w:tc>
          <w:tcPr>
            <w:tcW w:w="760" w:type="pct"/>
            <w:vAlign w:val="center"/>
          </w:tcPr>
          <w:p w14:paraId="38A195F3">
            <w:pPr>
              <w:pStyle w:val="34"/>
              <w:rPr>
                <w:rFonts w:ascii="Calibri" w:hAnsi="Calibri"/>
              </w:rPr>
            </w:pPr>
            <w:r>
              <w:rPr>
                <w:rFonts w:ascii="Calibri" w:hAnsi="Calibri"/>
              </w:rPr>
              <w:t>40</w:t>
            </w:r>
          </w:p>
        </w:tc>
        <w:tc>
          <w:tcPr>
            <w:tcW w:w="471" w:type="pct"/>
            <w:vAlign w:val="center"/>
          </w:tcPr>
          <w:p w14:paraId="2A024F04">
            <w:pPr>
              <w:pStyle w:val="34"/>
              <w:rPr>
                <w:rFonts w:ascii="Calibri" w:hAnsi="Calibri"/>
              </w:rPr>
            </w:pPr>
            <w:r>
              <w:rPr>
                <w:rFonts w:ascii="Calibri" w:hAnsi="Calibri"/>
              </w:rPr>
              <w:t>55</w:t>
            </w:r>
          </w:p>
        </w:tc>
        <w:tc>
          <w:tcPr>
            <w:tcW w:w="436" w:type="pct"/>
            <w:vAlign w:val="center"/>
          </w:tcPr>
          <w:p w14:paraId="359E07B9">
            <w:pPr>
              <w:pStyle w:val="34"/>
              <w:rPr>
                <w:rFonts w:ascii="Calibri" w:hAnsi="Calibri"/>
              </w:rPr>
            </w:pPr>
            <w:r>
              <w:rPr>
                <w:rFonts w:ascii="Calibri" w:hAnsi="Calibri"/>
              </w:rPr>
              <w:t>达标</w:t>
            </w:r>
          </w:p>
        </w:tc>
      </w:tr>
      <w:tr w14:paraId="65CE0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30" w:type="pct"/>
            <w:vMerge w:val="restart"/>
            <w:vAlign w:val="center"/>
          </w:tcPr>
          <w:p w14:paraId="7A02395E">
            <w:pPr>
              <w:pStyle w:val="34"/>
              <w:rPr>
                <w:rFonts w:ascii="Calibri" w:hAnsi="Calibri"/>
              </w:rPr>
            </w:pPr>
            <w:r>
              <w:rPr>
                <w:rFonts w:ascii="Calibri" w:hAnsi="Calibri"/>
              </w:rPr>
              <w:t>北厂界</w:t>
            </w:r>
          </w:p>
        </w:tc>
        <w:tc>
          <w:tcPr>
            <w:tcW w:w="395" w:type="pct"/>
            <w:vAlign w:val="center"/>
          </w:tcPr>
          <w:p w14:paraId="425FC056">
            <w:pPr>
              <w:pStyle w:val="34"/>
              <w:rPr>
                <w:rFonts w:ascii="Calibri" w:hAnsi="Calibri"/>
              </w:rPr>
            </w:pPr>
            <w:r>
              <w:rPr>
                <w:rFonts w:ascii="Calibri" w:hAnsi="Calibri"/>
              </w:rPr>
              <w:t>昼间</w:t>
            </w:r>
          </w:p>
        </w:tc>
        <w:tc>
          <w:tcPr>
            <w:tcW w:w="866" w:type="pct"/>
            <w:vAlign w:val="center"/>
          </w:tcPr>
          <w:p w14:paraId="6E628060">
            <w:pPr>
              <w:pStyle w:val="34"/>
              <w:rPr>
                <w:rFonts w:ascii="Calibri" w:hAnsi="Calibri"/>
              </w:rPr>
            </w:pPr>
            <w:r>
              <w:rPr>
                <w:rFonts w:ascii="Calibri" w:hAnsi="Calibri"/>
              </w:rPr>
              <w:t>10</w:t>
            </w:r>
          </w:p>
        </w:tc>
        <w:tc>
          <w:tcPr>
            <w:tcW w:w="706" w:type="pct"/>
            <w:vAlign w:val="center"/>
          </w:tcPr>
          <w:p w14:paraId="53E3DA9C">
            <w:pPr>
              <w:pStyle w:val="34"/>
              <w:rPr>
                <w:rFonts w:ascii="Calibri" w:hAnsi="Calibri"/>
              </w:rPr>
            </w:pPr>
            <w:r>
              <w:rPr>
                <w:rFonts w:ascii="Calibri" w:hAnsi="Calibri"/>
              </w:rPr>
              <w:t>51</w:t>
            </w:r>
          </w:p>
        </w:tc>
        <w:tc>
          <w:tcPr>
            <w:tcW w:w="734" w:type="pct"/>
            <w:vAlign w:val="center"/>
          </w:tcPr>
          <w:p w14:paraId="674676B3">
            <w:pPr>
              <w:pStyle w:val="34"/>
              <w:rPr>
                <w:rFonts w:ascii="Calibri" w:hAnsi="Calibri"/>
              </w:rPr>
            </w:pPr>
            <w:r>
              <w:rPr>
                <w:rFonts w:ascii="Calibri" w:hAnsi="Calibri"/>
              </w:rPr>
              <w:t>50</w:t>
            </w:r>
          </w:p>
        </w:tc>
        <w:tc>
          <w:tcPr>
            <w:tcW w:w="760" w:type="pct"/>
            <w:vAlign w:val="center"/>
          </w:tcPr>
          <w:p w14:paraId="15449DAD">
            <w:pPr>
              <w:pStyle w:val="34"/>
              <w:rPr>
                <w:rFonts w:ascii="Calibri" w:hAnsi="Calibri"/>
              </w:rPr>
            </w:pPr>
            <w:r>
              <w:rPr>
                <w:rFonts w:ascii="Calibri" w:hAnsi="Calibri"/>
              </w:rPr>
              <w:t>54</w:t>
            </w:r>
          </w:p>
        </w:tc>
        <w:tc>
          <w:tcPr>
            <w:tcW w:w="471" w:type="pct"/>
            <w:vAlign w:val="center"/>
          </w:tcPr>
          <w:p w14:paraId="0461B7DD">
            <w:pPr>
              <w:pStyle w:val="34"/>
              <w:rPr>
                <w:rFonts w:ascii="Calibri" w:hAnsi="Calibri"/>
              </w:rPr>
            </w:pPr>
            <w:r>
              <w:rPr>
                <w:rFonts w:ascii="Calibri" w:hAnsi="Calibri"/>
              </w:rPr>
              <w:t>65</w:t>
            </w:r>
          </w:p>
        </w:tc>
        <w:tc>
          <w:tcPr>
            <w:tcW w:w="436" w:type="pct"/>
            <w:vAlign w:val="center"/>
          </w:tcPr>
          <w:p w14:paraId="33D74DBC">
            <w:pPr>
              <w:pStyle w:val="34"/>
              <w:rPr>
                <w:rFonts w:ascii="Calibri" w:hAnsi="Calibri"/>
              </w:rPr>
            </w:pPr>
            <w:r>
              <w:rPr>
                <w:rFonts w:ascii="Calibri" w:hAnsi="Calibri"/>
              </w:rPr>
              <w:t>达标</w:t>
            </w:r>
          </w:p>
        </w:tc>
      </w:tr>
      <w:tr w14:paraId="74326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0" w:type="auto"/>
            <w:vMerge w:val="continue"/>
            <w:vAlign w:val="center"/>
          </w:tcPr>
          <w:p w14:paraId="2B9C298F">
            <w:pPr>
              <w:pStyle w:val="34"/>
              <w:rPr>
                <w:rFonts w:ascii="Calibri" w:hAnsi="Calibri"/>
              </w:rPr>
            </w:pPr>
          </w:p>
        </w:tc>
        <w:tc>
          <w:tcPr>
            <w:tcW w:w="395" w:type="pct"/>
            <w:vAlign w:val="center"/>
          </w:tcPr>
          <w:p w14:paraId="20F3260C">
            <w:pPr>
              <w:pStyle w:val="34"/>
              <w:rPr>
                <w:rFonts w:ascii="Calibri" w:hAnsi="Calibri"/>
              </w:rPr>
            </w:pPr>
            <w:r>
              <w:rPr>
                <w:rFonts w:ascii="Calibri" w:hAnsi="Calibri"/>
              </w:rPr>
              <w:t>夜间</w:t>
            </w:r>
          </w:p>
        </w:tc>
        <w:tc>
          <w:tcPr>
            <w:tcW w:w="866" w:type="pct"/>
            <w:vAlign w:val="center"/>
          </w:tcPr>
          <w:p w14:paraId="2B075EB2">
            <w:pPr>
              <w:pStyle w:val="34"/>
              <w:rPr>
                <w:rFonts w:ascii="Calibri" w:hAnsi="Calibri"/>
              </w:rPr>
            </w:pPr>
            <w:r>
              <w:rPr>
                <w:rFonts w:ascii="Calibri" w:hAnsi="Calibri"/>
              </w:rPr>
              <w:t>10</w:t>
            </w:r>
          </w:p>
        </w:tc>
        <w:tc>
          <w:tcPr>
            <w:tcW w:w="706" w:type="pct"/>
            <w:vAlign w:val="center"/>
          </w:tcPr>
          <w:p w14:paraId="54C89F51">
            <w:pPr>
              <w:pStyle w:val="34"/>
              <w:rPr>
                <w:rFonts w:ascii="Calibri" w:hAnsi="Calibri"/>
              </w:rPr>
            </w:pPr>
            <w:r>
              <w:rPr>
                <w:rFonts w:ascii="Calibri" w:hAnsi="Calibri"/>
              </w:rPr>
              <w:t>40</w:t>
            </w:r>
          </w:p>
        </w:tc>
        <w:tc>
          <w:tcPr>
            <w:tcW w:w="734" w:type="pct"/>
            <w:vAlign w:val="center"/>
          </w:tcPr>
          <w:p w14:paraId="2F94B94C">
            <w:pPr>
              <w:pStyle w:val="34"/>
              <w:rPr>
                <w:rFonts w:ascii="Calibri" w:hAnsi="Calibri"/>
              </w:rPr>
            </w:pPr>
            <w:r>
              <w:rPr>
                <w:rFonts w:ascii="Calibri" w:hAnsi="Calibri"/>
              </w:rPr>
              <w:t>50</w:t>
            </w:r>
          </w:p>
        </w:tc>
        <w:tc>
          <w:tcPr>
            <w:tcW w:w="760" w:type="pct"/>
            <w:vAlign w:val="center"/>
          </w:tcPr>
          <w:p w14:paraId="77956E66">
            <w:pPr>
              <w:pStyle w:val="34"/>
              <w:rPr>
                <w:rFonts w:ascii="Calibri" w:hAnsi="Calibri"/>
              </w:rPr>
            </w:pPr>
            <w:r>
              <w:rPr>
                <w:rFonts w:ascii="Calibri" w:hAnsi="Calibri"/>
              </w:rPr>
              <w:t>50</w:t>
            </w:r>
          </w:p>
        </w:tc>
        <w:tc>
          <w:tcPr>
            <w:tcW w:w="471" w:type="pct"/>
            <w:vAlign w:val="center"/>
          </w:tcPr>
          <w:p w14:paraId="3AB93E6F">
            <w:pPr>
              <w:pStyle w:val="34"/>
              <w:rPr>
                <w:rFonts w:ascii="Calibri" w:hAnsi="Calibri"/>
              </w:rPr>
            </w:pPr>
            <w:r>
              <w:rPr>
                <w:rFonts w:ascii="Calibri" w:hAnsi="Calibri"/>
              </w:rPr>
              <w:t>55</w:t>
            </w:r>
          </w:p>
        </w:tc>
        <w:tc>
          <w:tcPr>
            <w:tcW w:w="436" w:type="pct"/>
            <w:vAlign w:val="center"/>
          </w:tcPr>
          <w:p w14:paraId="6F9CFA12">
            <w:pPr>
              <w:pStyle w:val="34"/>
              <w:rPr>
                <w:rFonts w:ascii="Calibri" w:hAnsi="Calibri"/>
              </w:rPr>
            </w:pPr>
            <w:r>
              <w:rPr>
                <w:rFonts w:ascii="Calibri" w:hAnsi="Calibri"/>
              </w:rPr>
              <w:t>达标</w:t>
            </w:r>
          </w:p>
        </w:tc>
      </w:tr>
    </w:tbl>
    <w:p w14:paraId="4C5595CF">
      <w:pPr>
        <w:pStyle w:val="58"/>
        <w:ind w:firstLine="480"/>
        <w:rPr>
          <w:rFonts w:cs="Times New Roman"/>
        </w:rPr>
      </w:pPr>
      <w:r>
        <w:rPr>
          <w:rFonts w:cs="Times New Roman"/>
        </w:rPr>
        <w:t>由上表可知，在采取厂房隔声、基础减振等措施后，厂界噪声昼夜均满足《工业企业厂界环境噪声排放标准》（GB12348-2008）3类声环境功能区厂界环境噪声排放限值：昼间≤65dB（A）、夜间≤55dB（A）要求。本项目运营期噪声对周围环境噪声影响不大。</w:t>
      </w:r>
    </w:p>
    <w:p w14:paraId="0A610057">
      <w:pPr>
        <w:pStyle w:val="88"/>
        <w:rPr>
          <w:rFonts w:ascii="Times New Roman" w:hAnsi="Times New Roman" w:cs="Times New Roman"/>
        </w:rPr>
      </w:pPr>
      <w:r>
        <w:rPr>
          <w:rFonts w:ascii="Times New Roman" w:hAnsi="Times New Roman" w:cs="Times New Roman"/>
        </w:rPr>
        <w:t>表6.2.4-2    声环境影响评价自查表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1501"/>
        <w:gridCol w:w="1031"/>
        <w:gridCol w:w="544"/>
        <w:gridCol w:w="301"/>
        <w:gridCol w:w="1080"/>
        <w:gridCol w:w="1155"/>
        <w:gridCol w:w="84"/>
        <w:gridCol w:w="381"/>
        <w:gridCol w:w="634"/>
        <w:gridCol w:w="850"/>
      </w:tblGrid>
      <w:tr w14:paraId="5F894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2481" w:type="dxa"/>
            <w:gridSpan w:val="2"/>
            <w:tcBorders>
              <w:top w:val="single" w:color="000000" w:sz="12" w:space="0"/>
              <w:left w:val="nil"/>
              <w:bottom w:val="single" w:color="000000" w:sz="4" w:space="0"/>
              <w:right w:val="single" w:color="000000" w:sz="4" w:space="0"/>
            </w:tcBorders>
            <w:vAlign w:val="center"/>
          </w:tcPr>
          <w:p w14:paraId="4656D0CA">
            <w:pPr>
              <w:pStyle w:val="96"/>
            </w:pPr>
            <w:r>
              <w:t>工作内容</w:t>
            </w:r>
          </w:p>
        </w:tc>
        <w:tc>
          <w:tcPr>
            <w:tcW w:w="5831" w:type="dxa"/>
            <w:gridSpan w:val="9"/>
            <w:tcBorders>
              <w:top w:val="single" w:color="000000" w:sz="12" w:space="0"/>
              <w:left w:val="single" w:color="000000" w:sz="4" w:space="0"/>
              <w:bottom w:val="single" w:color="000000" w:sz="4" w:space="0"/>
              <w:right w:val="nil"/>
            </w:tcBorders>
            <w:vAlign w:val="center"/>
          </w:tcPr>
          <w:p w14:paraId="0B949E4B">
            <w:pPr>
              <w:pStyle w:val="96"/>
            </w:pPr>
            <w:r>
              <w:t>自查项目</w:t>
            </w:r>
          </w:p>
        </w:tc>
      </w:tr>
      <w:tr w14:paraId="6E26F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037" w:type="dxa"/>
            <w:vMerge w:val="restart"/>
            <w:tcBorders>
              <w:top w:val="nil"/>
              <w:left w:val="nil"/>
              <w:bottom w:val="single" w:color="000000" w:sz="4" w:space="0"/>
              <w:right w:val="single" w:color="000000" w:sz="4" w:space="0"/>
            </w:tcBorders>
            <w:vAlign w:val="center"/>
          </w:tcPr>
          <w:p w14:paraId="314CBA57">
            <w:pPr>
              <w:pStyle w:val="96"/>
            </w:pPr>
            <w:r>
              <w:t>评价等级与范围</w:t>
            </w:r>
          </w:p>
        </w:tc>
        <w:tc>
          <w:tcPr>
            <w:tcW w:w="1444" w:type="dxa"/>
            <w:tcBorders>
              <w:top w:val="single" w:color="000000" w:sz="4" w:space="0"/>
              <w:left w:val="single" w:color="000000" w:sz="4" w:space="0"/>
              <w:bottom w:val="single" w:color="000000" w:sz="4" w:space="0"/>
              <w:right w:val="single" w:color="000000" w:sz="4" w:space="0"/>
            </w:tcBorders>
            <w:vAlign w:val="center"/>
          </w:tcPr>
          <w:p w14:paraId="679561E3">
            <w:pPr>
              <w:pStyle w:val="96"/>
            </w:pPr>
            <w:r>
              <w:t>评价等级</w:t>
            </w:r>
          </w:p>
        </w:tc>
        <w:tc>
          <w:tcPr>
            <w:tcW w:w="5831" w:type="dxa"/>
            <w:gridSpan w:val="9"/>
            <w:tcBorders>
              <w:top w:val="single" w:color="000000" w:sz="4" w:space="0"/>
              <w:left w:val="single" w:color="000000" w:sz="4" w:space="0"/>
              <w:bottom w:val="single" w:color="000000" w:sz="4" w:space="0"/>
              <w:right w:val="nil"/>
            </w:tcBorders>
            <w:vAlign w:val="center"/>
          </w:tcPr>
          <w:p w14:paraId="68D929D6">
            <w:pPr>
              <w:pStyle w:val="96"/>
            </w:pPr>
            <w:r>
              <w:t>一级□；二级□；三级R</w:t>
            </w:r>
          </w:p>
        </w:tc>
      </w:tr>
      <w:tr w14:paraId="0730A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312" w:type="dxa"/>
            <w:vMerge w:val="continue"/>
            <w:tcBorders>
              <w:top w:val="nil"/>
              <w:left w:val="nil"/>
              <w:bottom w:val="single" w:color="000000" w:sz="4" w:space="0"/>
              <w:right w:val="single" w:color="000000" w:sz="4" w:space="0"/>
            </w:tcBorders>
            <w:vAlign w:val="center"/>
          </w:tcPr>
          <w:p w14:paraId="6801D1E7">
            <w:pPr>
              <w:widowControl/>
              <w:jc w:val="left"/>
              <w:rPr>
                <w:sz w:val="21"/>
                <w:szCs w:val="21"/>
              </w:rPr>
            </w:pPr>
          </w:p>
        </w:tc>
        <w:tc>
          <w:tcPr>
            <w:tcW w:w="1444" w:type="dxa"/>
            <w:tcBorders>
              <w:top w:val="single" w:color="000000" w:sz="4" w:space="0"/>
              <w:left w:val="single" w:color="000000" w:sz="4" w:space="0"/>
              <w:bottom w:val="single" w:color="000000" w:sz="4" w:space="0"/>
              <w:right w:val="single" w:color="000000" w:sz="4" w:space="0"/>
            </w:tcBorders>
            <w:vAlign w:val="center"/>
          </w:tcPr>
          <w:p w14:paraId="28DE7B89">
            <w:pPr>
              <w:pStyle w:val="96"/>
            </w:pPr>
            <w:r>
              <w:t>评价范围</w:t>
            </w:r>
          </w:p>
        </w:tc>
        <w:tc>
          <w:tcPr>
            <w:tcW w:w="5831" w:type="dxa"/>
            <w:gridSpan w:val="9"/>
            <w:tcBorders>
              <w:top w:val="single" w:color="000000" w:sz="4" w:space="0"/>
              <w:left w:val="single" w:color="000000" w:sz="4" w:space="0"/>
              <w:bottom w:val="single" w:color="000000" w:sz="4" w:space="0"/>
              <w:right w:val="nil"/>
            </w:tcBorders>
            <w:vAlign w:val="center"/>
          </w:tcPr>
          <w:p w14:paraId="7A3610D5">
            <w:pPr>
              <w:pStyle w:val="96"/>
            </w:pPr>
            <w:r>
              <w:t>200m□；    大于200m□；   小于200mR</w:t>
            </w:r>
          </w:p>
        </w:tc>
      </w:tr>
      <w:tr w14:paraId="7822F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037" w:type="dxa"/>
            <w:tcBorders>
              <w:top w:val="single" w:color="000000" w:sz="4" w:space="0"/>
              <w:left w:val="nil"/>
              <w:bottom w:val="single" w:color="000000" w:sz="4" w:space="0"/>
              <w:right w:val="single" w:color="000000" w:sz="4" w:space="0"/>
            </w:tcBorders>
            <w:vAlign w:val="center"/>
          </w:tcPr>
          <w:p w14:paraId="6FC2011A">
            <w:pPr>
              <w:pStyle w:val="96"/>
            </w:pPr>
            <w:r>
              <w:t>评价因子</w:t>
            </w:r>
          </w:p>
        </w:tc>
        <w:tc>
          <w:tcPr>
            <w:tcW w:w="1444" w:type="dxa"/>
            <w:tcBorders>
              <w:top w:val="single" w:color="000000" w:sz="4" w:space="0"/>
              <w:left w:val="single" w:color="000000" w:sz="4" w:space="0"/>
              <w:bottom w:val="single" w:color="000000" w:sz="4" w:space="0"/>
              <w:right w:val="single" w:color="000000" w:sz="4" w:space="0"/>
            </w:tcBorders>
            <w:vAlign w:val="center"/>
          </w:tcPr>
          <w:p w14:paraId="00B13F21">
            <w:pPr>
              <w:pStyle w:val="96"/>
            </w:pPr>
            <w:r>
              <w:t>评价因子</w:t>
            </w:r>
          </w:p>
        </w:tc>
        <w:tc>
          <w:tcPr>
            <w:tcW w:w="5831" w:type="dxa"/>
            <w:gridSpan w:val="9"/>
            <w:tcBorders>
              <w:top w:val="single" w:color="000000" w:sz="4" w:space="0"/>
              <w:left w:val="single" w:color="000000" w:sz="4" w:space="0"/>
              <w:bottom w:val="single" w:color="000000" w:sz="4" w:space="0"/>
              <w:right w:val="nil"/>
            </w:tcBorders>
            <w:vAlign w:val="center"/>
          </w:tcPr>
          <w:p w14:paraId="2ACF920E">
            <w:pPr>
              <w:pStyle w:val="96"/>
            </w:pPr>
            <w:r>
              <w:t>等效连续A声级R；最大A声级□；计权等效连续感觉噪声级□</w:t>
            </w:r>
          </w:p>
        </w:tc>
      </w:tr>
      <w:tr w14:paraId="7266B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1037" w:type="dxa"/>
            <w:tcBorders>
              <w:top w:val="nil"/>
              <w:left w:val="nil"/>
              <w:bottom w:val="single" w:color="000000" w:sz="4" w:space="0"/>
              <w:right w:val="single" w:color="000000" w:sz="4" w:space="0"/>
            </w:tcBorders>
            <w:vAlign w:val="center"/>
          </w:tcPr>
          <w:p w14:paraId="71848AD0">
            <w:pPr>
              <w:pStyle w:val="96"/>
            </w:pPr>
            <w:r>
              <w:t>评价标准</w:t>
            </w:r>
          </w:p>
        </w:tc>
        <w:tc>
          <w:tcPr>
            <w:tcW w:w="1444" w:type="dxa"/>
            <w:tcBorders>
              <w:top w:val="single" w:color="000000" w:sz="4" w:space="0"/>
              <w:left w:val="single" w:color="000000" w:sz="4" w:space="0"/>
              <w:bottom w:val="single" w:color="000000" w:sz="4" w:space="0"/>
              <w:right w:val="single" w:color="000000" w:sz="4" w:space="0"/>
            </w:tcBorders>
            <w:vAlign w:val="center"/>
          </w:tcPr>
          <w:p w14:paraId="04CE3425">
            <w:pPr>
              <w:pStyle w:val="96"/>
            </w:pPr>
            <w:r>
              <w:t>评价标准</w:t>
            </w:r>
          </w:p>
        </w:tc>
        <w:tc>
          <w:tcPr>
            <w:tcW w:w="5831" w:type="dxa"/>
            <w:gridSpan w:val="9"/>
            <w:tcBorders>
              <w:top w:val="single" w:color="000000" w:sz="4" w:space="0"/>
              <w:left w:val="single" w:color="000000" w:sz="4" w:space="0"/>
              <w:bottom w:val="single" w:color="000000" w:sz="4" w:space="0"/>
              <w:right w:val="nil"/>
            </w:tcBorders>
            <w:vAlign w:val="center"/>
          </w:tcPr>
          <w:p w14:paraId="75B3162D">
            <w:pPr>
              <w:pStyle w:val="96"/>
            </w:pPr>
            <w:r>
              <w:t>国家标准R；地方标准□；国外标准£</w:t>
            </w:r>
          </w:p>
        </w:tc>
      </w:tr>
      <w:tr w14:paraId="28C04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037" w:type="dxa"/>
            <w:vMerge w:val="restart"/>
            <w:tcBorders>
              <w:top w:val="nil"/>
              <w:left w:val="nil"/>
              <w:bottom w:val="single" w:color="000000" w:sz="4" w:space="0"/>
              <w:right w:val="single" w:color="000000" w:sz="4" w:space="0"/>
            </w:tcBorders>
            <w:vAlign w:val="center"/>
          </w:tcPr>
          <w:p w14:paraId="69D524F8">
            <w:pPr>
              <w:pStyle w:val="96"/>
            </w:pPr>
            <w:r>
              <w:t>现状评价</w:t>
            </w:r>
          </w:p>
        </w:tc>
        <w:tc>
          <w:tcPr>
            <w:tcW w:w="1444" w:type="dxa"/>
            <w:tcBorders>
              <w:top w:val="single" w:color="000000" w:sz="4" w:space="0"/>
              <w:left w:val="single" w:color="000000" w:sz="4" w:space="0"/>
              <w:bottom w:val="single" w:color="000000" w:sz="4" w:space="0"/>
              <w:right w:val="single" w:color="000000" w:sz="4" w:space="0"/>
            </w:tcBorders>
            <w:vAlign w:val="center"/>
          </w:tcPr>
          <w:p w14:paraId="30F83FCC">
            <w:pPr>
              <w:pStyle w:val="96"/>
            </w:pPr>
            <w:r>
              <w:t>环境功能区</w:t>
            </w:r>
          </w:p>
        </w:tc>
        <w:tc>
          <w:tcPr>
            <w:tcW w:w="992" w:type="dxa"/>
            <w:tcBorders>
              <w:top w:val="single" w:color="000000" w:sz="4" w:space="0"/>
              <w:left w:val="single" w:color="000000" w:sz="4" w:space="0"/>
              <w:bottom w:val="single" w:color="000000" w:sz="4" w:space="0"/>
              <w:right w:val="single" w:color="000000" w:sz="4" w:space="0"/>
            </w:tcBorders>
            <w:vAlign w:val="center"/>
          </w:tcPr>
          <w:p w14:paraId="3EB438B2">
            <w:pPr>
              <w:pStyle w:val="96"/>
            </w:pPr>
            <w:r>
              <w:t>0类区£</w:t>
            </w:r>
          </w:p>
        </w:tc>
        <w:tc>
          <w:tcPr>
            <w:tcW w:w="813" w:type="dxa"/>
            <w:gridSpan w:val="2"/>
            <w:tcBorders>
              <w:top w:val="single" w:color="000000" w:sz="4" w:space="0"/>
              <w:left w:val="single" w:color="000000" w:sz="4" w:space="0"/>
              <w:bottom w:val="single" w:color="000000" w:sz="4" w:space="0"/>
              <w:right w:val="single" w:color="000000" w:sz="4" w:space="0"/>
            </w:tcBorders>
            <w:vAlign w:val="center"/>
          </w:tcPr>
          <w:p w14:paraId="22EFD85C">
            <w:pPr>
              <w:pStyle w:val="96"/>
            </w:pPr>
            <w:r>
              <w:t>1类区£</w:t>
            </w:r>
          </w:p>
        </w:tc>
        <w:tc>
          <w:tcPr>
            <w:tcW w:w="1039" w:type="dxa"/>
            <w:tcBorders>
              <w:top w:val="single" w:color="000000" w:sz="4" w:space="0"/>
              <w:left w:val="single" w:color="000000" w:sz="4" w:space="0"/>
              <w:bottom w:val="single" w:color="000000" w:sz="4" w:space="0"/>
              <w:right w:val="single" w:color="000000" w:sz="4" w:space="0"/>
            </w:tcBorders>
            <w:vAlign w:val="center"/>
          </w:tcPr>
          <w:p w14:paraId="664C1723">
            <w:pPr>
              <w:pStyle w:val="96"/>
            </w:pPr>
            <w:r>
              <w:t>2类区£</w:t>
            </w:r>
          </w:p>
        </w:tc>
        <w:tc>
          <w:tcPr>
            <w:tcW w:w="1111" w:type="dxa"/>
            <w:tcBorders>
              <w:top w:val="single" w:color="000000" w:sz="4" w:space="0"/>
              <w:left w:val="single" w:color="000000" w:sz="4" w:space="0"/>
              <w:bottom w:val="single" w:color="000000" w:sz="4" w:space="0"/>
              <w:right w:val="single" w:color="000000" w:sz="4" w:space="0"/>
            </w:tcBorders>
            <w:vAlign w:val="center"/>
          </w:tcPr>
          <w:p w14:paraId="10209221">
            <w:pPr>
              <w:pStyle w:val="96"/>
            </w:pPr>
            <w:r>
              <w:t>3类区R</w:t>
            </w:r>
          </w:p>
        </w:tc>
        <w:tc>
          <w:tcPr>
            <w:tcW w:w="1058" w:type="dxa"/>
            <w:gridSpan w:val="3"/>
            <w:tcBorders>
              <w:top w:val="single" w:color="000000" w:sz="4" w:space="0"/>
              <w:left w:val="single" w:color="000000" w:sz="4" w:space="0"/>
              <w:bottom w:val="single" w:color="000000" w:sz="4" w:space="0"/>
              <w:right w:val="single" w:color="000000" w:sz="4" w:space="0"/>
            </w:tcBorders>
            <w:vAlign w:val="center"/>
          </w:tcPr>
          <w:p w14:paraId="4C92AB7E">
            <w:pPr>
              <w:pStyle w:val="96"/>
            </w:pPr>
            <w:r>
              <w:t>4a类区£</w:t>
            </w:r>
          </w:p>
        </w:tc>
        <w:tc>
          <w:tcPr>
            <w:tcW w:w="818" w:type="dxa"/>
            <w:tcBorders>
              <w:top w:val="single" w:color="000000" w:sz="4" w:space="0"/>
              <w:left w:val="single" w:color="000000" w:sz="4" w:space="0"/>
              <w:bottom w:val="single" w:color="000000" w:sz="4" w:space="0"/>
              <w:right w:val="nil"/>
            </w:tcBorders>
            <w:vAlign w:val="center"/>
          </w:tcPr>
          <w:p w14:paraId="31C9E0C2">
            <w:pPr>
              <w:pStyle w:val="96"/>
            </w:pPr>
            <w:r>
              <w:t>4b类区£</w:t>
            </w:r>
          </w:p>
        </w:tc>
      </w:tr>
      <w:tr w14:paraId="4996D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8312" w:type="dxa"/>
            <w:vMerge w:val="continue"/>
            <w:tcBorders>
              <w:top w:val="nil"/>
              <w:left w:val="nil"/>
              <w:bottom w:val="single" w:color="000000" w:sz="4" w:space="0"/>
              <w:right w:val="single" w:color="000000" w:sz="4" w:space="0"/>
            </w:tcBorders>
            <w:vAlign w:val="center"/>
          </w:tcPr>
          <w:p w14:paraId="7268062D">
            <w:pPr>
              <w:widowControl/>
              <w:jc w:val="left"/>
              <w:rPr>
                <w:sz w:val="21"/>
                <w:szCs w:val="21"/>
              </w:rPr>
            </w:pPr>
          </w:p>
        </w:tc>
        <w:tc>
          <w:tcPr>
            <w:tcW w:w="1444" w:type="dxa"/>
            <w:tcBorders>
              <w:top w:val="single" w:color="000000" w:sz="4" w:space="0"/>
              <w:left w:val="single" w:color="000000" w:sz="4" w:space="0"/>
              <w:bottom w:val="single" w:color="000000" w:sz="4" w:space="0"/>
              <w:right w:val="single" w:color="000000" w:sz="4" w:space="0"/>
            </w:tcBorders>
            <w:vAlign w:val="center"/>
          </w:tcPr>
          <w:p w14:paraId="1BC1D94C">
            <w:pPr>
              <w:pStyle w:val="96"/>
            </w:pPr>
            <w:r>
              <w:t>评价年度</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14:paraId="76B9F047">
            <w:pPr>
              <w:pStyle w:val="96"/>
            </w:pPr>
            <w:r>
              <w:t>初期R</w:t>
            </w:r>
          </w:p>
        </w:tc>
        <w:tc>
          <w:tcPr>
            <w:tcW w:w="1329" w:type="dxa"/>
            <w:gridSpan w:val="2"/>
            <w:tcBorders>
              <w:top w:val="single" w:color="000000" w:sz="4" w:space="0"/>
              <w:left w:val="single" w:color="000000" w:sz="4" w:space="0"/>
              <w:bottom w:val="single" w:color="000000" w:sz="4" w:space="0"/>
              <w:right w:val="single" w:color="000000" w:sz="4" w:space="0"/>
            </w:tcBorders>
            <w:vAlign w:val="center"/>
          </w:tcPr>
          <w:p w14:paraId="5643D26C">
            <w:pPr>
              <w:pStyle w:val="96"/>
            </w:pPr>
            <w:r>
              <w:t>近期£</w:t>
            </w:r>
          </w:p>
        </w:tc>
        <w:tc>
          <w:tcPr>
            <w:tcW w:w="1559" w:type="dxa"/>
            <w:gridSpan w:val="3"/>
            <w:tcBorders>
              <w:top w:val="single" w:color="000000" w:sz="4" w:space="0"/>
              <w:left w:val="single" w:color="000000" w:sz="4" w:space="0"/>
              <w:bottom w:val="single" w:color="000000" w:sz="4" w:space="0"/>
              <w:right w:val="single" w:color="000000" w:sz="4" w:space="0"/>
            </w:tcBorders>
            <w:vAlign w:val="center"/>
          </w:tcPr>
          <w:p w14:paraId="02EC522E">
            <w:pPr>
              <w:pStyle w:val="96"/>
            </w:pPr>
            <w:r>
              <w:t>中期£</w:t>
            </w:r>
          </w:p>
        </w:tc>
        <w:tc>
          <w:tcPr>
            <w:tcW w:w="1428" w:type="dxa"/>
            <w:gridSpan w:val="2"/>
            <w:tcBorders>
              <w:top w:val="single" w:color="000000" w:sz="4" w:space="0"/>
              <w:left w:val="single" w:color="000000" w:sz="4" w:space="0"/>
              <w:bottom w:val="single" w:color="000000" w:sz="4" w:space="0"/>
              <w:right w:val="nil"/>
            </w:tcBorders>
            <w:vAlign w:val="center"/>
          </w:tcPr>
          <w:p w14:paraId="3F195320">
            <w:pPr>
              <w:pStyle w:val="96"/>
            </w:pPr>
            <w:r>
              <w:t>远期£</w:t>
            </w:r>
          </w:p>
        </w:tc>
      </w:tr>
      <w:tr w14:paraId="74D0C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312" w:type="dxa"/>
            <w:vMerge w:val="continue"/>
            <w:tcBorders>
              <w:top w:val="nil"/>
              <w:left w:val="nil"/>
              <w:bottom w:val="single" w:color="000000" w:sz="4" w:space="0"/>
              <w:right w:val="single" w:color="000000" w:sz="4" w:space="0"/>
            </w:tcBorders>
            <w:vAlign w:val="center"/>
          </w:tcPr>
          <w:p w14:paraId="3AC7078B">
            <w:pPr>
              <w:widowControl/>
              <w:jc w:val="left"/>
              <w:rPr>
                <w:sz w:val="21"/>
                <w:szCs w:val="21"/>
              </w:rPr>
            </w:pPr>
          </w:p>
        </w:tc>
        <w:tc>
          <w:tcPr>
            <w:tcW w:w="1444" w:type="dxa"/>
            <w:tcBorders>
              <w:top w:val="single" w:color="000000" w:sz="4" w:space="0"/>
              <w:left w:val="single" w:color="000000" w:sz="4" w:space="0"/>
              <w:bottom w:val="single" w:color="000000" w:sz="4" w:space="0"/>
              <w:right w:val="single" w:color="000000" w:sz="4" w:space="0"/>
            </w:tcBorders>
            <w:vAlign w:val="center"/>
          </w:tcPr>
          <w:p w14:paraId="00792615">
            <w:pPr>
              <w:pStyle w:val="96"/>
            </w:pPr>
            <w:r>
              <w:t>现状调查方法</w:t>
            </w:r>
          </w:p>
        </w:tc>
        <w:tc>
          <w:tcPr>
            <w:tcW w:w="5831" w:type="dxa"/>
            <w:gridSpan w:val="9"/>
            <w:tcBorders>
              <w:top w:val="single" w:color="000000" w:sz="4" w:space="0"/>
              <w:left w:val="single" w:color="000000" w:sz="4" w:space="0"/>
              <w:bottom w:val="single" w:color="000000" w:sz="4" w:space="0"/>
              <w:right w:val="nil"/>
            </w:tcBorders>
            <w:vAlign w:val="center"/>
          </w:tcPr>
          <w:p w14:paraId="42B6AB27">
            <w:pPr>
              <w:pStyle w:val="96"/>
            </w:pPr>
            <w:r>
              <w:t>现场实测法R；现场实测加模型计算法□；收集资料£；</w:t>
            </w:r>
          </w:p>
        </w:tc>
      </w:tr>
      <w:tr w14:paraId="58F78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jc w:val="center"/>
        </w:trPr>
        <w:tc>
          <w:tcPr>
            <w:tcW w:w="8312" w:type="dxa"/>
            <w:vMerge w:val="continue"/>
            <w:tcBorders>
              <w:top w:val="nil"/>
              <w:left w:val="nil"/>
              <w:bottom w:val="single" w:color="000000" w:sz="4" w:space="0"/>
              <w:right w:val="single" w:color="000000" w:sz="4" w:space="0"/>
            </w:tcBorders>
            <w:vAlign w:val="center"/>
          </w:tcPr>
          <w:p w14:paraId="079C11A3">
            <w:pPr>
              <w:widowControl/>
              <w:jc w:val="left"/>
              <w:rPr>
                <w:sz w:val="21"/>
                <w:szCs w:val="21"/>
              </w:rPr>
            </w:pPr>
          </w:p>
        </w:tc>
        <w:tc>
          <w:tcPr>
            <w:tcW w:w="1444" w:type="dxa"/>
            <w:tcBorders>
              <w:top w:val="single" w:color="000000" w:sz="4" w:space="0"/>
              <w:left w:val="single" w:color="000000" w:sz="4" w:space="0"/>
              <w:bottom w:val="single" w:color="000000" w:sz="4" w:space="0"/>
              <w:right w:val="single" w:color="000000" w:sz="4" w:space="0"/>
            </w:tcBorders>
            <w:vAlign w:val="center"/>
          </w:tcPr>
          <w:p w14:paraId="095D4E4B">
            <w:pPr>
              <w:pStyle w:val="96"/>
            </w:pPr>
            <w:r>
              <w:t>现状评价</w:t>
            </w:r>
          </w:p>
        </w:tc>
        <w:tc>
          <w:tcPr>
            <w:tcW w:w="2844" w:type="dxa"/>
            <w:gridSpan w:val="4"/>
            <w:tcBorders>
              <w:top w:val="single" w:color="000000" w:sz="4" w:space="0"/>
              <w:left w:val="single" w:color="000000" w:sz="4" w:space="0"/>
              <w:bottom w:val="single" w:color="000000" w:sz="4" w:space="0"/>
              <w:right w:val="single" w:color="000000" w:sz="4" w:space="0"/>
            </w:tcBorders>
            <w:vAlign w:val="center"/>
          </w:tcPr>
          <w:p w14:paraId="5B914FF0">
            <w:pPr>
              <w:pStyle w:val="96"/>
            </w:pPr>
            <w:r>
              <w:t>达标百分比</w:t>
            </w:r>
          </w:p>
        </w:tc>
        <w:tc>
          <w:tcPr>
            <w:tcW w:w="2987" w:type="dxa"/>
            <w:gridSpan w:val="5"/>
            <w:tcBorders>
              <w:top w:val="single" w:color="000000" w:sz="4" w:space="0"/>
              <w:left w:val="single" w:color="000000" w:sz="4" w:space="0"/>
              <w:bottom w:val="single" w:color="000000" w:sz="4" w:space="0"/>
              <w:right w:val="nil"/>
            </w:tcBorders>
            <w:vAlign w:val="center"/>
          </w:tcPr>
          <w:p w14:paraId="70B488F8">
            <w:pPr>
              <w:pStyle w:val="96"/>
            </w:pPr>
            <w:r>
              <w:t>100%</w:t>
            </w:r>
          </w:p>
        </w:tc>
      </w:tr>
      <w:tr w14:paraId="738E9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037" w:type="dxa"/>
            <w:tcBorders>
              <w:top w:val="single" w:color="000000" w:sz="4" w:space="0"/>
              <w:left w:val="nil"/>
              <w:bottom w:val="single" w:color="000000" w:sz="4" w:space="0"/>
              <w:right w:val="single" w:color="000000" w:sz="4" w:space="0"/>
            </w:tcBorders>
            <w:vAlign w:val="center"/>
          </w:tcPr>
          <w:p w14:paraId="2B69AE28">
            <w:pPr>
              <w:pStyle w:val="96"/>
            </w:pPr>
            <w:r>
              <w:t>噪声源调查</w:t>
            </w:r>
          </w:p>
        </w:tc>
        <w:tc>
          <w:tcPr>
            <w:tcW w:w="1444" w:type="dxa"/>
            <w:tcBorders>
              <w:top w:val="single" w:color="000000" w:sz="4" w:space="0"/>
              <w:left w:val="single" w:color="000000" w:sz="4" w:space="0"/>
              <w:bottom w:val="single" w:color="000000" w:sz="4" w:space="0"/>
              <w:right w:val="single" w:color="000000" w:sz="4" w:space="0"/>
            </w:tcBorders>
            <w:vAlign w:val="center"/>
          </w:tcPr>
          <w:p w14:paraId="104AF51F">
            <w:pPr>
              <w:pStyle w:val="96"/>
            </w:pPr>
            <w:r>
              <w:t>噪声源调查方法</w:t>
            </w:r>
          </w:p>
        </w:tc>
        <w:tc>
          <w:tcPr>
            <w:tcW w:w="5831" w:type="dxa"/>
            <w:gridSpan w:val="9"/>
            <w:tcBorders>
              <w:top w:val="single" w:color="000000" w:sz="4" w:space="0"/>
              <w:left w:val="single" w:color="000000" w:sz="4" w:space="0"/>
              <w:bottom w:val="single" w:color="000000" w:sz="4" w:space="0"/>
              <w:right w:val="nil"/>
            </w:tcBorders>
            <w:vAlign w:val="center"/>
          </w:tcPr>
          <w:p w14:paraId="26AA6FC5">
            <w:pPr>
              <w:pStyle w:val="96"/>
            </w:pPr>
            <w:r>
              <w:t>现场实测法R；其他£                ；</w:t>
            </w:r>
          </w:p>
        </w:tc>
      </w:tr>
      <w:tr w14:paraId="52251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037" w:type="dxa"/>
            <w:vMerge w:val="restart"/>
            <w:tcBorders>
              <w:top w:val="nil"/>
              <w:left w:val="nil"/>
              <w:bottom w:val="single" w:color="000000" w:sz="4" w:space="0"/>
              <w:right w:val="single" w:color="000000" w:sz="4" w:space="0"/>
            </w:tcBorders>
            <w:vAlign w:val="center"/>
          </w:tcPr>
          <w:p w14:paraId="3FB62720">
            <w:pPr>
              <w:pStyle w:val="96"/>
            </w:pPr>
            <w:r>
              <w:t>声环境影响预测与评价</w:t>
            </w:r>
          </w:p>
        </w:tc>
        <w:tc>
          <w:tcPr>
            <w:tcW w:w="1444" w:type="dxa"/>
            <w:tcBorders>
              <w:top w:val="single" w:color="000000" w:sz="4" w:space="0"/>
              <w:left w:val="single" w:color="000000" w:sz="4" w:space="0"/>
              <w:bottom w:val="single" w:color="000000" w:sz="4" w:space="0"/>
              <w:right w:val="single" w:color="000000" w:sz="4" w:space="0"/>
            </w:tcBorders>
            <w:vAlign w:val="center"/>
          </w:tcPr>
          <w:p w14:paraId="4A07BFFB">
            <w:pPr>
              <w:pStyle w:val="96"/>
            </w:pPr>
            <w:r>
              <w:t>预测模型</w:t>
            </w:r>
          </w:p>
        </w:tc>
        <w:tc>
          <w:tcPr>
            <w:tcW w:w="5831" w:type="dxa"/>
            <w:gridSpan w:val="9"/>
            <w:tcBorders>
              <w:top w:val="single" w:color="000000" w:sz="4" w:space="0"/>
              <w:left w:val="single" w:color="000000" w:sz="4" w:space="0"/>
              <w:bottom w:val="single" w:color="000000" w:sz="4" w:space="0"/>
              <w:right w:val="nil"/>
            </w:tcBorders>
            <w:vAlign w:val="center"/>
          </w:tcPr>
          <w:p w14:paraId="265CD35B">
            <w:pPr>
              <w:pStyle w:val="96"/>
            </w:pPr>
            <w:r>
              <w:t>导则推荐模型R；生态补偿£；科研□；其他□；</w:t>
            </w:r>
          </w:p>
        </w:tc>
      </w:tr>
      <w:tr w14:paraId="1BF7D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312" w:type="dxa"/>
            <w:vMerge w:val="continue"/>
            <w:tcBorders>
              <w:top w:val="nil"/>
              <w:left w:val="nil"/>
              <w:bottom w:val="single" w:color="000000" w:sz="4" w:space="0"/>
              <w:right w:val="single" w:color="000000" w:sz="4" w:space="0"/>
            </w:tcBorders>
            <w:vAlign w:val="center"/>
          </w:tcPr>
          <w:p w14:paraId="73B15950">
            <w:pPr>
              <w:widowControl/>
              <w:jc w:val="left"/>
              <w:rPr>
                <w:sz w:val="21"/>
                <w:szCs w:val="21"/>
              </w:rPr>
            </w:pPr>
          </w:p>
        </w:tc>
        <w:tc>
          <w:tcPr>
            <w:tcW w:w="1444" w:type="dxa"/>
            <w:tcBorders>
              <w:top w:val="nil"/>
              <w:left w:val="single" w:color="000000" w:sz="4" w:space="0"/>
              <w:bottom w:val="single" w:color="000000" w:sz="4" w:space="0"/>
              <w:right w:val="single" w:color="000000" w:sz="4" w:space="0"/>
            </w:tcBorders>
            <w:vAlign w:val="center"/>
          </w:tcPr>
          <w:p w14:paraId="75BC4BAB">
            <w:pPr>
              <w:pStyle w:val="96"/>
            </w:pPr>
            <w:r>
              <w:t>预测范围</w:t>
            </w:r>
          </w:p>
        </w:tc>
        <w:tc>
          <w:tcPr>
            <w:tcW w:w="5831" w:type="dxa"/>
            <w:gridSpan w:val="9"/>
            <w:tcBorders>
              <w:top w:val="single" w:color="000000" w:sz="4" w:space="0"/>
              <w:left w:val="single" w:color="000000" w:sz="4" w:space="0"/>
              <w:bottom w:val="single" w:color="000000" w:sz="4" w:space="0"/>
              <w:right w:val="nil"/>
            </w:tcBorders>
            <w:vAlign w:val="center"/>
          </w:tcPr>
          <w:p w14:paraId="53AFD7D4">
            <w:pPr>
              <w:pStyle w:val="96"/>
            </w:pPr>
            <w:r>
              <w:t>200m□；    大于200m□；   小于200mR</w:t>
            </w:r>
          </w:p>
        </w:tc>
      </w:tr>
      <w:tr w14:paraId="1B475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312" w:type="dxa"/>
            <w:vMerge w:val="continue"/>
            <w:tcBorders>
              <w:top w:val="nil"/>
              <w:left w:val="nil"/>
              <w:bottom w:val="single" w:color="000000" w:sz="4" w:space="0"/>
              <w:right w:val="single" w:color="000000" w:sz="4" w:space="0"/>
            </w:tcBorders>
            <w:vAlign w:val="center"/>
          </w:tcPr>
          <w:p w14:paraId="0D39AED9">
            <w:pPr>
              <w:widowControl/>
              <w:jc w:val="left"/>
              <w:rPr>
                <w:sz w:val="21"/>
                <w:szCs w:val="21"/>
              </w:rPr>
            </w:pPr>
          </w:p>
        </w:tc>
        <w:tc>
          <w:tcPr>
            <w:tcW w:w="1444" w:type="dxa"/>
            <w:tcBorders>
              <w:top w:val="nil"/>
              <w:left w:val="single" w:color="000000" w:sz="4" w:space="0"/>
              <w:bottom w:val="single" w:color="000000" w:sz="4" w:space="0"/>
              <w:right w:val="single" w:color="000000" w:sz="4" w:space="0"/>
            </w:tcBorders>
            <w:vAlign w:val="center"/>
          </w:tcPr>
          <w:p w14:paraId="78F585D5">
            <w:pPr>
              <w:pStyle w:val="96"/>
            </w:pPr>
            <w:r>
              <w:t>预测因子</w:t>
            </w:r>
          </w:p>
        </w:tc>
        <w:tc>
          <w:tcPr>
            <w:tcW w:w="5831" w:type="dxa"/>
            <w:gridSpan w:val="9"/>
            <w:tcBorders>
              <w:top w:val="single" w:color="000000" w:sz="4" w:space="0"/>
              <w:left w:val="single" w:color="000000" w:sz="4" w:space="0"/>
              <w:bottom w:val="single" w:color="000000" w:sz="4" w:space="0"/>
              <w:right w:val="nil"/>
            </w:tcBorders>
            <w:vAlign w:val="center"/>
          </w:tcPr>
          <w:p w14:paraId="7E1C35C2">
            <w:pPr>
              <w:pStyle w:val="96"/>
            </w:pPr>
            <w:r>
              <w:t>等效连续A声级R；最大A声级□；计权等效连续感觉噪声级□</w:t>
            </w:r>
          </w:p>
        </w:tc>
      </w:tr>
      <w:tr w14:paraId="2335F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312" w:type="dxa"/>
            <w:vMerge w:val="continue"/>
            <w:tcBorders>
              <w:top w:val="nil"/>
              <w:left w:val="nil"/>
              <w:bottom w:val="single" w:color="000000" w:sz="4" w:space="0"/>
              <w:right w:val="single" w:color="000000" w:sz="4" w:space="0"/>
            </w:tcBorders>
            <w:vAlign w:val="center"/>
          </w:tcPr>
          <w:p w14:paraId="1BDD7AE4">
            <w:pPr>
              <w:widowControl/>
              <w:jc w:val="left"/>
              <w:rPr>
                <w:sz w:val="21"/>
                <w:szCs w:val="21"/>
              </w:rPr>
            </w:pPr>
          </w:p>
        </w:tc>
        <w:tc>
          <w:tcPr>
            <w:tcW w:w="1444" w:type="dxa"/>
            <w:tcBorders>
              <w:top w:val="nil"/>
              <w:left w:val="single" w:color="000000" w:sz="4" w:space="0"/>
              <w:bottom w:val="single" w:color="000000" w:sz="4" w:space="0"/>
              <w:right w:val="single" w:color="000000" w:sz="4" w:space="0"/>
            </w:tcBorders>
            <w:vAlign w:val="center"/>
          </w:tcPr>
          <w:p w14:paraId="1AC02FEF">
            <w:pPr>
              <w:pStyle w:val="96"/>
            </w:pPr>
            <w:r>
              <w:t>厂界噪声贡献值</w:t>
            </w:r>
          </w:p>
        </w:tc>
        <w:tc>
          <w:tcPr>
            <w:tcW w:w="5831" w:type="dxa"/>
            <w:gridSpan w:val="9"/>
            <w:tcBorders>
              <w:top w:val="single" w:color="000000" w:sz="4" w:space="0"/>
              <w:left w:val="single" w:color="000000" w:sz="4" w:space="0"/>
              <w:bottom w:val="single" w:color="000000" w:sz="4" w:space="0"/>
              <w:right w:val="nil"/>
            </w:tcBorders>
            <w:vAlign w:val="center"/>
          </w:tcPr>
          <w:p w14:paraId="59FB92A7">
            <w:pPr>
              <w:pStyle w:val="96"/>
            </w:pPr>
            <w:r>
              <w:t>达标R；不达标£</w:t>
            </w:r>
          </w:p>
        </w:tc>
      </w:tr>
      <w:tr w14:paraId="48F55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312" w:type="dxa"/>
            <w:vMerge w:val="continue"/>
            <w:tcBorders>
              <w:top w:val="nil"/>
              <w:left w:val="nil"/>
              <w:bottom w:val="single" w:color="000000" w:sz="4" w:space="0"/>
              <w:right w:val="single" w:color="000000" w:sz="4" w:space="0"/>
            </w:tcBorders>
            <w:vAlign w:val="center"/>
          </w:tcPr>
          <w:p w14:paraId="69778C1C">
            <w:pPr>
              <w:widowControl/>
              <w:jc w:val="left"/>
              <w:rPr>
                <w:sz w:val="21"/>
                <w:szCs w:val="21"/>
              </w:rPr>
            </w:pPr>
          </w:p>
        </w:tc>
        <w:tc>
          <w:tcPr>
            <w:tcW w:w="1444" w:type="dxa"/>
            <w:tcBorders>
              <w:top w:val="nil"/>
              <w:left w:val="single" w:color="000000" w:sz="4" w:space="0"/>
              <w:bottom w:val="single" w:color="000000" w:sz="4" w:space="0"/>
              <w:right w:val="single" w:color="000000" w:sz="4" w:space="0"/>
            </w:tcBorders>
            <w:vAlign w:val="center"/>
          </w:tcPr>
          <w:p w14:paraId="2A46EB89">
            <w:pPr>
              <w:pStyle w:val="96"/>
            </w:pPr>
            <w:r>
              <w:t>声环境保护目标处噪声值</w:t>
            </w:r>
          </w:p>
        </w:tc>
        <w:tc>
          <w:tcPr>
            <w:tcW w:w="5831" w:type="dxa"/>
            <w:gridSpan w:val="9"/>
            <w:tcBorders>
              <w:top w:val="single" w:color="000000" w:sz="4" w:space="0"/>
              <w:left w:val="single" w:color="000000" w:sz="4" w:space="0"/>
              <w:bottom w:val="single" w:color="000000" w:sz="4" w:space="0"/>
              <w:right w:val="nil"/>
            </w:tcBorders>
            <w:vAlign w:val="center"/>
          </w:tcPr>
          <w:p w14:paraId="7DC6A6AE">
            <w:pPr>
              <w:pStyle w:val="96"/>
            </w:pPr>
            <w:r>
              <w:t>达标R；不达标£</w:t>
            </w:r>
          </w:p>
        </w:tc>
      </w:tr>
      <w:tr w14:paraId="6FA06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037" w:type="dxa"/>
            <w:vMerge w:val="restart"/>
            <w:tcBorders>
              <w:top w:val="nil"/>
              <w:left w:val="nil"/>
              <w:bottom w:val="single" w:color="000000" w:sz="4" w:space="0"/>
              <w:right w:val="single" w:color="000000" w:sz="4" w:space="0"/>
            </w:tcBorders>
            <w:vAlign w:val="center"/>
          </w:tcPr>
          <w:p w14:paraId="084DD531">
            <w:pPr>
              <w:pStyle w:val="96"/>
            </w:pPr>
            <w:r>
              <w:t>环境监测计划</w:t>
            </w:r>
          </w:p>
        </w:tc>
        <w:tc>
          <w:tcPr>
            <w:tcW w:w="1444" w:type="dxa"/>
            <w:tcBorders>
              <w:top w:val="nil"/>
              <w:left w:val="single" w:color="000000" w:sz="4" w:space="0"/>
              <w:bottom w:val="single" w:color="000000" w:sz="4" w:space="0"/>
              <w:right w:val="single" w:color="000000" w:sz="4" w:space="0"/>
            </w:tcBorders>
            <w:vAlign w:val="center"/>
          </w:tcPr>
          <w:p w14:paraId="2CF8787E">
            <w:pPr>
              <w:pStyle w:val="96"/>
            </w:pPr>
            <w:r>
              <w:t>排放监测</w:t>
            </w:r>
          </w:p>
        </w:tc>
        <w:tc>
          <w:tcPr>
            <w:tcW w:w="5831" w:type="dxa"/>
            <w:gridSpan w:val="9"/>
            <w:tcBorders>
              <w:top w:val="single" w:color="000000" w:sz="4" w:space="0"/>
              <w:left w:val="single" w:color="000000" w:sz="4" w:space="0"/>
              <w:bottom w:val="single" w:color="000000" w:sz="4" w:space="0"/>
              <w:right w:val="nil"/>
            </w:tcBorders>
            <w:vAlign w:val="center"/>
          </w:tcPr>
          <w:p w14:paraId="53333C62">
            <w:pPr>
              <w:pStyle w:val="96"/>
            </w:pPr>
            <w:r>
              <w:t>厂界监测R；固定位置监测£；自动检测£；手动监测£；无监测£</w:t>
            </w:r>
          </w:p>
        </w:tc>
      </w:tr>
      <w:tr w14:paraId="1C653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312" w:type="dxa"/>
            <w:vMerge w:val="continue"/>
            <w:tcBorders>
              <w:top w:val="nil"/>
              <w:left w:val="nil"/>
              <w:bottom w:val="single" w:color="000000" w:sz="4" w:space="0"/>
              <w:right w:val="single" w:color="000000" w:sz="4" w:space="0"/>
            </w:tcBorders>
            <w:vAlign w:val="center"/>
          </w:tcPr>
          <w:p w14:paraId="77BAE209">
            <w:pPr>
              <w:widowControl/>
              <w:jc w:val="left"/>
              <w:rPr>
                <w:sz w:val="21"/>
                <w:szCs w:val="21"/>
              </w:rPr>
            </w:pPr>
          </w:p>
        </w:tc>
        <w:tc>
          <w:tcPr>
            <w:tcW w:w="1444" w:type="dxa"/>
            <w:tcBorders>
              <w:top w:val="nil"/>
              <w:left w:val="single" w:color="000000" w:sz="4" w:space="0"/>
              <w:bottom w:val="single" w:color="000000" w:sz="4" w:space="0"/>
              <w:right w:val="single" w:color="000000" w:sz="4" w:space="0"/>
            </w:tcBorders>
            <w:vAlign w:val="center"/>
          </w:tcPr>
          <w:p w14:paraId="577E66E2">
            <w:pPr>
              <w:pStyle w:val="96"/>
            </w:pPr>
            <w:r>
              <w:t>声环境保护目标处噪声监测</w:t>
            </w:r>
          </w:p>
        </w:tc>
        <w:tc>
          <w:tcPr>
            <w:tcW w:w="1805" w:type="dxa"/>
            <w:gridSpan w:val="3"/>
            <w:tcBorders>
              <w:top w:val="single" w:color="000000" w:sz="4" w:space="0"/>
              <w:left w:val="single" w:color="000000" w:sz="4" w:space="0"/>
              <w:bottom w:val="single" w:color="000000" w:sz="4" w:space="0"/>
              <w:right w:val="single" w:color="000000" w:sz="4" w:space="0"/>
            </w:tcBorders>
            <w:vAlign w:val="center"/>
          </w:tcPr>
          <w:p w14:paraId="273DD06F">
            <w:pPr>
              <w:pStyle w:val="96"/>
            </w:pPr>
            <w:r>
              <w:t>监测因子：（/）</w:t>
            </w:r>
          </w:p>
        </w:tc>
        <w:tc>
          <w:tcPr>
            <w:tcW w:w="2231" w:type="dxa"/>
            <w:gridSpan w:val="3"/>
            <w:tcBorders>
              <w:top w:val="single" w:color="000000" w:sz="4" w:space="0"/>
              <w:left w:val="single" w:color="000000" w:sz="4" w:space="0"/>
              <w:bottom w:val="single" w:color="000000" w:sz="4" w:space="0"/>
              <w:right w:val="single" w:color="000000" w:sz="4" w:space="0"/>
            </w:tcBorders>
            <w:vAlign w:val="center"/>
          </w:tcPr>
          <w:p w14:paraId="0971EE1F">
            <w:pPr>
              <w:pStyle w:val="96"/>
            </w:pPr>
            <w:r>
              <w:t>监测点位：（/）</w:t>
            </w:r>
          </w:p>
        </w:tc>
        <w:tc>
          <w:tcPr>
            <w:tcW w:w="1795" w:type="dxa"/>
            <w:gridSpan w:val="3"/>
            <w:tcBorders>
              <w:top w:val="single" w:color="000000" w:sz="4" w:space="0"/>
              <w:left w:val="single" w:color="000000" w:sz="4" w:space="0"/>
              <w:bottom w:val="single" w:color="000000" w:sz="4" w:space="0"/>
              <w:right w:val="nil"/>
            </w:tcBorders>
            <w:vAlign w:val="center"/>
          </w:tcPr>
          <w:p w14:paraId="72C8CCC9">
            <w:pPr>
              <w:pStyle w:val="96"/>
            </w:pPr>
            <w:r>
              <w:t>无监测£</w:t>
            </w:r>
          </w:p>
        </w:tc>
      </w:tr>
      <w:tr w14:paraId="633D4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2481" w:type="dxa"/>
            <w:gridSpan w:val="2"/>
            <w:tcBorders>
              <w:top w:val="nil"/>
              <w:left w:val="nil"/>
              <w:bottom w:val="single" w:color="000000" w:sz="4" w:space="0"/>
              <w:right w:val="single" w:color="000000" w:sz="4" w:space="0"/>
            </w:tcBorders>
            <w:vAlign w:val="center"/>
          </w:tcPr>
          <w:p w14:paraId="72FCA71C">
            <w:pPr>
              <w:pStyle w:val="96"/>
            </w:pPr>
            <w:r>
              <w:t>评价结论</w:t>
            </w:r>
          </w:p>
        </w:tc>
        <w:tc>
          <w:tcPr>
            <w:tcW w:w="5831" w:type="dxa"/>
            <w:gridSpan w:val="9"/>
            <w:tcBorders>
              <w:top w:val="single" w:color="000000" w:sz="4" w:space="0"/>
              <w:left w:val="single" w:color="000000" w:sz="4" w:space="0"/>
              <w:bottom w:val="single" w:color="000000" w:sz="4" w:space="0"/>
              <w:right w:val="nil"/>
            </w:tcBorders>
            <w:vAlign w:val="center"/>
          </w:tcPr>
          <w:p w14:paraId="61A3C805">
            <w:pPr>
              <w:pStyle w:val="96"/>
            </w:pPr>
            <w:r>
              <w:t>可行</w:t>
            </w:r>
            <w:r>
              <w:rPr>
                <w:rFonts w:ascii="Segoe UI Symbol" w:hAnsi="Segoe UI Symbol" w:cs="Segoe UI Symbol"/>
              </w:rPr>
              <w:t>☑</w:t>
            </w:r>
            <w:r>
              <w:t>；不可行□；</w:t>
            </w:r>
          </w:p>
        </w:tc>
      </w:tr>
      <w:tr w14:paraId="6A0B1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8312" w:type="dxa"/>
            <w:gridSpan w:val="11"/>
            <w:tcBorders>
              <w:top w:val="nil"/>
              <w:left w:val="nil"/>
              <w:bottom w:val="single" w:color="000000" w:sz="12" w:space="0"/>
              <w:right w:val="nil"/>
            </w:tcBorders>
            <w:vAlign w:val="center"/>
          </w:tcPr>
          <w:p w14:paraId="402F1A27">
            <w:pPr>
              <w:pStyle w:val="96"/>
            </w:pPr>
            <w:r>
              <w:t>注：“□”为勾选项，可√；“（</w:t>
            </w:r>
            <w:r>
              <w:tab/>
            </w:r>
            <w:r>
              <w:t>）”为内容填写项。</w:t>
            </w:r>
          </w:p>
        </w:tc>
      </w:tr>
    </w:tbl>
    <w:p w14:paraId="46B68651">
      <w:pPr>
        <w:pStyle w:val="5"/>
        <w:spacing w:before="120"/>
      </w:pPr>
      <w:r>
        <w:t>运营期固体废物环境影响分析与评价</w:t>
      </w:r>
    </w:p>
    <w:p w14:paraId="634B9948">
      <w:pPr>
        <w:pStyle w:val="6"/>
        <w:spacing w:before="120" w:after="120"/>
      </w:pPr>
      <w:r>
        <w:t>固体废物环境影响分析</w:t>
      </w:r>
    </w:p>
    <w:p w14:paraId="66444069">
      <w:pPr>
        <w:pStyle w:val="3"/>
        <w:ind w:firstLine="480"/>
      </w:pPr>
      <w:r>
        <w:t>本次技改后，新增固废主要为新增精炼炉精炼过程产生冶炼渣，与现有工程产生的冶炼渣一同优先送至岩棉保温炉用于岩棉生产，剩余冷却后作为一般固废外售处置。烧结废气处理过程产生的脱硫石膏作为一般固废外售处置。废气处理装置收尘灰作为原料回收再利用，暂存于原料库中的粉料仓内，减少污染物排放。</w:t>
      </w:r>
    </w:p>
    <w:p w14:paraId="6367F381">
      <w:pPr>
        <w:pStyle w:val="3"/>
        <w:ind w:firstLine="480"/>
      </w:pPr>
      <w:r>
        <w:t>本项目不新增劳动定员，不新增生活垃圾。现有生活垃圾收集后委托环卫部门拉运至生活垃圾填埋场填埋处置。</w:t>
      </w:r>
    </w:p>
    <w:p w14:paraId="25F58344">
      <w:pPr>
        <w:pStyle w:val="3"/>
        <w:ind w:firstLine="480"/>
      </w:pPr>
      <w:r>
        <w:t>综上，在采取相关固体废物污染防治措施后，本项目固废对环境影响可以接受。</w:t>
      </w:r>
    </w:p>
    <w:p w14:paraId="56B994A7">
      <w:pPr>
        <w:pStyle w:val="6"/>
        <w:spacing w:before="120" w:after="120"/>
      </w:pPr>
      <w:r>
        <w:t>固体废物污染防治措施</w:t>
      </w:r>
    </w:p>
    <w:p w14:paraId="2888B96A">
      <w:pPr>
        <w:pStyle w:val="3"/>
        <w:ind w:firstLine="480"/>
      </w:pPr>
      <w:r>
        <w:t>本技改项目现状固体废物得到合理处置并通过环保验收，原料库位于西侧，建筑面积为1500m</w:t>
      </w:r>
      <w:r>
        <w:rPr>
          <w:vertAlign w:val="superscript"/>
        </w:rPr>
        <w:t>2</w:t>
      </w:r>
      <w:r>
        <w:t>，结构形式为混凝土排架柱；库房内设有1座18m</w:t>
      </w:r>
      <w:r>
        <w:rPr>
          <w:vertAlign w:val="superscript"/>
        </w:rPr>
        <w:t>3</w:t>
      </w:r>
      <w:r>
        <w:t>集水坑，地面防渗采用抗渗混凝土硬化。</w:t>
      </w:r>
    </w:p>
    <w:p w14:paraId="203DDCD2">
      <w:pPr>
        <w:pStyle w:val="5"/>
        <w:spacing w:before="120"/>
      </w:pPr>
      <w:r>
        <w:t>运营期土壤环境影响分析与评价</w:t>
      </w:r>
    </w:p>
    <w:p w14:paraId="004D1872">
      <w:pPr>
        <w:pStyle w:val="6"/>
        <w:spacing w:before="120" w:after="120"/>
      </w:pPr>
      <w:r>
        <w:t>土壤环境影响类型及途径</w:t>
      </w:r>
    </w:p>
    <w:p w14:paraId="28AF6AB6">
      <w:pPr>
        <w:pStyle w:val="3"/>
        <w:adjustRightInd w:val="0"/>
        <w:snapToGrid w:val="0"/>
        <w:ind w:firstLine="480"/>
      </w:pPr>
      <w:r>
        <w:t>本项目属于土壤评价行业分类中的“制造业——金属冶炼和压延加工及非金属矿物制品——其它”，为Ⅲ类项目，占地规模属于“小型”，项目区周边500m范围内（评价范围内）分布有农田，土壤敏感程度为“敏感”。本项目土壤环境影响评价等级判定为三级，土壤环境影响类型为污染影响型。</w:t>
      </w:r>
    </w:p>
    <w:p w14:paraId="6C9DA2C8">
      <w:pPr>
        <w:pStyle w:val="3"/>
        <w:adjustRightInd w:val="0"/>
        <w:snapToGrid w:val="0"/>
        <w:ind w:firstLine="480"/>
      </w:pPr>
      <w:r>
        <w:t>污染物进入土壤的方式包括大气沉降、地面漫流以及重金属等物质进入土壤环境引起的重金属富集等。</w:t>
      </w:r>
    </w:p>
    <w:p w14:paraId="767AB2A3">
      <w:pPr>
        <w:pStyle w:val="3"/>
        <w:adjustRightInd w:val="0"/>
        <w:snapToGrid w:val="0"/>
        <w:ind w:firstLine="480"/>
      </w:pPr>
      <w:r>
        <w:t>运营期项目生产车间、事故水池、危废暂存间、临时存渣场、一般固废临时贮存场、炉渣水淬池等均按照建设规范要求进行防渗，不会形成地面漫流和垂直入渗的情况，日常操作过程中，严格按照安全生产积水规范进行，发生火灾爆炸的概率较小，其他情况可以忽略不计，因此，主要影响途径为大气沉降。车间内产生的废气（SO</w:t>
      </w:r>
      <w:r>
        <w:rPr>
          <w:vertAlign w:val="subscript"/>
        </w:rPr>
        <w:t>2</w:t>
      </w:r>
      <w:r>
        <w:t>、NO</w:t>
      </w:r>
      <w:r>
        <w:rPr>
          <w:vertAlign w:val="subscript"/>
        </w:rPr>
        <w:t>2</w:t>
      </w:r>
      <w:r>
        <w:t>、烟尘等）经处理后达标排放，废气中部分污染物会随着降雨进入土壤中，从而污染土壤环境。</w:t>
      </w:r>
    </w:p>
    <w:p w14:paraId="5C240B47">
      <w:pPr>
        <w:pStyle w:val="3"/>
        <w:adjustRightInd w:val="0"/>
        <w:snapToGrid w:val="0"/>
        <w:ind w:firstLine="480"/>
      </w:pPr>
      <w:r>
        <w:t>综上所述，本项目运营期对土壤环境主要影响途径为大气沉降。</w:t>
      </w:r>
    </w:p>
    <w:p w14:paraId="6DD18A91">
      <w:pPr>
        <w:pStyle w:val="6"/>
        <w:spacing w:before="120" w:after="120"/>
      </w:pPr>
      <w:bookmarkStart w:id="206" w:name="_Toc24482"/>
      <w:bookmarkStart w:id="207" w:name="_Toc32109"/>
      <w:bookmarkStart w:id="208" w:name="_Toc2568"/>
      <w:r>
        <w:t>影响因子</w:t>
      </w:r>
    </w:p>
    <w:bookmarkEnd w:id="206"/>
    <w:bookmarkEnd w:id="207"/>
    <w:bookmarkEnd w:id="208"/>
    <w:p w14:paraId="1ABDCC79">
      <w:pPr>
        <w:pStyle w:val="3"/>
        <w:adjustRightInd w:val="0"/>
        <w:snapToGrid w:val="0"/>
        <w:ind w:firstLine="480"/>
      </w:pPr>
      <w:bookmarkStart w:id="209" w:name="_Hlk172076107"/>
      <w:bookmarkStart w:id="210" w:name="_Hlk172048316"/>
      <w:r>
        <w:t>项目土壤环境影响因子识别如下表所示。</w:t>
      </w:r>
    </w:p>
    <w:p w14:paraId="7E59F1BB">
      <w:pPr>
        <w:pStyle w:val="88"/>
        <w:rPr>
          <w:rFonts w:ascii="Times New Roman" w:hAnsi="Times New Roman" w:cs="Times New Roman"/>
        </w:rPr>
      </w:pPr>
      <w:r>
        <w:rPr>
          <w:rFonts w:ascii="Times New Roman" w:hAnsi="Times New Roman" w:cs="Times New Roman"/>
        </w:rPr>
        <w:t>表6.2.6-1 污染影响型项目土壤环境影响源及影响因子识别</w:t>
      </w:r>
    </w:p>
    <w:tbl>
      <w:tblPr>
        <w:tblStyle w:val="44"/>
        <w:tblW w:w="864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559"/>
        <w:gridCol w:w="1412"/>
        <w:gridCol w:w="1985"/>
        <w:gridCol w:w="1620"/>
        <w:gridCol w:w="789"/>
      </w:tblGrid>
      <w:tr w14:paraId="3AF61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76" w:type="dxa"/>
            <w:vAlign w:val="center"/>
          </w:tcPr>
          <w:p w14:paraId="5B9B807A">
            <w:pPr>
              <w:pStyle w:val="34"/>
              <w:rPr>
                <w:rFonts w:ascii="Calibri" w:hAnsi="Calibri"/>
              </w:rPr>
            </w:pPr>
            <w:r>
              <w:rPr>
                <w:rFonts w:ascii="Calibri" w:hAnsi="Calibri"/>
              </w:rPr>
              <w:t>污染源</w:t>
            </w:r>
          </w:p>
        </w:tc>
        <w:tc>
          <w:tcPr>
            <w:tcW w:w="1559" w:type="dxa"/>
            <w:vAlign w:val="center"/>
          </w:tcPr>
          <w:p w14:paraId="779CB7BC">
            <w:pPr>
              <w:pStyle w:val="34"/>
              <w:rPr>
                <w:rFonts w:ascii="Calibri" w:hAnsi="Calibri"/>
              </w:rPr>
            </w:pPr>
            <w:r>
              <w:rPr>
                <w:rFonts w:ascii="Calibri" w:hAnsi="Calibri"/>
              </w:rPr>
              <w:t>工艺流程/节点</w:t>
            </w:r>
          </w:p>
        </w:tc>
        <w:tc>
          <w:tcPr>
            <w:tcW w:w="1412" w:type="dxa"/>
            <w:vAlign w:val="center"/>
          </w:tcPr>
          <w:p w14:paraId="5241AB52">
            <w:pPr>
              <w:pStyle w:val="34"/>
              <w:rPr>
                <w:rFonts w:ascii="Calibri" w:hAnsi="Calibri"/>
              </w:rPr>
            </w:pPr>
            <w:r>
              <w:rPr>
                <w:rFonts w:ascii="Calibri" w:hAnsi="Calibri"/>
              </w:rPr>
              <w:t>污染途径</w:t>
            </w:r>
          </w:p>
        </w:tc>
        <w:tc>
          <w:tcPr>
            <w:tcW w:w="1985" w:type="dxa"/>
            <w:vAlign w:val="center"/>
          </w:tcPr>
          <w:p w14:paraId="3C5644BA">
            <w:pPr>
              <w:pStyle w:val="34"/>
              <w:rPr>
                <w:rFonts w:ascii="Calibri" w:hAnsi="Calibri"/>
              </w:rPr>
            </w:pPr>
            <w:r>
              <w:rPr>
                <w:rFonts w:ascii="Calibri" w:hAnsi="Calibri"/>
              </w:rPr>
              <w:t>全部污染物指标</w:t>
            </w:r>
          </w:p>
        </w:tc>
        <w:tc>
          <w:tcPr>
            <w:tcW w:w="1620" w:type="dxa"/>
            <w:vAlign w:val="center"/>
          </w:tcPr>
          <w:p w14:paraId="5497688A">
            <w:pPr>
              <w:pStyle w:val="34"/>
              <w:rPr>
                <w:rFonts w:ascii="Calibri" w:hAnsi="Calibri"/>
              </w:rPr>
            </w:pPr>
            <w:r>
              <w:rPr>
                <w:rFonts w:ascii="Calibri" w:hAnsi="Calibri"/>
              </w:rPr>
              <w:t>特征因子</w:t>
            </w:r>
          </w:p>
        </w:tc>
        <w:tc>
          <w:tcPr>
            <w:tcW w:w="789" w:type="dxa"/>
            <w:vAlign w:val="center"/>
          </w:tcPr>
          <w:p w14:paraId="4F924F39">
            <w:pPr>
              <w:pStyle w:val="34"/>
              <w:rPr>
                <w:rFonts w:ascii="Calibri" w:hAnsi="Calibri"/>
              </w:rPr>
            </w:pPr>
            <w:r>
              <w:rPr>
                <w:rFonts w:ascii="Calibri" w:hAnsi="Calibri"/>
              </w:rPr>
              <w:t>备注</w:t>
            </w:r>
          </w:p>
        </w:tc>
      </w:tr>
      <w:tr w14:paraId="6D792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76" w:type="dxa"/>
            <w:vAlign w:val="center"/>
          </w:tcPr>
          <w:p w14:paraId="0DC70979">
            <w:pPr>
              <w:pStyle w:val="34"/>
              <w:rPr>
                <w:rFonts w:ascii="Calibri" w:hAnsi="Calibri"/>
              </w:rPr>
            </w:pPr>
            <w:r>
              <w:rPr>
                <w:rFonts w:ascii="Calibri" w:hAnsi="Calibri"/>
              </w:rPr>
              <w:t>车间</w:t>
            </w:r>
          </w:p>
        </w:tc>
        <w:tc>
          <w:tcPr>
            <w:tcW w:w="1559" w:type="dxa"/>
            <w:vAlign w:val="center"/>
          </w:tcPr>
          <w:p w14:paraId="27C33170">
            <w:pPr>
              <w:pStyle w:val="34"/>
              <w:rPr>
                <w:rFonts w:ascii="Calibri" w:hAnsi="Calibri"/>
              </w:rPr>
            </w:pPr>
            <w:r>
              <w:rPr>
                <w:rFonts w:ascii="Calibri" w:hAnsi="Calibri"/>
              </w:rPr>
              <w:t>烧结机</w:t>
            </w:r>
          </w:p>
        </w:tc>
        <w:tc>
          <w:tcPr>
            <w:tcW w:w="1412" w:type="dxa"/>
            <w:vAlign w:val="center"/>
          </w:tcPr>
          <w:p w14:paraId="064C5E4C">
            <w:pPr>
              <w:pStyle w:val="34"/>
              <w:rPr>
                <w:rFonts w:ascii="Calibri" w:hAnsi="Calibri"/>
              </w:rPr>
            </w:pPr>
            <w:r>
              <w:rPr>
                <w:rFonts w:ascii="Calibri" w:hAnsi="Calibri"/>
              </w:rPr>
              <w:t>大气沉降</w:t>
            </w:r>
          </w:p>
        </w:tc>
        <w:tc>
          <w:tcPr>
            <w:tcW w:w="1985" w:type="dxa"/>
            <w:vAlign w:val="center"/>
          </w:tcPr>
          <w:p w14:paraId="3ACA3D76">
            <w:pPr>
              <w:pStyle w:val="34"/>
              <w:rPr>
                <w:rFonts w:ascii="Calibri" w:hAnsi="Calibri"/>
              </w:rPr>
            </w:pPr>
            <w:r>
              <w:rPr>
                <w:rFonts w:ascii="Calibri" w:hAnsi="Calibri"/>
              </w:rPr>
              <w:t>SO</w:t>
            </w:r>
            <w:r>
              <w:rPr>
                <w:rFonts w:ascii="Calibri" w:hAnsi="Calibri"/>
                <w:vertAlign w:val="subscript"/>
              </w:rPr>
              <w:t>2</w:t>
            </w:r>
            <w:r>
              <w:rPr>
                <w:rFonts w:ascii="Calibri" w:hAnsi="Calibri"/>
              </w:rPr>
              <w:t>、NO</w:t>
            </w:r>
            <w:r>
              <w:rPr>
                <w:rFonts w:ascii="Calibri" w:hAnsi="Calibri"/>
                <w:vertAlign w:val="subscript"/>
              </w:rPr>
              <w:t>2</w:t>
            </w:r>
            <w:r>
              <w:rPr>
                <w:rFonts w:ascii="Calibri" w:hAnsi="Calibri"/>
              </w:rPr>
              <w:t>、PM</w:t>
            </w:r>
            <w:r>
              <w:rPr>
                <w:rFonts w:ascii="Calibri" w:hAnsi="Calibri"/>
                <w:vertAlign w:val="subscript"/>
              </w:rPr>
              <w:t>10</w:t>
            </w:r>
            <w:r>
              <w:rPr>
                <w:rFonts w:ascii="Calibri" w:hAnsi="Calibri"/>
              </w:rPr>
              <w:t>、氟化物、二噁英类、NH</w:t>
            </w:r>
            <w:r>
              <w:rPr>
                <w:rFonts w:ascii="Calibri" w:hAnsi="Calibri"/>
                <w:vertAlign w:val="subscript"/>
              </w:rPr>
              <w:t>3</w:t>
            </w:r>
            <w:r>
              <w:rPr>
                <w:rFonts w:ascii="Calibri" w:hAnsi="Calibri"/>
              </w:rPr>
              <w:t>、TSP</w:t>
            </w:r>
          </w:p>
        </w:tc>
        <w:tc>
          <w:tcPr>
            <w:tcW w:w="1620" w:type="dxa"/>
            <w:vAlign w:val="center"/>
          </w:tcPr>
          <w:p w14:paraId="7BA4A604">
            <w:pPr>
              <w:pStyle w:val="34"/>
              <w:rPr>
                <w:rFonts w:ascii="Calibri" w:hAnsi="Calibri"/>
              </w:rPr>
            </w:pPr>
            <w:r>
              <w:rPr>
                <w:rFonts w:ascii="Calibri" w:hAnsi="Calibri"/>
              </w:rPr>
              <w:t>二噁英类</w:t>
            </w:r>
          </w:p>
        </w:tc>
        <w:tc>
          <w:tcPr>
            <w:tcW w:w="789" w:type="dxa"/>
            <w:vAlign w:val="center"/>
          </w:tcPr>
          <w:p w14:paraId="7681D299">
            <w:pPr>
              <w:pStyle w:val="34"/>
              <w:rPr>
                <w:rFonts w:ascii="Calibri" w:hAnsi="Calibri"/>
              </w:rPr>
            </w:pPr>
          </w:p>
        </w:tc>
      </w:tr>
      <w:tr w14:paraId="0E3D5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76" w:type="dxa"/>
            <w:vAlign w:val="center"/>
          </w:tcPr>
          <w:p w14:paraId="5CEDFC52">
            <w:pPr>
              <w:pStyle w:val="34"/>
              <w:rPr>
                <w:rFonts w:ascii="Calibri" w:hAnsi="Calibri"/>
              </w:rPr>
            </w:pPr>
            <w:r>
              <w:rPr>
                <w:rFonts w:ascii="Calibri" w:hAnsi="Calibri"/>
              </w:rPr>
              <w:t>原料大棚</w:t>
            </w:r>
          </w:p>
        </w:tc>
        <w:tc>
          <w:tcPr>
            <w:tcW w:w="1559" w:type="dxa"/>
            <w:vAlign w:val="center"/>
          </w:tcPr>
          <w:p w14:paraId="30F5ACA2">
            <w:pPr>
              <w:pStyle w:val="34"/>
              <w:rPr>
                <w:rFonts w:ascii="Calibri" w:hAnsi="Calibri"/>
              </w:rPr>
            </w:pPr>
            <w:r>
              <w:rPr>
                <w:rFonts w:ascii="Calibri" w:hAnsi="Calibri"/>
              </w:rPr>
              <w:t>存储、配料</w:t>
            </w:r>
          </w:p>
        </w:tc>
        <w:tc>
          <w:tcPr>
            <w:tcW w:w="1412" w:type="dxa"/>
            <w:vAlign w:val="center"/>
          </w:tcPr>
          <w:p w14:paraId="5BEC8A55">
            <w:pPr>
              <w:pStyle w:val="34"/>
              <w:rPr>
                <w:rFonts w:ascii="Calibri" w:hAnsi="Calibri"/>
              </w:rPr>
            </w:pPr>
            <w:r>
              <w:rPr>
                <w:rFonts w:ascii="Calibri" w:hAnsi="Calibri"/>
              </w:rPr>
              <w:t>大气沉降</w:t>
            </w:r>
          </w:p>
        </w:tc>
        <w:tc>
          <w:tcPr>
            <w:tcW w:w="1985" w:type="dxa"/>
            <w:vAlign w:val="center"/>
          </w:tcPr>
          <w:p w14:paraId="1C83C3A9">
            <w:pPr>
              <w:pStyle w:val="34"/>
              <w:rPr>
                <w:rFonts w:ascii="Calibri" w:hAnsi="Calibri"/>
              </w:rPr>
            </w:pPr>
            <w:r>
              <w:rPr>
                <w:rFonts w:ascii="Calibri" w:hAnsi="Calibri"/>
              </w:rPr>
              <w:t>颗粒物</w:t>
            </w:r>
          </w:p>
        </w:tc>
        <w:tc>
          <w:tcPr>
            <w:tcW w:w="1620" w:type="dxa"/>
            <w:vAlign w:val="center"/>
          </w:tcPr>
          <w:p w14:paraId="05F5E9A3">
            <w:pPr>
              <w:pStyle w:val="34"/>
              <w:rPr>
                <w:rFonts w:ascii="Calibri" w:hAnsi="Calibri"/>
              </w:rPr>
            </w:pPr>
            <w:r>
              <w:rPr>
                <w:rFonts w:ascii="Calibri" w:hAnsi="Calibri"/>
              </w:rPr>
              <w:t>颗粒物</w:t>
            </w:r>
          </w:p>
        </w:tc>
        <w:tc>
          <w:tcPr>
            <w:tcW w:w="789" w:type="dxa"/>
            <w:vAlign w:val="center"/>
          </w:tcPr>
          <w:p w14:paraId="4610D161">
            <w:pPr>
              <w:pStyle w:val="34"/>
              <w:rPr>
                <w:rFonts w:ascii="Calibri" w:hAnsi="Calibri"/>
              </w:rPr>
            </w:pPr>
          </w:p>
        </w:tc>
      </w:tr>
    </w:tbl>
    <w:p w14:paraId="61EAF8CA">
      <w:pPr>
        <w:pStyle w:val="6"/>
        <w:spacing w:before="120" w:after="120"/>
      </w:pPr>
      <w:r>
        <w:t>影响分析</w:t>
      </w:r>
    </w:p>
    <w:p w14:paraId="0E573FB1">
      <w:pPr>
        <w:pStyle w:val="3"/>
        <w:ind w:firstLine="480"/>
      </w:pPr>
      <w:r>
        <w:t>本次技改工程实施后涉及大气沉降的特征因子污染物排放量不变；根据最新土壤监测数据，未发现土壤污染现象。因此，项目在大气污染物达标排放情况下，污染物通过大气沉降进入土壤不会造成土壤环境污染。项目所在区域各环境点位、层面满足相关管理规定。项目建设对土壤环境影响较小，环境可接受。</w:t>
      </w:r>
    </w:p>
    <w:p w14:paraId="443328C4">
      <w:pPr>
        <w:pStyle w:val="6"/>
        <w:spacing w:before="120" w:after="120"/>
      </w:pPr>
      <w:r>
        <w:t>土壤污染防治措施</w:t>
      </w:r>
    </w:p>
    <w:p w14:paraId="79AFBB45">
      <w:pPr>
        <w:pStyle w:val="58"/>
        <w:ind w:firstLine="480"/>
        <w:rPr>
          <w:rFonts w:cs="Times New Roman"/>
        </w:rPr>
      </w:pPr>
      <w:r>
        <w:rPr>
          <w:rFonts w:cs="Times New Roman"/>
        </w:rPr>
        <w:t xml:space="preserve">（1）控制源头。企业生产过程中必须保证各环保设备正常运行，禁止超标排放。 </w:t>
      </w:r>
    </w:p>
    <w:p w14:paraId="65B03EA0">
      <w:pPr>
        <w:pStyle w:val="58"/>
        <w:ind w:firstLine="480"/>
        <w:rPr>
          <w:rFonts w:cs="Times New Roman"/>
        </w:rPr>
      </w:pPr>
      <w:r>
        <w:rPr>
          <w:rFonts w:cs="Times New Roman"/>
        </w:rPr>
        <w:t xml:space="preserve">（2）过程防控控制。占地范围内应采取绿化措施，以种植具有较强吸附能力的植物为主，减少大气沉降。同时研究行业特点和占地范围内土壤特性，按照相关技术要求采取过程阻断、污染削减和分区防控措施。 </w:t>
      </w:r>
    </w:p>
    <w:p w14:paraId="355F6401">
      <w:pPr>
        <w:pStyle w:val="58"/>
        <w:ind w:firstLine="480"/>
        <w:rPr>
          <w:rFonts w:cs="Times New Roman"/>
        </w:rPr>
      </w:pPr>
      <w:r>
        <w:rPr>
          <w:rFonts w:cs="Times New Roman"/>
        </w:rPr>
        <w:t>（3）定期开展跟踪监测。项目每年开展一次监测，监测指标为特征因子。</w:t>
      </w:r>
    </w:p>
    <w:p w14:paraId="278C5913">
      <w:pPr>
        <w:pStyle w:val="6"/>
        <w:spacing w:before="120" w:after="120"/>
      </w:pPr>
      <w:r>
        <w:t>土壤环境影响分析结论</w:t>
      </w:r>
    </w:p>
    <w:p w14:paraId="4E41F828">
      <w:pPr>
        <w:pStyle w:val="58"/>
        <w:ind w:firstLine="480"/>
        <w:rPr>
          <w:rFonts w:cs="Times New Roman"/>
        </w:rPr>
      </w:pPr>
      <w:r>
        <w:rPr>
          <w:rFonts w:cs="Times New Roman"/>
        </w:rPr>
        <w:t>本项目厂址位于产业园区内，建设项目所在区域土壤环境质量现状良好，各监测因子的监测值均可满足《土壤环境质量 建设用地土壤污染风险管控标准》（GB36600-2018）第二类用地筛选值标准的要求。根据分析结果，项目建设对土壤环境影响在可接受的范围内，在做好场地防渗和日常生产安全管理、环境管理的基础上，定期跟踪监测，从土壤环境影响角度，本项目的土壤环境影响可以接受。</w:t>
      </w:r>
    </w:p>
    <w:bookmarkEnd w:id="209"/>
    <w:bookmarkEnd w:id="210"/>
    <w:p w14:paraId="53D9F098">
      <w:pPr>
        <w:pStyle w:val="58"/>
        <w:ind w:firstLine="480"/>
        <w:rPr>
          <w:rFonts w:cs="Times New Roman"/>
          <w:szCs w:val="21"/>
        </w:rPr>
      </w:pPr>
      <w:r>
        <w:rPr>
          <w:rFonts w:cs="Times New Roman"/>
          <w:szCs w:val="21"/>
        </w:rPr>
        <w:t>本项目土壤环境影响自</w:t>
      </w:r>
      <w:r>
        <w:rPr>
          <w:rFonts w:cs="Times New Roman"/>
        </w:rPr>
        <w:t>查表</w:t>
      </w:r>
      <w:r>
        <w:rPr>
          <w:rFonts w:cs="Times New Roman"/>
          <w:szCs w:val="21"/>
        </w:rPr>
        <w:t>见表6.2.6-8。</w:t>
      </w:r>
    </w:p>
    <w:p w14:paraId="6AEFDDCB">
      <w:pPr>
        <w:pStyle w:val="40"/>
        <w:spacing w:before="120"/>
      </w:pPr>
      <w:r>
        <w:t>表6.2.6-8     土壤环境影响评价自查表</w:t>
      </w:r>
    </w:p>
    <w:tbl>
      <w:tblPr>
        <w:tblStyle w:val="4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1680"/>
        <w:gridCol w:w="1646"/>
        <w:gridCol w:w="19"/>
        <w:gridCol w:w="1262"/>
        <w:gridCol w:w="1264"/>
        <w:gridCol w:w="1271"/>
        <w:gridCol w:w="1267"/>
      </w:tblGrid>
      <w:tr w14:paraId="636A0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9" w:type="pct"/>
            <w:gridSpan w:val="2"/>
            <w:vAlign w:val="center"/>
          </w:tcPr>
          <w:p w14:paraId="0F1CA824">
            <w:pPr>
              <w:pStyle w:val="34"/>
              <w:rPr>
                <w:rFonts w:ascii="Calibri" w:hAnsi="Calibri"/>
              </w:rPr>
            </w:pPr>
            <w:r>
              <w:rPr>
                <w:rFonts w:ascii="Calibri" w:hAnsi="Calibri"/>
              </w:rPr>
              <w:t>工作内容</w:t>
            </w:r>
          </w:p>
        </w:tc>
        <w:tc>
          <w:tcPr>
            <w:tcW w:w="3086" w:type="pct"/>
            <w:gridSpan w:val="5"/>
            <w:vAlign w:val="center"/>
          </w:tcPr>
          <w:p w14:paraId="596B1610">
            <w:pPr>
              <w:pStyle w:val="34"/>
              <w:rPr>
                <w:rFonts w:ascii="Calibri" w:hAnsi="Calibri"/>
              </w:rPr>
            </w:pPr>
            <w:r>
              <w:rPr>
                <w:rFonts w:ascii="Calibri" w:hAnsi="Calibri"/>
              </w:rPr>
              <w:t>完成情况</w:t>
            </w:r>
          </w:p>
        </w:tc>
        <w:tc>
          <w:tcPr>
            <w:tcW w:w="714" w:type="pct"/>
            <w:vAlign w:val="center"/>
          </w:tcPr>
          <w:p w14:paraId="7C3A4B5C">
            <w:pPr>
              <w:pStyle w:val="34"/>
              <w:rPr>
                <w:rFonts w:ascii="Calibri" w:hAnsi="Calibri"/>
              </w:rPr>
            </w:pPr>
            <w:r>
              <w:rPr>
                <w:rFonts w:ascii="Calibri" w:hAnsi="Calibri"/>
              </w:rPr>
              <w:t>备注</w:t>
            </w:r>
          </w:p>
        </w:tc>
      </w:tr>
      <w:tr w14:paraId="6AC56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restart"/>
            <w:vAlign w:val="center"/>
          </w:tcPr>
          <w:p w14:paraId="7601F20F">
            <w:pPr>
              <w:pStyle w:val="34"/>
              <w:rPr>
                <w:rFonts w:ascii="Calibri" w:hAnsi="Calibri"/>
              </w:rPr>
            </w:pPr>
            <w:r>
              <w:rPr>
                <w:rFonts w:ascii="Calibri" w:hAnsi="Calibri"/>
              </w:rPr>
              <w:t>影</w:t>
            </w:r>
          </w:p>
          <w:p w14:paraId="43B01CD7">
            <w:pPr>
              <w:pStyle w:val="34"/>
              <w:rPr>
                <w:rFonts w:ascii="Calibri" w:hAnsi="Calibri"/>
              </w:rPr>
            </w:pPr>
            <w:r>
              <w:rPr>
                <w:rFonts w:ascii="Calibri" w:hAnsi="Calibri"/>
              </w:rPr>
              <w:t>响</w:t>
            </w:r>
          </w:p>
          <w:p w14:paraId="564F3374">
            <w:pPr>
              <w:pStyle w:val="34"/>
              <w:rPr>
                <w:rFonts w:ascii="Calibri" w:hAnsi="Calibri"/>
              </w:rPr>
            </w:pPr>
            <w:r>
              <w:rPr>
                <w:rFonts w:ascii="Calibri" w:hAnsi="Calibri"/>
              </w:rPr>
              <w:t>识</w:t>
            </w:r>
          </w:p>
          <w:p w14:paraId="3775D0B1">
            <w:pPr>
              <w:pStyle w:val="34"/>
              <w:rPr>
                <w:rFonts w:ascii="Calibri" w:hAnsi="Calibri"/>
              </w:rPr>
            </w:pPr>
            <w:r>
              <w:rPr>
                <w:rFonts w:ascii="Calibri" w:hAnsi="Calibri"/>
              </w:rPr>
              <w:t>别</w:t>
            </w:r>
          </w:p>
        </w:tc>
        <w:tc>
          <w:tcPr>
            <w:tcW w:w="948" w:type="pct"/>
            <w:vAlign w:val="center"/>
          </w:tcPr>
          <w:p w14:paraId="3DD3F130">
            <w:pPr>
              <w:pStyle w:val="34"/>
              <w:rPr>
                <w:rFonts w:ascii="Calibri" w:hAnsi="Calibri"/>
              </w:rPr>
            </w:pPr>
            <w:r>
              <w:rPr>
                <w:rFonts w:ascii="Calibri" w:hAnsi="Calibri"/>
              </w:rPr>
              <w:t>影响类型</w:t>
            </w:r>
          </w:p>
        </w:tc>
        <w:tc>
          <w:tcPr>
            <w:tcW w:w="3086" w:type="pct"/>
            <w:gridSpan w:val="5"/>
            <w:vAlign w:val="center"/>
          </w:tcPr>
          <w:p w14:paraId="06D8A4F1">
            <w:pPr>
              <w:pStyle w:val="34"/>
              <w:rPr>
                <w:rFonts w:ascii="Calibri" w:hAnsi="Calibri"/>
              </w:rPr>
            </w:pPr>
            <w:r>
              <w:rPr>
                <w:rFonts w:ascii="Calibri" w:hAnsi="Calibri"/>
              </w:rPr>
              <w:t>污染影响型</w:t>
            </w:r>
            <w:r>
              <w:rPr>
                <w:rFonts w:ascii="Calibri" w:hAnsi="Calibri"/>
              </w:rPr>
              <w:sym w:font="Wingdings 2" w:char="0052"/>
            </w:r>
            <w:r>
              <w:rPr>
                <w:rFonts w:ascii="Calibri" w:hAnsi="Calibri"/>
              </w:rPr>
              <w:t>；生态影响型□；两种兼有□</w:t>
            </w:r>
          </w:p>
        </w:tc>
        <w:tc>
          <w:tcPr>
            <w:tcW w:w="714" w:type="pct"/>
            <w:vAlign w:val="center"/>
          </w:tcPr>
          <w:p w14:paraId="403C779C">
            <w:pPr>
              <w:pStyle w:val="34"/>
              <w:rPr>
                <w:rFonts w:ascii="Calibri" w:hAnsi="Calibri"/>
              </w:rPr>
            </w:pPr>
          </w:p>
        </w:tc>
      </w:tr>
      <w:tr w14:paraId="53D80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33459F41">
            <w:pPr>
              <w:pStyle w:val="34"/>
              <w:rPr>
                <w:rFonts w:ascii="Calibri" w:hAnsi="Calibri"/>
              </w:rPr>
            </w:pPr>
          </w:p>
        </w:tc>
        <w:tc>
          <w:tcPr>
            <w:tcW w:w="948" w:type="pct"/>
            <w:vAlign w:val="center"/>
          </w:tcPr>
          <w:p w14:paraId="10FB5F1A">
            <w:pPr>
              <w:pStyle w:val="34"/>
              <w:rPr>
                <w:rFonts w:ascii="Calibri" w:hAnsi="Calibri"/>
              </w:rPr>
            </w:pPr>
            <w:r>
              <w:rPr>
                <w:rFonts w:ascii="Calibri" w:hAnsi="Calibri"/>
              </w:rPr>
              <w:t>土地利用类型</w:t>
            </w:r>
          </w:p>
        </w:tc>
        <w:tc>
          <w:tcPr>
            <w:tcW w:w="3086" w:type="pct"/>
            <w:gridSpan w:val="5"/>
            <w:vAlign w:val="center"/>
          </w:tcPr>
          <w:p w14:paraId="167C1DCC">
            <w:pPr>
              <w:pStyle w:val="34"/>
              <w:rPr>
                <w:rFonts w:ascii="Calibri" w:hAnsi="Calibri"/>
              </w:rPr>
            </w:pPr>
            <w:r>
              <w:rPr>
                <w:rFonts w:ascii="Calibri" w:hAnsi="Calibri"/>
              </w:rPr>
              <w:t>建设用地</w:t>
            </w:r>
            <w:r>
              <w:rPr>
                <w:rFonts w:ascii="Calibri" w:hAnsi="Calibri"/>
              </w:rPr>
              <w:sym w:font="Wingdings 2" w:char="0052"/>
            </w:r>
            <w:r>
              <w:rPr>
                <w:rFonts w:ascii="Calibri" w:hAnsi="Calibri"/>
              </w:rPr>
              <w:t>；农用地□；未利用地</w:t>
            </w:r>
          </w:p>
        </w:tc>
        <w:tc>
          <w:tcPr>
            <w:tcW w:w="714" w:type="pct"/>
            <w:vAlign w:val="center"/>
          </w:tcPr>
          <w:p w14:paraId="328FDB2D">
            <w:pPr>
              <w:pStyle w:val="34"/>
              <w:rPr>
                <w:rFonts w:ascii="Calibri" w:hAnsi="Calibri"/>
              </w:rPr>
            </w:pPr>
          </w:p>
        </w:tc>
      </w:tr>
      <w:tr w14:paraId="15442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2261FC48">
            <w:pPr>
              <w:pStyle w:val="34"/>
              <w:rPr>
                <w:rFonts w:ascii="Calibri" w:hAnsi="Calibri"/>
              </w:rPr>
            </w:pPr>
          </w:p>
        </w:tc>
        <w:tc>
          <w:tcPr>
            <w:tcW w:w="948" w:type="pct"/>
            <w:vAlign w:val="center"/>
          </w:tcPr>
          <w:p w14:paraId="24181699">
            <w:pPr>
              <w:pStyle w:val="34"/>
              <w:rPr>
                <w:rFonts w:ascii="Calibri" w:hAnsi="Calibri"/>
              </w:rPr>
            </w:pPr>
            <w:r>
              <w:rPr>
                <w:rFonts w:ascii="Calibri" w:hAnsi="Calibri"/>
              </w:rPr>
              <w:t>占地规模</w:t>
            </w:r>
          </w:p>
        </w:tc>
        <w:tc>
          <w:tcPr>
            <w:tcW w:w="3086" w:type="pct"/>
            <w:gridSpan w:val="5"/>
            <w:vAlign w:val="center"/>
          </w:tcPr>
          <w:p w14:paraId="4B27A726">
            <w:pPr>
              <w:pStyle w:val="34"/>
              <w:rPr>
                <w:rFonts w:ascii="Calibri" w:hAnsi="Calibri"/>
              </w:rPr>
            </w:pPr>
            <w:r>
              <w:rPr>
                <w:rFonts w:ascii="Calibri" w:hAnsi="Calibri"/>
              </w:rPr>
              <w:t>（0.618573）hm</w:t>
            </w:r>
            <w:r>
              <w:rPr>
                <w:rFonts w:ascii="Calibri" w:hAnsi="Calibri"/>
                <w:vertAlign w:val="superscript"/>
              </w:rPr>
              <w:t>2</w:t>
            </w:r>
          </w:p>
        </w:tc>
        <w:tc>
          <w:tcPr>
            <w:tcW w:w="714" w:type="pct"/>
            <w:vAlign w:val="center"/>
          </w:tcPr>
          <w:p w14:paraId="4B444627">
            <w:pPr>
              <w:pStyle w:val="34"/>
              <w:rPr>
                <w:rFonts w:ascii="Calibri" w:hAnsi="Calibri"/>
              </w:rPr>
            </w:pPr>
          </w:p>
        </w:tc>
      </w:tr>
      <w:tr w14:paraId="45A93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73C5E4CA">
            <w:pPr>
              <w:pStyle w:val="34"/>
              <w:rPr>
                <w:rFonts w:ascii="Calibri" w:hAnsi="Calibri"/>
              </w:rPr>
            </w:pPr>
          </w:p>
        </w:tc>
        <w:tc>
          <w:tcPr>
            <w:tcW w:w="948" w:type="pct"/>
            <w:vAlign w:val="center"/>
          </w:tcPr>
          <w:p w14:paraId="09E70ECD">
            <w:pPr>
              <w:pStyle w:val="34"/>
              <w:rPr>
                <w:rFonts w:ascii="Calibri" w:hAnsi="Calibri"/>
              </w:rPr>
            </w:pPr>
            <w:r>
              <w:rPr>
                <w:rFonts w:ascii="Calibri" w:hAnsi="Calibri"/>
              </w:rPr>
              <w:t>敏感目标信息</w:t>
            </w:r>
          </w:p>
        </w:tc>
        <w:tc>
          <w:tcPr>
            <w:tcW w:w="3086" w:type="pct"/>
            <w:gridSpan w:val="5"/>
            <w:vAlign w:val="center"/>
          </w:tcPr>
          <w:p w14:paraId="002F73DE">
            <w:pPr>
              <w:pStyle w:val="34"/>
              <w:rPr>
                <w:rFonts w:ascii="Calibri" w:hAnsi="Calibri"/>
              </w:rPr>
            </w:pPr>
            <w:r>
              <w:rPr>
                <w:rFonts w:ascii="Calibri" w:hAnsi="Calibri"/>
              </w:rPr>
              <w:t>敏感目标（农田）、方位（东北）、距离（75m）</w:t>
            </w:r>
          </w:p>
        </w:tc>
        <w:tc>
          <w:tcPr>
            <w:tcW w:w="714" w:type="pct"/>
            <w:vAlign w:val="center"/>
          </w:tcPr>
          <w:p w14:paraId="377CB143">
            <w:pPr>
              <w:pStyle w:val="34"/>
              <w:rPr>
                <w:rFonts w:ascii="Calibri" w:hAnsi="Calibri"/>
              </w:rPr>
            </w:pPr>
            <w:r>
              <w:rPr>
                <w:rFonts w:ascii="Calibri" w:hAnsi="Calibri"/>
              </w:rPr>
              <w:t>敏感</w:t>
            </w:r>
          </w:p>
        </w:tc>
      </w:tr>
      <w:tr w14:paraId="448E5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07DEC59E">
            <w:pPr>
              <w:pStyle w:val="34"/>
              <w:rPr>
                <w:rFonts w:ascii="Calibri" w:hAnsi="Calibri"/>
              </w:rPr>
            </w:pPr>
          </w:p>
        </w:tc>
        <w:tc>
          <w:tcPr>
            <w:tcW w:w="948" w:type="pct"/>
            <w:vAlign w:val="center"/>
          </w:tcPr>
          <w:p w14:paraId="084FE8E3">
            <w:pPr>
              <w:pStyle w:val="34"/>
              <w:rPr>
                <w:rFonts w:ascii="Calibri" w:hAnsi="Calibri"/>
              </w:rPr>
            </w:pPr>
            <w:r>
              <w:rPr>
                <w:rFonts w:ascii="Calibri" w:hAnsi="Calibri"/>
              </w:rPr>
              <w:t>影响途径</w:t>
            </w:r>
          </w:p>
        </w:tc>
        <w:tc>
          <w:tcPr>
            <w:tcW w:w="3086" w:type="pct"/>
            <w:gridSpan w:val="5"/>
            <w:vAlign w:val="center"/>
          </w:tcPr>
          <w:p w14:paraId="7CA5FF90">
            <w:pPr>
              <w:pStyle w:val="34"/>
              <w:rPr>
                <w:rFonts w:ascii="Calibri" w:hAnsi="Calibri"/>
              </w:rPr>
            </w:pPr>
            <w:r>
              <w:rPr>
                <w:rFonts w:ascii="Calibri" w:hAnsi="Calibri"/>
              </w:rPr>
              <w:t>大气沉降</w:t>
            </w:r>
            <w:r>
              <w:rPr>
                <w:rFonts w:ascii="Calibri" w:hAnsi="Calibri"/>
              </w:rPr>
              <w:sym w:font="Wingdings 2" w:char="0052"/>
            </w:r>
            <w:r>
              <w:rPr>
                <w:rFonts w:ascii="Calibri" w:hAnsi="Calibri"/>
              </w:rPr>
              <w:t>；地面漫流</w:t>
            </w:r>
            <w:r>
              <w:rPr>
                <w:rFonts w:ascii="Calibri" w:hAnsi="Calibri"/>
              </w:rPr>
              <w:sym w:font="Wingdings 2" w:char="00A3"/>
            </w:r>
            <w:r>
              <w:rPr>
                <w:rFonts w:ascii="Calibri" w:hAnsi="Calibri"/>
              </w:rPr>
              <w:t>；垂直入渗</w:t>
            </w:r>
            <w:r>
              <w:rPr>
                <w:rFonts w:ascii="Calibri" w:hAnsi="Calibri"/>
              </w:rPr>
              <w:sym w:font="Wingdings 2" w:char="00A3"/>
            </w:r>
            <w:r>
              <w:rPr>
                <w:rFonts w:ascii="Calibri" w:hAnsi="Calibri"/>
              </w:rPr>
              <w:t>；地下水位</w:t>
            </w:r>
            <w:r>
              <w:rPr>
                <w:rFonts w:ascii="Calibri" w:hAnsi="Calibri"/>
              </w:rPr>
              <w:sym w:font="Wingdings 2" w:char="00A3"/>
            </w:r>
            <w:r>
              <w:rPr>
                <w:rFonts w:ascii="Calibri" w:hAnsi="Calibri"/>
              </w:rPr>
              <w:t>；其他（）</w:t>
            </w:r>
          </w:p>
        </w:tc>
        <w:tc>
          <w:tcPr>
            <w:tcW w:w="714" w:type="pct"/>
            <w:vAlign w:val="center"/>
          </w:tcPr>
          <w:p w14:paraId="074A32DF">
            <w:pPr>
              <w:pStyle w:val="34"/>
              <w:rPr>
                <w:rFonts w:ascii="Calibri" w:hAnsi="Calibri"/>
              </w:rPr>
            </w:pPr>
          </w:p>
        </w:tc>
      </w:tr>
      <w:tr w14:paraId="30216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2487D22A">
            <w:pPr>
              <w:pStyle w:val="34"/>
              <w:rPr>
                <w:rFonts w:ascii="Calibri" w:hAnsi="Calibri"/>
              </w:rPr>
            </w:pPr>
          </w:p>
        </w:tc>
        <w:tc>
          <w:tcPr>
            <w:tcW w:w="948" w:type="pct"/>
            <w:vAlign w:val="center"/>
          </w:tcPr>
          <w:p w14:paraId="09966E80">
            <w:pPr>
              <w:pStyle w:val="34"/>
              <w:rPr>
                <w:rFonts w:ascii="Calibri" w:hAnsi="Calibri"/>
              </w:rPr>
            </w:pPr>
            <w:r>
              <w:rPr>
                <w:rFonts w:ascii="Calibri" w:hAnsi="Calibri"/>
              </w:rPr>
              <w:t>全部污染物</w:t>
            </w:r>
          </w:p>
        </w:tc>
        <w:tc>
          <w:tcPr>
            <w:tcW w:w="3086" w:type="pct"/>
            <w:gridSpan w:val="5"/>
            <w:vAlign w:val="center"/>
          </w:tcPr>
          <w:p w14:paraId="6B19E4C9">
            <w:pPr>
              <w:pStyle w:val="34"/>
              <w:rPr>
                <w:rFonts w:ascii="Calibri" w:hAnsi="Calibri"/>
              </w:rPr>
            </w:pPr>
            <w:r>
              <w:rPr>
                <w:rFonts w:ascii="Calibri" w:hAnsi="Calibri"/>
              </w:rPr>
              <w:t>SO</w:t>
            </w:r>
            <w:r>
              <w:rPr>
                <w:rFonts w:ascii="Calibri" w:hAnsi="Calibri"/>
                <w:vertAlign w:val="subscript"/>
              </w:rPr>
              <w:t>2</w:t>
            </w:r>
            <w:r>
              <w:rPr>
                <w:rFonts w:ascii="Calibri" w:hAnsi="Calibri"/>
              </w:rPr>
              <w:t>、NO</w:t>
            </w:r>
            <w:r>
              <w:rPr>
                <w:rFonts w:ascii="Calibri" w:hAnsi="Calibri"/>
                <w:vertAlign w:val="subscript"/>
              </w:rPr>
              <w:t>2</w:t>
            </w:r>
            <w:r>
              <w:rPr>
                <w:rFonts w:ascii="Calibri" w:hAnsi="Calibri"/>
              </w:rPr>
              <w:t>、PM</w:t>
            </w:r>
            <w:r>
              <w:rPr>
                <w:rFonts w:ascii="Calibri" w:hAnsi="Calibri"/>
                <w:vertAlign w:val="subscript"/>
              </w:rPr>
              <w:t>10</w:t>
            </w:r>
            <w:r>
              <w:rPr>
                <w:rFonts w:ascii="Calibri" w:hAnsi="Calibri"/>
              </w:rPr>
              <w:t>、氟化物、二噁英类、NH</w:t>
            </w:r>
            <w:r>
              <w:rPr>
                <w:rFonts w:ascii="Calibri" w:hAnsi="Calibri"/>
                <w:vertAlign w:val="subscript"/>
              </w:rPr>
              <w:t>3</w:t>
            </w:r>
            <w:r>
              <w:rPr>
                <w:rFonts w:ascii="Calibri" w:hAnsi="Calibri"/>
              </w:rPr>
              <w:t>、TSP</w:t>
            </w:r>
          </w:p>
        </w:tc>
        <w:tc>
          <w:tcPr>
            <w:tcW w:w="714" w:type="pct"/>
            <w:vAlign w:val="center"/>
          </w:tcPr>
          <w:p w14:paraId="5B6AED60">
            <w:pPr>
              <w:pStyle w:val="34"/>
              <w:rPr>
                <w:rFonts w:ascii="Calibri" w:hAnsi="Calibri"/>
              </w:rPr>
            </w:pPr>
          </w:p>
        </w:tc>
      </w:tr>
      <w:tr w14:paraId="0F93C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250" w:type="pct"/>
            <w:vMerge w:val="continue"/>
            <w:vAlign w:val="center"/>
          </w:tcPr>
          <w:p w14:paraId="0D743608">
            <w:pPr>
              <w:pStyle w:val="34"/>
              <w:rPr>
                <w:rFonts w:ascii="Calibri" w:hAnsi="Calibri"/>
              </w:rPr>
            </w:pPr>
          </w:p>
        </w:tc>
        <w:tc>
          <w:tcPr>
            <w:tcW w:w="948" w:type="pct"/>
            <w:vAlign w:val="center"/>
          </w:tcPr>
          <w:p w14:paraId="3E497DCA">
            <w:pPr>
              <w:pStyle w:val="34"/>
              <w:rPr>
                <w:rFonts w:ascii="Calibri" w:hAnsi="Calibri"/>
              </w:rPr>
            </w:pPr>
            <w:r>
              <w:rPr>
                <w:rFonts w:ascii="Calibri" w:hAnsi="Calibri"/>
              </w:rPr>
              <w:t>特征因子</w:t>
            </w:r>
          </w:p>
        </w:tc>
        <w:tc>
          <w:tcPr>
            <w:tcW w:w="3086" w:type="pct"/>
            <w:gridSpan w:val="5"/>
            <w:vAlign w:val="center"/>
          </w:tcPr>
          <w:p w14:paraId="246B80A8">
            <w:pPr>
              <w:pStyle w:val="34"/>
              <w:rPr>
                <w:rFonts w:ascii="Calibri" w:hAnsi="Calibri"/>
              </w:rPr>
            </w:pPr>
            <w:r>
              <w:rPr>
                <w:rFonts w:ascii="Calibri" w:hAnsi="Calibri"/>
              </w:rPr>
              <w:t>二噁英类</w:t>
            </w:r>
          </w:p>
        </w:tc>
        <w:tc>
          <w:tcPr>
            <w:tcW w:w="714" w:type="pct"/>
            <w:vAlign w:val="center"/>
          </w:tcPr>
          <w:p w14:paraId="4B337171">
            <w:pPr>
              <w:pStyle w:val="34"/>
              <w:rPr>
                <w:rFonts w:ascii="Calibri" w:hAnsi="Calibri"/>
              </w:rPr>
            </w:pPr>
          </w:p>
        </w:tc>
      </w:tr>
      <w:tr w14:paraId="261F9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3492C83C">
            <w:pPr>
              <w:pStyle w:val="34"/>
              <w:rPr>
                <w:rFonts w:ascii="Calibri" w:hAnsi="Calibri"/>
              </w:rPr>
            </w:pPr>
          </w:p>
        </w:tc>
        <w:tc>
          <w:tcPr>
            <w:tcW w:w="948" w:type="pct"/>
            <w:vAlign w:val="center"/>
          </w:tcPr>
          <w:p w14:paraId="7E187BF6">
            <w:pPr>
              <w:pStyle w:val="34"/>
              <w:rPr>
                <w:rFonts w:ascii="Calibri" w:hAnsi="Calibri"/>
              </w:rPr>
            </w:pPr>
            <w:r>
              <w:rPr>
                <w:rFonts w:ascii="Calibri" w:hAnsi="Calibri"/>
              </w:rPr>
              <w:t>所属土壤环境影响评价项目类别</w:t>
            </w:r>
          </w:p>
        </w:tc>
        <w:tc>
          <w:tcPr>
            <w:tcW w:w="3086" w:type="pct"/>
            <w:gridSpan w:val="5"/>
            <w:vAlign w:val="center"/>
          </w:tcPr>
          <w:p w14:paraId="0C58883A">
            <w:pPr>
              <w:pStyle w:val="34"/>
              <w:rPr>
                <w:rFonts w:ascii="Calibri" w:hAnsi="Calibri"/>
              </w:rPr>
            </w:pPr>
            <w:r>
              <w:rPr>
                <w:rFonts w:ascii="Calibri" w:hAnsi="Calibri"/>
              </w:rPr>
              <w:t>Ⅰ类</w:t>
            </w:r>
            <w:r>
              <w:rPr>
                <w:rFonts w:ascii="Calibri" w:hAnsi="Calibri"/>
              </w:rPr>
              <w:sym w:font="Wingdings 2" w:char="00A3"/>
            </w:r>
            <w:r>
              <w:rPr>
                <w:rFonts w:ascii="Calibri" w:hAnsi="Calibri"/>
              </w:rPr>
              <w:t>；Ⅱ类</w:t>
            </w:r>
            <w:r>
              <w:rPr>
                <w:rFonts w:ascii="Calibri" w:hAnsi="Calibri"/>
              </w:rPr>
              <w:sym w:font="Wingdings 2" w:char="00A3"/>
            </w:r>
            <w:r>
              <w:rPr>
                <w:rFonts w:ascii="Calibri" w:hAnsi="Calibri"/>
              </w:rPr>
              <w:t>；Ⅲ类</w:t>
            </w:r>
            <w:r>
              <w:rPr>
                <w:rFonts w:ascii="Calibri" w:hAnsi="Calibri"/>
              </w:rPr>
              <w:sym w:font="Wingdings 2" w:char="0052"/>
            </w:r>
            <w:r>
              <w:rPr>
                <w:rFonts w:ascii="Calibri" w:hAnsi="Calibri"/>
              </w:rPr>
              <w:t>；Ⅳ类</w:t>
            </w:r>
            <w:r>
              <w:rPr>
                <w:rFonts w:ascii="Calibri" w:hAnsi="Calibri"/>
              </w:rPr>
              <w:sym w:font="Wingdings 2" w:char="00A3"/>
            </w:r>
          </w:p>
        </w:tc>
        <w:tc>
          <w:tcPr>
            <w:tcW w:w="714" w:type="pct"/>
            <w:vAlign w:val="center"/>
          </w:tcPr>
          <w:p w14:paraId="3B6ED64A">
            <w:pPr>
              <w:pStyle w:val="34"/>
              <w:rPr>
                <w:rFonts w:ascii="Calibri" w:hAnsi="Calibri"/>
              </w:rPr>
            </w:pPr>
          </w:p>
        </w:tc>
      </w:tr>
      <w:tr w14:paraId="551C5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250C4895">
            <w:pPr>
              <w:pStyle w:val="34"/>
              <w:rPr>
                <w:rFonts w:ascii="Calibri" w:hAnsi="Calibri"/>
              </w:rPr>
            </w:pPr>
          </w:p>
        </w:tc>
        <w:tc>
          <w:tcPr>
            <w:tcW w:w="948" w:type="pct"/>
            <w:vAlign w:val="center"/>
          </w:tcPr>
          <w:p w14:paraId="634954B1">
            <w:pPr>
              <w:pStyle w:val="34"/>
              <w:rPr>
                <w:rFonts w:ascii="Calibri" w:hAnsi="Calibri"/>
              </w:rPr>
            </w:pPr>
            <w:r>
              <w:rPr>
                <w:rFonts w:ascii="Calibri" w:hAnsi="Calibri"/>
              </w:rPr>
              <w:t>敏感程度</w:t>
            </w:r>
          </w:p>
        </w:tc>
        <w:tc>
          <w:tcPr>
            <w:tcW w:w="3086" w:type="pct"/>
            <w:gridSpan w:val="5"/>
            <w:vAlign w:val="center"/>
          </w:tcPr>
          <w:p w14:paraId="0F42FEF8">
            <w:pPr>
              <w:pStyle w:val="34"/>
              <w:rPr>
                <w:rFonts w:ascii="Calibri" w:hAnsi="Calibri"/>
              </w:rPr>
            </w:pPr>
            <w:r>
              <w:rPr>
                <w:rFonts w:ascii="Calibri" w:hAnsi="Calibri"/>
              </w:rPr>
              <w:t>敏感</w:t>
            </w:r>
            <w:r>
              <w:rPr>
                <w:rFonts w:ascii="Calibri" w:hAnsi="Calibri"/>
              </w:rPr>
              <w:sym w:font="Wingdings 2" w:char="0052"/>
            </w:r>
            <w:r>
              <w:rPr>
                <w:rFonts w:ascii="Calibri" w:hAnsi="Calibri"/>
              </w:rPr>
              <w:t>；较敏感</w:t>
            </w:r>
            <w:r>
              <w:rPr>
                <w:rFonts w:ascii="Calibri" w:hAnsi="Calibri"/>
              </w:rPr>
              <w:sym w:font="Wingdings 2" w:char="00A3"/>
            </w:r>
            <w:r>
              <w:rPr>
                <w:rFonts w:ascii="Calibri" w:hAnsi="Calibri"/>
              </w:rPr>
              <w:t>；不敏感</w:t>
            </w:r>
            <w:r>
              <w:rPr>
                <w:rFonts w:ascii="Calibri" w:hAnsi="Calibri"/>
              </w:rPr>
              <w:sym w:font="Wingdings 2" w:char="00A3"/>
            </w:r>
          </w:p>
        </w:tc>
        <w:tc>
          <w:tcPr>
            <w:tcW w:w="714" w:type="pct"/>
            <w:vAlign w:val="center"/>
          </w:tcPr>
          <w:p w14:paraId="183C1C74">
            <w:pPr>
              <w:pStyle w:val="34"/>
              <w:rPr>
                <w:rFonts w:ascii="Calibri" w:hAnsi="Calibri"/>
              </w:rPr>
            </w:pPr>
          </w:p>
        </w:tc>
      </w:tr>
      <w:tr w14:paraId="58714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9" w:type="pct"/>
            <w:gridSpan w:val="2"/>
            <w:vAlign w:val="center"/>
          </w:tcPr>
          <w:p w14:paraId="3B1BF8E5">
            <w:pPr>
              <w:pStyle w:val="34"/>
              <w:rPr>
                <w:rFonts w:ascii="Calibri" w:hAnsi="Calibri"/>
              </w:rPr>
            </w:pPr>
            <w:r>
              <w:rPr>
                <w:rFonts w:ascii="Calibri" w:hAnsi="Calibri"/>
              </w:rPr>
              <w:t>评价工作等级</w:t>
            </w:r>
          </w:p>
        </w:tc>
        <w:tc>
          <w:tcPr>
            <w:tcW w:w="3086" w:type="pct"/>
            <w:gridSpan w:val="5"/>
            <w:vAlign w:val="center"/>
          </w:tcPr>
          <w:p w14:paraId="3B283A31">
            <w:pPr>
              <w:pStyle w:val="34"/>
              <w:rPr>
                <w:rFonts w:ascii="Calibri" w:hAnsi="Calibri"/>
              </w:rPr>
            </w:pPr>
            <w:r>
              <w:rPr>
                <w:rFonts w:ascii="Calibri" w:hAnsi="Calibri"/>
              </w:rPr>
              <w:t>一级</w:t>
            </w:r>
            <w:r>
              <w:rPr>
                <w:rFonts w:ascii="Calibri" w:hAnsi="Calibri"/>
              </w:rPr>
              <w:sym w:font="Wingdings 2" w:char="00A3"/>
            </w:r>
            <w:r>
              <w:rPr>
                <w:rFonts w:ascii="Calibri" w:hAnsi="Calibri"/>
              </w:rPr>
              <w:t>；二级</w:t>
            </w:r>
            <w:r>
              <w:rPr>
                <w:rFonts w:ascii="Calibri" w:hAnsi="Calibri"/>
              </w:rPr>
              <w:sym w:font="Wingdings 2" w:char="00A3"/>
            </w:r>
            <w:r>
              <w:rPr>
                <w:rFonts w:ascii="Calibri" w:hAnsi="Calibri"/>
              </w:rPr>
              <w:t>；三级</w:t>
            </w:r>
            <w:r>
              <w:rPr>
                <w:rFonts w:ascii="Calibri" w:hAnsi="Calibri"/>
              </w:rPr>
              <w:sym w:font="Wingdings 2" w:char="0052"/>
            </w:r>
          </w:p>
        </w:tc>
        <w:tc>
          <w:tcPr>
            <w:tcW w:w="714" w:type="pct"/>
            <w:vAlign w:val="center"/>
          </w:tcPr>
          <w:p w14:paraId="114D2AD7">
            <w:pPr>
              <w:pStyle w:val="34"/>
              <w:rPr>
                <w:rFonts w:ascii="Calibri" w:hAnsi="Calibri"/>
              </w:rPr>
            </w:pPr>
          </w:p>
        </w:tc>
      </w:tr>
      <w:tr w14:paraId="53B37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restart"/>
            <w:vAlign w:val="center"/>
          </w:tcPr>
          <w:p w14:paraId="0CBFD2D5">
            <w:pPr>
              <w:pStyle w:val="34"/>
              <w:rPr>
                <w:rFonts w:ascii="Calibri" w:hAnsi="Calibri"/>
              </w:rPr>
            </w:pPr>
            <w:r>
              <w:rPr>
                <w:rFonts w:ascii="Calibri" w:hAnsi="Calibri"/>
              </w:rPr>
              <w:t>现状调查内容</w:t>
            </w:r>
          </w:p>
        </w:tc>
        <w:tc>
          <w:tcPr>
            <w:tcW w:w="948" w:type="pct"/>
            <w:vAlign w:val="center"/>
          </w:tcPr>
          <w:p w14:paraId="3607FAB0">
            <w:pPr>
              <w:pStyle w:val="34"/>
              <w:rPr>
                <w:rFonts w:ascii="Calibri" w:hAnsi="Calibri"/>
              </w:rPr>
            </w:pPr>
            <w:r>
              <w:rPr>
                <w:rFonts w:ascii="Calibri" w:hAnsi="Calibri"/>
              </w:rPr>
              <w:t>资料收集</w:t>
            </w:r>
          </w:p>
        </w:tc>
        <w:tc>
          <w:tcPr>
            <w:tcW w:w="3086" w:type="pct"/>
            <w:gridSpan w:val="5"/>
            <w:vAlign w:val="center"/>
          </w:tcPr>
          <w:p w14:paraId="6B290C73">
            <w:pPr>
              <w:pStyle w:val="34"/>
              <w:rPr>
                <w:rFonts w:ascii="Calibri" w:hAnsi="Calibri"/>
              </w:rPr>
            </w:pPr>
            <w:r>
              <w:rPr>
                <w:rFonts w:ascii="Calibri" w:hAnsi="Calibri"/>
              </w:rPr>
              <w:t>a）</w:t>
            </w:r>
            <w:r>
              <w:rPr>
                <w:rFonts w:ascii="Calibri" w:hAnsi="Calibri"/>
              </w:rPr>
              <w:sym w:font="Wingdings 2" w:char="0052"/>
            </w:r>
            <w:r>
              <w:rPr>
                <w:rFonts w:ascii="Calibri" w:hAnsi="Calibri"/>
              </w:rPr>
              <w:t>；b）</w:t>
            </w:r>
            <w:r>
              <w:rPr>
                <w:rFonts w:ascii="Calibri" w:hAnsi="Calibri"/>
              </w:rPr>
              <w:sym w:font="Wingdings 2" w:char="0052"/>
            </w:r>
            <w:r>
              <w:rPr>
                <w:rFonts w:ascii="Calibri" w:hAnsi="Calibri"/>
              </w:rPr>
              <w:t>；c）</w:t>
            </w:r>
            <w:r>
              <w:rPr>
                <w:rFonts w:ascii="Calibri" w:hAnsi="Calibri"/>
              </w:rPr>
              <w:sym w:font="Wingdings 2" w:char="0052"/>
            </w:r>
            <w:r>
              <w:rPr>
                <w:rFonts w:ascii="Calibri" w:hAnsi="Calibri"/>
              </w:rPr>
              <w:t>；d）</w:t>
            </w:r>
            <w:r>
              <w:rPr>
                <w:rFonts w:ascii="Calibri" w:hAnsi="Calibri"/>
              </w:rPr>
              <w:sym w:font="Wingdings 2" w:char="0052"/>
            </w:r>
          </w:p>
        </w:tc>
        <w:tc>
          <w:tcPr>
            <w:tcW w:w="714" w:type="pct"/>
            <w:vAlign w:val="center"/>
          </w:tcPr>
          <w:p w14:paraId="20CF81CE">
            <w:pPr>
              <w:pStyle w:val="34"/>
              <w:rPr>
                <w:rFonts w:ascii="Calibri" w:hAnsi="Calibri"/>
              </w:rPr>
            </w:pPr>
          </w:p>
        </w:tc>
      </w:tr>
      <w:tr w14:paraId="7D63E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25E4A02F">
            <w:pPr>
              <w:pStyle w:val="34"/>
              <w:rPr>
                <w:rFonts w:ascii="Calibri" w:hAnsi="Calibri"/>
              </w:rPr>
            </w:pPr>
          </w:p>
        </w:tc>
        <w:tc>
          <w:tcPr>
            <w:tcW w:w="948" w:type="pct"/>
            <w:vAlign w:val="center"/>
          </w:tcPr>
          <w:p w14:paraId="4EE1F960">
            <w:pPr>
              <w:pStyle w:val="34"/>
              <w:rPr>
                <w:rFonts w:ascii="Calibri" w:hAnsi="Calibri"/>
              </w:rPr>
            </w:pPr>
            <w:r>
              <w:rPr>
                <w:rFonts w:ascii="Calibri" w:hAnsi="Calibri"/>
              </w:rPr>
              <w:t>理化特性</w:t>
            </w:r>
          </w:p>
        </w:tc>
        <w:tc>
          <w:tcPr>
            <w:tcW w:w="3086" w:type="pct"/>
            <w:gridSpan w:val="5"/>
            <w:vAlign w:val="center"/>
          </w:tcPr>
          <w:p w14:paraId="4E28AA98">
            <w:pPr>
              <w:pStyle w:val="34"/>
              <w:rPr>
                <w:rFonts w:ascii="Calibri" w:hAnsi="Calibri"/>
              </w:rPr>
            </w:pPr>
            <w:r>
              <w:rPr>
                <w:rFonts w:ascii="Calibri" w:hAnsi="Calibri"/>
              </w:rPr>
              <w:t>见土壤环境质量现状监测章节</w:t>
            </w:r>
          </w:p>
        </w:tc>
        <w:tc>
          <w:tcPr>
            <w:tcW w:w="714" w:type="pct"/>
            <w:vAlign w:val="center"/>
          </w:tcPr>
          <w:p w14:paraId="09257771">
            <w:pPr>
              <w:pStyle w:val="34"/>
              <w:rPr>
                <w:rFonts w:ascii="Calibri" w:hAnsi="Calibri"/>
              </w:rPr>
            </w:pPr>
          </w:p>
        </w:tc>
      </w:tr>
      <w:tr w14:paraId="1919D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7C52E8E8">
            <w:pPr>
              <w:pStyle w:val="34"/>
              <w:rPr>
                <w:rFonts w:ascii="Calibri" w:hAnsi="Calibri"/>
              </w:rPr>
            </w:pPr>
          </w:p>
        </w:tc>
        <w:tc>
          <w:tcPr>
            <w:tcW w:w="948" w:type="pct"/>
            <w:vMerge w:val="restart"/>
            <w:vAlign w:val="center"/>
          </w:tcPr>
          <w:p w14:paraId="13BE1A20">
            <w:pPr>
              <w:pStyle w:val="34"/>
              <w:rPr>
                <w:rFonts w:ascii="Calibri" w:hAnsi="Calibri"/>
              </w:rPr>
            </w:pPr>
            <w:r>
              <w:rPr>
                <w:rFonts w:ascii="Calibri" w:hAnsi="Calibri"/>
              </w:rPr>
              <w:t>现状监测点位</w:t>
            </w:r>
          </w:p>
        </w:tc>
        <w:tc>
          <w:tcPr>
            <w:tcW w:w="941" w:type="pct"/>
            <w:gridSpan w:val="2"/>
            <w:vAlign w:val="center"/>
          </w:tcPr>
          <w:p w14:paraId="7EFCEB41">
            <w:pPr>
              <w:pStyle w:val="34"/>
              <w:rPr>
                <w:rFonts w:ascii="Calibri" w:hAnsi="Calibri"/>
              </w:rPr>
            </w:pPr>
          </w:p>
        </w:tc>
        <w:tc>
          <w:tcPr>
            <w:tcW w:w="713" w:type="pct"/>
            <w:vAlign w:val="center"/>
          </w:tcPr>
          <w:p w14:paraId="47DA0E34">
            <w:pPr>
              <w:pStyle w:val="34"/>
              <w:rPr>
                <w:rFonts w:ascii="Calibri" w:hAnsi="Calibri"/>
              </w:rPr>
            </w:pPr>
            <w:r>
              <w:rPr>
                <w:rFonts w:ascii="Calibri" w:hAnsi="Calibri"/>
              </w:rPr>
              <w:t>占地范围内</w:t>
            </w:r>
          </w:p>
        </w:tc>
        <w:tc>
          <w:tcPr>
            <w:tcW w:w="714" w:type="pct"/>
            <w:vAlign w:val="center"/>
          </w:tcPr>
          <w:p w14:paraId="135FC8D2">
            <w:pPr>
              <w:pStyle w:val="34"/>
              <w:rPr>
                <w:rFonts w:ascii="Calibri" w:hAnsi="Calibri"/>
              </w:rPr>
            </w:pPr>
            <w:r>
              <w:rPr>
                <w:rFonts w:ascii="Calibri" w:hAnsi="Calibri"/>
              </w:rPr>
              <w:t>占地范围外</w:t>
            </w:r>
          </w:p>
        </w:tc>
        <w:tc>
          <w:tcPr>
            <w:tcW w:w="717" w:type="pct"/>
            <w:vAlign w:val="center"/>
          </w:tcPr>
          <w:p w14:paraId="5CA7D14A">
            <w:pPr>
              <w:pStyle w:val="34"/>
              <w:rPr>
                <w:rFonts w:ascii="Calibri" w:hAnsi="Calibri"/>
              </w:rPr>
            </w:pPr>
            <w:r>
              <w:rPr>
                <w:rFonts w:ascii="Calibri" w:hAnsi="Calibri"/>
              </w:rPr>
              <w:t>深度</w:t>
            </w:r>
          </w:p>
        </w:tc>
        <w:tc>
          <w:tcPr>
            <w:tcW w:w="714" w:type="pct"/>
            <w:vMerge w:val="restart"/>
            <w:vAlign w:val="center"/>
          </w:tcPr>
          <w:p w14:paraId="2D14FC25">
            <w:pPr>
              <w:pStyle w:val="34"/>
              <w:rPr>
                <w:rFonts w:ascii="Calibri" w:hAnsi="Calibri"/>
              </w:rPr>
            </w:pPr>
            <w:r>
              <w:rPr>
                <w:rFonts w:ascii="Calibri" w:hAnsi="Calibri"/>
              </w:rPr>
              <w:t>点位布置图</w:t>
            </w:r>
          </w:p>
        </w:tc>
      </w:tr>
      <w:tr w14:paraId="64842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109B27BD">
            <w:pPr>
              <w:pStyle w:val="34"/>
              <w:rPr>
                <w:rFonts w:ascii="Calibri" w:hAnsi="Calibri"/>
              </w:rPr>
            </w:pPr>
          </w:p>
        </w:tc>
        <w:tc>
          <w:tcPr>
            <w:tcW w:w="948" w:type="pct"/>
            <w:vMerge w:val="continue"/>
            <w:vAlign w:val="center"/>
          </w:tcPr>
          <w:p w14:paraId="2B504A8A">
            <w:pPr>
              <w:pStyle w:val="34"/>
              <w:rPr>
                <w:rFonts w:ascii="Calibri" w:hAnsi="Calibri"/>
              </w:rPr>
            </w:pPr>
          </w:p>
        </w:tc>
        <w:tc>
          <w:tcPr>
            <w:tcW w:w="941" w:type="pct"/>
            <w:gridSpan w:val="2"/>
            <w:vAlign w:val="center"/>
          </w:tcPr>
          <w:p w14:paraId="4248518C">
            <w:pPr>
              <w:pStyle w:val="34"/>
              <w:rPr>
                <w:rFonts w:ascii="Calibri" w:hAnsi="Calibri"/>
              </w:rPr>
            </w:pPr>
            <w:r>
              <w:rPr>
                <w:rFonts w:ascii="Calibri" w:hAnsi="Calibri"/>
              </w:rPr>
              <w:t>表层样点数</w:t>
            </w:r>
          </w:p>
        </w:tc>
        <w:tc>
          <w:tcPr>
            <w:tcW w:w="713" w:type="pct"/>
            <w:vAlign w:val="center"/>
          </w:tcPr>
          <w:p w14:paraId="6B6D3149">
            <w:pPr>
              <w:pStyle w:val="34"/>
              <w:rPr>
                <w:rFonts w:ascii="Calibri" w:hAnsi="Calibri"/>
              </w:rPr>
            </w:pPr>
            <w:r>
              <w:rPr>
                <w:rFonts w:ascii="Calibri" w:hAnsi="Calibri"/>
              </w:rPr>
              <w:t>1</w:t>
            </w:r>
          </w:p>
        </w:tc>
        <w:tc>
          <w:tcPr>
            <w:tcW w:w="714" w:type="pct"/>
            <w:vAlign w:val="center"/>
          </w:tcPr>
          <w:p w14:paraId="5708BE05">
            <w:pPr>
              <w:pStyle w:val="34"/>
              <w:rPr>
                <w:rFonts w:ascii="Calibri" w:hAnsi="Calibri"/>
              </w:rPr>
            </w:pPr>
            <w:r>
              <w:rPr>
                <w:rFonts w:ascii="Calibri" w:hAnsi="Calibri"/>
              </w:rPr>
              <w:t>2</w:t>
            </w:r>
          </w:p>
        </w:tc>
        <w:tc>
          <w:tcPr>
            <w:tcW w:w="717" w:type="pct"/>
            <w:vAlign w:val="center"/>
          </w:tcPr>
          <w:p w14:paraId="056EB371">
            <w:pPr>
              <w:pStyle w:val="34"/>
              <w:rPr>
                <w:rFonts w:ascii="Calibri" w:hAnsi="Calibri"/>
              </w:rPr>
            </w:pPr>
            <w:r>
              <w:rPr>
                <w:rFonts w:ascii="Calibri" w:hAnsi="Calibri"/>
              </w:rPr>
              <w:t>0-0.2m</w:t>
            </w:r>
          </w:p>
        </w:tc>
        <w:tc>
          <w:tcPr>
            <w:tcW w:w="714" w:type="pct"/>
            <w:vMerge w:val="continue"/>
            <w:vAlign w:val="center"/>
          </w:tcPr>
          <w:p w14:paraId="02E69F91">
            <w:pPr>
              <w:pStyle w:val="34"/>
              <w:rPr>
                <w:rFonts w:ascii="Calibri" w:hAnsi="Calibri"/>
              </w:rPr>
            </w:pPr>
          </w:p>
        </w:tc>
      </w:tr>
      <w:tr w14:paraId="0D129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3C3C4F6A">
            <w:pPr>
              <w:pStyle w:val="34"/>
              <w:rPr>
                <w:rFonts w:ascii="Calibri" w:hAnsi="Calibri"/>
              </w:rPr>
            </w:pPr>
          </w:p>
        </w:tc>
        <w:tc>
          <w:tcPr>
            <w:tcW w:w="948" w:type="pct"/>
            <w:vMerge w:val="continue"/>
            <w:vAlign w:val="center"/>
          </w:tcPr>
          <w:p w14:paraId="70BF6F45">
            <w:pPr>
              <w:pStyle w:val="34"/>
              <w:rPr>
                <w:rFonts w:ascii="Calibri" w:hAnsi="Calibri"/>
              </w:rPr>
            </w:pPr>
          </w:p>
        </w:tc>
        <w:tc>
          <w:tcPr>
            <w:tcW w:w="941" w:type="pct"/>
            <w:gridSpan w:val="2"/>
            <w:vAlign w:val="center"/>
          </w:tcPr>
          <w:p w14:paraId="7B1C9B21">
            <w:pPr>
              <w:pStyle w:val="34"/>
              <w:rPr>
                <w:rFonts w:ascii="Calibri" w:hAnsi="Calibri"/>
              </w:rPr>
            </w:pPr>
            <w:r>
              <w:rPr>
                <w:rFonts w:ascii="Calibri" w:hAnsi="Calibri"/>
              </w:rPr>
              <w:t>柱状样点数</w:t>
            </w:r>
          </w:p>
        </w:tc>
        <w:tc>
          <w:tcPr>
            <w:tcW w:w="713" w:type="pct"/>
            <w:vAlign w:val="center"/>
          </w:tcPr>
          <w:p w14:paraId="137844F1">
            <w:pPr>
              <w:pStyle w:val="34"/>
              <w:rPr>
                <w:rFonts w:ascii="Calibri" w:hAnsi="Calibri"/>
              </w:rPr>
            </w:pPr>
            <w:r>
              <w:rPr>
                <w:rFonts w:ascii="Calibri" w:hAnsi="Calibri"/>
              </w:rPr>
              <w:t>3</w:t>
            </w:r>
          </w:p>
        </w:tc>
        <w:tc>
          <w:tcPr>
            <w:tcW w:w="714" w:type="pct"/>
            <w:vAlign w:val="center"/>
          </w:tcPr>
          <w:p w14:paraId="07F98016">
            <w:pPr>
              <w:pStyle w:val="34"/>
              <w:rPr>
                <w:rFonts w:ascii="Calibri" w:hAnsi="Calibri"/>
              </w:rPr>
            </w:pPr>
            <w:r>
              <w:rPr>
                <w:rFonts w:ascii="Calibri" w:hAnsi="Calibri"/>
              </w:rPr>
              <w:t>0</w:t>
            </w:r>
          </w:p>
        </w:tc>
        <w:tc>
          <w:tcPr>
            <w:tcW w:w="717" w:type="pct"/>
            <w:vAlign w:val="center"/>
          </w:tcPr>
          <w:p w14:paraId="09B377C1">
            <w:pPr>
              <w:pStyle w:val="34"/>
              <w:rPr>
                <w:rFonts w:ascii="Calibri" w:hAnsi="Calibri"/>
              </w:rPr>
            </w:pPr>
            <w:r>
              <w:rPr>
                <w:rFonts w:ascii="Calibri" w:hAnsi="Calibri"/>
              </w:rPr>
              <w:t>0-3m</w:t>
            </w:r>
          </w:p>
        </w:tc>
        <w:tc>
          <w:tcPr>
            <w:tcW w:w="714" w:type="pct"/>
            <w:vMerge w:val="continue"/>
            <w:vAlign w:val="center"/>
          </w:tcPr>
          <w:p w14:paraId="4505DD96">
            <w:pPr>
              <w:pStyle w:val="34"/>
              <w:rPr>
                <w:rFonts w:ascii="Calibri" w:hAnsi="Calibri"/>
              </w:rPr>
            </w:pPr>
          </w:p>
        </w:tc>
      </w:tr>
      <w:tr w14:paraId="4AB11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1E783410">
            <w:pPr>
              <w:pStyle w:val="34"/>
              <w:rPr>
                <w:rFonts w:ascii="Calibri" w:hAnsi="Calibri"/>
              </w:rPr>
            </w:pPr>
          </w:p>
        </w:tc>
        <w:tc>
          <w:tcPr>
            <w:tcW w:w="948" w:type="pct"/>
            <w:vAlign w:val="center"/>
          </w:tcPr>
          <w:p w14:paraId="047200AA">
            <w:pPr>
              <w:pStyle w:val="34"/>
              <w:rPr>
                <w:rFonts w:ascii="Calibri" w:hAnsi="Calibri"/>
              </w:rPr>
            </w:pPr>
            <w:r>
              <w:rPr>
                <w:rFonts w:ascii="Calibri" w:hAnsi="Calibri"/>
              </w:rPr>
              <w:t>现状监测因子</w:t>
            </w:r>
          </w:p>
        </w:tc>
        <w:tc>
          <w:tcPr>
            <w:tcW w:w="3086" w:type="pct"/>
            <w:gridSpan w:val="5"/>
            <w:vAlign w:val="center"/>
          </w:tcPr>
          <w:p w14:paraId="24902BBD">
            <w:pPr>
              <w:pStyle w:val="34"/>
              <w:rPr>
                <w:rFonts w:ascii="Calibri" w:hAnsi="Calibri"/>
              </w:rPr>
            </w:pPr>
            <w:r>
              <w:rPr>
                <w:rFonts w:ascii="Calibri" w:hAnsi="Calibri"/>
              </w:rPr>
              <w:t>GB36600-2018 表 1 中 45 个基本项目及二噁英类</w:t>
            </w:r>
          </w:p>
        </w:tc>
        <w:tc>
          <w:tcPr>
            <w:tcW w:w="714" w:type="pct"/>
            <w:vAlign w:val="center"/>
          </w:tcPr>
          <w:p w14:paraId="49EAAB0E">
            <w:pPr>
              <w:pStyle w:val="34"/>
              <w:rPr>
                <w:rFonts w:ascii="Calibri" w:hAnsi="Calibri"/>
              </w:rPr>
            </w:pPr>
          </w:p>
        </w:tc>
      </w:tr>
      <w:tr w14:paraId="347FE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restart"/>
            <w:vAlign w:val="center"/>
          </w:tcPr>
          <w:p w14:paraId="06D2B9B8">
            <w:pPr>
              <w:pStyle w:val="34"/>
              <w:rPr>
                <w:rFonts w:ascii="Calibri" w:hAnsi="Calibri"/>
              </w:rPr>
            </w:pPr>
            <w:r>
              <w:rPr>
                <w:rFonts w:ascii="Calibri" w:hAnsi="Calibri"/>
              </w:rPr>
              <w:t>现状评价</w:t>
            </w:r>
          </w:p>
        </w:tc>
        <w:tc>
          <w:tcPr>
            <w:tcW w:w="948" w:type="pct"/>
            <w:vAlign w:val="center"/>
          </w:tcPr>
          <w:p w14:paraId="5D2B8D4D">
            <w:pPr>
              <w:pStyle w:val="34"/>
              <w:rPr>
                <w:rFonts w:ascii="Calibri" w:hAnsi="Calibri"/>
              </w:rPr>
            </w:pPr>
            <w:r>
              <w:rPr>
                <w:rFonts w:ascii="Calibri" w:hAnsi="Calibri"/>
              </w:rPr>
              <w:t>评价因子</w:t>
            </w:r>
          </w:p>
        </w:tc>
        <w:tc>
          <w:tcPr>
            <w:tcW w:w="3086" w:type="pct"/>
            <w:gridSpan w:val="5"/>
            <w:vAlign w:val="center"/>
          </w:tcPr>
          <w:p w14:paraId="6AD8AB6C">
            <w:pPr>
              <w:pStyle w:val="34"/>
              <w:rPr>
                <w:rFonts w:ascii="Calibri" w:hAnsi="Calibri"/>
              </w:rPr>
            </w:pPr>
            <w:r>
              <w:rPr>
                <w:rFonts w:ascii="Calibri" w:hAnsi="Calibri"/>
              </w:rPr>
              <w:t>GB36600-2018 表 1 中 45 个基本项目及二噁英类</w:t>
            </w:r>
          </w:p>
        </w:tc>
        <w:tc>
          <w:tcPr>
            <w:tcW w:w="714" w:type="pct"/>
            <w:vAlign w:val="center"/>
          </w:tcPr>
          <w:p w14:paraId="15353005">
            <w:pPr>
              <w:pStyle w:val="34"/>
              <w:rPr>
                <w:rFonts w:ascii="Calibri" w:hAnsi="Calibri"/>
              </w:rPr>
            </w:pPr>
          </w:p>
        </w:tc>
      </w:tr>
      <w:tr w14:paraId="2375F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297EC313">
            <w:pPr>
              <w:pStyle w:val="34"/>
              <w:rPr>
                <w:rFonts w:ascii="Calibri" w:hAnsi="Calibri"/>
              </w:rPr>
            </w:pPr>
          </w:p>
        </w:tc>
        <w:tc>
          <w:tcPr>
            <w:tcW w:w="948" w:type="pct"/>
            <w:vAlign w:val="center"/>
          </w:tcPr>
          <w:p w14:paraId="7F0E7B5A">
            <w:pPr>
              <w:pStyle w:val="34"/>
              <w:rPr>
                <w:rFonts w:ascii="Calibri" w:hAnsi="Calibri"/>
              </w:rPr>
            </w:pPr>
            <w:r>
              <w:rPr>
                <w:rFonts w:ascii="Calibri" w:hAnsi="Calibri"/>
              </w:rPr>
              <w:t>评价标准</w:t>
            </w:r>
          </w:p>
        </w:tc>
        <w:tc>
          <w:tcPr>
            <w:tcW w:w="3086" w:type="pct"/>
            <w:gridSpan w:val="5"/>
            <w:vAlign w:val="center"/>
          </w:tcPr>
          <w:p w14:paraId="699F2886">
            <w:pPr>
              <w:pStyle w:val="34"/>
              <w:rPr>
                <w:rFonts w:ascii="Calibri" w:hAnsi="Calibri"/>
              </w:rPr>
            </w:pPr>
            <w:r>
              <w:rPr>
                <w:rFonts w:ascii="Calibri" w:hAnsi="Calibri"/>
              </w:rPr>
              <w:t>GB 15618</w:t>
            </w:r>
            <w:r>
              <w:rPr>
                <w:rFonts w:ascii="Calibri" w:hAnsi="Calibri"/>
              </w:rPr>
              <w:sym w:font="Wingdings 2" w:char="0052"/>
            </w:r>
            <w:r>
              <w:rPr>
                <w:rFonts w:ascii="Calibri" w:hAnsi="Calibri"/>
              </w:rPr>
              <w:t>；GB 36600</w:t>
            </w:r>
            <w:r>
              <w:rPr>
                <w:rFonts w:ascii="Calibri" w:hAnsi="Calibri"/>
              </w:rPr>
              <w:sym w:font="Wingdings 2" w:char="0052"/>
            </w:r>
            <w:r>
              <w:rPr>
                <w:rFonts w:ascii="Calibri" w:hAnsi="Calibri"/>
              </w:rPr>
              <w:t>；表D.1</w:t>
            </w:r>
            <w:r>
              <w:rPr>
                <w:rFonts w:ascii="Calibri" w:hAnsi="Calibri"/>
              </w:rPr>
              <w:sym w:font="Wingdings 2" w:char="00A3"/>
            </w:r>
            <w:r>
              <w:rPr>
                <w:rFonts w:ascii="Calibri" w:hAnsi="Calibri"/>
              </w:rPr>
              <w:t>；表D.2</w:t>
            </w:r>
            <w:r>
              <w:rPr>
                <w:rFonts w:ascii="Calibri" w:hAnsi="Calibri"/>
              </w:rPr>
              <w:sym w:font="Wingdings 2" w:char="00A3"/>
            </w:r>
            <w:r>
              <w:rPr>
                <w:rFonts w:ascii="Calibri" w:hAnsi="Calibri"/>
              </w:rPr>
              <w:t>；其他（）</w:t>
            </w:r>
          </w:p>
        </w:tc>
        <w:tc>
          <w:tcPr>
            <w:tcW w:w="714" w:type="pct"/>
            <w:vAlign w:val="center"/>
          </w:tcPr>
          <w:p w14:paraId="19E28E33">
            <w:pPr>
              <w:pStyle w:val="34"/>
              <w:rPr>
                <w:rFonts w:ascii="Calibri" w:hAnsi="Calibri"/>
              </w:rPr>
            </w:pPr>
          </w:p>
        </w:tc>
      </w:tr>
      <w:tr w14:paraId="2FF2D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7F4981BF">
            <w:pPr>
              <w:pStyle w:val="34"/>
              <w:rPr>
                <w:rFonts w:ascii="Calibri" w:hAnsi="Calibri"/>
              </w:rPr>
            </w:pPr>
          </w:p>
        </w:tc>
        <w:tc>
          <w:tcPr>
            <w:tcW w:w="948" w:type="pct"/>
            <w:vAlign w:val="center"/>
          </w:tcPr>
          <w:p w14:paraId="42037446">
            <w:pPr>
              <w:pStyle w:val="34"/>
              <w:rPr>
                <w:rFonts w:ascii="Calibri" w:hAnsi="Calibri"/>
              </w:rPr>
            </w:pPr>
            <w:r>
              <w:rPr>
                <w:rFonts w:ascii="Calibri" w:hAnsi="Calibri"/>
              </w:rPr>
              <w:t>现状评价结论</w:t>
            </w:r>
          </w:p>
        </w:tc>
        <w:tc>
          <w:tcPr>
            <w:tcW w:w="3086" w:type="pct"/>
            <w:gridSpan w:val="5"/>
            <w:vAlign w:val="center"/>
          </w:tcPr>
          <w:p w14:paraId="19906CE3">
            <w:pPr>
              <w:pStyle w:val="34"/>
              <w:rPr>
                <w:rFonts w:ascii="Calibri" w:hAnsi="Calibri"/>
              </w:rPr>
            </w:pPr>
            <w:r>
              <w:rPr>
                <w:rFonts w:ascii="Calibri" w:hAnsi="Calibri"/>
              </w:rPr>
              <w:t>所有监测点处的监测因子均满足相应标准限值要求</w:t>
            </w:r>
          </w:p>
        </w:tc>
        <w:tc>
          <w:tcPr>
            <w:tcW w:w="714" w:type="pct"/>
            <w:vAlign w:val="center"/>
          </w:tcPr>
          <w:p w14:paraId="54ADF091">
            <w:pPr>
              <w:pStyle w:val="34"/>
              <w:rPr>
                <w:rFonts w:ascii="Calibri" w:hAnsi="Calibri"/>
              </w:rPr>
            </w:pPr>
          </w:p>
        </w:tc>
      </w:tr>
      <w:tr w14:paraId="6C92E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restart"/>
            <w:vAlign w:val="center"/>
          </w:tcPr>
          <w:p w14:paraId="12F06505">
            <w:pPr>
              <w:pStyle w:val="34"/>
              <w:rPr>
                <w:rFonts w:ascii="Calibri" w:hAnsi="Calibri"/>
              </w:rPr>
            </w:pPr>
            <w:r>
              <w:rPr>
                <w:rFonts w:ascii="Calibri" w:hAnsi="Calibri"/>
              </w:rPr>
              <w:t>影响预测</w:t>
            </w:r>
          </w:p>
        </w:tc>
        <w:tc>
          <w:tcPr>
            <w:tcW w:w="948" w:type="pct"/>
            <w:vAlign w:val="center"/>
          </w:tcPr>
          <w:p w14:paraId="2B602E2F">
            <w:pPr>
              <w:pStyle w:val="34"/>
              <w:rPr>
                <w:rFonts w:ascii="Calibri" w:hAnsi="Calibri"/>
              </w:rPr>
            </w:pPr>
            <w:r>
              <w:rPr>
                <w:rFonts w:ascii="Calibri" w:hAnsi="Calibri"/>
              </w:rPr>
              <w:t>预测因子</w:t>
            </w:r>
          </w:p>
        </w:tc>
        <w:tc>
          <w:tcPr>
            <w:tcW w:w="3086" w:type="pct"/>
            <w:gridSpan w:val="5"/>
            <w:vAlign w:val="center"/>
          </w:tcPr>
          <w:p w14:paraId="23D891D9">
            <w:pPr>
              <w:pStyle w:val="34"/>
              <w:rPr>
                <w:rFonts w:ascii="Calibri" w:hAnsi="Calibri"/>
              </w:rPr>
            </w:pPr>
            <w:r>
              <w:rPr>
                <w:rFonts w:ascii="Calibri" w:hAnsi="Calibri"/>
              </w:rPr>
              <w:t>/</w:t>
            </w:r>
          </w:p>
        </w:tc>
        <w:tc>
          <w:tcPr>
            <w:tcW w:w="714" w:type="pct"/>
            <w:vAlign w:val="center"/>
          </w:tcPr>
          <w:p w14:paraId="46600454">
            <w:pPr>
              <w:pStyle w:val="34"/>
              <w:rPr>
                <w:rFonts w:ascii="Calibri" w:hAnsi="Calibri"/>
              </w:rPr>
            </w:pPr>
          </w:p>
        </w:tc>
      </w:tr>
      <w:tr w14:paraId="1A66A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5A3B29A2">
            <w:pPr>
              <w:pStyle w:val="34"/>
              <w:rPr>
                <w:rFonts w:ascii="Calibri" w:hAnsi="Calibri"/>
              </w:rPr>
            </w:pPr>
          </w:p>
        </w:tc>
        <w:tc>
          <w:tcPr>
            <w:tcW w:w="948" w:type="pct"/>
            <w:vAlign w:val="center"/>
          </w:tcPr>
          <w:p w14:paraId="2AB9222A">
            <w:pPr>
              <w:pStyle w:val="34"/>
              <w:rPr>
                <w:rFonts w:ascii="Calibri" w:hAnsi="Calibri"/>
              </w:rPr>
            </w:pPr>
            <w:bookmarkStart w:id="211" w:name="_Toc21449470"/>
            <w:bookmarkStart w:id="212" w:name="_Toc28753"/>
            <w:bookmarkStart w:id="213" w:name="_Toc21447222"/>
            <w:bookmarkStart w:id="214" w:name="_Toc32227356"/>
            <w:r>
              <w:rPr>
                <w:rFonts w:ascii="Calibri" w:hAnsi="Calibri"/>
              </w:rPr>
              <w:t>预测方法</w:t>
            </w:r>
            <w:bookmarkEnd w:id="211"/>
            <w:bookmarkEnd w:id="212"/>
            <w:bookmarkEnd w:id="213"/>
            <w:bookmarkEnd w:id="214"/>
          </w:p>
        </w:tc>
        <w:tc>
          <w:tcPr>
            <w:tcW w:w="3086" w:type="pct"/>
            <w:gridSpan w:val="5"/>
            <w:vAlign w:val="center"/>
          </w:tcPr>
          <w:p w14:paraId="1B6077D5">
            <w:pPr>
              <w:pStyle w:val="34"/>
              <w:rPr>
                <w:rFonts w:ascii="Calibri" w:hAnsi="Calibri"/>
              </w:rPr>
            </w:pPr>
            <w:r>
              <w:rPr>
                <w:rFonts w:ascii="Calibri" w:hAnsi="Calibri"/>
              </w:rPr>
              <w:t>附录E</w:t>
            </w:r>
            <w:r>
              <w:rPr>
                <w:rFonts w:ascii="Calibri" w:hAnsi="Calibri"/>
              </w:rPr>
              <w:sym w:font="Wingdings 2" w:char="00A3"/>
            </w:r>
            <w:r>
              <w:rPr>
                <w:rFonts w:ascii="Calibri" w:hAnsi="Calibri"/>
              </w:rPr>
              <w:t>；附录F□；其他（）</w:t>
            </w:r>
          </w:p>
        </w:tc>
        <w:tc>
          <w:tcPr>
            <w:tcW w:w="714" w:type="pct"/>
            <w:vAlign w:val="center"/>
          </w:tcPr>
          <w:p w14:paraId="5EE1E04C">
            <w:pPr>
              <w:pStyle w:val="34"/>
              <w:rPr>
                <w:rFonts w:ascii="Calibri" w:hAnsi="Calibri"/>
              </w:rPr>
            </w:pPr>
          </w:p>
        </w:tc>
      </w:tr>
      <w:tr w14:paraId="130E5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700BDB6B">
            <w:pPr>
              <w:pStyle w:val="34"/>
              <w:rPr>
                <w:rFonts w:ascii="Calibri" w:hAnsi="Calibri"/>
              </w:rPr>
            </w:pPr>
          </w:p>
        </w:tc>
        <w:tc>
          <w:tcPr>
            <w:tcW w:w="948" w:type="pct"/>
            <w:vAlign w:val="center"/>
          </w:tcPr>
          <w:p w14:paraId="11ED8652">
            <w:pPr>
              <w:pStyle w:val="34"/>
              <w:rPr>
                <w:rFonts w:ascii="Calibri" w:hAnsi="Calibri"/>
              </w:rPr>
            </w:pPr>
            <w:r>
              <w:rPr>
                <w:rFonts w:ascii="Calibri" w:hAnsi="Calibri"/>
              </w:rPr>
              <w:t>预测分析内容</w:t>
            </w:r>
          </w:p>
        </w:tc>
        <w:tc>
          <w:tcPr>
            <w:tcW w:w="3086" w:type="pct"/>
            <w:gridSpan w:val="5"/>
            <w:vAlign w:val="center"/>
          </w:tcPr>
          <w:p w14:paraId="6046A15F">
            <w:pPr>
              <w:pStyle w:val="34"/>
              <w:rPr>
                <w:rFonts w:ascii="Calibri" w:hAnsi="Calibri"/>
              </w:rPr>
            </w:pPr>
            <w:r>
              <w:rPr>
                <w:rFonts w:ascii="Calibri" w:hAnsi="Calibri"/>
              </w:rPr>
              <w:t>影响范围（均满足标准要求）</w:t>
            </w:r>
          </w:p>
          <w:p w14:paraId="10A9B273">
            <w:pPr>
              <w:pStyle w:val="34"/>
              <w:rPr>
                <w:rFonts w:ascii="Calibri" w:hAnsi="Calibri"/>
              </w:rPr>
            </w:pPr>
            <w:r>
              <w:rPr>
                <w:rFonts w:ascii="Calibri" w:hAnsi="Calibri"/>
              </w:rPr>
              <w:t>影响程度（小于标准限值要求）</w:t>
            </w:r>
          </w:p>
        </w:tc>
        <w:tc>
          <w:tcPr>
            <w:tcW w:w="714" w:type="pct"/>
            <w:vAlign w:val="center"/>
          </w:tcPr>
          <w:p w14:paraId="592F9FB2">
            <w:pPr>
              <w:pStyle w:val="34"/>
              <w:rPr>
                <w:rFonts w:ascii="Calibri" w:hAnsi="Calibri"/>
              </w:rPr>
            </w:pPr>
          </w:p>
        </w:tc>
      </w:tr>
      <w:tr w14:paraId="1BE6E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287F7082">
            <w:pPr>
              <w:pStyle w:val="34"/>
              <w:rPr>
                <w:rFonts w:ascii="Calibri" w:hAnsi="Calibri"/>
              </w:rPr>
            </w:pPr>
          </w:p>
        </w:tc>
        <w:tc>
          <w:tcPr>
            <w:tcW w:w="948" w:type="pct"/>
            <w:vAlign w:val="center"/>
          </w:tcPr>
          <w:p w14:paraId="3C0BF34F">
            <w:pPr>
              <w:pStyle w:val="34"/>
              <w:rPr>
                <w:rFonts w:ascii="Calibri" w:hAnsi="Calibri"/>
              </w:rPr>
            </w:pPr>
            <w:bookmarkStart w:id="215" w:name="_Toc688"/>
            <w:bookmarkStart w:id="216" w:name="_Toc21449471"/>
            <w:bookmarkStart w:id="217" w:name="_Toc32227357"/>
            <w:bookmarkStart w:id="218" w:name="_Toc21447223"/>
            <w:r>
              <w:rPr>
                <w:rFonts w:ascii="Calibri" w:hAnsi="Calibri"/>
              </w:rPr>
              <w:t>预测结论</w:t>
            </w:r>
            <w:bookmarkEnd w:id="215"/>
            <w:bookmarkEnd w:id="216"/>
            <w:bookmarkEnd w:id="217"/>
            <w:bookmarkEnd w:id="218"/>
          </w:p>
        </w:tc>
        <w:tc>
          <w:tcPr>
            <w:tcW w:w="3086" w:type="pct"/>
            <w:gridSpan w:val="5"/>
            <w:vAlign w:val="center"/>
          </w:tcPr>
          <w:p w14:paraId="3181ED80">
            <w:pPr>
              <w:pStyle w:val="34"/>
              <w:rPr>
                <w:rFonts w:ascii="Calibri" w:hAnsi="Calibri"/>
              </w:rPr>
            </w:pPr>
            <w:r>
              <w:rPr>
                <w:rFonts w:ascii="Calibri" w:hAnsi="Calibri"/>
              </w:rPr>
              <w:t>达标结论：a）</w:t>
            </w:r>
            <w:r>
              <w:rPr>
                <w:rFonts w:ascii="Calibri" w:hAnsi="Calibri"/>
              </w:rPr>
              <w:sym w:font="Wingdings 2" w:char="0052"/>
            </w:r>
            <w:r>
              <w:rPr>
                <w:rFonts w:ascii="Calibri" w:hAnsi="Calibri"/>
              </w:rPr>
              <w:t>；b）</w:t>
            </w:r>
            <w:r>
              <w:rPr>
                <w:rFonts w:ascii="Calibri" w:hAnsi="Calibri"/>
              </w:rPr>
              <w:sym w:font="Wingdings 2" w:char="00A3"/>
            </w:r>
            <w:r>
              <w:rPr>
                <w:rFonts w:ascii="Calibri" w:hAnsi="Calibri"/>
              </w:rPr>
              <w:t>；c）</w:t>
            </w:r>
            <w:r>
              <w:rPr>
                <w:rFonts w:ascii="Calibri" w:hAnsi="Calibri"/>
              </w:rPr>
              <w:sym w:font="Wingdings 2" w:char="00A3"/>
            </w:r>
          </w:p>
          <w:p w14:paraId="60810C22">
            <w:pPr>
              <w:pStyle w:val="34"/>
              <w:rPr>
                <w:rFonts w:ascii="Calibri" w:hAnsi="Calibri"/>
              </w:rPr>
            </w:pPr>
            <w:r>
              <w:rPr>
                <w:rFonts w:ascii="Calibri" w:hAnsi="Calibri"/>
              </w:rPr>
              <w:t>不达标结论：a）</w:t>
            </w:r>
            <w:r>
              <w:rPr>
                <w:rFonts w:ascii="Calibri" w:hAnsi="Calibri"/>
              </w:rPr>
              <w:sym w:font="Wingdings 2" w:char="00A3"/>
            </w:r>
            <w:r>
              <w:rPr>
                <w:rFonts w:ascii="Calibri" w:hAnsi="Calibri"/>
              </w:rPr>
              <w:t>；b）</w:t>
            </w:r>
            <w:r>
              <w:rPr>
                <w:rFonts w:ascii="Calibri" w:hAnsi="Calibri"/>
              </w:rPr>
              <w:sym w:font="Wingdings 2" w:char="00A3"/>
            </w:r>
          </w:p>
        </w:tc>
        <w:tc>
          <w:tcPr>
            <w:tcW w:w="714" w:type="pct"/>
            <w:vAlign w:val="center"/>
          </w:tcPr>
          <w:p w14:paraId="51BB5CE0">
            <w:pPr>
              <w:pStyle w:val="34"/>
              <w:rPr>
                <w:rFonts w:ascii="Calibri" w:hAnsi="Calibri"/>
              </w:rPr>
            </w:pPr>
          </w:p>
        </w:tc>
      </w:tr>
      <w:tr w14:paraId="3DFD9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restart"/>
            <w:vAlign w:val="center"/>
          </w:tcPr>
          <w:p w14:paraId="041730EC">
            <w:pPr>
              <w:pStyle w:val="34"/>
              <w:rPr>
                <w:rFonts w:ascii="Calibri" w:hAnsi="Calibri"/>
              </w:rPr>
            </w:pPr>
            <w:r>
              <w:rPr>
                <w:rFonts w:ascii="Calibri" w:hAnsi="Calibri"/>
              </w:rPr>
              <w:t>防治措施</w:t>
            </w:r>
          </w:p>
        </w:tc>
        <w:tc>
          <w:tcPr>
            <w:tcW w:w="948" w:type="pct"/>
            <w:vAlign w:val="center"/>
          </w:tcPr>
          <w:p w14:paraId="08BC724E">
            <w:pPr>
              <w:pStyle w:val="34"/>
              <w:rPr>
                <w:rFonts w:ascii="Calibri" w:hAnsi="Calibri"/>
              </w:rPr>
            </w:pPr>
            <w:r>
              <w:rPr>
                <w:rFonts w:ascii="Calibri" w:hAnsi="Calibri"/>
              </w:rPr>
              <w:t>防控措施</w:t>
            </w:r>
          </w:p>
        </w:tc>
        <w:tc>
          <w:tcPr>
            <w:tcW w:w="3086" w:type="pct"/>
            <w:gridSpan w:val="5"/>
            <w:vAlign w:val="center"/>
          </w:tcPr>
          <w:p w14:paraId="4079C006">
            <w:pPr>
              <w:pStyle w:val="34"/>
              <w:rPr>
                <w:rFonts w:ascii="Calibri" w:hAnsi="Calibri"/>
              </w:rPr>
            </w:pPr>
            <w:r>
              <w:rPr>
                <w:rFonts w:ascii="Calibri" w:hAnsi="Calibri"/>
              </w:rPr>
              <w:t>土壤环境质量现状保障</w:t>
            </w:r>
            <w:r>
              <w:rPr>
                <w:rFonts w:ascii="Calibri" w:hAnsi="Calibri"/>
              </w:rPr>
              <w:sym w:font="Wingdings 2" w:char="00A3"/>
            </w:r>
            <w:r>
              <w:rPr>
                <w:rFonts w:ascii="Calibri" w:hAnsi="Calibri"/>
              </w:rPr>
              <w:t>；源头控制</w:t>
            </w:r>
            <w:r>
              <w:rPr>
                <w:rFonts w:ascii="Calibri" w:hAnsi="Calibri"/>
              </w:rPr>
              <w:sym w:font="Wingdings 2" w:char="0052"/>
            </w:r>
            <w:r>
              <w:rPr>
                <w:rFonts w:ascii="Calibri" w:hAnsi="Calibri"/>
              </w:rPr>
              <w:t>；过程防控</w:t>
            </w:r>
            <w:r>
              <w:rPr>
                <w:rFonts w:ascii="Calibri" w:hAnsi="Calibri"/>
              </w:rPr>
              <w:sym w:font="Wingdings 2" w:char="0052"/>
            </w:r>
            <w:r>
              <w:rPr>
                <w:rFonts w:ascii="Calibri" w:hAnsi="Calibri"/>
              </w:rPr>
              <w:t>；其他（跟踪监测）</w:t>
            </w:r>
          </w:p>
        </w:tc>
        <w:tc>
          <w:tcPr>
            <w:tcW w:w="714" w:type="pct"/>
            <w:vAlign w:val="center"/>
          </w:tcPr>
          <w:p w14:paraId="19C88E08">
            <w:pPr>
              <w:pStyle w:val="34"/>
              <w:rPr>
                <w:rFonts w:ascii="Calibri" w:hAnsi="Calibri"/>
              </w:rPr>
            </w:pPr>
          </w:p>
        </w:tc>
      </w:tr>
      <w:tr w14:paraId="39C05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44EF1B5B">
            <w:pPr>
              <w:pStyle w:val="34"/>
              <w:rPr>
                <w:rFonts w:ascii="Calibri" w:hAnsi="Calibri"/>
              </w:rPr>
            </w:pPr>
          </w:p>
        </w:tc>
        <w:tc>
          <w:tcPr>
            <w:tcW w:w="948" w:type="pct"/>
            <w:vMerge w:val="restart"/>
            <w:vAlign w:val="center"/>
          </w:tcPr>
          <w:p w14:paraId="23F9399E">
            <w:pPr>
              <w:pStyle w:val="34"/>
              <w:rPr>
                <w:rFonts w:ascii="Calibri" w:hAnsi="Calibri"/>
              </w:rPr>
            </w:pPr>
            <w:r>
              <w:rPr>
                <w:rFonts w:ascii="Calibri" w:hAnsi="Calibri"/>
              </w:rPr>
              <w:t>跟踪监测</w:t>
            </w:r>
          </w:p>
        </w:tc>
        <w:tc>
          <w:tcPr>
            <w:tcW w:w="930" w:type="pct"/>
            <w:vAlign w:val="center"/>
          </w:tcPr>
          <w:p w14:paraId="2B2427C9">
            <w:pPr>
              <w:pStyle w:val="34"/>
              <w:rPr>
                <w:rFonts w:ascii="Calibri" w:hAnsi="Calibri"/>
              </w:rPr>
            </w:pPr>
            <w:r>
              <w:rPr>
                <w:rFonts w:ascii="Calibri" w:hAnsi="Calibri"/>
              </w:rPr>
              <w:t>监测点数</w:t>
            </w:r>
          </w:p>
        </w:tc>
        <w:tc>
          <w:tcPr>
            <w:tcW w:w="1438" w:type="pct"/>
            <w:gridSpan w:val="3"/>
            <w:vAlign w:val="center"/>
          </w:tcPr>
          <w:p w14:paraId="25170524">
            <w:pPr>
              <w:pStyle w:val="34"/>
              <w:rPr>
                <w:rFonts w:ascii="Calibri" w:hAnsi="Calibri"/>
              </w:rPr>
            </w:pPr>
            <w:r>
              <w:rPr>
                <w:rFonts w:ascii="Calibri" w:hAnsi="Calibri"/>
              </w:rPr>
              <w:t>监测指标</w:t>
            </w:r>
          </w:p>
        </w:tc>
        <w:tc>
          <w:tcPr>
            <w:tcW w:w="717" w:type="pct"/>
            <w:vAlign w:val="center"/>
          </w:tcPr>
          <w:p w14:paraId="7F2CF59D">
            <w:pPr>
              <w:pStyle w:val="34"/>
              <w:rPr>
                <w:rFonts w:ascii="Calibri" w:hAnsi="Calibri"/>
              </w:rPr>
            </w:pPr>
            <w:r>
              <w:rPr>
                <w:rFonts w:ascii="Calibri" w:hAnsi="Calibri"/>
              </w:rPr>
              <w:t>监测频次</w:t>
            </w:r>
          </w:p>
        </w:tc>
        <w:tc>
          <w:tcPr>
            <w:tcW w:w="714" w:type="pct"/>
            <w:vAlign w:val="center"/>
          </w:tcPr>
          <w:p w14:paraId="7AD7896F">
            <w:pPr>
              <w:pStyle w:val="34"/>
              <w:rPr>
                <w:rFonts w:ascii="Calibri" w:hAnsi="Calibri"/>
              </w:rPr>
            </w:pPr>
          </w:p>
        </w:tc>
      </w:tr>
      <w:tr w14:paraId="16B2B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23900BF7">
            <w:pPr>
              <w:pStyle w:val="34"/>
              <w:rPr>
                <w:rFonts w:ascii="Calibri" w:hAnsi="Calibri"/>
              </w:rPr>
            </w:pPr>
          </w:p>
        </w:tc>
        <w:tc>
          <w:tcPr>
            <w:tcW w:w="948" w:type="pct"/>
            <w:vMerge w:val="continue"/>
            <w:vAlign w:val="center"/>
          </w:tcPr>
          <w:p w14:paraId="6827D9CC">
            <w:pPr>
              <w:pStyle w:val="34"/>
              <w:rPr>
                <w:rFonts w:ascii="Calibri" w:hAnsi="Calibri"/>
              </w:rPr>
            </w:pPr>
          </w:p>
        </w:tc>
        <w:tc>
          <w:tcPr>
            <w:tcW w:w="930" w:type="pct"/>
            <w:vAlign w:val="center"/>
          </w:tcPr>
          <w:p w14:paraId="5BDB437F">
            <w:pPr>
              <w:pStyle w:val="34"/>
              <w:rPr>
                <w:rFonts w:ascii="Calibri" w:hAnsi="Calibri"/>
              </w:rPr>
            </w:pPr>
            <w:r>
              <w:rPr>
                <w:rFonts w:ascii="Calibri" w:hAnsi="Calibri"/>
              </w:rPr>
              <w:t>1</w:t>
            </w:r>
          </w:p>
        </w:tc>
        <w:tc>
          <w:tcPr>
            <w:tcW w:w="1438" w:type="pct"/>
            <w:gridSpan w:val="3"/>
            <w:vAlign w:val="center"/>
          </w:tcPr>
          <w:p w14:paraId="05B9378E">
            <w:pPr>
              <w:pStyle w:val="34"/>
              <w:rPr>
                <w:rFonts w:ascii="Calibri" w:hAnsi="Calibri"/>
              </w:rPr>
            </w:pPr>
            <w:r>
              <w:rPr>
                <w:rFonts w:ascii="Calibri" w:hAnsi="Calibri"/>
              </w:rPr>
              <w:t>二噁英类</w:t>
            </w:r>
          </w:p>
        </w:tc>
        <w:tc>
          <w:tcPr>
            <w:tcW w:w="717" w:type="pct"/>
            <w:vAlign w:val="center"/>
          </w:tcPr>
          <w:p w14:paraId="2D9502F3">
            <w:pPr>
              <w:pStyle w:val="34"/>
              <w:rPr>
                <w:rFonts w:ascii="Calibri" w:hAnsi="Calibri"/>
              </w:rPr>
            </w:pPr>
            <w:r>
              <w:rPr>
                <w:rFonts w:ascii="Calibri" w:hAnsi="Calibri"/>
              </w:rPr>
              <w:t>1次/年</w:t>
            </w:r>
          </w:p>
        </w:tc>
        <w:tc>
          <w:tcPr>
            <w:tcW w:w="714" w:type="pct"/>
            <w:vAlign w:val="center"/>
          </w:tcPr>
          <w:p w14:paraId="489EFF3D">
            <w:pPr>
              <w:pStyle w:val="34"/>
              <w:rPr>
                <w:rFonts w:ascii="Calibri" w:hAnsi="Calibri"/>
              </w:rPr>
            </w:pPr>
          </w:p>
        </w:tc>
      </w:tr>
      <w:tr w14:paraId="159F7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 w:type="pct"/>
            <w:vMerge w:val="continue"/>
            <w:vAlign w:val="center"/>
          </w:tcPr>
          <w:p w14:paraId="60C86CC9">
            <w:pPr>
              <w:pStyle w:val="34"/>
              <w:rPr>
                <w:rFonts w:ascii="Calibri" w:hAnsi="Calibri"/>
              </w:rPr>
            </w:pPr>
          </w:p>
        </w:tc>
        <w:tc>
          <w:tcPr>
            <w:tcW w:w="948" w:type="pct"/>
            <w:vAlign w:val="center"/>
          </w:tcPr>
          <w:p w14:paraId="0402553B">
            <w:pPr>
              <w:pStyle w:val="34"/>
              <w:rPr>
                <w:rFonts w:ascii="Calibri" w:hAnsi="Calibri"/>
              </w:rPr>
            </w:pPr>
            <w:r>
              <w:rPr>
                <w:rFonts w:ascii="Calibri" w:hAnsi="Calibri"/>
              </w:rPr>
              <w:t>信息公开指标</w:t>
            </w:r>
          </w:p>
        </w:tc>
        <w:tc>
          <w:tcPr>
            <w:tcW w:w="3086" w:type="pct"/>
            <w:gridSpan w:val="5"/>
            <w:vAlign w:val="center"/>
          </w:tcPr>
          <w:p w14:paraId="688C75B9">
            <w:pPr>
              <w:pStyle w:val="34"/>
              <w:rPr>
                <w:rFonts w:ascii="Calibri" w:hAnsi="Calibri"/>
                <w:highlight w:val="yellow"/>
              </w:rPr>
            </w:pPr>
            <w:r>
              <w:rPr>
                <w:rFonts w:ascii="Calibri" w:hAnsi="Calibri"/>
              </w:rPr>
              <w:t>二噁英类</w:t>
            </w:r>
          </w:p>
        </w:tc>
        <w:tc>
          <w:tcPr>
            <w:tcW w:w="714" w:type="pct"/>
            <w:vAlign w:val="center"/>
          </w:tcPr>
          <w:p w14:paraId="6F8D2A5F">
            <w:pPr>
              <w:pStyle w:val="34"/>
              <w:rPr>
                <w:rFonts w:ascii="Calibri" w:hAnsi="Calibri"/>
              </w:rPr>
            </w:pPr>
          </w:p>
        </w:tc>
      </w:tr>
      <w:tr w14:paraId="30E23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9" w:type="pct"/>
            <w:gridSpan w:val="2"/>
            <w:vAlign w:val="center"/>
          </w:tcPr>
          <w:p w14:paraId="225169B7">
            <w:pPr>
              <w:pStyle w:val="34"/>
              <w:rPr>
                <w:rFonts w:ascii="Calibri" w:hAnsi="Calibri"/>
              </w:rPr>
            </w:pPr>
            <w:r>
              <w:rPr>
                <w:rFonts w:ascii="Calibri" w:hAnsi="Calibri"/>
              </w:rPr>
              <w:t>评价结论</w:t>
            </w:r>
          </w:p>
        </w:tc>
        <w:tc>
          <w:tcPr>
            <w:tcW w:w="3086" w:type="pct"/>
            <w:gridSpan w:val="5"/>
            <w:vAlign w:val="center"/>
          </w:tcPr>
          <w:p w14:paraId="28515C43">
            <w:pPr>
              <w:pStyle w:val="34"/>
              <w:rPr>
                <w:rFonts w:ascii="Calibri" w:hAnsi="Calibri"/>
              </w:rPr>
            </w:pPr>
            <w:r>
              <w:rPr>
                <w:rFonts w:ascii="Calibri" w:hAnsi="Calibri"/>
              </w:rPr>
              <w:t>本项目土壤环境影响可接受</w:t>
            </w:r>
          </w:p>
        </w:tc>
        <w:tc>
          <w:tcPr>
            <w:tcW w:w="714" w:type="pct"/>
            <w:vAlign w:val="center"/>
          </w:tcPr>
          <w:p w14:paraId="544D3474">
            <w:pPr>
              <w:pStyle w:val="34"/>
              <w:rPr>
                <w:rFonts w:ascii="Calibri" w:hAnsi="Calibri"/>
              </w:rPr>
            </w:pPr>
          </w:p>
        </w:tc>
      </w:tr>
      <w:tr w14:paraId="66FDF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vAlign w:val="center"/>
          </w:tcPr>
          <w:p w14:paraId="71476B71">
            <w:pPr>
              <w:pStyle w:val="34"/>
              <w:rPr>
                <w:rFonts w:ascii="Calibri" w:hAnsi="Calibri"/>
              </w:rPr>
            </w:pPr>
            <w:r>
              <w:rPr>
                <w:rFonts w:ascii="Calibri" w:hAnsi="Calibri"/>
              </w:rPr>
              <w:t>注1：“□”为勾选项，可√；“（）”为内容填写项；“备注”为其他补充内容。</w:t>
            </w:r>
          </w:p>
          <w:p w14:paraId="5BF1D179">
            <w:pPr>
              <w:pStyle w:val="34"/>
              <w:rPr>
                <w:rFonts w:ascii="Calibri" w:hAnsi="Calibri"/>
              </w:rPr>
            </w:pPr>
            <w:r>
              <w:rPr>
                <w:rFonts w:ascii="Calibri" w:hAnsi="Calibri"/>
              </w:rPr>
              <w:t>注2：需要分别开展土壤环境影响评级工作的，分别填写自查表。</w:t>
            </w:r>
          </w:p>
        </w:tc>
      </w:tr>
    </w:tbl>
    <w:p w14:paraId="394E03F3">
      <w:pPr>
        <w:pStyle w:val="5"/>
        <w:spacing w:before="120"/>
      </w:pPr>
      <w:r>
        <w:t>运营期环境风险影响评价</w:t>
      </w:r>
    </w:p>
    <w:p w14:paraId="00FA5760">
      <w:pPr>
        <w:pStyle w:val="6"/>
        <w:spacing w:before="120" w:after="120"/>
      </w:pPr>
      <w:r>
        <w:fldChar w:fldCharType="begin"/>
      </w:r>
      <w:r>
        <w:instrText xml:space="preserve"> HYPERLINK \l "_Toc22475" </w:instrText>
      </w:r>
      <w:r>
        <w:fldChar w:fldCharType="separate"/>
      </w:r>
      <w:r>
        <w:t>环境风险评价</w:t>
      </w:r>
      <w:r>
        <w:fldChar w:fldCharType="end"/>
      </w:r>
      <w:r>
        <w:t>原则</w:t>
      </w:r>
    </w:p>
    <w:p w14:paraId="1EF6A60A">
      <w:pPr>
        <w:pStyle w:val="58"/>
        <w:ind w:firstLine="480"/>
        <w:rPr>
          <w:rFonts w:cs="Times New Roman"/>
        </w:rPr>
      </w:pPr>
      <w:r>
        <w:rPr>
          <w:rFonts w:cs="Times New Roman"/>
        </w:rPr>
        <w:t>（1）评价目的</w:t>
      </w:r>
    </w:p>
    <w:p w14:paraId="774C8EE5">
      <w:pPr>
        <w:pStyle w:val="58"/>
        <w:ind w:firstLine="480"/>
        <w:rPr>
          <w:rFonts w:cs="Times New Roman"/>
        </w:rPr>
      </w:pPr>
      <w:r>
        <w:rPr>
          <w:rFonts w:cs="Times New Roman"/>
        </w:rPr>
        <w:t>根据《建设项目环境风险评价技术导则》（HJ169-2018），建设项目环境风险评价是对建设项目的环境风险进行分析、预测和评估，提出环境风险预防、控制、减缓措施，明确环境风险监控及应急建议要求，为建设项目环境风险防控提供科学依据。</w:t>
      </w:r>
    </w:p>
    <w:p w14:paraId="4F12D48C">
      <w:pPr>
        <w:pStyle w:val="58"/>
        <w:ind w:firstLine="480"/>
        <w:rPr>
          <w:rFonts w:cs="Times New Roman"/>
        </w:rPr>
      </w:pPr>
      <w:r>
        <w:rPr>
          <w:rFonts w:cs="Times New Roman"/>
        </w:rPr>
        <w:t>本次环境风险评价将把风险事故引起厂界外环境质量的恶化及对人群健康影响的预测和防护作为评价工作重点。按照《建设项目环境风险评价技术导则》（HJ169-2018）的方法，通过分析该工程项目中主要物料的危险性和毒性，识别其潜在危险源并提出防治措施，达到降低风险性、降低危害程度，使环境风险达到可接受水平。</w:t>
      </w:r>
    </w:p>
    <w:p w14:paraId="2070EFEE">
      <w:pPr>
        <w:pStyle w:val="58"/>
        <w:ind w:firstLine="480"/>
        <w:rPr>
          <w:rFonts w:cs="Times New Roman"/>
        </w:rPr>
      </w:pPr>
      <w:r>
        <w:rPr>
          <w:rFonts w:cs="Times New Roman"/>
        </w:rPr>
        <w:t>（2）</w:t>
      </w:r>
      <w:r>
        <w:fldChar w:fldCharType="begin"/>
      </w:r>
      <w:r>
        <w:instrText xml:space="preserve"> HYPERLINK \l "_Toc27987" </w:instrText>
      </w:r>
      <w:r>
        <w:fldChar w:fldCharType="separate"/>
      </w:r>
      <w:r>
        <w:rPr>
          <w:rFonts w:cs="Times New Roman"/>
        </w:rPr>
        <w:t>评价依据</w:t>
      </w:r>
      <w:r>
        <w:rPr>
          <w:rFonts w:cs="Times New Roman"/>
        </w:rPr>
        <w:fldChar w:fldCharType="end"/>
      </w:r>
    </w:p>
    <w:p w14:paraId="27B1349C">
      <w:pPr>
        <w:pStyle w:val="58"/>
        <w:ind w:firstLine="480"/>
        <w:rPr>
          <w:rFonts w:cs="Times New Roman"/>
        </w:rPr>
      </w:pPr>
      <w:r>
        <w:rPr>
          <w:rFonts w:cs="Times New Roman"/>
        </w:rPr>
        <w:t>本项目按照《建设项目环境风险评价技术导则》（HJ169-2018）、《危险化学品重大危险源辨识》（GB18218-2018）、《关于进一步加强环境影响评价管理防范环境风险的通知》（环发〔2012〕77号）和《关于切实加强风险防范严格环境影响评价管理的通知》（环发〔2012〕98号）的要求，对环境风险进行分析评价。</w:t>
      </w:r>
    </w:p>
    <w:p w14:paraId="543C1285">
      <w:pPr>
        <w:pStyle w:val="58"/>
        <w:ind w:firstLine="480"/>
        <w:rPr>
          <w:rFonts w:cs="Times New Roman"/>
        </w:rPr>
      </w:pPr>
      <w:r>
        <w:rPr>
          <w:rFonts w:cs="Times New Roman"/>
        </w:rPr>
        <w:t>（3）</w:t>
      </w:r>
      <w:r>
        <w:fldChar w:fldCharType="begin"/>
      </w:r>
      <w:r>
        <w:instrText xml:space="preserve"> HYPERLINK \l "_Toc27987" </w:instrText>
      </w:r>
      <w:r>
        <w:fldChar w:fldCharType="separate"/>
      </w:r>
      <w:r>
        <w:rPr>
          <w:rFonts w:cs="Times New Roman"/>
        </w:rPr>
        <w:t>评价</w:t>
      </w:r>
      <w:r>
        <w:rPr>
          <w:rFonts w:cs="Times New Roman"/>
        </w:rPr>
        <w:fldChar w:fldCharType="end"/>
      </w:r>
      <w:r>
        <w:rPr>
          <w:rFonts w:cs="Times New Roman"/>
        </w:rPr>
        <w:t>重点</w:t>
      </w:r>
    </w:p>
    <w:p w14:paraId="1F9F6DF5">
      <w:pPr>
        <w:pStyle w:val="58"/>
        <w:ind w:firstLine="480"/>
        <w:rPr>
          <w:rFonts w:cs="Times New Roman"/>
        </w:rPr>
      </w:pPr>
      <w:r>
        <w:rPr>
          <w:rFonts w:ascii="Cambria Math" w:hAnsi="Cambria Math" w:cs="Cambria Math"/>
        </w:rPr>
        <w:t>①</w:t>
      </w:r>
      <w:r>
        <w:rPr>
          <w:rFonts w:cs="Times New Roman"/>
        </w:rPr>
        <w:t>进行风险识别并对源项进行分析；</w:t>
      </w:r>
    </w:p>
    <w:p w14:paraId="424A0A39">
      <w:pPr>
        <w:pStyle w:val="58"/>
        <w:ind w:firstLine="480"/>
        <w:rPr>
          <w:rFonts w:cs="Times New Roman"/>
        </w:rPr>
      </w:pPr>
      <w:r>
        <w:rPr>
          <w:rFonts w:ascii="Cambria Math" w:hAnsi="Cambria Math" w:cs="Cambria Math"/>
        </w:rPr>
        <w:t>②</w:t>
      </w:r>
      <w:r>
        <w:rPr>
          <w:rFonts w:cs="Times New Roman"/>
        </w:rPr>
        <w:t>对事故影响进行分析；</w:t>
      </w:r>
    </w:p>
    <w:p w14:paraId="2D770BB8">
      <w:pPr>
        <w:pStyle w:val="58"/>
        <w:ind w:firstLine="480"/>
        <w:rPr>
          <w:rFonts w:cs="Times New Roman"/>
        </w:rPr>
      </w:pPr>
      <w:r>
        <w:rPr>
          <w:rFonts w:ascii="Cambria Math" w:hAnsi="Cambria Math" w:cs="Cambria Math"/>
        </w:rPr>
        <w:t>③</w:t>
      </w:r>
      <w:r>
        <w:rPr>
          <w:rFonts w:cs="Times New Roman"/>
        </w:rPr>
        <w:t>提出环境风险防范措施和应急预案。</w:t>
      </w:r>
    </w:p>
    <w:p w14:paraId="4B09519B">
      <w:pPr>
        <w:pStyle w:val="6"/>
        <w:spacing w:before="120" w:after="120"/>
      </w:pPr>
      <w:r>
        <w:t>现有工程环境风险回顾性评价</w:t>
      </w:r>
    </w:p>
    <w:p w14:paraId="3F8C9740">
      <w:pPr>
        <w:pStyle w:val="3"/>
        <w:ind w:firstLine="480"/>
      </w:pPr>
      <w:bookmarkStart w:id="219" w:name="_Hlk178345988"/>
      <w:r>
        <w:t>2025年5月28日新疆艾斯米尔锰合金有限公司签署了《新疆艾斯米尔锰合金有限公司突发环境事件应急预案》，并向伊犁哈萨克自治州生态环境局奎屯市分局备案。备案文件有突发环境事件应急预案备案表、环境应急预案及编制说明、环境风险评估报告、环境应急资源调查报告和环境应急预案评审意见，备案编号：654003-2025-0013-L。</w:t>
      </w:r>
    </w:p>
    <w:bookmarkEnd w:id="219"/>
    <w:p w14:paraId="0F935A54">
      <w:pPr>
        <w:pStyle w:val="6"/>
        <w:spacing w:before="120" w:after="120"/>
      </w:pPr>
      <w:r>
        <w:t>环境风险调查</w:t>
      </w:r>
    </w:p>
    <w:p w14:paraId="22FD0775">
      <w:pPr>
        <w:pStyle w:val="58"/>
        <w:ind w:firstLine="480"/>
        <w:rPr>
          <w:rFonts w:cs="Times New Roman"/>
        </w:rPr>
      </w:pPr>
      <w:r>
        <w:rPr>
          <w:rFonts w:cs="Times New Roman"/>
        </w:rPr>
        <w:t>本项目原辅材料不属于《建设项目环境风险评价技术导则》（HJ169-2018）附录B中规定的风险物质。主要危险物质为废矿物油，属于油类物质，本次技改工程实施后废矿物油最大存储量为0.98t，临界量为2500t。本项目可能发生的环境风险事故为火灾事故、污水处理设施泄漏、危废暂存点储存的废矿物油泄漏等事故，对事故区域及下游环境质量及人员健康安全产生的影响。</w:t>
      </w:r>
    </w:p>
    <w:p w14:paraId="6013DD28">
      <w:pPr>
        <w:pStyle w:val="6"/>
        <w:spacing w:before="120" w:after="120"/>
      </w:pPr>
      <w:r>
        <w:t>周边环境风险敏感目标调查</w:t>
      </w:r>
    </w:p>
    <w:p w14:paraId="75183692">
      <w:pPr>
        <w:pStyle w:val="58"/>
        <w:ind w:firstLine="480"/>
        <w:rPr>
          <w:rFonts w:cs="Times New Roman"/>
        </w:rPr>
      </w:pPr>
      <w:bookmarkStart w:id="220" w:name="_Hlk178344680"/>
      <w:r>
        <w:rPr>
          <w:rFonts w:cs="Times New Roman"/>
        </w:rPr>
        <w:t>本次评价对周边3m范围内企业及现有环境风险敏感目标进行调查，具体敏感目标分布情况如下：</w:t>
      </w:r>
    </w:p>
    <w:p w14:paraId="3CF28696">
      <w:pPr>
        <w:pStyle w:val="88"/>
        <w:rPr>
          <w:rFonts w:ascii="Times New Roman" w:hAnsi="Times New Roman" w:cs="Times New Roman"/>
        </w:rPr>
      </w:pPr>
      <w:r>
        <w:rPr>
          <w:rFonts w:ascii="Times New Roman" w:hAnsi="Times New Roman" w:cs="Times New Roman"/>
        </w:rPr>
        <w:t>表6.2.7-1    环境保护目标及敏感点分布</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38"/>
        <w:gridCol w:w="2124"/>
        <w:gridCol w:w="1475"/>
        <w:gridCol w:w="1475"/>
        <w:gridCol w:w="1475"/>
        <w:gridCol w:w="1469"/>
      </w:tblGrid>
      <w:tr w14:paraId="4FBA85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73" w:type="pct"/>
            <w:tcBorders>
              <w:tl2br w:val="nil"/>
              <w:tr2bl w:val="nil"/>
            </w:tcBorders>
            <w:vAlign w:val="center"/>
          </w:tcPr>
          <w:p w14:paraId="3F21F299">
            <w:pPr>
              <w:pStyle w:val="60"/>
              <w:snapToGrid w:val="0"/>
            </w:pPr>
            <w:r>
              <w:t>序号</w:t>
            </w:r>
          </w:p>
        </w:tc>
        <w:tc>
          <w:tcPr>
            <w:tcW w:w="1199" w:type="pct"/>
            <w:tcBorders>
              <w:tl2br w:val="nil"/>
              <w:tr2bl w:val="nil"/>
            </w:tcBorders>
            <w:vAlign w:val="center"/>
          </w:tcPr>
          <w:p w14:paraId="1464A3B6">
            <w:pPr>
              <w:pStyle w:val="60"/>
              <w:snapToGrid w:val="0"/>
            </w:pPr>
            <w:r>
              <w:t>敏感目标</w:t>
            </w:r>
          </w:p>
        </w:tc>
        <w:tc>
          <w:tcPr>
            <w:tcW w:w="833" w:type="pct"/>
            <w:tcBorders>
              <w:tl2br w:val="nil"/>
              <w:tr2bl w:val="nil"/>
            </w:tcBorders>
            <w:vAlign w:val="center"/>
          </w:tcPr>
          <w:p w14:paraId="73E94592">
            <w:pPr>
              <w:pStyle w:val="60"/>
              <w:snapToGrid w:val="0"/>
            </w:pPr>
            <w:r>
              <w:t>相对位置</w:t>
            </w:r>
          </w:p>
        </w:tc>
        <w:tc>
          <w:tcPr>
            <w:tcW w:w="833" w:type="pct"/>
            <w:tcBorders>
              <w:tl2br w:val="nil"/>
              <w:tr2bl w:val="nil"/>
            </w:tcBorders>
            <w:vAlign w:val="center"/>
          </w:tcPr>
          <w:p w14:paraId="571EE4AE">
            <w:pPr>
              <w:pStyle w:val="60"/>
              <w:snapToGrid w:val="0"/>
            </w:pPr>
            <w:r>
              <w:t>距离/m</w:t>
            </w:r>
          </w:p>
        </w:tc>
        <w:tc>
          <w:tcPr>
            <w:tcW w:w="833" w:type="pct"/>
            <w:tcBorders>
              <w:tl2br w:val="nil"/>
              <w:tr2bl w:val="nil"/>
            </w:tcBorders>
            <w:vAlign w:val="center"/>
          </w:tcPr>
          <w:p w14:paraId="5737BDC1">
            <w:pPr>
              <w:pStyle w:val="60"/>
              <w:snapToGrid w:val="0"/>
            </w:pPr>
            <w:r>
              <w:t>敏感属性</w:t>
            </w:r>
          </w:p>
        </w:tc>
        <w:tc>
          <w:tcPr>
            <w:tcW w:w="829" w:type="pct"/>
            <w:tcBorders>
              <w:tl2br w:val="nil"/>
              <w:tr2bl w:val="nil"/>
            </w:tcBorders>
            <w:vAlign w:val="center"/>
          </w:tcPr>
          <w:p w14:paraId="10776717">
            <w:pPr>
              <w:pStyle w:val="60"/>
              <w:snapToGrid w:val="0"/>
            </w:pPr>
            <w:r>
              <w:t>人数/人</w:t>
            </w:r>
          </w:p>
        </w:tc>
      </w:tr>
      <w:tr w14:paraId="721B47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3" w:type="pct"/>
            <w:tcBorders>
              <w:tl2br w:val="nil"/>
              <w:tr2bl w:val="nil"/>
            </w:tcBorders>
            <w:vAlign w:val="center"/>
          </w:tcPr>
          <w:p w14:paraId="41AF5FEF">
            <w:pPr>
              <w:pStyle w:val="60"/>
              <w:snapToGrid w:val="0"/>
            </w:pPr>
            <w:r>
              <w:t>1</w:t>
            </w:r>
          </w:p>
        </w:tc>
        <w:tc>
          <w:tcPr>
            <w:tcW w:w="1199" w:type="pct"/>
            <w:tcBorders>
              <w:tl2br w:val="nil"/>
              <w:tr2bl w:val="nil"/>
            </w:tcBorders>
            <w:vAlign w:val="center"/>
          </w:tcPr>
          <w:p w14:paraId="00002114">
            <w:pPr>
              <w:pStyle w:val="60"/>
              <w:snapToGrid w:val="0"/>
            </w:pPr>
            <w:r>
              <w:t>东郊二队</w:t>
            </w:r>
          </w:p>
        </w:tc>
        <w:tc>
          <w:tcPr>
            <w:tcW w:w="833" w:type="pct"/>
            <w:tcBorders>
              <w:tl2br w:val="nil"/>
              <w:tr2bl w:val="nil"/>
            </w:tcBorders>
            <w:vAlign w:val="center"/>
          </w:tcPr>
          <w:p w14:paraId="2001BA29">
            <w:pPr>
              <w:pStyle w:val="60"/>
              <w:snapToGrid w:val="0"/>
            </w:pPr>
            <w:r>
              <w:t>北</w:t>
            </w:r>
          </w:p>
        </w:tc>
        <w:tc>
          <w:tcPr>
            <w:tcW w:w="833" w:type="pct"/>
            <w:tcBorders>
              <w:tl2br w:val="nil"/>
              <w:tr2bl w:val="nil"/>
            </w:tcBorders>
            <w:vAlign w:val="center"/>
          </w:tcPr>
          <w:p w14:paraId="7D4F6BB8">
            <w:pPr>
              <w:pStyle w:val="60"/>
              <w:snapToGrid w:val="0"/>
            </w:pPr>
            <w:r>
              <w:t>1590</w:t>
            </w:r>
          </w:p>
        </w:tc>
        <w:tc>
          <w:tcPr>
            <w:tcW w:w="833" w:type="pct"/>
            <w:tcBorders>
              <w:tl2br w:val="nil"/>
              <w:tr2bl w:val="nil"/>
            </w:tcBorders>
            <w:vAlign w:val="center"/>
          </w:tcPr>
          <w:p w14:paraId="6AE45BA4">
            <w:pPr>
              <w:pStyle w:val="60"/>
              <w:snapToGrid w:val="0"/>
            </w:pPr>
            <w:r>
              <w:t>居民</w:t>
            </w:r>
          </w:p>
        </w:tc>
        <w:tc>
          <w:tcPr>
            <w:tcW w:w="829" w:type="pct"/>
            <w:tcBorders>
              <w:tl2br w:val="nil"/>
              <w:tr2bl w:val="nil"/>
            </w:tcBorders>
            <w:vAlign w:val="center"/>
          </w:tcPr>
          <w:p w14:paraId="559C8EB3">
            <w:pPr>
              <w:pStyle w:val="60"/>
              <w:snapToGrid w:val="0"/>
            </w:pPr>
            <w:r>
              <w:t>260</w:t>
            </w:r>
          </w:p>
        </w:tc>
      </w:tr>
      <w:tr w14:paraId="190985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3" w:type="pct"/>
            <w:tcBorders>
              <w:tl2br w:val="nil"/>
              <w:tr2bl w:val="nil"/>
            </w:tcBorders>
            <w:vAlign w:val="center"/>
          </w:tcPr>
          <w:p w14:paraId="1B820915">
            <w:pPr>
              <w:pStyle w:val="60"/>
              <w:snapToGrid w:val="0"/>
            </w:pPr>
            <w:r>
              <w:t>2</w:t>
            </w:r>
          </w:p>
        </w:tc>
        <w:tc>
          <w:tcPr>
            <w:tcW w:w="1199" w:type="pct"/>
            <w:tcBorders>
              <w:tl2br w:val="nil"/>
              <w:tr2bl w:val="nil"/>
            </w:tcBorders>
            <w:vAlign w:val="center"/>
          </w:tcPr>
          <w:p w14:paraId="66A31D34">
            <w:pPr>
              <w:pStyle w:val="60"/>
              <w:snapToGrid w:val="0"/>
            </w:pPr>
            <w:r>
              <w:t>东郊农场四队</w:t>
            </w:r>
          </w:p>
        </w:tc>
        <w:tc>
          <w:tcPr>
            <w:tcW w:w="833" w:type="pct"/>
            <w:tcBorders>
              <w:tl2br w:val="nil"/>
              <w:tr2bl w:val="nil"/>
            </w:tcBorders>
            <w:vAlign w:val="center"/>
          </w:tcPr>
          <w:p w14:paraId="1AA44509">
            <w:pPr>
              <w:pStyle w:val="60"/>
              <w:snapToGrid w:val="0"/>
            </w:pPr>
            <w:r>
              <w:t>东南</w:t>
            </w:r>
          </w:p>
        </w:tc>
        <w:tc>
          <w:tcPr>
            <w:tcW w:w="833" w:type="pct"/>
            <w:tcBorders>
              <w:tl2br w:val="nil"/>
              <w:tr2bl w:val="nil"/>
            </w:tcBorders>
            <w:vAlign w:val="center"/>
          </w:tcPr>
          <w:p w14:paraId="2AF92863">
            <w:pPr>
              <w:pStyle w:val="60"/>
              <w:snapToGrid w:val="0"/>
            </w:pPr>
            <w:r>
              <w:t>1630</w:t>
            </w:r>
          </w:p>
        </w:tc>
        <w:tc>
          <w:tcPr>
            <w:tcW w:w="833" w:type="pct"/>
            <w:tcBorders>
              <w:tl2br w:val="nil"/>
              <w:tr2bl w:val="nil"/>
            </w:tcBorders>
          </w:tcPr>
          <w:p w14:paraId="338F27B2">
            <w:pPr>
              <w:pStyle w:val="60"/>
              <w:snapToGrid w:val="0"/>
            </w:pPr>
            <w:r>
              <w:t>居民</w:t>
            </w:r>
          </w:p>
        </w:tc>
        <w:tc>
          <w:tcPr>
            <w:tcW w:w="829" w:type="pct"/>
            <w:tcBorders>
              <w:tl2br w:val="nil"/>
              <w:tr2bl w:val="nil"/>
            </w:tcBorders>
            <w:vAlign w:val="center"/>
          </w:tcPr>
          <w:p w14:paraId="15F2A751">
            <w:pPr>
              <w:pStyle w:val="60"/>
              <w:snapToGrid w:val="0"/>
            </w:pPr>
            <w:r>
              <w:t>153</w:t>
            </w:r>
          </w:p>
        </w:tc>
      </w:tr>
      <w:tr w14:paraId="683C7A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3" w:type="pct"/>
            <w:tcBorders>
              <w:tl2br w:val="nil"/>
              <w:tr2bl w:val="nil"/>
            </w:tcBorders>
            <w:vAlign w:val="center"/>
          </w:tcPr>
          <w:p w14:paraId="1D44E708">
            <w:pPr>
              <w:pStyle w:val="60"/>
              <w:snapToGrid w:val="0"/>
            </w:pPr>
            <w:r>
              <w:t>3</w:t>
            </w:r>
          </w:p>
        </w:tc>
        <w:tc>
          <w:tcPr>
            <w:tcW w:w="1199" w:type="pct"/>
            <w:tcBorders>
              <w:tl2br w:val="nil"/>
              <w:tr2bl w:val="nil"/>
            </w:tcBorders>
            <w:vAlign w:val="center"/>
          </w:tcPr>
          <w:p w14:paraId="775FDF8A">
            <w:pPr>
              <w:pStyle w:val="60"/>
              <w:snapToGrid w:val="0"/>
            </w:pPr>
            <w:r>
              <w:t>基建连</w:t>
            </w:r>
          </w:p>
        </w:tc>
        <w:tc>
          <w:tcPr>
            <w:tcW w:w="833" w:type="pct"/>
            <w:tcBorders>
              <w:tl2br w:val="nil"/>
              <w:tr2bl w:val="nil"/>
            </w:tcBorders>
            <w:vAlign w:val="center"/>
          </w:tcPr>
          <w:p w14:paraId="340FB5D5">
            <w:pPr>
              <w:pStyle w:val="60"/>
              <w:snapToGrid w:val="0"/>
            </w:pPr>
            <w:r>
              <w:t>北</w:t>
            </w:r>
          </w:p>
        </w:tc>
        <w:tc>
          <w:tcPr>
            <w:tcW w:w="833" w:type="pct"/>
            <w:tcBorders>
              <w:tl2br w:val="nil"/>
              <w:tr2bl w:val="nil"/>
            </w:tcBorders>
            <w:vAlign w:val="center"/>
          </w:tcPr>
          <w:p w14:paraId="59BF7A3A">
            <w:pPr>
              <w:pStyle w:val="60"/>
              <w:snapToGrid w:val="0"/>
            </w:pPr>
            <w:r>
              <w:t>1420</w:t>
            </w:r>
          </w:p>
        </w:tc>
        <w:tc>
          <w:tcPr>
            <w:tcW w:w="833" w:type="pct"/>
            <w:tcBorders>
              <w:tl2br w:val="nil"/>
              <w:tr2bl w:val="nil"/>
            </w:tcBorders>
          </w:tcPr>
          <w:p w14:paraId="21C0F8B6">
            <w:pPr>
              <w:pStyle w:val="60"/>
              <w:snapToGrid w:val="0"/>
            </w:pPr>
            <w:r>
              <w:t>居民</w:t>
            </w:r>
          </w:p>
        </w:tc>
        <w:tc>
          <w:tcPr>
            <w:tcW w:w="829" w:type="pct"/>
            <w:tcBorders>
              <w:tl2br w:val="nil"/>
              <w:tr2bl w:val="nil"/>
            </w:tcBorders>
            <w:vAlign w:val="center"/>
          </w:tcPr>
          <w:p w14:paraId="03121857">
            <w:pPr>
              <w:pStyle w:val="60"/>
              <w:snapToGrid w:val="0"/>
            </w:pPr>
            <w:r>
              <w:t>160</w:t>
            </w:r>
          </w:p>
        </w:tc>
      </w:tr>
      <w:bookmarkEnd w:id="220"/>
    </w:tbl>
    <w:p w14:paraId="732ACF60">
      <w:pPr>
        <w:pStyle w:val="6"/>
        <w:spacing w:before="120" w:after="120"/>
      </w:pPr>
      <w:r>
        <w:fldChar w:fldCharType="begin"/>
      </w:r>
      <w:r>
        <w:instrText xml:space="preserve">HYPERLINK \l "_Toc32626"</w:instrText>
      </w:r>
      <w:r>
        <w:fldChar w:fldCharType="separate"/>
      </w:r>
      <w:r>
        <w:t>环境风险潜势初判</w:t>
      </w:r>
      <w:r>
        <w:fldChar w:fldCharType="end"/>
      </w:r>
    </w:p>
    <w:p w14:paraId="4C629CD2">
      <w:pPr>
        <w:pStyle w:val="58"/>
        <w:ind w:firstLine="480"/>
        <w:rPr>
          <w:rFonts w:cs="Times New Roman"/>
        </w:rPr>
      </w:pPr>
      <w:r>
        <w:rPr>
          <w:rFonts w:cs="Times New Roman"/>
        </w:rPr>
        <w:t>（1）危险物质及工艺系统危险性（P）的确定</w:t>
      </w:r>
    </w:p>
    <w:p w14:paraId="7E27035F">
      <w:pPr>
        <w:pStyle w:val="58"/>
        <w:ind w:firstLine="480"/>
        <w:rPr>
          <w:rFonts w:cs="Times New Roman"/>
        </w:rPr>
      </w:pPr>
      <w:bookmarkStart w:id="221" w:name="_Hlk116930944"/>
      <w:r>
        <w:rPr>
          <w:rFonts w:cs="Times New Roman"/>
        </w:rPr>
        <w:t>项目</w:t>
      </w:r>
      <w:bookmarkEnd w:id="221"/>
      <w:r>
        <w:rPr>
          <w:rFonts w:cs="Times New Roman"/>
        </w:rPr>
        <w:t>危险物质及工艺系统危险性（P）应根据危险物质数量与临界量的比值（Q）及所属行业及生产工艺特点（M）确定。</w:t>
      </w:r>
    </w:p>
    <w:p w14:paraId="39B9409C">
      <w:pPr>
        <w:pStyle w:val="58"/>
        <w:ind w:firstLine="480"/>
        <w:rPr>
          <w:rFonts w:cs="Times New Roman"/>
        </w:rPr>
      </w:pPr>
      <w:r>
        <w:rPr>
          <w:rFonts w:cs="Times New Roman"/>
        </w:rPr>
        <w:t>根据《建设项目环境风险评价技术导则》（HJ169-2018），项目所涉及的每种危险物质在厂界内的最大存在总量与其对应临界量的比值Q来表征危险性。</w:t>
      </w:r>
    </w:p>
    <w:p w14:paraId="12F06622">
      <w:pPr>
        <w:pStyle w:val="58"/>
        <w:ind w:firstLine="480"/>
        <w:rPr>
          <w:rFonts w:cs="Times New Roman"/>
        </w:rPr>
      </w:pPr>
      <w:r>
        <w:rPr>
          <w:rFonts w:cs="Times New Roman"/>
        </w:rPr>
        <w:t>当只涉及一种危险物质时，计算该物质的总量与其临界量比值，即为Q；</w:t>
      </w:r>
    </w:p>
    <w:p w14:paraId="2B8AE871">
      <w:pPr>
        <w:pStyle w:val="58"/>
        <w:ind w:firstLine="480"/>
        <w:rPr>
          <w:rFonts w:cs="Times New Roman"/>
        </w:rPr>
      </w:pPr>
      <w:r>
        <w:rPr>
          <w:rFonts w:cs="Times New Roman"/>
        </w:rPr>
        <w:t>当存在多种危险物质时，则按下面公式计算物质总量与其临界量比值（Q）：</w:t>
      </w:r>
    </w:p>
    <w:p w14:paraId="0B03F279">
      <w:pPr>
        <w:pStyle w:val="3"/>
        <w:ind w:firstLine="480"/>
        <w:jc w:val="center"/>
        <w:textAlignment w:val="center"/>
      </w:pPr>
      <w:r>
        <w:rPr>
          <w:position w:val="-30"/>
        </w:rPr>
        <w:object>
          <v:shape id="_x0000_i1033" o:spt="75" type="#_x0000_t75" style="height:36pt;width:100.5pt;" o:ole="t" filled="f" o:preferrelative="t" stroked="f" coordsize="21600,21600">
            <v:path/>
            <v:fill on="f" focussize="0,0"/>
            <v:stroke on="f" joinstyle="miter"/>
            <v:imagedata r:id="rId18" o:title=""/>
            <o:lock v:ext="edit" aspectratio="t"/>
            <w10:wrap type="none"/>
            <w10:anchorlock/>
          </v:shape>
          <o:OLEObject Type="Embed" ProgID="Equation.3" ShapeID="_x0000_i1033" DrawAspect="Content" ObjectID="_1468075733" r:id="rId35">
            <o:LockedField>false</o:LockedField>
          </o:OLEObject>
        </w:object>
      </w:r>
    </w:p>
    <w:p w14:paraId="3179C102">
      <w:pPr>
        <w:pStyle w:val="58"/>
        <w:ind w:firstLine="480"/>
        <w:rPr>
          <w:rFonts w:cs="Times New Roman"/>
        </w:rPr>
      </w:pPr>
      <w:r>
        <w:rPr>
          <w:rFonts w:cs="Times New Roman"/>
        </w:rPr>
        <w:t>式中：</w:t>
      </w:r>
    </w:p>
    <w:p w14:paraId="26EE3448">
      <w:pPr>
        <w:pStyle w:val="58"/>
        <w:ind w:firstLine="480"/>
        <w:rPr>
          <w:rFonts w:cs="Times New Roman"/>
        </w:rPr>
      </w:pPr>
      <w:r>
        <w:rPr>
          <w:rFonts w:cs="Times New Roman"/>
        </w:rPr>
        <w:t>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——每种危险物质的最大存在量，t；</w:t>
      </w:r>
    </w:p>
    <w:p w14:paraId="1B587DBC">
      <w:pPr>
        <w:pStyle w:val="58"/>
        <w:ind w:firstLine="480"/>
        <w:rPr>
          <w:rFonts w:cs="Times New Roman"/>
        </w:rPr>
      </w:pPr>
      <w:r>
        <w:rPr>
          <w:rFonts w:cs="Times New Roman"/>
        </w:rPr>
        <w:t>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——每种危险物质的临界量，t。</w:t>
      </w:r>
    </w:p>
    <w:p w14:paraId="2CDC4507">
      <w:pPr>
        <w:pStyle w:val="58"/>
        <w:ind w:firstLine="480"/>
        <w:rPr>
          <w:rFonts w:cs="Times New Roman"/>
        </w:rPr>
      </w:pPr>
      <w:r>
        <w:rPr>
          <w:rFonts w:cs="Times New Roman"/>
        </w:rPr>
        <w:t>当Q&lt;1时，该项目环境风险潜势为Ⅰ。</w:t>
      </w:r>
    </w:p>
    <w:p w14:paraId="1950EC12">
      <w:pPr>
        <w:pStyle w:val="58"/>
        <w:ind w:firstLine="480"/>
        <w:rPr>
          <w:rFonts w:cs="Times New Roman"/>
        </w:rPr>
      </w:pPr>
      <w:r>
        <w:rPr>
          <w:rFonts w:cs="Times New Roman"/>
        </w:rPr>
        <w:t>当Q≥1时，将Q值划分为：a.1≤Q&lt;10；b.10≤Q&lt;100；c.Q≥100。</w:t>
      </w:r>
    </w:p>
    <w:p w14:paraId="507D2FCD">
      <w:pPr>
        <w:pStyle w:val="58"/>
        <w:ind w:firstLine="480"/>
        <w:rPr>
          <w:rFonts w:cs="Times New Roman"/>
        </w:rPr>
      </w:pPr>
      <w:r>
        <w:rPr>
          <w:rFonts w:cs="Times New Roman"/>
        </w:rPr>
        <w:t>本项目风险物质为机械设备维修产生的废矿物油，分布于危废暂存点，最大储存量为0.98t，根据《建设项目环境风险评价技术导则》（HJ 169-2018）附录B临界量为2500t，本项目所在厂区涉及危险物质数量与临界量的比值（Q）见表6.2.7-2。</w:t>
      </w:r>
    </w:p>
    <w:p w14:paraId="6D9FAD54">
      <w:pPr>
        <w:pStyle w:val="88"/>
        <w:keepNext/>
        <w:rPr>
          <w:rFonts w:ascii="Times New Roman" w:hAnsi="Times New Roman" w:cs="Times New Roman"/>
        </w:rPr>
      </w:pPr>
      <w:r>
        <w:rPr>
          <w:rFonts w:ascii="Times New Roman" w:hAnsi="Times New Roman" w:cs="Times New Roman"/>
        </w:rPr>
        <w:t>表6.2.7-2    建设项目危险物质数量与临界量的比值（Q）一览表</w:t>
      </w:r>
    </w:p>
    <w:tbl>
      <w:tblPr>
        <w:tblStyle w:val="44"/>
        <w:tblW w:w="494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097"/>
        <w:gridCol w:w="1110"/>
        <w:gridCol w:w="1936"/>
        <w:gridCol w:w="1384"/>
        <w:gridCol w:w="2524"/>
      </w:tblGrid>
      <w:tr w14:paraId="3BFFF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00" w:type="pct"/>
            <w:vAlign w:val="center"/>
          </w:tcPr>
          <w:p w14:paraId="21C951E6">
            <w:pPr>
              <w:pStyle w:val="34"/>
              <w:rPr>
                <w:rFonts w:ascii="Calibri" w:hAnsi="Calibri"/>
              </w:rPr>
            </w:pPr>
            <w:r>
              <w:rPr>
                <w:rFonts w:ascii="Calibri" w:hAnsi="Calibri"/>
              </w:rPr>
              <w:t>序号</w:t>
            </w:r>
          </w:p>
        </w:tc>
        <w:tc>
          <w:tcPr>
            <w:tcW w:w="627" w:type="pct"/>
            <w:vAlign w:val="center"/>
          </w:tcPr>
          <w:p w14:paraId="4357AB10">
            <w:pPr>
              <w:pStyle w:val="34"/>
              <w:rPr>
                <w:rFonts w:ascii="Calibri" w:hAnsi="Calibri"/>
              </w:rPr>
            </w:pPr>
            <w:r>
              <w:rPr>
                <w:rFonts w:ascii="Calibri" w:hAnsi="Calibri"/>
              </w:rPr>
              <w:t>物质名称</w:t>
            </w:r>
          </w:p>
        </w:tc>
        <w:tc>
          <w:tcPr>
            <w:tcW w:w="634" w:type="pct"/>
            <w:vAlign w:val="center"/>
          </w:tcPr>
          <w:p w14:paraId="154A5BBB">
            <w:pPr>
              <w:pStyle w:val="34"/>
              <w:rPr>
                <w:rFonts w:ascii="Calibri" w:hAnsi="Calibri"/>
              </w:rPr>
            </w:pPr>
            <w:r>
              <w:rPr>
                <w:rFonts w:ascii="Calibri" w:hAnsi="Calibri"/>
              </w:rPr>
              <w:t>储存方式</w:t>
            </w:r>
          </w:p>
        </w:tc>
        <w:tc>
          <w:tcPr>
            <w:tcW w:w="1106" w:type="pct"/>
            <w:vAlign w:val="center"/>
          </w:tcPr>
          <w:p w14:paraId="60ADE362">
            <w:pPr>
              <w:pStyle w:val="34"/>
              <w:rPr>
                <w:rFonts w:ascii="Calibri" w:hAnsi="Calibri"/>
              </w:rPr>
            </w:pPr>
            <w:r>
              <w:rPr>
                <w:rFonts w:ascii="Calibri" w:hAnsi="Calibri"/>
              </w:rPr>
              <w:t>最大储/在线量qn/t</w:t>
            </w:r>
          </w:p>
        </w:tc>
        <w:tc>
          <w:tcPr>
            <w:tcW w:w="791" w:type="pct"/>
            <w:vAlign w:val="center"/>
          </w:tcPr>
          <w:p w14:paraId="09F90743">
            <w:pPr>
              <w:pStyle w:val="34"/>
              <w:rPr>
                <w:rFonts w:ascii="Calibri" w:hAnsi="Calibri"/>
              </w:rPr>
            </w:pPr>
            <w:r>
              <w:rPr>
                <w:rFonts w:ascii="Calibri" w:hAnsi="Calibri"/>
              </w:rPr>
              <w:t>临界量Qn/t</w:t>
            </w:r>
          </w:p>
        </w:tc>
        <w:tc>
          <w:tcPr>
            <w:tcW w:w="1432" w:type="pct"/>
            <w:vAlign w:val="center"/>
          </w:tcPr>
          <w:p w14:paraId="319854F5">
            <w:pPr>
              <w:pStyle w:val="34"/>
              <w:rPr>
                <w:rFonts w:ascii="Calibri" w:hAnsi="Calibri"/>
              </w:rPr>
            </w:pPr>
            <w:r>
              <w:rPr>
                <w:rFonts w:ascii="Calibri" w:hAnsi="Calibri"/>
              </w:rPr>
              <w:t>最大储量与临界量比值Q</w:t>
            </w:r>
          </w:p>
        </w:tc>
      </w:tr>
      <w:tr w14:paraId="26B63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400" w:type="pct"/>
            <w:vAlign w:val="center"/>
          </w:tcPr>
          <w:p w14:paraId="65A60842">
            <w:pPr>
              <w:pStyle w:val="34"/>
              <w:rPr>
                <w:rFonts w:ascii="Calibri" w:hAnsi="Calibri"/>
              </w:rPr>
            </w:pPr>
            <w:r>
              <w:rPr>
                <w:rFonts w:ascii="Calibri" w:hAnsi="Calibri"/>
              </w:rPr>
              <w:t>1</w:t>
            </w:r>
          </w:p>
        </w:tc>
        <w:tc>
          <w:tcPr>
            <w:tcW w:w="627" w:type="pct"/>
            <w:vAlign w:val="center"/>
          </w:tcPr>
          <w:p w14:paraId="2D97B088">
            <w:pPr>
              <w:pStyle w:val="34"/>
              <w:rPr>
                <w:rFonts w:ascii="Calibri" w:hAnsi="Calibri"/>
              </w:rPr>
            </w:pPr>
            <w:r>
              <w:rPr>
                <w:rFonts w:ascii="Calibri" w:hAnsi="Calibri"/>
              </w:rPr>
              <w:t>废矿物油</w:t>
            </w:r>
          </w:p>
        </w:tc>
        <w:tc>
          <w:tcPr>
            <w:tcW w:w="634" w:type="pct"/>
            <w:vAlign w:val="center"/>
          </w:tcPr>
          <w:p w14:paraId="2F5C221B">
            <w:pPr>
              <w:pStyle w:val="34"/>
              <w:rPr>
                <w:rFonts w:ascii="Calibri" w:hAnsi="Calibri"/>
              </w:rPr>
            </w:pPr>
            <w:r>
              <w:rPr>
                <w:rFonts w:ascii="Calibri" w:hAnsi="Calibri"/>
              </w:rPr>
              <w:t>桶装</w:t>
            </w:r>
          </w:p>
        </w:tc>
        <w:tc>
          <w:tcPr>
            <w:tcW w:w="1106" w:type="pct"/>
            <w:vAlign w:val="center"/>
          </w:tcPr>
          <w:p w14:paraId="7C953155">
            <w:pPr>
              <w:pStyle w:val="34"/>
              <w:rPr>
                <w:rFonts w:ascii="Calibri" w:hAnsi="Calibri"/>
              </w:rPr>
            </w:pPr>
            <w:r>
              <w:rPr>
                <w:rFonts w:ascii="Calibri" w:hAnsi="Calibri"/>
              </w:rPr>
              <w:t>0.98t</w:t>
            </w:r>
          </w:p>
        </w:tc>
        <w:tc>
          <w:tcPr>
            <w:tcW w:w="791" w:type="pct"/>
            <w:vAlign w:val="center"/>
          </w:tcPr>
          <w:p w14:paraId="02928DAF">
            <w:pPr>
              <w:pStyle w:val="34"/>
              <w:rPr>
                <w:rFonts w:ascii="Calibri" w:hAnsi="Calibri"/>
              </w:rPr>
            </w:pPr>
            <w:r>
              <w:rPr>
                <w:rFonts w:ascii="Calibri" w:hAnsi="Calibri"/>
              </w:rPr>
              <w:t>2500t</w:t>
            </w:r>
          </w:p>
        </w:tc>
        <w:tc>
          <w:tcPr>
            <w:tcW w:w="1432" w:type="pct"/>
            <w:vAlign w:val="center"/>
          </w:tcPr>
          <w:p w14:paraId="4B52132B">
            <w:pPr>
              <w:pStyle w:val="34"/>
              <w:rPr>
                <w:rFonts w:ascii="Calibri" w:hAnsi="Calibri"/>
              </w:rPr>
            </w:pPr>
            <w:r>
              <w:rPr>
                <w:rFonts w:ascii="Calibri" w:hAnsi="Calibri"/>
              </w:rPr>
              <w:t>0.000392</w:t>
            </w:r>
          </w:p>
        </w:tc>
      </w:tr>
      <w:tr w14:paraId="63F19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8" w:type="pct"/>
            <w:gridSpan w:val="5"/>
            <w:vAlign w:val="center"/>
          </w:tcPr>
          <w:p w14:paraId="36CEE0A3">
            <w:pPr>
              <w:pStyle w:val="34"/>
              <w:rPr>
                <w:rFonts w:ascii="Calibri" w:hAnsi="Calibri"/>
              </w:rPr>
            </w:pPr>
            <w:r>
              <w:rPr>
                <w:rFonts w:ascii="Calibri" w:hAnsi="Calibri"/>
              </w:rPr>
              <w:t>总比值（Q）</w:t>
            </w:r>
          </w:p>
        </w:tc>
        <w:tc>
          <w:tcPr>
            <w:tcW w:w="1442" w:type="pct"/>
            <w:vAlign w:val="center"/>
          </w:tcPr>
          <w:p w14:paraId="398CA70E">
            <w:pPr>
              <w:pStyle w:val="34"/>
              <w:rPr>
                <w:rFonts w:ascii="Calibri" w:hAnsi="Calibri"/>
              </w:rPr>
            </w:pPr>
            <w:r>
              <w:rPr>
                <w:rFonts w:ascii="Calibri" w:hAnsi="Calibri"/>
              </w:rPr>
              <w:t>0.000392</w:t>
            </w:r>
          </w:p>
        </w:tc>
      </w:tr>
    </w:tbl>
    <w:p w14:paraId="460B0CDE">
      <w:pPr>
        <w:pStyle w:val="58"/>
        <w:ind w:firstLine="480"/>
        <w:rPr>
          <w:rFonts w:cs="Times New Roman"/>
        </w:rPr>
      </w:pPr>
      <w:r>
        <w:rPr>
          <w:rFonts w:cs="Times New Roman"/>
        </w:rPr>
        <w:t>经计算项目的Q＜1，本项目的环境风险潜势为Ⅰ。</w:t>
      </w:r>
    </w:p>
    <w:p w14:paraId="30F96EE0">
      <w:pPr>
        <w:pStyle w:val="6"/>
        <w:spacing w:before="120" w:after="120"/>
      </w:pPr>
      <w:r>
        <w:fldChar w:fldCharType="begin"/>
      </w:r>
      <w:r>
        <w:instrText xml:space="preserve"> HYPERLINK \l "_Toc8482" </w:instrText>
      </w:r>
      <w:r>
        <w:fldChar w:fldCharType="separate"/>
      </w:r>
      <w:r>
        <w:t>风险评价等级</w:t>
      </w:r>
      <w:r>
        <w:fldChar w:fldCharType="end"/>
      </w:r>
    </w:p>
    <w:p w14:paraId="6C1F5320">
      <w:pPr>
        <w:pStyle w:val="58"/>
        <w:ind w:firstLine="480"/>
        <w:rPr>
          <w:rFonts w:cs="Times New Roman"/>
        </w:rPr>
      </w:pPr>
      <w:r>
        <w:rPr>
          <w:rFonts w:cs="Times New Roman"/>
        </w:rPr>
        <w:t>根据《建设项目环境风险评价技术导则》（HJ169-2018）中关于风险评价等级的划分原则，《环境风险评价技术导则》将环境风险评价工作划分为一、二、三级。根据建设项目涉及的物质及工艺系统危险性和所在地的环境敏感确定的环境敏感性确定环境风险潜势，风险潜势为Ⅳ及以上，进行一级评价；风险潜势为Ⅲ，进行二级评价；风险潜势为Ⅱ，进行三级评价；风险潜势为Ⅰ，可开展简单分析。环境风险等级判定结果见下表。</w:t>
      </w:r>
    </w:p>
    <w:p w14:paraId="08C4E4F8">
      <w:pPr>
        <w:pStyle w:val="88"/>
        <w:keepNext/>
        <w:rPr>
          <w:rFonts w:ascii="Times New Roman" w:hAnsi="Times New Roman" w:cs="Times New Roman"/>
        </w:rPr>
      </w:pPr>
      <w:r>
        <w:rPr>
          <w:rFonts w:ascii="Times New Roman" w:hAnsi="Times New Roman" w:cs="Times New Roman"/>
        </w:rPr>
        <w:t>表6.2.7-3    环境风险评价工作等级划分表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56"/>
        <w:gridCol w:w="1552"/>
        <w:gridCol w:w="1856"/>
        <w:gridCol w:w="1856"/>
        <w:gridCol w:w="1736"/>
      </w:tblGrid>
      <w:tr w14:paraId="434CA8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8" w:type="pct"/>
            <w:tcBorders>
              <w:tl2br w:val="nil"/>
              <w:tr2bl w:val="nil"/>
            </w:tcBorders>
            <w:vAlign w:val="center"/>
          </w:tcPr>
          <w:p w14:paraId="0490B8C4">
            <w:pPr>
              <w:pStyle w:val="34"/>
            </w:pPr>
            <w:r>
              <w:t>环境风险潜势</w:t>
            </w:r>
          </w:p>
        </w:tc>
        <w:tc>
          <w:tcPr>
            <w:tcW w:w="876" w:type="pct"/>
            <w:tcBorders>
              <w:tl2br w:val="nil"/>
              <w:tr2bl w:val="nil"/>
            </w:tcBorders>
            <w:vAlign w:val="center"/>
          </w:tcPr>
          <w:p w14:paraId="3F0CF34C">
            <w:pPr>
              <w:pStyle w:val="34"/>
            </w:pPr>
            <w:r>
              <w:t>IV、IV+</w:t>
            </w:r>
          </w:p>
        </w:tc>
        <w:tc>
          <w:tcPr>
            <w:tcW w:w="1048" w:type="pct"/>
            <w:tcBorders>
              <w:tl2br w:val="nil"/>
              <w:tr2bl w:val="nil"/>
            </w:tcBorders>
            <w:vAlign w:val="center"/>
          </w:tcPr>
          <w:p w14:paraId="6EDE7802">
            <w:pPr>
              <w:pStyle w:val="34"/>
            </w:pPr>
            <w:r>
              <w:t>Ⅲ</w:t>
            </w:r>
          </w:p>
        </w:tc>
        <w:tc>
          <w:tcPr>
            <w:tcW w:w="1048" w:type="pct"/>
            <w:tcBorders>
              <w:tl2br w:val="nil"/>
              <w:tr2bl w:val="nil"/>
            </w:tcBorders>
            <w:vAlign w:val="center"/>
          </w:tcPr>
          <w:p w14:paraId="67AED6EA">
            <w:pPr>
              <w:pStyle w:val="34"/>
            </w:pPr>
            <w:r>
              <w:t>Ⅱ</w:t>
            </w:r>
          </w:p>
        </w:tc>
        <w:tc>
          <w:tcPr>
            <w:tcW w:w="980" w:type="pct"/>
            <w:tcBorders>
              <w:tl2br w:val="nil"/>
              <w:tr2bl w:val="nil"/>
            </w:tcBorders>
            <w:vAlign w:val="center"/>
          </w:tcPr>
          <w:p w14:paraId="3977C851">
            <w:pPr>
              <w:pStyle w:val="34"/>
            </w:pPr>
            <w:r>
              <w:t>I</w:t>
            </w:r>
          </w:p>
        </w:tc>
      </w:tr>
      <w:tr w14:paraId="511971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8" w:type="pct"/>
            <w:tcBorders>
              <w:tl2br w:val="nil"/>
              <w:tr2bl w:val="nil"/>
            </w:tcBorders>
            <w:vAlign w:val="center"/>
          </w:tcPr>
          <w:p w14:paraId="6EDD0E54">
            <w:pPr>
              <w:pStyle w:val="34"/>
            </w:pPr>
            <w:r>
              <w:t>评价工作等级</w:t>
            </w:r>
          </w:p>
        </w:tc>
        <w:tc>
          <w:tcPr>
            <w:tcW w:w="876" w:type="pct"/>
            <w:tcBorders>
              <w:tl2br w:val="nil"/>
              <w:tr2bl w:val="nil"/>
            </w:tcBorders>
            <w:vAlign w:val="center"/>
          </w:tcPr>
          <w:p w14:paraId="317BA500">
            <w:pPr>
              <w:pStyle w:val="34"/>
            </w:pPr>
            <w:r>
              <w:t>一</w:t>
            </w:r>
          </w:p>
        </w:tc>
        <w:tc>
          <w:tcPr>
            <w:tcW w:w="1048" w:type="pct"/>
            <w:tcBorders>
              <w:tl2br w:val="nil"/>
              <w:tr2bl w:val="nil"/>
            </w:tcBorders>
            <w:vAlign w:val="center"/>
          </w:tcPr>
          <w:p w14:paraId="6F75CDD5">
            <w:pPr>
              <w:pStyle w:val="34"/>
            </w:pPr>
            <w:r>
              <w:t>二</w:t>
            </w:r>
          </w:p>
        </w:tc>
        <w:tc>
          <w:tcPr>
            <w:tcW w:w="1048" w:type="pct"/>
            <w:tcBorders>
              <w:tl2br w:val="nil"/>
              <w:tr2bl w:val="nil"/>
            </w:tcBorders>
            <w:vAlign w:val="center"/>
          </w:tcPr>
          <w:p w14:paraId="1566669B">
            <w:pPr>
              <w:pStyle w:val="34"/>
            </w:pPr>
            <w:r>
              <w:t>三</w:t>
            </w:r>
          </w:p>
        </w:tc>
        <w:tc>
          <w:tcPr>
            <w:tcW w:w="980" w:type="pct"/>
            <w:tcBorders>
              <w:tl2br w:val="nil"/>
              <w:tr2bl w:val="nil"/>
            </w:tcBorders>
            <w:vAlign w:val="center"/>
          </w:tcPr>
          <w:p w14:paraId="147B1676">
            <w:pPr>
              <w:pStyle w:val="34"/>
            </w:pPr>
            <w:r>
              <w:t>简单分析</w:t>
            </w:r>
            <w:r>
              <w:rPr>
                <w:rFonts w:ascii="Cambria Math" w:hAnsi="Cambria Math" w:cs="Cambria Math"/>
                <w:vertAlign w:val="superscript"/>
              </w:rPr>
              <w:t>①</w:t>
            </w:r>
          </w:p>
        </w:tc>
      </w:tr>
      <w:tr w14:paraId="41553C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24" w:type="pct"/>
            <w:gridSpan w:val="2"/>
            <w:tcBorders>
              <w:top w:val="single" w:color="auto" w:sz="6" w:space="0"/>
              <w:bottom w:val="single" w:color="auto" w:sz="6" w:space="0"/>
              <w:tl2br w:val="nil"/>
              <w:tr2bl w:val="nil"/>
            </w:tcBorders>
            <w:shd w:val="clear" w:color="auto" w:fill="D8D8D8" w:themeFill="background1" w:themeFillShade="D9"/>
            <w:vAlign w:val="center"/>
          </w:tcPr>
          <w:p w14:paraId="5829E3C4">
            <w:pPr>
              <w:pStyle w:val="34"/>
            </w:pPr>
            <w:r>
              <w:t>本项目风险评价等级</w:t>
            </w:r>
          </w:p>
        </w:tc>
        <w:tc>
          <w:tcPr>
            <w:tcW w:w="3076" w:type="pct"/>
            <w:gridSpan w:val="3"/>
            <w:tcBorders>
              <w:top w:val="single" w:color="auto" w:sz="6" w:space="0"/>
              <w:bottom w:val="single" w:color="auto" w:sz="6" w:space="0"/>
              <w:tl2br w:val="nil"/>
              <w:tr2bl w:val="nil"/>
            </w:tcBorders>
            <w:shd w:val="clear" w:color="auto" w:fill="D8D8D8" w:themeFill="background1" w:themeFillShade="D9"/>
            <w:vAlign w:val="center"/>
          </w:tcPr>
          <w:p w14:paraId="5A13B6B6">
            <w:pPr>
              <w:pStyle w:val="34"/>
            </w:pPr>
            <w:r>
              <w:t>简单分析</w:t>
            </w:r>
          </w:p>
        </w:tc>
      </w:tr>
      <w:tr w14:paraId="3CB125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5"/>
            <w:tcBorders>
              <w:top w:val="single" w:color="auto" w:sz="6" w:space="0"/>
              <w:tl2br w:val="nil"/>
              <w:tr2bl w:val="nil"/>
            </w:tcBorders>
            <w:vAlign w:val="center"/>
          </w:tcPr>
          <w:p w14:paraId="7DF1B4C7">
            <w:pPr>
              <w:pStyle w:val="34"/>
            </w:pPr>
            <w:r>
              <w:t>注：</w:t>
            </w:r>
            <w:r>
              <w:rPr>
                <w:rFonts w:ascii="Cambria Math" w:hAnsi="Cambria Math" w:cs="Cambria Math"/>
              </w:rPr>
              <w:t>①</w:t>
            </w:r>
            <w:r>
              <w:t>是相对于详细评价工作内容而言，在描述危险物质、环境影响途径、环境危险后果、风险防范措施等方面给出定性的说明。</w:t>
            </w:r>
          </w:p>
        </w:tc>
      </w:tr>
    </w:tbl>
    <w:p w14:paraId="73065497">
      <w:pPr>
        <w:pStyle w:val="6"/>
        <w:spacing w:before="120" w:after="120"/>
      </w:pPr>
      <w:r>
        <w:t>评价范围</w:t>
      </w:r>
    </w:p>
    <w:p w14:paraId="54E825BB">
      <w:pPr>
        <w:pStyle w:val="58"/>
        <w:ind w:firstLine="480"/>
        <w:rPr>
          <w:rFonts w:cs="Times New Roman"/>
        </w:rPr>
      </w:pPr>
      <w:r>
        <w:rPr>
          <w:rFonts w:cs="Times New Roman"/>
        </w:rPr>
        <w:t>根据《建设项目环境风险评价技术导则》（HJ169-2018）规定，本项目的环境风险评价只需进行简单分析，因此大气环境、地表水环境及地下水环境风险评价不设置评价范围。</w:t>
      </w:r>
    </w:p>
    <w:p w14:paraId="68FC60F4">
      <w:pPr>
        <w:pStyle w:val="58"/>
        <w:ind w:firstLine="480"/>
        <w:rPr>
          <w:rFonts w:cs="Times New Roman"/>
        </w:rPr>
      </w:pPr>
      <w:r>
        <w:rPr>
          <w:rFonts w:cs="Times New Roman"/>
        </w:rPr>
        <w:t>本次评价主要针对烧结及精炼工艺过程的环境风险进行简单分析，定性分析危险物质、环境影响途径、环境危害后果、风险防范措施等。</w:t>
      </w:r>
    </w:p>
    <w:p w14:paraId="352071AB">
      <w:pPr>
        <w:pStyle w:val="6"/>
        <w:spacing w:before="120" w:after="120"/>
      </w:pPr>
      <w:r>
        <w:t>风险事故情形分析</w:t>
      </w:r>
    </w:p>
    <w:p w14:paraId="38B57EB8">
      <w:pPr>
        <w:pStyle w:val="3"/>
        <w:ind w:firstLine="480"/>
      </w:pPr>
      <w:bookmarkStart w:id="222" w:name="_Hlk172039336"/>
      <w:bookmarkStart w:id="223" w:name="_Hlk172048483"/>
      <w:r>
        <w:t>最大可信事故是指所造成的危害对环境（或健康）危害最严重的重大事故，并且发生该事故的概率不为零。本次风险评价不考虑外部事故风险因素（如地震、雷电、战争、人为蓄意破坏等），主要考虑可能对周围环境和人群造成的污染的危害事故。最大可信事故确定的目的是针对典型事故进行环境风险分析，并不意味着其它事故不具有环境风险。在生产、贮存、运输等过程中，存在许多事故风险因素，风险评价不可能面面俱到，只能仅考虑对环境危害最大的事故风险。</w:t>
      </w:r>
    </w:p>
    <w:p w14:paraId="25CB2B44">
      <w:pPr>
        <w:pStyle w:val="3"/>
        <w:ind w:firstLine="480"/>
      </w:pPr>
      <w:r>
        <w:t>在工艺过程中发生的事故，不论是人为因素引起的，还是环境因素所致的，或是自身因素造成的，其结果都会造成经济损失，一旦事故严重，还可能危及人身安全，并对周围环境带来不同程度的影响，如：爆管时，混合气体会对大气环境造成一定污染；烟道泄漏时，排放大气中污染物会增多等。事故如不及时处理，轻的将损坏设施，造成停炉，重则将引起锅炉爆炸，危及人身安全。</w:t>
      </w:r>
    </w:p>
    <w:bookmarkEnd w:id="222"/>
    <w:bookmarkEnd w:id="223"/>
    <w:p w14:paraId="7E47A20C">
      <w:pPr>
        <w:pStyle w:val="6"/>
        <w:spacing w:before="120" w:after="120"/>
      </w:pPr>
      <w:bookmarkStart w:id="224" w:name="_Hlk172076518"/>
      <w:r>
        <w:t>含重金属类物质环境风险分析</w:t>
      </w:r>
    </w:p>
    <w:p w14:paraId="1D20981A">
      <w:pPr>
        <w:pStyle w:val="3"/>
        <w:ind w:firstLine="480"/>
      </w:pPr>
      <w:r>
        <w:t>项目涉及重金属含量较大的物质主要为烟尘，含重金属固体废物在厂区内露天堆存，会产生降水淋溶，重金属随渗滤液进入土壤，进而污染地下水。大多数重金属在土壤中相对稳定，一旦进入土壤，很难在生物物质循环和能量交换过程中分解，难以从土壤中迁出。从而对土壤的理化性质、土壤生物特性和微生物群落结构产生明显不良影响，影响土壤生态结构和功能的稳定。重金属复合污染影响了农田土壤生态系统的细菌丰富度，改变了土壤环境的优势菌群，从而使农田土壤微生物群落结构多样化发生变化。土壤动物群落的组成与数量随着污染的加重而减少，优势类群与常见类群的明显减少；重金属对土壤动物群落的多样性指数、均匀性指数、密度类群指数都有减少的趋势。</w:t>
      </w:r>
    </w:p>
    <w:p w14:paraId="0677ED19">
      <w:pPr>
        <w:pStyle w:val="3"/>
        <w:ind w:firstLine="480"/>
      </w:pPr>
      <w:r>
        <w:t>土壤中的重金属会在植物中富集，不仅对植物产生毒害作用，农作物被人类食用后，最终对人类健康构成威胁。</w:t>
      </w:r>
    </w:p>
    <w:p w14:paraId="41CF8EC8">
      <w:pPr>
        <w:pStyle w:val="3"/>
        <w:ind w:firstLine="480"/>
      </w:pPr>
      <w:r>
        <w:t>因此，在工业生产过程中，必须严格控制大气污染物对外环境的排放。</w:t>
      </w:r>
      <w:bookmarkEnd w:id="224"/>
    </w:p>
    <w:p w14:paraId="52A5590F">
      <w:pPr>
        <w:pStyle w:val="6"/>
        <w:spacing w:before="120" w:after="120"/>
      </w:pPr>
      <w:r>
        <w:t>环境风险防范措施</w:t>
      </w:r>
    </w:p>
    <w:p w14:paraId="2C567C74">
      <w:pPr>
        <w:pStyle w:val="58"/>
        <w:ind w:firstLine="480"/>
        <w:rPr>
          <w:rFonts w:cs="Times New Roman"/>
        </w:rPr>
      </w:pPr>
      <w:r>
        <w:rPr>
          <w:rFonts w:cs="Times New Roman"/>
        </w:rPr>
        <w:t>本项目在设计、施工、操作及劳动组织等各方面均应采取必要预防措施，以防患于未然。具体建议采取措施如下：</w:t>
      </w:r>
    </w:p>
    <w:p w14:paraId="0CF1261E">
      <w:pPr>
        <w:pStyle w:val="58"/>
        <w:ind w:firstLine="480"/>
        <w:rPr>
          <w:rFonts w:cs="Times New Roman"/>
        </w:rPr>
      </w:pPr>
      <w:r>
        <w:rPr>
          <w:rFonts w:cs="Times New Roman"/>
        </w:rPr>
        <w:t>（1）各级管理人员应重视运营管理，并制定相应管理制度及岗位责任制；</w:t>
      </w:r>
    </w:p>
    <w:p w14:paraId="1A4FF450">
      <w:pPr>
        <w:pStyle w:val="58"/>
        <w:ind w:firstLine="480"/>
        <w:rPr>
          <w:rFonts w:cs="Times New Roman"/>
        </w:rPr>
      </w:pPr>
      <w:r>
        <w:rPr>
          <w:rFonts w:cs="Times New Roman"/>
        </w:rPr>
        <w:t>（2）设计中严格遵守国家和有关部门关于防火、防爆的安全标准规定，合理布局，防止火灾蔓延，相互影响；</w:t>
      </w:r>
    </w:p>
    <w:p w14:paraId="085C695F">
      <w:pPr>
        <w:pStyle w:val="58"/>
        <w:ind w:firstLine="480"/>
        <w:rPr>
          <w:rFonts w:cs="Times New Roman"/>
        </w:rPr>
      </w:pPr>
      <w:r>
        <w:rPr>
          <w:rFonts w:cs="Times New Roman"/>
        </w:rPr>
        <w:t>（3）采用微机控制，监测控制设备参数等，配备报警器和变频远程控制器，实现设备安全运行；</w:t>
      </w:r>
    </w:p>
    <w:p w14:paraId="5C431FDA">
      <w:pPr>
        <w:pStyle w:val="58"/>
        <w:ind w:firstLine="480"/>
        <w:rPr>
          <w:rFonts w:cs="Times New Roman"/>
        </w:rPr>
      </w:pPr>
      <w:r>
        <w:rPr>
          <w:rFonts w:cs="Times New Roman"/>
        </w:rPr>
        <w:t>（4）操作人员必须经过严格岗位培训，提高操作水平和熟练程度，以避免因失误操作引起的事故，并对操作人员加强安全教育，以提高其责任心；</w:t>
      </w:r>
    </w:p>
    <w:p w14:paraId="1629CCD5">
      <w:pPr>
        <w:pStyle w:val="58"/>
        <w:ind w:firstLine="480"/>
        <w:rPr>
          <w:rFonts w:cs="Times New Roman"/>
        </w:rPr>
      </w:pPr>
      <w:r>
        <w:rPr>
          <w:rFonts w:cs="Times New Roman"/>
        </w:rPr>
        <w:t>（5）以各生产装置为单位，组织工人和技术人员对本装置易发生事故部位、事故类型及后果、事故防范及处置等进行分析，并编制安全手册，以提高安全操作水平和处置突发事故的应变能力；</w:t>
      </w:r>
    </w:p>
    <w:p w14:paraId="5CA3CAAA">
      <w:pPr>
        <w:pStyle w:val="58"/>
        <w:ind w:firstLine="480"/>
        <w:rPr>
          <w:rFonts w:cs="Times New Roman"/>
        </w:rPr>
      </w:pPr>
      <w:r>
        <w:rPr>
          <w:rFonts w:cs="Times New Roman"/>
        </w:rPr>
        <w:t>（6）在日常生产中应加强对设备、管道、泵、阀等的检修维护，及时发现问题及时处理，同时在每年停炉期间认真进行检修维护；</w:t>
      </w:r>
    </w:p>
    <w:p w14:paraId="12A2B9F2">
      <w:pPr>
        <w:pStyle w:val="58"/>
        <w:ind w:firstLine="480"/>
        <w:rPr>
          <w:rFonts w:cs="Times New Roman"/>
        </w:rPr>
      </w:pPr>
      <w:r>
        <w:rPr>
          <w:rFonts w:cs="Times New Roman"/>
        </w:rPr>
        <w:t>（7）在仪器、仪表、设备的选型和采购方面坚持“质量第一，安全可靠”的原则，以减少因仪器、仪表、设备的原因造成的泄漏和爆漏；</w:t>
      </w:r>
    </w:p>
    <w:p w14:paraId="07C438C2">
      <w:pPr>
        <w:pStyle w:val="58"/>
        <w:ind w:firstLine="480"/>
        <w:rPr>
          <w:rFonts w:cs="Times New Roman"/>
        </w:rPr>
      </w:pPr>
      <w:r>
        <w:rPr>
          <w:rFonts w:cs="Times New Roman"/>
        </w:rPr>
        <w:t>（8）设备操作人员应培训且获得上岗证后方可上岗，并在工程设计中应考虑防震、防雷击措施。</w:t>
      </w:r>
    </w:p>
    <w:p w14:paraId="0DC214AA">
      <w:pPr>
        <w:pStyle w:val="6"/>
        <w:spacing w:before="120" w:after="120"/>
      </w:pPr>
      <w:r>
        <w:t>环境风险管理</w:t>
      </w:r>
    </w:p>
    <w:p w14:paraId="699F7B59">
      <w:pPr>
        <w:pStyle w:val="49"/>
      </w:pPr>
      <w:bookmarkStart w:id="225" w:name="_Hlk172048504"/>
      <w:bookmarkStart w:id="226" w:name="_Hlk172039467"/>
      <w:r>
        <w:t>（1）运输防范措施</w:t>
      </w:r>
    </w:p>
    <w:p w14:paraId="264BEB03">
      <w:pPr>
        <w:pStyle w:val="49"/>
      </w:pPr>
      <w:r>
        <w:t>1）运输过程严格执行《工业企业内运输安全规程》、《机动车运行安全技术条件》及《危险废物收集 贮存 运输技术规范》（HJ2025-2012）相关要求；</w:t>
      </w:r>
    </w:p>
    <w:p w14:paraId="49839839">
      <w:pPr>
        <w:pStyle w:val="49"/>
      </w:pPr>
      <w:r>
        <w:t>2）运输车辆尽量避开恶劣天气，以减少因事故造成对运输线路沿途的影响；</w:t>
      </w:r>
    </w:p>
    <w:p w14:paraId="58739D25">
      <w:pPr>
        <w:pStyle w:val="49"/>
      </w:pPr>
      <w:r>
        <w:t>3）严格运输管理，加强车辆保养；</w:t>
      </w:r>
    </w:p>
    <w:p w14:paraId="6660777F">
      <w:pPr>
        <w:pStyle w:val="49"/>
      </w:pPr>
      <w:r>
        <w:t>4）运输过程中严禁易燃物或可燃物等混装混运。运输途中应防曝晒、防高温。公路运输时要按规定路线行驶，勿在居民区和人口稠密区停留。</w:t>
      </w:r>
    </w:p>
    <w:p w14:paraId="1DD521EC">
      <w:pPr>
        <w:pStyle w:val="49"/>
      </w:pPr>
      <w:r>
        <w:t>（2）生产区风险防范措施</w:t>
      </w:r>
    </w:p>
    <w:p w14:paraId="14832BF6">
      <w:pPr>
        <w:pStyle w:val="49"/>
      </w:pPr>
      <w:r>
        <w:t>1）生产场地属禁火区，应远离明火，不得存放易燃易爆物品，设置明显警示牌并配备灭火器材；</w:t>
      </w:r>
    </w:p>
    <w:p w14:paraId="073A2BF3">
      <w:pPr>
        <w:pStyle w:val="49"/>
      </w:pPr>
      <w:r>
        <w:t>2）厂区设防火通道，禁止在通道内堆放物品；</w:t>
      </w:r>
    </w:p>
    <w:p w14:paraId="5DB4C9DD">
      <w:pPr>
        <w:pStyle w:val="49"/>
      </w:pPr>
      <w:r>
        <w:t>3）消防器材定员管理，定期检查，过期更换；</w:t>
      </w:r>
    </w:p>
    <w:p w14:paraId="7BB11326">
      <w:pPr>
        <w:pStyle w:val="49"/>
      </w:pPr>
      <w:r>
        <w:t>4）厂区电器采用防爆型设备，工作场所禁止吸烟；</w:t>
      </w:r>
    </w:p>
    <w:p w14:paraId="5338A046">
      <w:pPr>
        <w:pStyle w:val="49"/>
      </w:pPr>
      <w:r>
        <w:t>（3）危废收运过程风险防范措施</w:t>
      </w:r>
    </w:p>
    <w:p w14:paraId="3E6986DB">
      <w:pPr>
        <w:pStyle w:val="49"/>
      </w:pPr>
      <w:r>
        <w:t>由于危险废物存在毒性，所以在收集和运输过程中应严格做好相应防范措施，防止危险废物的泄漏，或发生重大交通事故，具体措施如下：</w:t>
      </w:r>
    </w:p>
    <w:p w14:paraId="716748D6">
      <w:pPr>
        <w:pStyle w:val="49"/>
      </w:pPr>
      <w:r>
        <w:t>1）坚持分类收集，严格按照《危险废物收集、贮存、运输技术规范》（HJ2025-2012）的要求进行包装，在明显的位置粘贴危险废物包装标签。包装好的危险废物应平坦放置于危险废物运输车辆货厢内，避免堆叠及不稳定停靠，禁止超载运输。严禁将具有反应性的不相容的废物，或者性质不明的废物进行混合，防止在运输过程中的反应、渗漏、溢出、抛洒或挥发等情况。危险废物运输车辆在装载完货物后应检查货物堆放的稳定性，货厢在关闭时应确认锁好，防止行驶过程厢门因振动打开。</w:t>
      </w:r>
    </w:p>
    <w:p w14:paraId="22622C4F">
      <w:pPr>
        <w:pStyle w:val="49"/>
      </w:pPr>
      <w:r>
        <w:t>2）出车前严格检查危险废物运输车辆车况，检查GPS是否正常。检查车上应急设备是否齐全，是否适用于拟运送危险废物灭火及发生事故时应急使用。</w:t>
      </w:r>
    </w:p>
    <w:p w14:paraId="2B4AA233">
      <w:pPr>
        <w:pStyle w:val="49"/>
      </w:pPr>
      <w:r>
        <w:t>3）制定合理、完善的废物收运计划，其中应包括废物泄漏情况下的有效应急措施；选择最佳的废物收运时间（避开上下班高峰期），按照优化运输路线进行运输，经过敏感区（人口聚集地、饮用水源保护区等）应减少车速。</w:t>
      </w:r>
    </w:p>
    <w:p w14:paraId="693D4DA6">
      <w:pPr>
        <w:pStyle w:val="49"/>
      </w:pPr>
      <w:r>
        <w:t>4）定期对运送人员进行培训，提高收运人、驾驶员、押运员的风险意识，定期举行风险应急演练。</w:t>
      </w:r>
    </w:p>
    <w:p w14:paraId="6FD8D250">
      <w:pPr>
        <w:pStyle w:val="49"/>
      </w:pPr>
      <w:r>
        <w:t>5）运输车辆不得搭载无关人员。合理安排运输次数，在恶劣气象条件下，如暴雨、闪电、台风等，不能运输危险废物。</w:t>
      </w:r>
    </w:p>
    <w:p w14:paraId="6C092E50">
      <w:pPr>
        <w:pStyle w:val="49"/>
      </w:pPr>
      <w:r>
        <w:t xml:space="preserve">6）危险废物在运输过程中发生固态危废泄漏后应及时收集并清扫附近路面避免有毒物质毒性残留。 </w:t>
      </w:r>
    </w:p>
    <w:p w14:paraId="37429897">
      <w:pPr>
        <w:pStyle w:val="49"/>
      </w:pPr>
      <w:r>
        <w:t>（4）危废暂存过程风险防范措施</w:t>
      </w:r>
    </w:p>
    <w:p w14:paraId="10E4B77E">
      <w:pPr>
        <w:pStyle w:val="49"/>
      </w:pPr>
      <w:r>
        <w:t>根据《危险废物贮存污染控制标准》（GB18597-2023）要求，危险废物贮存设施污染控制要求如下：</w:t>
      </w:r>
    </w:p>
    <w:p w14:paraId="3160200F">
      <w:pPr>
        <w:pStyle w:val="49"/>
      </w:pPr>
      <w:r>
        <w:t>1）贮存设施应根据危险废物的状态、物理化学性质、包装形式和污染物迁移途径，采取必要的防风、防晒、防雨、防漏、防渗、防腐以及其他环境污染防治措施，不应露天堆放危险废物。</w:t>
      </w:r>
    </w:p>
    <w:p w14:paraId="4FBABDA2">
      <w:pPr>
        <w:pStyle w:val="49"/>
      </w:pPr>
      <w:r>
        <w:t>2）贮存设施应根据危险废物的类别、数量、形态、物理化学性质和污染防治等要求设置必要的贮存分区，避免不相容的危险废物接触、混合。</w:t>
      </w:r>
    </w:p>
    <w:p w14:paraId="4A09D60E">
      <w:pPr>
        <w:pStyle w:val="49"/>
      </w:pPr>
      <w:r>
        <w:t>3）贮存设施或贮存分区内地面、墙面裙脚、堵截泄漏的围堰、接触危险废物的隔板和墙体等应该采用坚固的材料建造，表面无裂缝。</w:t>
      </w:r>
    </w:p>
    <w:p w14:paraId="7665A7A1">
      <w:pPr>
        <w:pStyle w:val="49"/>
      </w:pPr>
      <w:r>
        <w:t>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vertAlign w:val="superscript"/>
        </w:rPr>
        <w:t>-7</w:t>
      </w:r>
      <w:r>
        <w:t>cm/s），或至少2mm厚高密度聚乙烯膜等人工防渗材料（渗透系数不大于10</w:t>
      </w:r>
      <w:r>
        <w:rPr>
          <w:vertAlign w:val="superscript"/>
        </w:rPr>
        <w:t>-10</w:t>
      </w:r>
      <w:r>
        <w:t>cm/s），或其他防渗性能等效的材料。</w:t>
      </w:r>
    </w:p>
    <w:p w14:paraId="34DCD5CF">
      <w:pPr>
        <w:pStyle w:val="49"/>
      </w:pPr>
      <w:r>
        <w:t>5）同一贮存设施宜采用相同的防渗、防腐工艺（包括防渗、防腐结构或材料），防渗、防腐材料应覆盖所有可能与废物及其渗滤液、渗漏液等接触的构筑物表面；采用不同防渗工艺应分别建设贮存分区。</w:t>
      </w:r>
    </w:p>
    <w:p w14:paraId="170325AB">
      <w:pPr>
        <w:pStyle w:val="49"/>
      </w:pPr>
      <w:r>
        <w:t>6）贮存设施应采取技术和管理措施防止无关人员进入。</w:t>
      </w:r>
    </w:p>
    <w:p w14:paraId="6EC8BED3">
      <w:pPr>
        <w:pStyle w:val="49"/>
      </w:pPr>
      <w:r>
        <w:t>7）贮存间内不同贮存区之间应采取隔离措施。隔离措施可根据危险废物特性采用过道、隔板或者隔墙等方式。</w:t>
      </w:r>
    </w:p>
    <w:p w14:paraId="264D9D37">
      <w:pPr>
        <w:pStyle w:val="49"/>
      </w:pPr>
      <w:r>
        <w:t>8）在贮存库内或通过贮存分区方式贮存液态危险废物的，应具有液体泄漏堵截设施，堵截设施最小容积不应低于对应贮存区域最大液态废物容器容积或液体废物总储量的1/10（或者二者取较大者）；用于贮存可能产生渗滤液的危险废物贮存库或贮存分区应设计渗滤液收集设施，收集设施容积应满足渗滤液的收集要求。</w:t>
      </w:r>
    </w:p>
    <w:bookmarkEnd w:id="225"/>
    <w:bookmarkEnd w:id="226"/>
    <w:p w14:paraId="0A950480">
      <w:pPr>
        <w:pStyle w:val="6"/>
        <w:spacing w:before="120" w:after="120"/>
      </w:pPr>
      <w:r>
        <w:t>突发环境事件应急预案编制的要求</w:t>
      </w:r>
    </w:p>
    <w:p w14:paraId="11DA5AD9">
      <w:pPr>
        <w:pStyle w:val="49"/>
      </w:pPr>
      <w:r>
        <w:t>从风险的理论出发，降低和控制风险的策略之一是降低事件发生的可能性，这就需要采取预测、监测、预警、控制等预防性措施；之二就是为了在发生风险事故时，能以最快的速度发挥最大的能效，有序的实施救援，尽快控制事态的发展，降低事故造成的危害，减少事故造成的损失，这就需要启动风险应急预案采取应急救援措施。</w:t>
      </w:r>
    </w:p>
    <w:p w14:paraId="00DC0117">
      <w:pPr>
        <w:pStyle w:val="40"/>
        <w:spacing w:before="120"/>
      </w:pPr>
      <w:r>
        <w:t>表6.2.7-4    应急预案纲要</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8"/>
        <w:gridCol w:w="2210"/>
        <w:gridCol w:w="5964"/>
      </w:tblGrid>
      <w:tr w14:paraId="093D5E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383" w:type="pct"/>
            <w:vAlign w:val="center"/>
          </w:tcPr>
          <w:p w14:paraId="1322830F">
            <w:pPr>
              <w:pStyle w:val="41"/>
            </w:pPr>
            <w:r>
              <w:t>序号</w:t>
            </w:r>
          </w:p>
        </w:tc>
        <w:tc>
          <w:tcPr>
            <w:tcW w:w="1248" w:type="pct"/>
            <w:vAlign w:val="center"/>
          </w:tcPr>
          <w:p w14:paraId="2E0A96AA">
            <w:pPr>
              <w:pStyle w:val="41"/>
            </w:pPr>
            <w:r>
              <w:t>项目</w:t>
            </w:r>
          </w:p>
        </w:tc>
        <w:tc>
          <w:tcPr>
            <w:tcW w:w="3367" w:type="pct"/>
            <w:vAlign w:val="center"/>
          </w:tcPr>
          <w:p w14:paraId="6742D049">
            <w:pPr>
              <w:pStyle w:val="41"/>
            </w:pPr>
            <w:r>
              <w:t>内容及要求</w:t>
            </w:r>
          </w:p>
        </w:tc>
      </w:tr>
      <w:tr w14:paraId="25CAF0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125FD5F5">
            <w:pPr>
              <w:pStyle w:val="41"/>
            </w:pPr>
            <w:r>
              <w:t>1</w:t>
            </w:r>
          </w:p>
        </w:tc>
        <w:tc>
          <w:tcPr>
            <w:tcW w:w="1248" w:type="pct"/>
            <w:vAlign w:val="center"/>
          </w:tcPr>
          <w:p w14:paraId="019FCFFB">
            <w:pPr>
              <w:pStyle w:val="41"/>
            </w:pPr>
            <w:r>
              <w:t>应急计划区</w:t>
            </w:r>
          </w:p>
        </w:tc>
        <w:tc>
          <w:tcPr>
            <w:tcW w:w="3367" w:type="pct"/>
            <w:vAlign w:val="center"/>
          </w:tcPr>
          <w:p w14:paraId="6AFA7798">
            <w:pPr>
              <w:pStyle w:val="41"/>
            </w:pPr>
            <w:r>
              <w:t>艾斯米尔厂区范围内</w:t>
            </w:r>
          </w:p>
        </w:tc>
      </w:tr>
      <w:tr w14:paraId="3CC02F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758824C8">
            <w:pPr>
              <w:pStyle w:val="41"/>
            </w:pPr>
            <w:r>
              <w:t>2</w:t>
            </w:r>
          </w:p>
        </w:tc>
        <w:tc>
          <w:tcPr>
            <w:tcW w:w="1248" w:type="pct"/>
            <w:vAlign w:val="center"/>
          </w:tcPr>
          <w:p w14:paraId="02F7F137">
            <w:pPr>
              <w:pStyle w:val="41"/>
              <w:jc w:val="left"/>
            </w:pPr>
            <w:r>
              <w:t>应急组织机构、人员</w:t>
            </w:r>
          </w:p>
        </w:tc>
        <w:tc>
          <w:tcPr>
            <w:tcW w:w="3367" w:type="pct"/>
            <w:vAlign w:val="center"/>
          </w:tcPr>
          <w:p w14:paraId="7CED7576">
            <w:pPr>
              <w:pStyle w:val="41"/>
              <w:jc w:val="left"/>
            </w:pPr>
            <w:r>
              <w:t>明确应急组织机构的构成。主要负责人为应急计划、协调第一人，应急人员必须为培训上岗熟练工；区域应急组织结构由当地政府、相关行业专家、卫生安全相关单位组成，并由当地政府进行统一调度。</w:t>
            </w:r>
          </w:p>
        </w:tc>
      </w:tr>
      <w:tr w14:paraId="1E7F15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33F2ABF0">
            <w:pPr>
              <w:pStyle w:val="41"/>
            </w:pPr>
            <w:r>
              <w:t>3</w:t>
            </w:r>
          </w:p>
        </w:tc>
        <w:tc>
          <w:tcPr>
            <w:tcW w:w="1248" w:type="pct"/>
            <w:vAlign w:val="center"/>
          </w:tcPr>
          <w:p w14:paraId="7FBADBB8">
            <w:pPr>
              <w:pStyle w:val="41"/>
              <w:jc w:val="left"/>
            </w:pPr>
            <w:r>
              <w:t>预案分级响应条件</w:t>
            </w:r>
          </w:p>
        </w:tc>
        <w:tc>
          <w:tcPr>
            <w:tcW w:w="3367" w:type="pct"/>
            <w:vAlign w:val="center"/>
          </w:tcPr>
          <w:p w14:paraId="3E8C1143">
            <w:pPr>
              <w:pStyle w:val="41"/>
              <w:jc w:val="left"/>
            </w:pPr>
            <w:r>
              <w:t>根据事故的严重程度制定相应级别的应急预案，以及适合相应情况的处理措施。</w:t>
            </w:r>
          </w:p>
        </w:tc>
      </w:tr>
      <w:tr w14:paraId="0B6696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0C585CA9">
            <w:pPr>
              <w:pStyle w:val="41"/>
            </w:pPr>
            <w:r>
              <w:t>4</w:t>
            </w:r>
          </w:p>
        </w:tc>
        <w:tc>
          <w:tcPr>
            <w:tcW w:w="1248" w:type="pct"/>
            <w:vAlign w:val="center"/>
          </w:tcPr>
          <w:p w14:paraId="34E7824E">
            <w:pPr>
              <w:pStyle w:val="41"/>
              <w:jc w:val="left"/>
            </w:pPr>
            <w:r>
              <w:t>应急救援保障</w:t>
            </w:r>
          </w:p>
        </w:tc>
        <w:tc>
          <w:tcPr>
            <w:tcW w:w="3367" w:type="pct"/>
            <w:vAlign w:val="center"/>
          </w:tcPr>
          <w:p w14:paraId="307ECC0B">
            <w:pPr>
              <w:pStyle w:val="41"/>
              <w:jc w:val="left"/>
            </w:pPr>
            <w:r>
              <w:t>应急设施，设备与器材等。</w:t>
            </w:r>
          </w:p>
        </w:tc>
      </w:tr>
      <w:tr w14:paraId="5052EF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79A63BB9">
            <w:pPr>
              <w:pStyle w:val="41"/>
            </w:pPr>
            <w:r>
              <w:t>5</w:t>
            </w:r>
          </w:p>
        </w:tc>
        <w:tc>
          <w:tcPr>
            <w:tcW w:w="1248" w:type="pct"/>
            <w:vAlign w:val="center"/>
          </w:tcPr>
          <w:p w14:paraId="794E1DC4">
            <w:pPr>
              <w:pStyle w:val="41"/>
              <w:jc w:val="left"/>
            </w:pPr>
            <w:r>
              <w:t>报警、通讯联络方式</w:t>
            </w:r>
          </w:p>
        </w:tc>
        <w:tc>
          <w:tcPr>
            <w:tcW w:w="3367" w:type="pct"/>
            <w:vAlign w:val="center"/>
          </w:tcPr>
          <w:p w14:paraId="44D8E841">
            <w:pPr>
              <w:pStyle w:val="41"/>
              <w:jc w:val="left"/>
            </w:pPr>
            <w:r>
              <w:t>逐一细化应急状态下各主要负责单位的报警通信方式、地点、电话号码以及相关配套的交通保障、管制、消防联络方法，涉及跨区域的还应与相关区域生态环境部门和上级生态环境部门保持联系，及时通报事故处理情况，以获得区域性支援。</w:t>
            </w:r>
          </w:p>
        </w:tc>
      </w:tr>
      <w:tr w14:paraId="395BCE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18C5DA9F">
            <w:pPr>
              <w:pStyle w:val="41"/>
            </w:pPr>
            <w:r>
              <w:t>6</w:t>
            </w:r>
          </w:p>
        </w:tc>
        <w:tc>
          <w:tcPr>
            <w:tcW w:w="1248" w:type="pct"/>
            <w:vAlign w:val="center"/>
          </w:tcPr>
          <w:p w14:paraId="7960CF1D">
            <w:pPr>
              <w:pStyle w:val="41"/>
              <w:jc w:val="left"/>
            </w:pPr>
            <w:r>
              <w:t>应急环境监测、抢险、救援及控制措施</w:t>
            </w:r>
          </w:p>
        </w:tc>
        <w:tc>
          <w:tcPr>
            <w:tcW w:w="3367" w:type="pct"/>
            <w:vAlign w:val="center"/>
          </w:tcPr>
          <w:p w14:paraId="11F68512">
            <w:pPr>
              <w:pStyle w:val="41"/>
              <w:jc w:val="left"/>
            </w:pPr>
            <w:r>
              <w:t>由专业队伍负责对事故现场进行侦查监测，对事故性质、参数与后果进行评估，为指挥部门提供决策依据。</w:t>
            </w:r>
          </w:p>
        </w:tc>
      </w:tr>
      <w:tr w14:paraId="66648B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1220BCBE">
            <w:pPr>
              <w:pStyle w:val="41"/>
            </w:pPr>
            <w:r>
              <w:t>7</w:t>
            </w:r>
          </w:p>
        </w:tc>
        <w:tc>
          <w:tcPr>
            <w:tcW w:w="1248" w:type="pct"/>
            <w:vAlign w:val="center"/>
          </w:tcPr>
          <w:p w14:paraId="0CF59008">
            <w:pPr>
              <w:pStyle w:val="41"/>
              <w:jc w:val="left"/>
            </w:pPr>
            <w:r>
              <w:t>应急检测、防护措施、清除泄漏措施和器材</w:t>
            </w:r>
          </w:p>
        </w:tc>
        <w:tc>
          <w:tcPr>
            <w:tcW w:w="3367" w:type="pct"/>
            <w:vAlign w:val="center"/>
          </w:tcPr>
          <w:p w14:paraId="43A32F90">
            <w:pPr>
              <w:pStyle w:val="41"/>
              <w:jc w:val="left"/>
            </w:pPr>
            <w:r>
              <w:t>事故现场、邻近区域、控制防火区域，控制和清除污染措施及相应设备的数量、使用方法、使用人员。</w:t>
            </w:r>
          </w:p>
        </w:tc>
      </w:tr>
      <w:tr w14:paraId="73A77D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3A36F5C5">
            <w:pPr>
              <w:pStyle w:val="41"/>
            </w:pPr>
            <w:r>
              <w:t>8</w:t>
            </w:r>
          </w:p>
        </w:tc>
        <w:tc>
          <w:tcPr>
            <w:tcW w:w="1248" w:type="pct"/>
            <w:vAlign w:val="center"/>
          </w:tcPr>
          <w:p w14:paraId="697F590F">
            <w:pPr>
              <w:pStyle w:val="41"/>
              <w:jc w:val="left"/>
            </w:pPr>
            <w:r>
              <w:t>人员紧急撤离、疏散，应急剂量控制、撤离组织计划</w:t>
            </w:r>
          </w:p>
        </w:tc>
        <w:tc>
          <w:tcPr>
            <w:tcW w:w="3367" w:type="pct"/>
            <w:vAlign w:val="center"/>
          </w:tcPr>
          <w:p w14:paraId="55889420">
            <w:pPr>
              <w:pStyle w:val="41"/>
              <w:jc w:val="left"/>
            </w:pPr>
            <w:r>
              <w:t>事故现场、受事故影响的区域人员及公众对毒物应急剂量控制规定，撤离组织计划及救护，医疗救护与公众健康。</w:t>
            </w:r>
          </w:p>
        </w:tc>
      </w:tr>
      <w:tr w14:paraId="2C3E16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7B7CA9C2">
            <w:pPr>
              <w:pStyle w:val="41"/>
            </w:pPr>
            <w:r>
              <w:t>9</w:t>
            </w:r>
          </w:p>
        </w:tc>
        <w:tc>
          <w:tcPr>
            <w:tcW w:w="1248" w:type="pct"/>
            <w:vAlign w:val="center"/>
          </w:tcPr>
          <w:p w14:paraId="78896997">
            <w:pPr>
              <w:pStyle w:val="41"/>
              <w:jc w:val="left"/>
            </w:pPr>
            <w:r>
              <w:t>事故应急救援关闭程序与恢复措施</w:t>
            </w:r>
          </w:p>
        </w:tc>
        <w:tc>
          <w:tcPr>
            <w:tcW w:w="3367" w:type="pct"/>
            <w:vAlign w:val="center"/>
          </w:tcPr>
          <w:p w14:paraId="4AA4B845">
            <w:pPr>
              <w:pStyle w:val="41"/>
              <w:jc w:val="left"/>
            </w:pPr>
            <w:r>
              <w:t>规定应急状态终止程序，事故现场善后处理，恢复措施，邻近区域解除事故警戒及善后恢复措施，制定有关的环境恢复措施，组织专业人员对事故后的环境变化进行监测，对事故应急措施的环境可行性进行后影响评价。</w:t>
            </w:r>
          </w:p>
        </w:tc>
      </w:tr>
      <w:tr w14:paraId="63AD15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6504E5A3">
            <w:pPr>
              <w:pStyle w:val="41"/>
            </w:pPr>
            <w:r>
              <w:t>10</w:t>
            </w:r>
          </w:p>
        </w:tc>
        <w:tc>
          <w:tcPr>
            <w:tcW w:w="1248" w:type="pct"/>
            <w:vAlign w:val="center"/>
          </w:tcPr>
          <w:p w14:paraId="07EA967A">
            <w:pPr>
              <w:pStyle w:val="41"/>
              <w:jc w:val="left"/>
            </w:pPr>
            <w:r>
              <w:t>应急培训计划</w:t>
            </w:r>
          </w:p>
        </w:tc>
        <w:tc>
          <w:tcPr>
            <w:tcW w:w="3367" w:type="pct"/>
            <w:vAlign w:val="center"/>
          </w:tcPr>
          <w:p w14:paraId="4D9B8E40">
            <w:pPr>
              <w:pStyle w:val="41"/>
              <w:jc w:val="left"/>
            </w:pPr>
            <w:r>
              <w:t>应急计划制定后，平时安排人员培训与演练。</w:t>
            </w:r>
          </w:p>
        </w:tc>
      </w:tr>
      <w:tr w14:paraId="2D72F7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vAlign w:val="center"/>
          </w:tcPr>
          <w:p w14:paraId="021DB633">
            <w:pPr>
              <w:pStyle w:val="41"/>
            </w:pPr>
            <w:r>
              <w:t>11</w:t>
            </w:r>
          </w:p>
        </w:tc>
        <w:tc>
          <w:tcPr>
            <w:tcW w:w="1248" w:type="pct"/>
            <w:vAlign w:val="center"/>
          </w:tcPr>
          <w:p w14:paraId="48E383F1">
            <w:pPr>
              <w:pStyle w:val="41"/>
              <w:jc w:val="left"/>
            </w:pPr>
            <w:r>
              <w:t>公众教育和信息</w:t>
            </w:r>
          </w:p>
        </w:tc>
        <w:tc>
          <w:tcPr>
            <w:tcW w:w="3367" w:type="pct"/>
            <w:vAlign w:val="center"/>
          </w:tcPr>
          <w:p w14:paraId="5B497DFB">
            <w:pPr>
              <w:pStyle w:val="41"/>
              <w:jc w:val="left"/>
            </w:pPr>
            <w:r>
              <w:t>对邻近区域开展公众教育、培训和发布有关信息。</w:t>
            </w:r>
          </w:p>
        </w:tc>
      </w:tr>
    </w:tbl>
    <w:p w14:paraId="2E870FA2">
      <w:pPr>
        <w:pStyle w:val="3"/>
        <w:ind w:firstLine="480"/>
      </w:pPr>
      <w:r>
        <w:t>目前，艾斯米尔已经修订了《新疆艾斯米尔锰合金有限公司突发环境事件应急预案》，并于2025年5月28日完成备案。由于本项目为在原来基础上技改，为此，艾斯米尔应根据具体增加内容对应急预案进行修订，应急预案具体内容如下。</w:t>
      </w:r>
    </w:p>
    <w:p w14:paraId="0E6F8396">
      <w:pPr>
        <w:pStyle w:val="3"/>
        <w:ind w:firstLine="480"/>
      </w:pPr>
      <w:r>
        <w:t>（1）风险目标的确定及潜在危险性的评估</w:t>
      </w:r>
    </w:p>
    <w:p w14:paraId="6717BAC7">
      <w:pPr>
        <w:pStyle w:val="3"/>
        <w:ind w:firstLine="480"/>
      </w:pPr>
      <w:r>
        <w:rPr>
          <w:rFonts w:ascii="Cambria Math" w:hAnsi="Cambria Math" w:cs="Cambria Math"/>
        </w:rPr>
        <w:t>②</w:t>
      </w:r>
      <w:r>
        <w:t>潜在危险性的评估</w:t>
      </w:r>
    </w:p>
    <w:p w14:paraId="1465415B">
      <w:pPr>
        <w:pStyle w:val="3"/>
        <w:ind w:firstLine="480"/>
      </w:pPr>
      <w:r>
        <w:t>对每个已确定目标要做出潜在危险性的评估，即一旦发生事故可能造成的后果，可能对周围环境带来的危害及范围；预测可能导致事故发生的途径，如误操作、设备失修、腐蚀、工艺失控、物料不纯、泄漏等。</w:t>
      </w:r>
    </w:p>
    <w:p w14:paraId="0B890A77">
      <w:pPr>
        <w:pStyle w:val="3"/>
        <w:ind w:firstLine="480"/>
      </w:pPr>
      <w:r>
        <w:t>（2）应急救援指挥部的组成、职责和分工</w:t>
      </w:r>
    </w:p>
    <w:p w14:paraId="236338DF">
      <w:pPr>
        <w:pStyle w:val="3"/>
        <w:ind w:firstLine="480"/>
      </w:pPr>
      <w:r>
        <w:rPr>
          <w:rFonts w:ascii="Cambria Math" w:hAnsi="Cambria Math" w:cs="Cambria Math"/>
        </w:rPr>
        <w:t>①</w:t>
      </w:r>
      <w:r>
        <w:t>指挥机构</w:t>
      </w:r>
    </w:p>
    <w:p w14:paraId="30897AFC">
      <w:pPr>
        <w:pStyle w:val="3"/>
        <w:ind w:firstLine="480"/>
      </w:pPr>
      <w:r>
        <w:t>公司成立事故应急救援“指挥领导小组”，由总经理、有关副总及生产科、环保安全科等部门组成，下设应急救援办公室（设在环保安全科），日常工作由环保安全科兼管。发生重大事故时，以指挥领导小组为基础，即事故应急救援指挥部总经理任总指挥，有关副总任副总指挥，负责全厂应急救援工作的组织和指挥指挥部设在生产调度室。</w:t>
      </w:r>
    </w:p>
    <w:p w14:paraId="253FE353">
      <w:pPr>
        <w:pStyle w:val="3"/>
        <w:ind w:firstLine="480"/>
      </w:pPr>
      <w:r>
        <w:rPr>
          <w:rFonts w:ascii="Cambria Math" w:hAnsi="Cambria Math" w:cs="Cambria Math"/>
        </w:rPr>
        <w:t>②</w:t>
      </w:r>
      <w:r>
        <w:t>职责</w:t>
      </w:r>
    </w:p>
    <w:p w14:paraId="1F00AF76">
      <w:pPr>
        <w:pStyle w:val="40"/>
        <w:spacing w:before="120"/>
      </w:pPr>
      <w:r>
        <w:t>表6.2.7-5    指挥机构及成员的职责一览表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642"/>
        <w:gridCol w:w="6108"/>
      </w:tblGrid>
      <w:tr w14:paraId="7D9021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510" w:type="pct"/>
            <w:tcMar>
              <w:top w:w="0" w:type="dxa"/>
              <w:left w:w="57" w:type="dxa"/>
              <w:bottom w:w="0" w:type="dxa"/>
              <w:right w:w="57" w:type="dxa"/>
            </w:tcMar>
            <w:vAlign w:val="center"/>
          </w:tcPr>
          <w:p w14:paraId="78580034">
            <w:pPr>
              <w:pStyle w:val="41"/>
            </w:pPr>
            <w:r>
              <w:t>机构/成员名称</w:t>
            </w:r>
          </w:p>
        </w:tc>
        <w:tc>
          <w:tcPr>
            <w:tcW w:w="3489" w:type="pct"/>
            <w:tcMar>
              <w:top w:w="0" w:type="dxa"/>
              <w:left w:w="57" w:type="dxa"/>
              <w:bottom w:w="0" w:type="dxa"/>
              <w:right w:w="57" w:type="dxa"/>
            </w:tcMar>
            <w:vAlign w:val="center"/>
          </w:tcPr>
          <w:p w14:paraId="630CCFE3">
            <w:pPr>
              <w:pStyle w:val="41"/>
              <w:jc w:val="left"/>
            </w:pPr>
            <w:r>
              <w:t>职责</w:t>
            </w:r>
          </w:p>
        </w:tc>
      </w:tr>
      <w:tr w14:paraId="74BD4A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1D561398">
            <w:pPr>
              <w:pStyle w:val="41"/>
            </w:pPr>
            <w:r>
              <w:t>指挥领导小组</w:t>
            </w:r>
          </w:p>
        </w:tc>
        <w:tc>
          <w:tcPr>
            <w:tcW w:w="3489" w:type="pct"/>
            <w:tcMar>
              <w:top w:w="0" w:type="dxa"/>
              <w:left w:w="57" w:type="dxa"/>
              <w:bottom w:w="0" w:type="dxa"/>
              <w:right w:w="57" w:type="dxa"/>
            </w:tcMar>
            <w:vAlign w:val="center"/>
          </w:tcPr>
          <w:p w14:paraId="0A3A6A17">
            <w:pPr>
              <w:pStyle w:val="41"/>
              <w:jc w:val="left"/>
            </w:pPr>
            <w:r>
              <w:rPr>
                <w:rFonts w:ascii="Cambria Math" w:hAnsi="Cambria Math" w:cs="Cambria Math"/>
              </w:rPr>
              <w:t>①</w:t>
            </w:r>
            <w:r>
              <w:t>负责本单位“预案”的制定、修订；</w:t>
            </w:r>
          </w:p>
          <w:p w14:paraId="7E04ACD9">
            <w:pPr>
              <w:pStyle w:val="41"/>
              <w:jc w:val="left"/>
            </w:pPr>
            <w:r>
              <w:rPr>
                <w:rFonts w:ascii="Cambria Math" w:hAnsi="Cambria Math" w:cs="Cambria Math"/>
              </w:rPr>
              <w:t>②</w:t>
            </w:r>
            <w:r>
              <w:t>组建应急救援专业队伍，并组织实施和演练；</w:t>
            </w:r>
          </w:p>
          <w:p w14:paraId="1467FF64">
            <w:pPr>
              <w:pStyle w:val="41"/>
              <w:jc w:val="left"/>
            </w:pPr>
            <w:r>
              <w:rPr>
                <w:rFonts w:ascii="Cambria Math" w:hAnsi="Cambria Math" w:cs="Cambria Math"/>
              </w:rPr>
              <w:t>③</w:t>
            </w:r>
            <w:r>
              <w:t>检查督促做好重大事故的预防措施和应急救援的各项准备工作。</w:t>
            </w:r>
          </w:p>
        </w:tc>
      </w:tr>
      <w:tr w14:paraId="1C05ED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1CEDC838">
            <w:pPr>
              <w:pStyle w:val="41"/>
            </w:pPr>
            <w:r>
              <w:t>指挥部</w:t>
            </w:r>
          </w:p>
        </w:tc>
        <w:tc>
          <w:tcPr>
            <w:tcW w:w="3489" w:type="pct"/>
            <w:tcMar>
              <w:top w:w="0" w:type="dxa"/>
              <w:left w:w="57" w:type="dxa"/>
              <w:bottom w:w="0" w:type="dxa"/>
              <w:right w:w="57" w:type="dxa"/>
            </w:tcMar>
            <w:vAlign w:val="center"/>
          </w:tcPr>
          <w:p w14:paraId="6926CE34">
            <w:pPr>
              <w:pStyle w:val="41"/>
              <w:jc w:val="left"/>
            </w:pPr>
            <w:r>
              <w:rPr>
                <w:rFonts w:ascii="Cambria Math" w:hAnsi="Cambria Math" w:cs="Cambria Math"/>
              </w:rPr>
              <w:t>①</w:t>
            </w:r>
            <w:r>
              <w:t>发生事故时，由指挥部发布和解除应急救援命令、信号；</w:t>
            </w:r>
          </w:p>
          <w:p w14:paraId="10C19422">
            <w:pPr>
              <w:pStyle w:val="41"/>
              <w:jc w:val="left"/>
            </w:pPr>
            <w:r>
              <w:rPr>
                <w:rFonts w:ascii="Cambria Math" w:hAnsi="Cambria Math" w:cs="Cambria Math"/>
              </w:rPr>
              <w:t>②</w:t>
            </w:r>
            <w:r>
              <w:t>组织指挥救援队伍实施救援行动；</w:t>
            </w:r>
          </w:p>
          <w:p w14:paraId="6D5C9DC3">
            <w:pPr>
              <w:pStyle w:val="41"/>
              <w:jc w:val="left"/>
            </w:pPr>
            <w:r>
              <w:rPr>
                <w:rFonts w:ascii="Cambria Math" w:hAnsi="Cambria Math" w:cs="Cambria Math"/>
              </w:rPr>
              <w:t>③</w:t>
            </w:r>
            <w:r>
              <w:t>向上级汇报和友邻单位通报事故情况；</w:t>
            </w:r>
          </w:p>
          <w:p w14:paraId="151D31A3">
            <w:pPr>
              <w:pStyle w:val="41"/>
              <w:jc w:val="left"/>
            </w:pPr>
            <w:r>
              <w:rPr>
                <w:rFonts w:ascii="Cambria Math" w:hAnsi="Cambria Math" w:cs="Cambria Math"/>
              </w:rPr>
              <w:t>④</w:t>
            </w:r>
            <w:r>
              <w:t>组织事故调查，总结应急救援工作经验教训。</w:t>
            </w:r>
          </w:p>
        </w:tc>
      </w:tr>
      <w:tr w14:paraId="3C2081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2"/>
            <w:tcMar>
              <w:top w:w="0" w:type="dxa"/>
              <w:left w:w="57" w:type="dxa"/>
              <w:bottom w:w="0" w:type="dxa"/>
              <w:right w:w="57" w:type="dxa"/>
            </w:tcMar>
            <w:vAlign w:val="center"/>
          </w:tcPr>
          <w:p w14:paraId="2A87F075">
            <w:pPr>
              <w:pStyle w:val="41"/>
            </w:pPr>
            <w:r>
              <w:t>指挥部人员分工</w:t>
            </w:r>
          </w:p>
        </w:tc>
      </w:tr>
      <w:tr w14:paraId="4A4E09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461168DE">
            <w:pPr>
              <w:pStyle w:val="41"/>
            </w:pPr>
            <w:r>
              <w:t>总指挥</w:t>
            </w:r>
          </w:p>
        </w:tc>
        <w:tc>
          <w:tcPr>
            <w:tcW w:w="3489" w:type="pct"/>
            <w:tcMar>
              <w:top w:w="0" w:type="dxa"/>
              <w:left w:w="57" w:type="dxa"/>
              <w:bottom w:w="0" w:type="dxa"/>
              <w:right w:w="57" w:type="dxa"/>
            </w:tcMar>
            <w:vAlign w:val="center"/>
          </w:tcPr>
          <w:p w14:paraId="24F0F0AE">
            <w:pPr>
              <w:pStyle w:val="41"/>
              <w:jc w:val="left"/>
            </w:pPr>
            <w:r>
              <w:t>组织指挥全厂的应急救援工作</w:t>
            </w:r>
          </w:p>
        </w:tc>
      </w:tr>
      <w:tr w14:paraId="014F2F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2ECF0F26">
            <w:pPr>
              <w:pStyle w:val="41"/>
            </w:pPr>
            <w:r>
              <w:t>副总指挥</w:t>
            </w:r>
          </w:p>
        </w:tc>
        <w:tc>
          <w:tcPr>
            <w:tcW w:w="3489" w:type="pct"/>
            <w:tcMar>
              <w:top w:w="0" w:type="dxa"/>
              <w:left w:w="57" w:type="dxa"/>
              <w:bottom w:w="0" w:type="dxa"/>
              <w:right w:w="57" w:type="dxa"/>
            </w:tcMar>
            <w:vAlign w:val="center"/>
          </w:tcPr>
          <w:p w14:paraId="5884FF9E">
            <w:pPr>
              <w:pStyle w:val="41"/>
              <w:jc w:val="left"/>
            </w:pPr>
            <w:r>
              <w:t>协助总指挥负责应急救援的具体指挥工作</w:t>
            </w:r>
          </w:p>
        </w:tc>
      </w:tr>
      <w:tr w14:paraId="5CA791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55EEAE01">
            <w:pPr>
              <w:pStyle w:val="41"/>
            </w:pPr>
            <w:r>
              <w:t>环保安全科科长</w:t>
            </w:r>
          </w:p>
        </w:tc>
        <w:tc>
          <w:tcPr>
            <w:tcW w:w="3489" w:type="pct"/>
            <w:tcMar>
              <w:top w:w="0" w:type="dxa"/>
              <w:left w:w="57" w:type="dxa"/>
              <w:bottom w:w="0" w:type="dxa"/>
              <w:right w:w="57" w:type="dxa"/>
            </w:tcMar>
            <w:vAlign w:val="center"/>
          </w:tcPr>
          <w:p w14:paraId="40962F76">
            <w:pPr>
              <w:pStyle w:val="41"/>
              <w:jc w:val="left"/>
            </w:pPr>
            <w:r>
              <w:t>协助总指挥做好事故报警、情况通报及事故处置工作</w:t>
            </w:r>
          </w:p>
        </w:tc>
      </w:tr>
      <w:tr w14:paraId="2F55B2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238C11C2">
            <w:pPr>
              <w:pStyle w:val="41"/>
            </w:pPr>
            <w:r>
              <w:t>生产科长</w:t>
            </w:r>
          </w:p>
        </w:tc>
        <w:tc>
          <w:tcPr>
            <w:tcW w:w="3489" w:type="pct"/>
            <w:tcMar>
              <w:top w:w="0" w:type="dxa"/>
              <w:left w:w="57" w:type="dxa"/>
              <w:bottom w:w="0" w:type="dxa"/>
              <w:right w:w="57" w:type="dxa"/>
            </w:tcMar>
            <w:vAlign w:val="center"/>
          </w:tcPr>
          <w:p w14:paraId="4F9201A3">
            <w:pPr>
              <w:pStyle w:val="41"/>
              <w:jc w:val="left"/>
            </w:pPr>
            <w:r>
              <w:rPr>
                <w:rFonts w:ascii="Cambria Math" w:hAnsi="Cambria Math" w:cs="Cambria Math"/>
              </w:rPr>
              <w:t>①</w:t>
            </w:r>
            <w:r>
              <w:t>负责事故处置时生产系统开、停车调度工作；</w:t>
            </w:r>
            <w:r>
              <w:rPr>
                <w:rFonts w:ascii="Cambria Math" w:hAnsi="Cambria Math" w:cs="Cambria Math"/>
              </w:rPr>
              <w:t>②</w:t>
            </w:r>
            <w:r>
              <w:t>事故现场通讯联络和对外联系；</w:t>
            </w:r>
            <w:r>
              <w:rPr>
                <w:rFonts w:ascii="Cambria Math" w:hAnsi="Cambria Math" w:cs="Cambria Math"/>
              </w:rPr>
              <w:t>③</w:t>
            </w:r>
            <w:r>
              <w:t>负责事故现场及有害物质扩散区域内的洗消工作；</w:t>
            </w:r>
            <w:r>
              <w:rPr>
                <w:rFonts w:ascii="Cambria Math" w:hAnsi="Cambria Math" w:cs="Cambria Math"/>
              </w:rPr>
              <w:t>④</w:t>
            </w:r>
            <w:r>
              <w:t>必要时代表指挥部对外发布有关信息。</w:t>
            </w:r>
          </w:p>
        </w:tc>
      </w:tr>
      <w:tr w14:paraId="1AE0B8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05BF8507">
            <w:pPr>
              <w:pStyle w:val="41"/>
            </w:pPr>
            <w:r>
              <w:t>办公室主任</w:t>
            </w:r>
          </w:p>
        </w:tc>
        <w:tc>
          <w:tcPr>
            <w:tcW w:w="3489" w:type="pct"/>
            <w:tcMar>
              <w:top w:w="0" w:type="dxa"/>
              <w:left w:w="57" w:type="dxa"/>
              <w:bottom w:w="0" w:type="dxa"/>
              <w:right w:w="57" w:type="dxa"/>
            </w:tcMar>
            <w:vAlign w:val="center"/>
          </w:tcPr>
          <w:p w14:paraId="1F5F021C">
            <w:pPr>
              <w:pStyle w:val="41"/>
              <w:jc w:val="left"/>
            </w:pPr>
            <w:r>
              <w:rPr>
                <w:rFonts w:ascii="Cambria Math" w:hAnsi="Cambria Math" w:cs="Cambria Math"/>
              </w:rPr>
              <w:t>①</w:t>
            </w:r>
            <w:r>
              <w:t>负责抢险救援物资的供应和运输工作；</w:t>
            </w:r>
            <w:r>
              <w:rPr>
                <w:rFonts w:ascii="Cambria Math" w:hAnsi="Cambria Math" w:cs="Cambria Math"/>
              </w:rPr>
              <w:t>②</w:t>
            </w:r>
            <w:r>
              <w:t>负责抢救受伤、中毒人员的生活必需品供应；</w:t>
            </w:r>
            <w:r>
              <w:rPr>
                <w:rFonts w:ascii="Cambria Math" w:hAnsi="Cambria Math" w:cs="Cambria Math"/>
              </w:rPr>
              <w:t>③</w:t>
            </w:r>
            <w:r>
              <w:t>负责警戒、治安保卫、疏散、防洪排涝、抗地质灾害、道路管制工作。</w:t>
            </w:r>
          </w:p>
        </w:tc>
      </w:tr>
      <w:tr w14:paraId="70E2CC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3A084A8F">
            <w:pPr>
              <w:pStyle w:val="41"/>
            </w:pPr>
            <w:r>
              <w:t>设备科科长</w:t>
            </w:r>
          </w:p>
        </w:tc>
        <w:tc>
          <w:tcPr>
            <w:tcW w:w="3489" w:type="pct"/>
            <w:tcMar>
              <w:top w:w="0" w:type="dxa"/>
              <w:left w:w="57" w:type="dxa"/>
              <w:bottom w:w="0" w:type="dxa"/>
              <w:right w:w="57" w:type="dxa"/>
            </w:tcMar>
            <w:vAlign w:val="center"/>
          </w:tcPr>
          <w:p w14:paraId="6B212058">
            <w:pPr>
              <w:pStyle w:val="41"/>
              <w:jc w:val="left"/>
            </w:pPr>
            <w:r>
              <w:t>协助总指挥负责工程抢险、抢修的现场指挥，调动技术人员维修设备</w:t>
            </w:r>
          </w:p>
        </w:tc>
      </w:tr>
      <w:tr w14:paraId="395091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10" w:type="pct"/>
            <w:tcMar>
              <w:top w:w="0" w:type="dxa"/>
              <w:left w:w="57" w:type="dxa"/>
              <w:bottom w:w="0" w:type="dxa"/>
              <w:right w:w="57" w:type="dxa"/>
            </w:tcMar>
            <w:vAlign w:val="center"/>
          </w:tcPr>
          <w:p w14:paraId="47C66040">
            <w:pPr>
              <w:pStyle w:val="41"/>
            </w:pPr>
            <w:r>
              <w:t>监测科室主任</w:t>
            </w:r>
          </w:p>
        </w:tc>
        <w:tc>
          <w:tcPr>
            <w:tcW w:w="3489" w:type="pct"/>
            <w:tcMar>
              <w:top w:w="0" w:type="dxa"/>
              <w:left w:w="57" w:type="dxa"/>
              <w:bottom w:w="0" w:type="dxa"/>
              <w:right w:w="57" w:type="dxa"/>
            </w:tcMar>
            <w:vAlign w:val="center"/>
          </w:tcPr>
          <w:p w14:paraId="20676313">
            <w:pPr>
              <w:pStyle w:val="41"/>
              <w:jc w:val="left"/>
            </w:pPr>
            <w:r>
              <w:t>负责事故现场及有害物质扩散区域监测工作</w:t>
            </w:r>
          </w:p>
        </w:tc>
      </w:tr>
    </w:tbl>
    <w:p w14:paraId="62FD78B1">
      <w:pPr>
        <w:pStyle w:val="3"/>
        <w:ind w:firstLine="480"/>
      </w:pPr>
      <w:r>
        <w:rPr>
          <w:rFonts w:ascii="Cambria Math" w:hAnsi="Cambria Math" w:cs="Cambria Math"/>
        </w:rPr>
        <w:t>③</w:t>
      </w:r>
      <w:r>
        <w:t>救援队伍</w:t>
      </w:r>
    </w:p>
    <w:p w14:paraId="310BF9B7">
      <w:pPr>
        <w:pStyle w:val="3"/>
        <w:ind w:firstLine="480"/>
      </w:pPr>
      <w:r>
        <w:t>建立各种不脱产的专业救援队伍，包括抢险抢修队、医疗救护队、义务消防队、通信保障队、治安队等，救援队伍是突发环境污染事故应急救援的骨干力量，担负企业各类突发环境污染事故的处置任务。企业的职工医务所应承担中毒伤员的现场和院内抢救治疗任务。</w:t>
      </w:r>
    </w:p>
    <w:p w14:paraId="3377AC09">
      <w:pPr>
        <w:pStyle w:val="3"/>
        <w:ind w:firstLine="480"/>
      </w:pPr>
      <w:r>
        <w:rPr>
          <w:rFonts w:ascii="Cambria Math" w:hAnsi="Cambria Math" w:cs="Cambria Math"/>
        </w:rPr>
        <w:t>④</w:t>
      </w:r>
      <w:r>
        <w:t>报警信号系统</w:t>
      </w:r>
    </w:p>
    <w:p w14:paraId="110FA4D9">
      <w:pPr>
        <w:pStyle w:val="3"/>
        <w:ind w:firstLine="480"/>
      </w:pPr>
      <w:r>
        <w:t>报警信号系统建设是应急救援预案的重要内容。报警信号系统分为三级，具体如下：</w:t>
      </w:r>
    </w:p>
    <w:p w14:paraId="2033C890">
      <w:pPr>
        <w:pStyle w:val="3"/>
        <w:ind w:firstLine="480"/>
      </w:pPr>
      <w:r>
        <w:t>一级报警：只影响装置本身，如果发生该类报警，装置人员应紧急行动启动装置应急程序，所有非装置人员应立即离开，并在指定紧急集合点汇合，听候事故指挥部调遣指挥。运输车辆运输过程一般性事故（污染物未外泄）由运输人员自行处置，同时向部门负责人报警。</w:t>
      </w:r>
    </w:p>
    <w:p w14:paraId="7DA20AD5">
      <w:pPr>
        <w:pStyle w:val="3"/>
        <w:ind w:firstLine="480"/>
      </w:pPr>
      <w:r>
        <w:t>二级报警：全厂性事故，有可能影响厂内人员和设施安全，立即发出二级警报。如发生该类报警，装置人员紧急启动应急程序，其他人员紧急撤离到指定安全区域待命，并同时向邻近企业、单位和政府部门、环保局报告，要求和指导周边企业和群众启动应急程序。运输车辆运输过程发生废物外泄，运输人员应向公司负责人报警，并立即进行现场清除，公司应派出应急救援队到现场进行处置。</w:t>
      </w:r>
    </w:p>
    <w:p w14:paraId="4C869B5E">
      <w:pPr>
        <w:pStyle w:val="3"/>
        <w:ind w:firstLine="480"/>
      </w:pPr>
      <w:r>
        <w:t>三级警报：发生对厂界外有重大影响的事故，如废气、废水事故排放，危险化学品外泄等，除厂内启动紧急程序外，应立即向邻近企业、单位和政府部门、环保局、安全生产调度管理局和当地政府报告，申请救援并要求周围企业单位启动应急计划。运输车辆运输过程发生严重废物外泄（如车辆翻入河道），运输人员除向公司负责人报警外，公司应立即向临近交通、环保、公安、卫生等部门报警，并启动相应应急程序。</w:t>
      </w:r>
    </w:p>
    <w:p w14:paraId="63034714">
      <w:pPr>
        <w:pStyle w:val="3"/>
        <w:ind w:firstLine="480"/>
      </w:pPr>
      <w:r>
        <w:t>厂内报警系统采用警报器、广播和无线、有线电话等方式，运输过程事故通过车载通讯系统向有关部门联系。</w:t>
      </w:r>
    </w:p>
    <w:p w14:paraId="0FCAB39E">
      <w:pPr>
        <w:pStyle w:val="3"/>
        <w:ind w:firstLine="480"/>
      </w:pPr>
      <w:r>
        <w:t>（三）风险应急措施</w:t>
      </w:r>
    </w:p>
    <w:p w14:paraId="6E5976B5">
      <w:pPr>
        <w:pStyle w:val="3"/>
        <w:ind w:firstLine="480"/>
      </w:pPr>
      <w:r>
        <w:t>对已确定的危险目标，根据其可能导致事故的途径，采取有针对性的预防措施，避免事故发生。各种预防措施必须建立责任制，落实到部门（单位）和个人。</w:t>
      </w:r>
    </w:p>
    <w:p w14:paraId="792BF470">
      <w:pPr>
        <w:pStyle w:val="3"/>
        <w:ind w:firstLine="480"/>
      </w:pPr>
      <w:r>
        <w:t>同时还应制订一旦发生大量有害物料泄漏、着火等情况时，尽力降低危害程度的措施。具体应急措施如下：</w:t>
      </w:r>
    </w:p>
    <w:p w14:paraId="264D621A">
      <w:pPr>
        <w:pStyle w:val="3"/>
        <w:ind w:firstLine="480"/>
      </w:pPr>
      <w:r>
        <w:t>（1）对火灾、爆炸及有毒物质扩散等事故，由于其危险性、危害性，平时必须加强管理，消除各种隐患，同时也应建立一套事故发生应急救援行动计划，配备精良的灭火器材。为最大限度地保护周围人员和环境，建设单位必须采取如下措施：</w:t>
      </w:r>
    </w:p>
    <w:p w14:paraId="01B94B34">
      <w:pPr>
        <w:pStyle w:val="3"/>
        <w:ind w:firstLine="480"/>
      </w:pPr>
      <w:r>
        <w:rPr>
          <w:rFonts w:ascii="Cambria Math" w:hAnsi="Cambria Math" w:cs="Cambria Math"/>
        </w:rPr>
        <w:t>①</w:t>
      </w:r>
      <w:r>
        <w:t>事故发生后，立即采取措施，采用泡沫灭火剂或消防沙灭火，并把产生的流质引入事故池。在易发生火灾的区域设置阻火设施，减少连环爆炸发生。并切断泄漏源。同时通知生态环境部门进行应急监测。</w:t>
      </w:r>
    </w:p>
    <w:p w14:paraId="3C86AF81">
      <w:pPr>
        <w:pStyle w:val="3"/>
        <w:ind w:firstLine="480"/>
      </w:pPr>
      <w:r>
        <w:rPr>
          <w:rFonts w:ascii="Cambria Math" w:hAnsi="Cambria Math" w:cs="Cambria Math"/>
        </w:rPr>
        <w:t>②</w:t>
      </w:r>
      <w:r>
        <w:t>通知厂内职工以及距离厂界最近的居民区迅速撤离，远离厂址区域或到厂址的上风向，并进行隔离，严格限制出入，避免伤亡事故。</w:t>
      </w:r>
    </w:p>
    <w:p w14:paraId="1607C8C0">
      <w:pPr>
        <w:pStyle w:val="3"/>
        <w:ind w:firstLine="480"/>
      </w:pPr>
      <w:r>
        <w:rPr>
          <w:rFonts w:ascii="Cambria Math" w:hAnsi="Cambria Math" w:cs="Cambria Math"/>
        </w:rPr>
        <w:t>③</w:t>
      </w:r>
      <w:r>
        <w:t>通知消防单位，立即切断火源，最大程度上避免火势蔓延到其他装置，避免发生连环爆炸，减少对环境的冲击。同时切断泄漏源，防止进入下水道等限制性空间。</w:t>
      </w:r>
    </w:p>
    <w:p w14:paraId="43AD32E9">
      <w:pPr>
        <w:pStyle w:val="3"/>
        <w:ind w:firstLine="480"/>
      </w:pPr>
      <w:r>
        <w:rPr>
          <w:rFonts w:ascii="Cambria Math" w:hAnsi="Cambria Math" w:cs="Cambria Math"/>
        </w:rPr>
        <w:t>④</w:t>
      </w:r>
      <w:r>
        <w:t>应急处理人员戴自给式呼吸器，穿消防防护服。</w:t>
      </w:r>
    </w:p>
    <w:p w14:paraId="6686E138">
      <w:pPr>
        <w:pStyle w:val="3"/>
        <w:ind w:firstLine="480"/>
      </w:pPr>
      <w:r>
        <w:rPr>
          <w:rFonts w:ascii="Cambria Math" w:hAnsi="Cambria Math" w:cs="Cambria Math"/>
        </w:rPr>
        <w:t>⑤</w:t>
      </w:r>
      <w:r>
        <w:t>对皮肤接触人员应脱去被污染的衣着，用肥皂水和清水彻底冲洗皮肤；眼睛接触人员应提起眼睑，用流动清水或生理盐水冲洗、就医；吸入人员迅速脱离现场至空气新鲜处，保持呼吸道通畅。</w:t>
      </w:r>
    </w:p>
    <w:p w14:paraId="5F7B139C">
      <w:pPr>
        <w:pStyle w:val="3"/>
        <w:ind w:firstLine="480"/>
      </w:pPr>
      <w:r>
        <w:rPr>
          <w:rFonts w:ascii="Cambria Math" w:hAnsi="Cambria Math" w:cs="Cambria Math"/>
        </w:rPr>
        <w:t>⑥</w:t>
      </w:r>
      <w:r>
        <w:t>事故发生后应立即通知当地生态环境局、自来水公司等市政部门，协同事故救援与监控，最大限度地减轻事故对环境的危害。</w:t>
      </w:r>
    </w:p>
    <w:p w14:paraId="0FAC2197">
      <w:pPr>
        <w:pStyle w:val="3"/>
        <w:ind w:firstLine="480"/>
      </w:pPr>
      <w:r>
        <w:rPr>
          <w:rFonts w:ascii="Cambria Math" w:hAnsi="Cambria Math" w:cs="Cambria Math"/>
        </w:rPr>
        <w:t>⑦</w:t>
      </w:r>
      <w:r>
        <w:t>建立专门的风险管理机构，负责企业的风险管理工作。目前很多企业都设有安全生产办公室，职能主要是负责制定、落实安全生产规章制度。应进一步扩大工作范围，将安全生产办公室升格为风险管理办公室，不仅负责安全生产，还负责自然灾害预防、意外事故应急及员工风险教育。</w:t>
      </w:r>
    </w:p>
    <w:p w14:paraId="59915022">
      <w:pPr>
        <w:pStyle w:val="3"/>
        <w:ind w:firstLine="480"/>
      </w:pPr>
      <w:r>
        <w:rPr>
          <w:rFonts w:ascii="Cambria Math" w:hAnsi="Cambria Math" w:cs="Cambria Math"/>
        </w:rPr>
        <w:t>⑧</w:t>
      </w:r>
      <w:r>
        <w:t>建立一整套风险防范制度。包括风险预防制度（生产安全制度、财务安全制度）、风险控制制度（各种灾害事故应急预案）、风险转移制度（规定某些事项必须办理风险转移，包括保险转移和非保险转移）等。其中风险预防制度的作用是预防损失发生；风险控制制度的作用是发生事故后有一套办法可以把损失控制在最小范围内，防止事故蔓延扩大。</w:t>
      </w:r>
    </w:p>
    <w:p w14:paraId="36BBFD9F">
      <w:pPr>
        <w:pStyle w:val="3"/>
        <w:ind w:firstLine="480"/>
      </w:pPr>
      <w:r>
        <w:t>（4）应急响应</w:t>
      </w:r>
    </w:p>
    <w:p w14:paraId="64FD8B5C">
      <w:pPr>
        <w:pStyle w:val="3"/>
        <w:ind w:firstLine="480"/>
      </w:pPr>
      <w:r>
        <w:rPr>
          <w:rFonts w:ascii="Cambria Math" w:hAnsi="Cambria Math" w:cs="Cambria Math"/>
        </w:rPr>
        <w:t>①</w:t>
      </w:r>
      <w:r>
        <w:t>报告及事故控制程序</w:t>
      </w:r>
    </w:p>
    <w:p w14:paraId="6DD83703">
      <w:pPr>
        <w:pStyle w:val="3"/>
        <w:ind w:firstLine="480"/>
      </w:pPr>
      <w:r>
        <w:t>a）事故发生后，现场目击人员要立即向单位领导报告，如发生难控制事故或有人员伤亡，要立即向调度人员报告。</w:t>
      </w:r>
    </w:p>
    <w:p w14:paraId="1AC37231">
      <w:pPr>
        <w:pStyle w:val="3"/>
        <w:ind w:firstLine="480"/>
      </w:pPr>
      <w:r>
        <w:t>b）任何基层领导接到事故报告后，应立即向上级领导报告，不得延误。</w:t>
      </w:r>
    </w:p>
    <w:p w14:paraId="57007E44">
      <w:pPr>
        <w:pStyle w:val="3"/>
        <w:ind w:firstLine="480"/>
      </w:pPr>
      <w:r>
        <w:t>c）总指挥或调度、生产、安全部门其他领导接到事故报告后，要立即组织人员赶赴现场，组织急救。</w:t>
      </w:r>
    </w:p>
    <w:p w14:paraId="48F8E6F2">
      <w:pPr>
        <w:pStyle w:val="3"/>
        <w:ind w:firstLine="480"/>
      </w:pPr>
      <w:r>
        <w:t>d）人员疏散、现场警戒、现场受伤人员急救。</w:t>
      </w:r>
    </w:p>
    <w:p w14:paraId="0FC0AF81">
      <w:pPr>
        <w:pStyle w:val="3"/>
        <w:ind w:firstLine="480"/>
      </w:pPr>
      <w:r>
        <w:t>e）抢救人员到达后，即成立以生产部领导为组长，调度室主管领导副组长的抢救小组，其它人员各司其职，协助抢救、警戒区域，疏散人群。</w:t>
      </w:r>
    </w:p>
    <w:p w14:paraId="6E199651">
      <w:pPr>
        <w:pStyle w:val="3"/>
        <w:ind w:firstLine="480"/>
      </w:pPr>
      <w:r>
        <w:t>f）如果情况危急，由当班长迅速组织逃生，设置警戒岗哨，杜绝闲杂人员进入。同时迅速疏通安全通道，以保证救援车辆迅速到达事故现场。</w:t>
      </w:r>
    </w:p>
    <w:p w14:paraId="66A892F1">
      <w:pPr>
        <w:pStyle w:val="3"/>
        <w:ind w:firstLine="480"/>
      </w:pPr>
      <w:r>
        <w:t>g）救援人员到达后应迅速进行对伤员的抢救，并做好安全撤退指挥工作。</w:t>
      </w:r>
    </w:p>
    <w:p w14:paraId="6C1A0895">
      <w:pPr>
        <w:pStyle w:val="3"/>
        <w:ind w:firstLine="480"/>
      </w:pPr>
      <w:r>
        <w:rPr>
          <w:rFonts w:ascii="Cambria Math" w:hAnsi="Cambria Math" w:cs="Cambria Math"/>
        </w:rPr>
        <w:t>②</w:t>
      </w:r>
      <w:r>
        <w:t>紧急情况的控制</w:t>
      </w:r>
    </w:p>
    <w:p w14:paraId="3DC81E96">
      <w:pPr>
        <w:pStyle w:val="3"/>
        <w:ind w:firstLine="480"/>
      </w:pPr>
      <w:r>
        <w:t>a）发生事故后，首先视情况切断相应的水、电或火源，防止事故进一步扩大。</w:t>
      </w:r>
    </w:p>
    <w:p w14:paraId="414A2E0B">
      <w:pPr>
        <w:pStyle w:val="3"/>
        <w:ind w:firstLine="480"/>
      </w:pPr>
      <w:r>
        <w:t>b）迅速使用备好的救援器材进行救援。</w:t>
      </w:r>
    </w:p>
    <w:p w14:paraId="55D535C2">
      <w:pPr>
        <w:pStyle w:val="3"/>
        <w:ind w:firstLine="480"/>
      </w:pPr>
      <w:r>
        <w:t>c）在实施应急处理事故时，要保证人身安全，防止其他人受到二次意外伤害。</w:t>
      </w:r>
    </w:p>
    <w:p w14:paraId="6F7C448A">
      <w:pPr>
        <w:pStyle w:val="3"/>
        <w:ind w:firstLine="480"/>
      </w:pPr>
      <w:r>
        <w:rPr>
          <w:rFonts w:ascii="Cambria Math" w:hAnsi="Cambria Math" w:cs="Cambria Math"/>
        </w:rPr>
        <w:t>③</w:t>
      </w:r>
      <w:r>
        <w:t>建立和完善车间、工厂及社会三级响应、防控体系</w:t>
      </w:r>
    </w:p>
    <w:p w14:paraId="0D5E6603">
      <w:pPr>
        <w:pStyle w:val="3"/>
        <w:ind w:firstLine="480"/>
      </w:pPr>
      <w:r>
        <w:t>a）车间响应措施事故发生时，车间首先作出反应，立即向上级汇报，紧急疏散现场工人，并对事故采取初步应急措施，尽量阻止事故影响扩大。</w:t>
      </w:r>
    </w:p>
    <w:p w14:paraId="797C2893">
      <w:pPr>
        <w:pStyle w:val="3"/>
        <w:ind w:firstLine="480"/>
      </w:pPr>
      <w:r>
        <w:t>c）厂区响应措施工厂领导在获知事故发生后，会同安环处及相关技术部门，对现场进行分析，启动风险应急预案；疏散厂区工人，对事故现场采取措施，减小伤亡及损失，同时向政府相关部门报告。</w:t>
      </w:r>
    </w:p>
    <w:p w14:paraId="2B2D850B">
      <w:pPr>
        <w:pStyle w:val="3"/>
        <w:ind w:firstLine="480"/>
      </w:pPr>
      <w:r>
        <w:t>d）社会响应措施当地政府启动社会紧急预案，对厂区周边可能或已经受到危害的居民及其它人群进行紧急疏散；协调消防、公安等有关部门，对事故发生点进行控制，并对相关道路实施交通管制，阻止不明真相者进入；对受伤人员实施救助，对事故源头进行控制和疏导。</w:t>
      </w:r>
    </w:p>
    <w:p w14:paraId="0C55B15E">
      <w:pPr>
        <w:pStyle w:val="3"/>
        <w:ind w:firstLine="480"/>
      </w:pPr>
      <w:r>
        <w:t>（5）危险区的隔离</w:t>
      </w:r>
    </w:p>
    <w:p w14:paraId="4E8229BB">
      <w:pPr>
        <w:pStyle w:val="3"/>
        <w:ind w:firstLine="480"/>
      </w:pPr>
      <w:r>
        <w:rPr>
          <w:rFonts w:ascii="Cambria Math" w:hAnsi="Cambria Math" w:cs="Cambria Math"/>
        </w:rPr>
        <w:t>①</w:t>
      </w:r>
      <w:r>
        <w:t>泄漏事故发生后，根据其特性、风速、风向等确定扩散情况或热辐射所涉及的范围，建立警戒区，在通往警戒区的主要干道上实行交通管制。</w:t>
      </w:r>
    </w:p>
    <w:p w14:paraId="7287C8D1">
      <w:pPr>
        <w:pStyle w:val="3"/>
        <w:ind w:firstLine="480"/>
      </w:pPr>
      <w:r>
        <w:rPr>
          <w:rFonts w:ascii="Cambria Math" w:hAnsi="Cambria Math" w:cs="Cambria Math"/>
        </w:rPr>
        <w:t>②</w:t>
      </w:r>
      <w:r>
        <w:t>在警戒区域的边界设警示标志，并派专人警戒。</w:t>
      </w:r>
    </w:p>
    <w:p w14:paraId="5E2FEA9E">
      <w:pPr>
        <w:pStyle w:val="3"/>
        <w:ind w:firstLine="480"/>
      </w:pPr>
      <w:r>
        <w:rPr>
          <w:rFonts w:ascii="Cambria Math" w:hAnsi="Cambria Math" w:cs="Cambria Math"/>
        </w:rPr>
        <w:t>③</w:t>
      </w:r>
      <w:r>
        <w:t>除消防及应急处理人员外，其他人员禁止进入警戒区。</w:t>
      </w:r>
    </w:p>
    <w:p w14:paraId="6F48906E">
      <w:pPr>
        <w:pStyle w:val="3"/>
        <w:ind w:firstLine="480"/>
      </w:pPr>
      <w:r>
        <w:rPr>
          <w:rFonts w:ascii="Cambria Math" w:hAnsi="Cambria Math" w:cs="Cambria Math"/>
        </w:rPr>
        <w:t>④</w:t>
      </w:r>
      <w:r>
        <w:t>事故现场周边区域的道路隔离或交通疏导。</w:t>
      </w:r>
    </w:p>
    <w:p w14:paraId="4DD9AE6B">
      <w:pPr>
        <w:pStyle w:val="3"/>
        <w:ind w:firstLine="480"/>
      </w:pPr>
      <w:r>
        <w:t>（6）当地政府的应急计划</w:t>
      </w:r>
    </w:p>
    <w:p w14:paraId="33050C6C">
      <w:pPr>
        <w:pStyle w:val="3"/>
        <w:ind w:firstLine="480"/>
      </w:pPr>
      <w:r>
        <w:t>建设单位须同政府保持良好的沟通渠道。当事故风险发生可能威胁到厂外居民及财产安全时公司须立即上报当地政府。当地政府立即启动处理紧急事故的预案，成立处理紧急事故指挥部，采取相应措施对事故扩散至厂外的区域进行处理。</w:t>
      </w:r>
    </w:p>
    <w:p w14:paraId="63BA64FF">
      <w:pPr>
        <w:pStyle w:val="3"/>
        <w:ind w:firstLine="480"/>
      </w:pPr>
      <w:r>
        <w:t>及时疏散群众至安全区域，抢救群众的财产，阻止污染物污染农田和水体，对已污染的水体和农田进行及时的监测和修复工作。</w:t>
      </w:r>
    </w:p>
    <w:p w14:paraId="00C17BB5">
      <w:pPr>
        <w:pStyle w:val="3"/>
        <w:ind w:firstLine="480"/>
      </w:pPr>
      <w:r>
        <w:t>（7）应急终止及恢复措施</w:t>
      </w:r>
    </w:p>
    <w:p w14:paraId="19B385E7">
      <w:pPr>
        <w:pStyle w:val="3"/>
        <w:ind w:firstLine="480"/>
      </w:pPr>
      <w:r>
        <w:t>应急预案实施终止后，应采取有效措施防止事故扩大，保护事故现场，需要移动现场物品时，应当做出标记和书面记录，妥善保管有关物证，并按照国家有关规定及时向有关部门进行事故报告。对事故过程中造成的人员伤亡和财物损失做收集统计、归纳、形成文件，为进一步处理事故的工作提供资料。对应急预案在事故发生实施的全过程，认真科学地作出总结，完善预案中的不足和缺陷，为今后的预案建立、制订提供经验和完善的依据。依据公司经济责任制制度，对事故过程中的功过人员进行奖罚，妥善处理好在事故中伤亡人员的善后工作。尽快组织恢复正常的生产和工作。</w:t>
      </w:r>
    </w:p>
    <w:p w14:paraId="1724BCC6">
      <w:pPr>
        <w:pStyle w:val="3"/>
        <w:ind w:firstLine="480"/>
      </w:pPr>
      <w:r>
        <w:t>在救援过程中使用的救援器材，应及时恢复原始状态。若发生火灾，损坏的设备要及时更换，破坏的设备严格按照废弃物管理制度执行。及时清理，使现场恢复原样。</w:t>
      </w:r>
    </w:p>
    <w:p w14:paraId="776AAC57">
      <w:pPr>
        <w:pStyle w:val="3"/>
        <w:ind w:firstLine="480"/>
      </w:pPr>
      <w:r>
        <w:t>（8）事故发生后，及时对预案进行评审、修订，使其更具操作性。</w:t>
      </w:r>
    </w:p>
    <w:p w14:paraId="526274D6">
      <w:pPr>
        <w:pStyle w:val="6"/>
        <w:spacing w:before="120" w:after="120"/>
      </w:pPr>
      <w:r>
        <w:fldChar w:fldCharType="begin"/>
      </w:r>
      <w:r>
        <w:instrText xml:space="preserve"> HYPERLINK \l "_Toc409" </w:instrText>
      </w:r>
      <w:r>
        <w:fldChar w:fldCharType="separate"/>
      </w:r>
      <w:r>
        <w:t>环境风险影响评价结论</w:t>
      </w:r>
      <w:r>
        <w:fldChar w:fldCharType="end"/>
      </w:r>
    </w:p>
    <w:p w14:paraId="26291547">
      <w:pPr>
        <w:pStyle w:val="3"/>
        <w:ind w:firstLine="480"/>
      </w:pPr>
      <w:r>
        <w:t>根据环境风险影响评价，本项目危险物质为废矿物油，不构成重大危险源，环境风险单元主要为储存区、锅炉房和危废暂存点，环境风险类型为火灾、废气事故排放、废矿物油泄漏，在采取相应的风险防范措施，并加强安全管理后，本项目的环境风险在可接受的范围内。</w:t>
      </w:r>
    </w:p>
    <w:p w14:paraId="11220EFA">
      <w:pPr>
        <w:pStyle w:val="3"/>
        <w:ind w:firstLine="480"/>
      </w:pPr>
      <w:r>
        <w:t>根据风险评价结论和项目特点，本次评价提出以下建议：</w:t>
      </w:r>
    </w:p>
    <w:p w14:paraId="62A5398D">
      <w:pPr>
        <w:pStyle w:val="3"/>
        <w:ind w:firstLine="480"/>
      </w:pPr>
      <w:r>
        <w:t>（1）本项目具有潜在的事故风险，尽管风险可接受，但企业应从建设、生产、贮运等各方面积极采取防护措施，这是确保安全的根本措施。</w:t>
      </w:r>
    </w:p>
    <w:p w14:paraId="779DC0EB">
      <w:pPr>
        <w:pStyle w:val="3"/>
        <w:ind w:firstLine="480"/>
      </w:pPr>
      <w:r>
        <w:t>（2）当出现事故时，要采取紧急的工程应急措施，如必要，应采取社会应急措施，以控制事故和减少对环境造成的危害。</w:t>
      </w:r>
    </w:p>
    <w:p w14:paraId="79FEEA62">
      <w:pPr>
        <w:pStyle w:val="3"/>
        <w:ind w:firstLine="480"/>
      </w:pPr>
      <w:r>
        <w:t>（3）按照企业制定的突发环境事故应急预案，定期进行预案演练并实现与地方政府或相关管理部门突发环境事故应急预案的有效衔接。</w:t>
      </w:r>
    </w:p>
    <w:p w14:paraId="4372AAE9">
      <w:pPr>
        <w:pStyle w:val="3"/>
        <w:ind w:firstLine="480"/>
      </w:pPr>
      <w:r>
        <w:t>（4）建设单位必须高度重视，做到风险防范警钟长鸣，环境安全管理常抓不懈；严格落实各项风险防范措施，不断完善风险管理体系。</w:t>
      </w:r>
    </w:p>
    <w:p w14:paraId="2113897C">
      <w:pPr>
        <w:pStyle w:val="3"/>
        <w:ind w:firstLine="480"/>
      </w:pPr>
      <w:r>
        <w:t>（5）建立企业环境风险应急机制，加强厂区料场及其生产设备、环保设施等巡查、监视力度，强化风险管理，强化对员工的职业素质教育，杜绝违章作业。</w:t>
      </w:r>
    </w:p>
    <w:p w14:paraId="058E0F8D">
      <w:pPr>
        <w:pStyle w:val="3"/>
        <w:ind w:firstLine="480"/>
      </w:pPr>
      <w:r>
        <w:t>（6）建设单位应根据实际需要和情势变化，依据有关预案编制指南或者编制修订框架指南对环境应急预案进行修订；环境应急预案应每三年至少修订一次，企业应当及时进行修订，使其符合环保的要求。</w:t>
      </w:r>
    </w:p>
    <w:p w14:paraId="35F73BDC">
      <w:pPr>
        <w:pStyle w:val="3"/>
        <w:ind w:firstLine="480"/>
      </w:pPr>
      <w:r>
        <w:t>建设项目环境风险简单分析内容见表6.2.7-6。</w:t>
      </w:r>
    </w:p>
    <w:p w14:paraId="68C04421">
      <w:pPr>
        <w:pStyle w:val="88"/>
        <w:rPr>
          <w:rFonts w:ascii="Times New Roman" w:hAnsi="Times New Roman" w:cs="Times New Roman"/>
        </w:rPr>
      </w:pPr>
      <w:r>
        <w:rPr>
          <w:rFonts w:ascii="Times New Roman" w:hAnsi="Times New Roman" w:cs="Times New Roman"/>
        </w:rPr>
        <w:t>表6.2.7-6    建设项目环境风险简单分析内容表</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6"/>
        <w:gridCol w:w="6530"/>
      </w:tblGrid>
      <w:tr w14:paraId="2DA9F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3" w:type="pct"/>
            <w:vAlign w:val="center"/>
          </w:tcPr>
          <w:p w14:paraId="3302A4B1">
            <w:pPr>
              <w:pStyle w:val="34"/>
              <w:rPr>
                <w:rFonts w:ascii="Calibri" w:hAnsi="Calibri"/>
              </w:rPr>
            </w:pPr>
            <w:r>
              <w:rPr>
                <w:rFonts w:ascii="Calibri" w:hAnsi="Calibri"/>
              </w:rPr>
              <w:t>建设项目名称</w:t>
            </w:r>
          </w:p>
        </w:tc>
        <w:tc>
          <w:tcPr>
            <w:tcW w:w="3687" w:type="pct"/>
            <w:vAlign w:val="center"/>
          </w:tcPr>
          <w:p w14:paraId="0774FA10">
            <w:pPr>
              <w:pStyle w:val="34"/>
              <w:rPr>
                <w:rFonts w:ascii="Calibri" w:hAnsi="Calibri"/>
              </w:rPr>
            </w:pPr>
            <w:r>
              <w:rPr>
                <w:rFonts w:ascii="Calibri" w:hAnsi="Calibri"/>
              </w:rPr>
              <w:t>新疆艾斯米尔锰合金有限公司特种合金冶炼及烧结车间技改项目</w:t>
            </w:r>
          </w:p>
        </w:tc>
      </w:tr>
      <w:tr w14:paraId="472C9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3" w:type="pct"/>
            <w:vAlign w:val="center"/>
          </w:tcPr>
          <w:p w14:paraId="6B7D7E80">
            <w:pPr>
              <w:pStyle w:val="34"/>
              <w:rPr>
                <w:rFonts w:ascii="Calibri" w:hAnsi="Calibri"/>
              </w:rPr>
            </w:pPr>
            <w:r>
              <w:rPr>
                <w:rFonts w:ascii="Calibri" w:hAnsi="Calibri"/>
              </w:rPr>
              <w:t>建设地点</w:t>
            </w:r>
          </w:p>
        </w:tc>
        <w:tc>
          <w:tcPr>
            <w:tcW w:w="3687" w:type="pct"/>
            <w:vAlign w:val="center"/>
          </w:tcPr>
          <w:p w14:paraId="486AE052">
            <w:pPr>
              <w:pStyle w:val="34"/>
              <w:rPr>
                <w:rFonts w:ascii="Calibri" w:hAnsi="Calibri"/>
              </w:rPr>
            </w:pPr>
            <w:r>
              <w:rPr>
                <w:rFonts w:ascii="Calibri" w:hAnsi="Calibri"/>
              </w:rPr>
              <w:t>奎屯-独山子经济技术开发区喀什东路100号新疆艾斯米尔锰合金有限公司</w:t>
            </w:r>
          </w:p>
        </w:tc>
      </w:tr>
      <w:tr w14:paraId="7EB60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3" w:type="pct"/>
            <w:vAlign w:val="center"/>
          </w:tcPr>
          <w:p w14:paraId="38F546B8">
            <w:pPr>
              <w:pStyle w:val="34"/>
              <w:rPr>
                <w:rFonts w:ascii="Calibri" w:hAnsi="Calibri"/>
              </w:rPr>
            </w:pPr>
            <w:r>
              <w:rPr>
                <w:rFonts w:ascii="Calibri" w:hAnsi="Calibri"/>
              </w:rPr>
              <w:t>主要危险物质及分布</w:t>
            </w:r>
          </w:p>
        </w:tc>
        <w:tc>
          <w:tcPr>
            <w:tcW w:w="3687" w:type="pct"/>
            <w:vAlign w:val="center"/>
          </w:tcPr>
          <w:p w14:paraId="34A6D13E">
            <w:pPr>
              <w:pStyle w:val="34"/>
              <w:rPr>
                <w:rFonts w:ascii="Calibri" w:hAnsi="Calibri"/>
              </w:rPr>
            </w:pPr>
            <w:r>
              <w:rPr>
                <w:rFonts w:ascii="Calibri" w:hAnsi="Calibri"/>
              </w:rPr>
              <w:t>废矿物油，分布于危废暂存间；</w:t>
            </w:r>
          </w:p>
        </w:tc>
      </w:tr>
      <w:tr w14:paraId="02506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3" w:type="pct"/>
            <w:vAlign w:val="center"/>
          </w:tcPr>
          <w:p w14:paraId="2932550E">
            <w:pPr>
              <w:pStyle w:val="34"/>
              <w:rPr>
                <w:rFonts w:ascii="Calibri" w:hAnsi="Calibri"/>
              </w:rPr>
            </w:pPr>
            <w:r>
              <w:rPr>
                <w:rFonts w:ascii="Calibri" w:hAnsi="Calibri"/>
              </w:rPr>
              <w:t>环境影响途径及危害后果（大气、地表水、地下水等）</w:t>
            </w:r>
          </w:p>
        </w:tc>
        <w:tc>
          <w:tcPr>
            <w:tcW w:w="3687" w:type="pct"/>
            <w:vAlign w:val="center"/>
          </w:tcPr>
          <w:p w14:paraId="0AF5BF8C">
            <w:pPr>
              <w:pStyle w:val="34"/>
              <w:rPr>
                <w:rFonts w:ascii="Calibri" w:hAnsi="Calibri"/>
              </w:rPr>
            </w:pPr>
            <w:r>
              <w:rPr>
                <w:rFonts w:ascii="Calibri" w:hAnsi="Calibri"/>
              </w:rPr>
              <w:t>爆管时，混合气体会对大气环境造成一定污染；烟道泄漏时，排放大气中污染物会增多等。事故如不及时处理，轻的将损坏设施，造成停炉，重则将引起锅炉爆炸，危及人身安全。</w:t>
            </w:r>
          </w:p>
          <w:p w14:paraId="10C21FF3">
            <w:pPr>
              <w:pStyle w:val="34"/>
              <w:rPr>
                <w:rFonts w:ascii="Calibri" w:hAnsi="Calibri"/>
              </w:rPr>
            </w:pPr>
            <w:r>
              <w:rPr>
                <w:rFonts w:ascii="Calibri" w:hAnsi="Calibri"/>
              </w:rPr>
              <w:t>突发事故主要有突然停电、停水、循环水泵突然停运等。</w:t>
            </w:r>
          </w:p>
        </w:tc>
      </w:tr>
      <w:tr w14:paraId="29438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3" w:type="pct"/>
            <w:vAlign w:val="center"/>
          </w:tcPr>
          <w:p w14:paraId="61CD5013">
            <w:pPr>
              <w:pStyle w:val="34"/>
              <w:rPr>
                <w:rFonts w:ascii="Calibri" w:hAnsi="Calibri"/>
              </w:rPr>
            </w:pPr>
            <w:r>
              <w:rPr>
                <w:rFonts w:ascii="Calibri" w:hAnsi="Calibri"/>
              </w:rPr>
              <w:t>风险防范措施要求</w:t>
            </w:r>
          </w:p>
        </w:tc>
        <w:tc>
          <w:tcPr>
            <w:tcW w:w="3687" w:type="pct"/>
            <w:vAlign w:val="center"/>
          </w:tcPr>
          <w:p w14:paraId="1C85D9D3">
            <w:pPr>
              <w:pStyle w:val="34"/>
              <w:jc w:val="left"/>
              <w:rPr>
                <w:rFonts w:ascii="Calibri" w:hAnsi="Calibri"/>
              </w:rPr>
            </w:pPr>
            <w:r>
              <w:rPr>
                <w:rFonts w:ascii="Cambria Math" w:hAnsi="Cambria Math" w:cs="Cambria Math"/>
              </w:rPr>
              <w:t>①</w:t>
            </w:r>
            <w:r>
              <w:rPr>
                <w:rFonts w:ascii="Calibri" w:hAnsi="Calibri"/>
              </w:rPr>
              <w:t>制定突发事件环境应急预案并定期演练；</w:t>
            </w:r>
          </w:p>
          <w:p w14:paraId="560233DD">
            <w:pPr>
              <w:pStyle w:val="34"/>
              <w:jc w:val="left"/>
              <w:rPr>
                <w:rFonts w:ascii="Calibri" w:hAnsi="Calibri"/>
              </w:rPr>
            </w:pPr>
            <w:r>
              <w:rPr>
                <w:rFonts w:ascii="Cambria Math" w:hAnsi="Cambria Math" w:cs="Cambria Math"/>
              </w:rPr>
              <w:t>②</w:t>
            </w:r>
            <w:r>
              <w:rPr>
                <w:rFonts w:ascii="Calibri" w:hAnsi="Calibri"/>
              </w:rPr>
              <w:t>从原料及成品运输、储存、生产过程均采取相应的风险防范措施，企业须对生产设备及环保设备定期检修，保证各设备的正常运行。</w:t>
            </w:r>
          </w:p>
          <w:p w14:paraId="2D8C98AD">
            <w:pPr>
              <w:pStyle w:val="34"/>
              <w:jc w:val="left"/>
              <w:rPr>
                <w:rFonts w:ascii="Calibri" w:hAnsi="Calibri"/>
              </w:rPr>
            </w:pPr>
            <w:r>
              <w:rPr>
                <w:rFonts w:ascii="Cambria Math" w:hAnsi="Cambria Math" w:cs="Cambria Math"/>
              </w:rPr>
              <w:t>③</w:t>
            </w:r>
            <w:r>
              <w:rPr>
                <w:rFonts w:ascii="Calibri" w:hAnsi="Calibri"/>
              </w:rPr>
              <w:t>采取分区防渗进行风险防范。</w:t>
            </w:r>
          </w:p>
          <w:p w14:paraId="05C9F433">
            <w:pPr>
              <w:pStyle w:val="34"/>
              <w:jc w:val="left"/>
              <w:rPr>
                <w:rFonts w:ascii="Calibri" w:hAnsi="Calibri"/>
              </w:rPr>
            </w:pPr>
            <w:r>
              <w:rPr>
                <w:rFonts w:ascii="Cambria Math" w:hAnsi="Cambria Math" w:cs="Cambria Math"/>
              </w:rPr>
              <w:t>④</w:t>
            </w:r>
            <w:r>
              <w:rPr>
                <w:rFonts w:ascii="Calibri" w:hAnsi="Calibri"/>
              </w:rPr>
              <w:t>危险废物暂存间严格按照《危险废物贮存污染控制标准》（GB18597-2023）中的规定建设。</w:t>
            </w:r>
          </w:p>
          <w:p w14:paraId="2FAA09B7">
            <w:pPr>
              <w:pStyle w:val="34"/>
              <w:jc w:val="left"/>
              <w:rPr>
                <w:rFonts w:ascii="Calibri" w:hAnsi="Calibri"/>
              </w:rPr>
            </w:pPr>
            <w:r>
              <w:rPr>
                <w:rFonts w:ascii="Calibri" w:hAnsi="Calibri"/>
              </w:rPr>
              <w:t>详见风险防范措施章节</w:t>
            </w:r>
          </w:p>
        </w:tc>
      </w:tr>
      <w:tr w14:paraId="44196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3" w:type="pct"/>
            <w:vAlign w:val="center"/>
          </w:tcPr>
          <w:p w14:paraId="1F6CD8A7">
            <w:pPr>
              <w:pStyle w:val="34"/>
              <w:rPr>
                <w:rFonts w:ascii="Calibri" w:hAnsi="Calibri"/>
              </w:rPr>
            </w:pPr>
            <w:r>
              <w:rPr>
                <w:rFonts w:ascii="Calibri" w:hAnsi="Calibri"/>
              </w:rPr>
              <w:t>填表说明（列出项目相关信息及评价说明）</w:t>
            </w:r>
          </w:p>
        </w:tc>
        <w:tc>
          <w:tcPr>
            <w:tcW w:w="3687" w:type="pct"/>
            <w:vAlign w:val="center"/>
          </w:tcPr>
          <w:p w14:paraId="2DC044BA">
            <w:pPr>
              <w:pStyle w:val="34"/>
              <w:jc w:val="left"/>
              <w:rPr>
                <w:rFonts w:ascii="Calibri" w:hAnsi="Calibri"/>
              </w:rPr>
            </w:pPr>
            <w:r>
              <w:rPr>
                <w:rFonts w:ascii="Calibri" w:hAnsi="Calibri"/>
              </w:rPr>
              <w:t>本项目属铁合金冶炼项目，根据物质危险性识别、生产工艺过程风险识别、生产装置、危险物质及工艺系统危险性（P）分级、环境敏感程度分级、环境风险潜势判断，确定各环境要素环境风险潜势等级均为Ⅰ，根据《建设项目环境风险评价技术导则》（HJ169-2018），环境风险评价工作等级为简单分析，评价深度以定性说明为主，环境风险评价对其进行了简要定性分析。最终确定环境风险可控，处于可接受水平。</w:t>
            </w:r>
          </w:p>
        </w:tc>
      </w:tr>
    </w:tbl>
    <w:p w14:paraId="1D92D1D0">
      <w:pPr>
        <w:pStyle w:val="3"/>
        <w:ind w:firstLine="480"/>
      </w:pPr>
    </w:p>
    <w:p w14:paraId="2487D09C">
      <w:pPr>
        <w:pStyle w:val="2"/>
      </w:pPr>
      <w:bookmarkStart w:id="227" w:name="_Toc1027"/>
      <w:bookmarkStart w:id="228" w:name="_Toc207208399"/>
      <w:bookmarkStart w:id="229" w:name="_Toc492"/>
      <w:r>
        <w:t>环境保护措施及其可行性论证</w:t>
      </w:r>
      <w:bookmarkEnd w:id="227"/>
      <w:bookmarkEnd w:id="228"/>
      <w:bookmarkEnd w:id="229"/>
    </w:p>
    <w:p w14:paraId="095AC56B">
      <w:pPr>
        <w:pStyle w:val="4"/>
        <w:pBdr>
          <w:top w:val="none" w:color="auto" w:sz="0" w:space="4"/>
          <w:left w:val="none" w:color="auto" w:sz="0" w:space="4"/>
          <w:bottom w:val="none" w:color="auto" w:sz="0" w:space="1"/>
          <w:right w:val="none" w:color="auto" w:sz="0" w:space="4"/>
        </w:pBdr>
        <w:snapToGrid w:val="0"/>
        <w:spacing w:before="120" w:beforeLines="50" w:after="120" w:afterLines="50" w:line="240" w:lineRule="auto"/>
        <w:jc w:val="both"/>
        <w:textAlignment w:val="top"/>
      </w:pPr>
      <w:r>
        <w:fldChar w:fldCharType="begin"/>
      </w:r>
      <w:r>
        <w:instrText xml:space="preserve"> HYPERLINK \l "_Toc27262" </w:instrText>
      </w:r>
      <w:r>
        <w:fldChar w:fldCharType="separate"/>
      </w:r>
      <w:bookmarkStart w:id="230" w:name="_Toc198280395"/>
      <w:bookmarkStart w:id="231" w:name="_Toc207208400"/>
      <w:r>
        <w:t>施工期环境保护措施及管理要求</w:t>
      </w:r>
      <w:bookmarkEnd w:id="230"/>
      <w:bookmarkEnd w:id="231"/>
      <w:r>
        <w:fldChar w:fldCharType="end"/>
      </w:r>
    </w:p>
    <w:p w14:paraId="7A545E0D">
      <w:pPr>
        <w:pStyle w:val="49"/>
      </w:pPr>
      <w:r>
        <w:t>评价要求加强施工期的环境管理工作，加强施工人员的环保教育。在施工点设置临时警示牌，并与施工单位签订环保协议，制订相关保护条例，并严格执行。施工单位设置专人负责落实各项环保措施，并积极配合生态环境部门检查工作。根据《建筑工程绿色环保施工管理规范》（DB65/T4060-2017）和《建筑工程绿色施工规范》（GB/T50905-2014）的相关要求，本次评价提出以下施工期环境保护措施。</w:t>
      </w:r>
    </w:p>
    <w:p w14:paraId="11A9242B">
      <w:pPr>
        <w:pStyle w:val="5"/>
        <w:pBdr>
          <w:top w:val="none" w:color="auto" w:sz="0" w:space="4"/>
          <w:left w:val="none" w:color="auto" w:sz="0" w:space="4"/>
          <w:bottom w:val="none" w:color="auto" w:sz="0" w:space="1"/>
          <w:right w:val="none" w:color="auto" w:sz="0" w:space="4"/>
        </w:pBdr>
        <w:tabs>
          <w:tab w:val="left" w:pos="767"/>
          <w:tab w:val="left" w:pos="1418"/>
          <w:tab w:val="left" w:pos="3119"/>
        </w:tabs>
        <w:adjustRightInd w:val="0"/>
        <w:snapToGrid w:val="0"/>
        <w:spacing w:before="120" w:after="120" w:afterLines="50" w:line="240" w:lineRule="auto"/>
        <w:ind w:left="1288" w:hanging="1288"/>
        <w:jc w:val="both"/>
        <w:textAlignment w:val="top"/>
      </w:pPr>
      <w:r>
        <w:t>施工扬尘控制要求</w:t>
      </w:r>
    </w:p>
    <w:p w14:paraId="20DD3A73">
      <w:pPr>
        <w:pStyle w:val="49"/>
      </w:pPr>
      <w:r>
        <w:t>（1）严格按照当地政府有关控制扬尘污染等规定，强化施工期环境管理，提高全员环保意识宣传和教育，制定合理施工计划，实行清洁生产、文明施工，坚决杜绝粗放式施工现象发生。</w:t>
      </w:r>
    </w:p>
    <w:p w14:paraId="6218036D">
      <w:pPr>
        <w:pStyle w:val="49"/>
      </w:pPr>
      <w:r>
        <w:t>（2）</w:t>
      </w:r>
      <w:r>
        <w:rPr>
          <w:lang w:bidi="ar"/>
        </w:rPr>
        <w:t>扬尘防治管理应符合《建筑工程绿色施工规范》（GB/T50905-2014）的规定，施工现场主要道路、材料堆放场地、露天加工场地应根据用途进行硬化，裸露的场地和集中堆放的土方应采取密目网进行覆盖，及洒水、固化或绿化措施。</w:t>
      </w:r>
    </w:p>
    <w:p w14:paraId="4E484889">
      <w:pPr>
        <w:pStyle w:val="49"/>
      </w:pPr>
      <w:r>
        <w:t>（3）</w:t>
      </w:r>
      <w:r>
        <w:rPr>
          <w:lang w:bidi="ar"/>
        </w:rPr>
        <w:t>施工现场对粉状材料必须封闭存放，对易产生扬尘的堆放材料应采取封闭、半封闭和覆盖措施；可能引起扬尘的材料及建筑垃圾搬运时必须有防尘措施。</w:t>
      </w:r>
    </w:p>
    <w:p w14:paraId="461384BD">
      <w:pPr>
        <w:pStyle w:val="49"/>
        <w:rPr>
          <w:lang w:bidi="ar"/>
        </w:rPr>
      </w:pPr>
      <w:r>
        <w:rPr>
          <w:lang w:bidi="ar"/>
        </w:rPr>
        <w:t>（4）运送土方、垃圾、设备及建筑材料等不得污损场外道路，施工现场大门口必须设置冲洗车辆设施，运输车辆必须采取防护措施，保证物料不得散落、飞扬和遗漏。</w:t>
      </w:r>
    </w:p>
    <w:p w14:paraId="75D81FBF">
      <w:pPr>
        <w:pStyle w:val="49"/>
        <w:rPr>
          <w:lang w:bidi="ar"/>
        </w:rPr>
      </w:pPr>
      <w:r>
        <w:rPr>
          <w:lang w:bidi="ar"/>
        </w:rPr>
        <w:t>（5）土方作业阶段应采取洒水、覆盖等措施，达到作业区目测扬尘高度小于1.5m，不得扩散到场区外。</w:t>
      </w:r>
    </w:p>
    <w:p w14:paraId="7F46E176">
      <w:pPr>
        <w:pStyle w:val="49"/>
        <w:rPr>
          <w:lang w:bidi="ar"/>
        </w:rPr>
      </w:pPr>
      <w:r>
        <w:rPr>
          <w:lang w:bidi="ar"/>
        </w:rPr>
        <w:t>（6）遇到四级以上大风天气，不应进行土方回填、转运以及其它可能产生扬尘污染的施工；五级及以上大风天气，施工现场应停止工地室外作业及室内喷 涂粉刷作业，并对作业面进行覆盖。</w:t>
      </w:r>
    </w:p>
    <w:p w14:paraId="5D446E77">
      <w:pPr>
        <w:pStyle w:val="49"/>
        <w:rPr>
          <w:lang w:bidi="ar"/>
        </w:rPr>
      </w:pPr>
      <w:r>
        <w:rPr>
          <w:lang w:bidi="ar"/>
        </w:rPr>
        <w:t>（7）施工现场办公区和生活区的裸露场地应进行绿化、美化、固化和硬化。施工现场应建立封闭式垃圾站。建筑物内施工垃圾的清运，必须采用相应容器或管道运输，严禁凌空抛掷。</w:t>
      </w:r>
    </w:p>
    <w:p w14:paraId="254EBC26">
      <w:pPr>
        <w:pStyle w:val="49"/>
        <w:rPr>
          <w:lang w:bidi="ar"/>
        </w:rPr>
      </w:pPr>
      <w:r>
        <w:rPr>
          <w:lang w:bidi="ar"/>
        </w:rPr>
        <w:t>（8）浇筑混凝土前清理灰尘和垃圾时，应减少扬尘，不应使用吹风器等易产生扬尘的设备。应使用预拌混凝土、预拌砂浆、预拌级配碎石和预拌水稳混合剂，严禁现场搅拌。</w:t>
      </w:r>
    </w:p>
    <w:p w14:paraId="5894CD61">
      <w:pPr>
        <w:pStyle w:val="49"/>
        <w:rPr>
          <w:lang w:bidi="ar"/>
        </w:rPr>
      </w:pPr>
      <w:r>
        <w:rPr>
          <w:lang w:bidi="ar"/>
        </w:rPr>
        <w:t>（9）结构施工、安装装饰装修阶段，作业区目测扬尘高度小于0.5m，施工现场非作业区达到目测无扬尘的要求。加强建筑施工现场颗粒物排放控制。施工现场应安装颗粒物在线监控设备，监测点颗粒物的15分钟浓度均值不得超过2.0mg/m</w:t>
      </w:r>
      <w:r>
        <w:rPr>
          <w:vertAlign w:val="superscript"/>
          <w:lang w:bidi="ar"/>
        </w:rPr>
        <w:t>3</w:t>
      </w:r>
      <w:r>
        <w:rPr>
          <w:lang w:bidi="ar"/>
        </w:rPr>
        <w:t>。</w:t>
      </w:r>
    </w:p>
    <w:p w14:paraId="5F97D854">
      <w:pPr>
        <w:pStyle w:val="49"/>
        <w:rPr>
          <w:lang w:bidi="ar"/>
        </w:rPr>
      </w:pPr>
      <w:r>
        <w:rPr>
          <w:lang w:bidi="ar"/>
        </w:rPr>
        <w:t>（10）施工现场严禁焚烧各类废弃物。建筑工程施工现场严禁使用木材、橡胶、废料等材料进行燃烧取暖、加热。</w:t>
      </w:r>
    </w:p>
    <w:p w14:paraId="5F530367">
      <w:pPr>
        <w:pStyle w:val="49"/>
        <w:rPr>
          <w:lang w:bidi="ar"/>
        </w:rPr>
      </w:pPr>
      <w:r>
        <w:rPr>
          <w:lang w:bidi="ar"/>
        </w:rPr>
        <w:t>（11）施工车辆、机械设备的尾气排放应符合GB18352.5和GB16297的规定。</w:t>
      </w:r>
    </w:p>
    <w:p w14:paraId="0EB66E0C">
      <w:pPr>
        <w:pStyle w:val="49"/>
        <w:rPr>
          <w:lang w:bidi="ar"/>
        </w:rPr>
      </w:pPr>
      <w:r>
        <w:rPr>
          <w:lang w:bidi="ar"/>
        </w:rPr>
        <w:t>（12）</w:t>
      </w:r>
      <w:r>
        <w:t>要求采用优质的油漆、涂料、装修建筑材料等，并保持室内通风。</w:t>
      </w:r>
    </w:p>
    <w:p w14:paraId="07A87DDB">
      <w:pPr>
        <w:pStyle w:val="49"/>
      </w:pPr>
      <w:r>
        <w:rPr>
          <w:lang w:bidi="ar"/>
        </w:rPr>
        <w:t>综上所述，在采取相应措施并严格按照本评价要求进行施工的前提下，本项目施工大气污染物对周围大气环境影响不大，且随施工结束而消除。</w:t>
      </w:r>
    </w:p>
    <w:p w14:paraId="65F0F693">
      <w:pPr>
        <w:pStyle w:val="5"/>
        <w:pBdr>
          <w:top w:val="none" w:color="auto" w:sz="0" w:space="4"/>
          <w:left w:val="none" w:color="auto" w:sz="0" w:space="4"/>
          <w:bottom w:val="none" w:color="auto" w:sz="0" w:space="1"/>
          <w:right w:val="none" w:color="auto" w:sz="0" w:space="4"/>
        </w:pBdr>
        <w:tabs>
          <w:tab w:val="left" w:pos="767"/>
          <w:tab w:val="left" w:pos="1418"/>
          <w:tab w:val="left" w:pos="3119"/>
        </w:tabs>
        <w:adjustRightInd w:val="0"/>
        <w:snapToGrid w:val="0"/>
        <w:spacing w:before="120" w:after="120" w:afterLines="50" w:line="240" w:lineRule="auto"/>
        <w:ind w:left="1288" w:hanging="1288"/>
        <w:jc w:val="both"/>
        <w:textAlignment w:val="top"/>
      </w:pPr>
      <w:r>
        <w:t>施工噪声控制措施</w:t>
      </w:r>
    </w:p>
    <w:p w14:paraId="68305232">
      <w:pPr>
        <w:pStyle w:val="49"/>
      </w:pPr>
      <w:r>
        <w:rPr>
          <w:lang w:bidi="ar"/>
        </w:rPr>
        <w:t>本项目施工期产生的噪声影响正常的生产生活。故为了消除和克服不利影响，将对项目区内外近距离的影响减少到最低，本项目应采取减少产生和个人防护等多种措施来共同治理噪声，具体治理措施如下：</w:t>
      </w:r>
    </w:p>
    <w:p w14:paraId="20CE3E7A">
      <w:pPr>
        <w:pStyle w:val="49"/>
      </w:pPr>
      <w:r>
        <w:rPr>
          <w:lang w:bidi="ar"/>
        </w:rPr>
        <w:t>（1）合理安排好施工时间，尽量缩短施工期。施工作业时间必须严格遵守施工禁令时间规定。本评价要求建设方禁止在午休时间和夜间进行施工，如特殊工序需进行夜间施工，应按相关规定到环保管理部门办理夜间施工许可证，并通告受影响人群，让其早做准备。场界环境噪声排放应符合《建筑施工场界环境噪声排放标准》（GB12523-2011）的规定。</w:t>
      </w:r>
    </w:p>
    <w:p w14:paraId="233FA0E5">
      <w:pPr>
        <w:pStyle w:val="49"/>
      </w:pPr>
      <w:r>
        <w:rPr>
          <w:lang w:bidi="ar"/>
        </w:rPr>
        <w:t>（2）施工现场必须使用低噪音、低振动的机具，并采取隔音与隔振动措施。加强施工机械的维护保养，高噪声设备设置在施工场地中部并修建临时隔声棚，并加强对现场工作人员进行培训，严格按操作规范使用各类机械设备。</w:t>
      </w:r>
    </w:p>
    <w:p w14:paraId="5B0C2B1C">
      <w:pPr>
        <w:pStyle w:val="49"/>
      </w:pPr>
      <w:r>
        <w:rPr>
          <w:lang w:bidi="ar"/>
        </w:rPr>
        <w:t>（3）尽量将相对固定的机械设备入棚操作。将现场噪声源尽可能集中，缩小噪声范围。</w:t>
      </w:r>
    </w:p>
    <w:p w14:paraId="7CDEBAAB">
      <w:pPr>
        <w:pStyle w:val="49"/>
      </w:pPr>
      <w:r>
        <w:rPr>
          <w:lang w:bidi="ar"/>
        </w:rPr>
        <w:t>（4）运输材料的车辆进入施工现场，严禁鸣笛，装卸材料应做到轻拿轻放。</w:t>
      </w:r>
    </w:p>
    <w:p w14:paraId="07AC28BD">
      <w:pPr>
        <w:pStyle w:val="49"/>
      </w:pPr>
      <w:r>
        <w:rPr>
          <w:lang w:bidi="ar"/>
        </w:rPr>
        <w:t>（5）施工车辆的运行路线应尽量避开噪声敏感区域，严禁夜间装卸物料，材料运输车辆进入场地需安排专人指挥，场内禁止汽车鸣笛，材料装卸采用人工传递，装卸材料应做到轻拿轻放，严禁抛掷或汽车一次性下料。</w:t>
      </w:r>
    </w:p>
    <w:p w14:paraId="72A37C73">
      <w:pPr>
        <w:pStyle w:val="49"/>
      </w:pPr>
      <w:r>
        <w:rPr>
          <w:lang w:bidi="ar"/>
        </w:rPr>
        <w:t>（6）施工现场使用降噪安全围帘遮挡。</w:t>
      </w:r>
    </w:p>
    <w:p w14:paraId="04EA44E9">
      <w:pPr>
        <w:pStyle w:val="49"/>
      </w:pPr>
      <w:r>
        <w:rPr>
          <w:lang w:bidi="ar"/>
        </w:rPr>
        <w:t>（7）使用商品混凝土，杜绝现场混凝土拌合噪声，尽量选用低噪声混凝土输送泵。</w:t>
      </w:r>
    </w:p>
    <w:p w14:paraId="2A625F4F">
      <w:pPr>
        <w:pStyle w:val="49"/>
      </w:pPr>
      <w:r>
        <w:rPr>
          <w:lang w:bidi="ar"/>
        </w:rPr>
        <w:t>综上所述，在采取相应措施并严格按照本评价要求进行施工的前提下，本项目施工噪声对周围声环境影响可大大减轻，且随施工结束而消除。</w:t>
      </w:r>
    </w:p>
    <w:p w14:paraId="1AEF2A2D">
      <w:pPr>
        <w:pStyle w:val="5"/>
        <w:pBdr>
          <w:top w:val="none" w:color="auto" w:sz="0" w:space="4"/>
          <w:left w:val="none" w:color="auto" w:sz="0" w:space="4"/>
          <w:bottom w:val="none" w:color="auto" w:sz="0" w:space="1"/>
          <w:right w:val="none" w:color="auto" w:sz="0" w:space="4"/>
        </w:pBdr>
        <w:tabs>
          <w:tab w:val="left" w:pos="767"/>
          <w:tab w:val="left" w:pos="1418"/>
          <w:tab w:val="left" w:pos="3119"/>
        </w:tabs>
        <w:adjustRightInd w:val="0"/>
        <w:snapToGrid w:val="0"/>
        <w:spacing w:before="120" w:after="120" w:afterLines="50" w:line="240" w:lineRule="auto"/>
        <w:ind w:left="1288" w:hanging="1288"/>
        <w:jc w:val="both"/>
        <w:textAlignment w:val="top"/>
      </w:pPr>
      <w:r>
        <w:t>施工废水防治措施</w:t>
      </w:r>
    </w:p>
    <w:p w14:paraId="6431B6F8">
      <w:pPr>
        <w:pStyle w:val="49"/>
      </w:pPr>
      <w:r>
        <w:rPr>
          <w:lang w:bidi="ar"/>
        </w:rPr>
        <w:t>施工期的废水主要来自建筑施工废水和部分工人的生活污水。建筑废水主要来自施工过程中的养护等施工工序，进出施工场地的车辆清洗废水、施工产生的泥浆水等工程废水，主要污染物是SS、石油类，废水量较少。</w:t>
      </w:r>
      <w:r>
        <w:t>施工期间，生产废水和生活污水若不进行妥善处理，将会对外环境造成一定污染，因此对施工期废水要求做好以下防治措施：</w:t>
      </w:r>
    </w:p>
    <w:p w14:paraId="624531E4">
      <w:pPr>
        <w:pStyle w:val="49"/>
      </w:pPr>
      <w:r>
        <w:t>（1）施工单位应严格执行《建设工程施工场地文明施工及环境管理暂行规定》中相关规定，对地面水的排放应进行有组织设计，严禁乱排、乱流污染道路和水体。</w:t>
      </w:r>
    </w:p>
    <w:p w14:paraId="1397E3F4">
      <w:pPr>
        <w:pStyle w:val="49"/>
      </w:pPr>
      <w:r>
        <w:t>（2）</w:t>
      </w:r>
      <w:r>
        <w:rPr>
          <w:lang w:bidi="ar"/>
        </w:rPr>
        <w:t>现场机具、设备、车辆冲洗、喷洒路面、绿化浇灌等用水，宜优先采用非传统水源，尽量不使用市政自来水。机具、设备及运输车辆清洗处应当设置沉淀池。废水不得直接排入市政污水管网，宜设立循环用水装置，经三级沉淀后循环使用或用于洒水降尘。</w:t>
      </w:r>
    </w:p>
    <w:p w14:paraId="4510BF3D">
      <w:pPr>
        <w:pStyle w:val="49"/>
        <w:rPr>
          <w:lang w:bidi="ar"/>
        </w:rPr>
      </w:pPr>
      <w:r>
        <w:t>（3）</w:t>
      </w:r>
      <w:r>
        <w:rPr>
          <w:lang w:bidi="ar"/>
        </w:rPr>
        <w:t>施工现场存放的油料和化学溶剂等物品应设有专门的库房，地面应做防渗漏处理。废弃的油料和化学溶剂应集中处理。</w:t>
      </w:r>
    </w:p>
    <w:p w14:paraId="2E855875">
      <w:pPr>
        <w:pStyle w:val="49"/>
        <w:rPr>
          <w:lang w:bidi="ar"/>
        </w:rPr>
      </w:pPr>
      <w:r>
        <w:rPr>
          <w:lang w:bidi="ar"/>
        </w:rPr>
        <w:t xml:space="preserve">（4）地基施工时，应采用隔水性能好的边坡支护技术，基坑降水应尽可能少抽取地下水。基坑降水宜优先作为冲洗用水、混凝土养护用水、现场砂浆搅拌等用水； </w:t>
      </w:r>
    </w:p>
    <w:p w14:paraId="4C9F5D6A">
      <w:pPr>
        <w:pStyle w:val="49"/>
        <w:rPr>
          <w:lang w:bidi="ar"/>
        </w:rPr>
      </w:pPr>
      <w:r>
        <w:rPr>
          <w:lang w:bidi="ar"/>
        </w:rPr>
        <w:t>（5）施工期生活污水主要污染物为COD、BOD</w:t>
      </w:r>
      <w:r>
        <w:rPr>
          <w:vertAlign w:val="subscript"/>
          <w:lang w:bidi="ar"/>
        </w:rPr>
        <w:t>5</w:t>
      </w:r>
      <w:r>
        <w:rPr>
          <w:lang w:bidi="ar"/>
        </w:rPr>
        <w:t>、SS等，施工期生活污水可依托厂区现有设施，通过厂区污水管网，</w:t>
      </w:r>
      <w:r>
        <w:rPr>
          <w:szCs w:val="22"/>
        </w:rPr>
        <w:t>排入园区市政排水管网，最终由</w:t>
      </w:r>
      <w:r>
        <w:t>园区污水处理厂</w:t>
      </w:r>
      <w:r>
        <w:rPr>
          <w:szCs w:val="22"/>
        </w:rPr>
        <w:t>处理。</w:t>
      </w:r>
    </w:p>
    <w:p w14:paraId="18CF8E57">
      <w:pPr>
        <w:pStyle w:val="49"/>
      </w:pPr>
      <w:r>
        <w:rPr>
          <w:lang w:bidi="ar"/>
        </w:rPr>
        <w:t>采取以上措施，施工期废水对环境影响不大。</w:t>
      </w:r>
    </w:p>
    <w:p w14:paraId="6D94697B">
      <w:pPr>
        <w:pStyle w:val="5"/>
        <w:pBdr>
          <w:top w:val="none" w:color="auto" w:sz="0" w:space="4"/>
          <w:left w:val="none" w:color="auto" w:sz="0" w:space="4"/>
          <w:bottom w:val="none" w:color="auto" w:sz="0" w:space="1"/>
          <w:right w:val="none" w:color="auto" w:sz="0" w:space="4"/>
        </w:pBdr>
        <w:tabs>
          <w:tab w:val="left" w:pos="767"/>
          <w:tab w:val="left" w:pos="1418"/>
          <w:tab w:val="left" w:pos="3119"/>
        </w:tabs>
        <w:adjustRightInd w:val="0"/>
        <w:snapToGrid w:val="0"/>
        <w:spacing w:before="120" w:after="120" w:afterLines="50" w:line="240" w:lineRule="auto"/>
        <w:ind w:left="1288" w:hanging="1288"/>
        <w:jc w:val="both"/>
        <w:textAlignment w:val="top"/>
      </w:pPr>
      <w:r>
        <w:t>施工固体废物处置要求</w:t>
      </w:r>
    </w:p>
    <w:p w14:paraId="719F97A1">
      <w:pPr>
        <w:pStyle w:val="49"/>
      </w:pPr>
      <w:r>
        <w:rPr>
          <w:lang w:bidi="ar"/>
        </w:rPr>
        <w:t>施工期间固体废物主要为施工垃圾和施工人员的生活垃圾。本次评价要求施工单位对施工期固废采取以下措施：</w:t>
      </w:r>
    </w:p>
    <w:p w14:paraId="1288F6C0">
      <w:pPr>
        <w:pStyle w:val="49"/>
        <w:rPr>
          <w:lang w:bidi="ar"/>
        </w:rPr>
      </w:pPr>
      <w:r>
        <w:rPr>
          <w:lang w:bidi="ar"/>
        </w:rPr>
        <w:t>（1）应制定建筑垃圾减量化计划，按照不同的建筑施工内容，核定建筑垃圾排放量，对建筑垃圾进行分类统计。</w:t>
      </w:r>
    </w:p>
    <w:p w14:paraId="2B6ECF96">
      <w:pPr>
        <w:pStyle w:val="49"/>
        <w:rPr>
          <w:lang w:bidi="ar"/>
        </w:rPr>
      </w:pPr>
      <w:r>
        <w:rPr>
          <w:lang w:bidi="ar"/>
        </w:rPr>
        <w:t>（2）加强建筑垃圾的回收再利用，建筑垃圾的再利用和回收率应达到30％以上，建筑物拆除产生的废弃物的再利用和回收率应达到40％以上，对于碎石类、土石方类建筑垃圾，宜采用地基填埋、铺路等方式提高再利用率，再利用率应达到50％以上。</w:t>
      </w:r>
    </w:p>
    <w:p w14:paraId="551E6AEF">
      <w:pPr>
        <w:pStyle w:val="49"/>
        <w:rPr>
          <w:lang w:bidi="ar"/>
        </w:rPr>
      </w:pPr>
      <w:r>
        <w:rPr>
          <w:lang w:bidi="ar"/>
        </w:rPr>
        <w:t>（3）建筑工程材料包装物回收率l00％，有毒有害废物分类率达到l00％，可再生利用的施工废弃物回收率应占可再生利用的施工废弃物总量的70％。</w:t>
      </w:r>
    </w:p>
    <w:p w14:paraId="0AF92A92">
      <w:pPr>
        <w:pStyle w:val="49"/>
        <w:rPr>
          <w:lang w:bidi="ar"/>
        </w:rPr>
      </w:pPr>
      <w:r>
        <w:rPr>
          <w:lang w:bidi="ar"/>
        </w:rPr>
        <w:t>（4）施工现场生活区必须设置封闭式垃圾容器，施工场地生活垃圾必须实行分类处理应符合GB18599规定，应日产日清。</w:t>
      </w:r>
    </w:p>
    <w:p w14:paraId="13E2CB0E">
      <w:pPr>
        <w:pStyle w:val="49"/>
      </w:pPr>
      <w:r>
        <w:rPr>
          <w:lang w:bidi="ar"/>
        </w:rPr>
        <w:t>（5）有毒有害废弃物处理应按照GB18597的规定，不能作为建筑垃圾外运，严禁污染土壤和地下水。</w:t>
      </w:r>
    </w:p>
    <w:p w14:paraId="7E948B69">
      <w:pPr>
        <w:pStyle w:val="5"/>
        <w:pBdr>
          <w:top w:val="none" w:color="auto" w:sz="0" w:space="4"/>
          <w:left w:val="none" w:color="auto" w:sz="0" w:space="4"/>
          <w:bottom w:val="none" w:color="auto" w:sz="0" w:space="1"/>
          <w:right w:val="none" w:color="auto" w:sz="0" w:space="4"/>
        </w:pBdr>
        <w:tabs>
          <w:tab w:val="left" w:pos="767"/>
          <w:tab w:val="left" w:pos="1418"/>
          <w:tab w:val="left" w:pos="3119"/>
        </w:tabs>
        <w:adjustRightInd w:val="0"/>
        <w:snapToGrid w:val="0"/>
        <w:spacing w:before="120" w:after="120" w:afterLines="50" w:line="240" w:lineRule="auto"/>
        <w:ind w:left="1288" w:hanging="1288"/>
        <w:jc w:val="both"/>
        <w:textAlignment w:val="top"/>
      </w:pPr>
      <w:r>
        <w:t>施工期生态保护、恢复措施要求</w:t>
      </w:r>
    </w:p>
    <w:p w14:paraId="23B5253F">
      <w:pPr>
        <w:pStyle w:val="49"/>
      </w:pPr>
      <w:r>
        <w:t>施工期对生态环境的影响主要是地基开挖、修建构筑物、敷设管网等对地表土壤、植被破坏。为将这些负面影响降到最小限度，在本项目建设实施的过程中，应采取一定的环保对策与措施：</w:t>
      </w:r>
    </w:p>
    <w:p w14:paraId="77629D27">
      <w:pPr>
        <w:pStyle w:val="49"/>
      </w:pPr>
      <w:r>
        <w:t>（1）强化生态环境保护意识，对施工人员进行环境保护知识教育；</w:t>
      </w:r>
    </w:p>
    <w:p w14:paraId="1D33D502">
      <w:pPr>
        <w:pStyle w:val="49"/>
      </w:pPr>
      <w:r>
        <w:t>（2）严格控制施工作业区，在满足施工要求前提下必须减少对施工场地周围土壤、植被和道路影响，不得随意扩大占地范围。临时施工场地便道及施工营地占地应在施工结束后进行占地恢复；</w:t>
      </w:r>
    </w:p>
    <w:p w14:paraId="687F80AC">
      <w:pPr>
        <w:pStyle w:val="49"/>
      </w:pPr>
      <w:r>
        <w:t>（3）建筑物料、弃土渣应就近选择低洼、平坦地段集中堆放，要设置土工布覆盖、截排水沟等措施，减少水土流失；</w:t>
      </w:r>
    </w:p>
    <w:p w14:paraId="7E78233E">
      <w:pPr>
        <w:pStyle w:val="49"/>
      </w:pPr>
      <w:r>
        <w:t>（4）对临时占地的开挖土方分层堆放，全部表土都应分层定点堆放并标注清楚，至少地表0.3m厚土层应被视作表土。填埋时应分层回填，尽可能保持原有地表植被的生长环境、土壤肥力，以便于及时开展厂区环境绿化使用；</w:t>
      </w:r>
    </w:p>
    <w:p w14:paraId="61ECFCC7">
      <w:pPr>
        <w:pStyle w:val="49"/>
      </w:pPr>
      <w:r>
        <w:t>（5）对完工的裸露地面要尽早平整，及时绿化；</w:t>
      </w:r>
    </w:p>
    <w:p w14:paraId="5BAA56DA">
      <w:pPr>
        <w:pStyle w:val="49"/>
      </w:pPr>
      <w:r>
        <w:t>综上所述，评价认为本项目施工期在采取上述污染防治与生态恢复措施后，可将施工建设带来的不利环境影响降到最小限度。</w:t>
      </w:r>
    </w:p>
    <w:p w14:paraId="30D2CD00">
      <w:pPr>
        <w:pStyle w:val="5"/>
        <w:pBdr>
          <w:top w:val="none" w:color="auto" w:sz="0" w:space="4"/>
          <w:left w:val="none" w:color="auto" w:sz="0" w:space="4"/>
          <w:bottom w:val="none" w:color="auto" w:sz="0" w:space="1"/>
          <w:right w:val="none" w:color="auto" w:sz="0" w:space="4"/>
        </w:pBdr>
        <w:tabs>
          <w:tab w:val="left" w:pos="767"/>
          <w:tab w:val="left" w:pos="1418"/>
          <w:tab w:val="left" w:pos="3119"/>
        </w:tabs>
        <w:adjustRightInd w:val="0"/>
        <w:snapToGrid w:val="0"/>
        <w:spacing w:before="120" w:after="120" w:afterLines="50" w:line="240" w:lineRule="auto"/>
        <w:ind w:left="1288" w:hanging="1288"/>
        <w:jc w:val="both"/>
        <w:textAlignment w:val="top"/>
      </w:pPr>
      <w:bookmarkStart w:id="232" w:name="_Toc277949382"/>
      <w:r>
        <w:t>施工期可能造成的水土流失影响</w:t>
      </w:r>
      <w:bookmarkEnd w:id="232"/>
    </w:p>
    <w:p w14:paraId="220F50BE">
      <w:pPr>
        <w:pStyle w:val="49"/>
      </w:pPr>
      <w:r>
        <w:t>随着施工场地开挖、填方、平整，原有的表土层将受到破坏，土壤松动，或者施工过程中由于挖方及填方过程中形成的土堆不能及时清理，遇到较大降雨冲刷，易发生水土流失。项目区所在地降雨较少，但施工集中，只要加强施工管理、合理安排施工进度，减少水土流失。随着施工期结束，建设场地被水泥、建筑及植被覆盖，水土流失即会恢复原有水平。</w:t>
      </w:r>
    </w:p>
    <w:p w14:paraId="40995766">
      <w:pPr>
        <w:pStyle w:val="5"/>
        <w:pBdr>
          <w:top w:val="none" w:color="auto" w:sz="0" w:space="4"/>
          <w:left w:val="none" w:color="auto" w:sz="0" w:space="4"/>
          <w:bottom w:val="none" w:color="auto" w:sz="0" w:space="1"/>
          <w:right w:val="none" w:color="auto" w:sz="0" w:space="4"/>
        </w:pBdr>
        <w:tabs>
          <w:tab w:val="left" w:pos="767"/>
          <w:tab w:val="left" w:pos="1418"/>
          <w:tab w:val="left" w:pos="3119"/>
        </w:tabs>
        <w:adjustRightInd w:val="0"/>
        <w:snapToGrid w:val="0"/>
        <w:spacing w:before="120" w:after="120" w:afterLines="50" w:line="240" w:lineRule="auto"/>
        <w:ind w:left="1288" w:hanging="1288"/>
        <w:jc w:val="both"/>
        <w:textAlignment w:val="top"/>
      </w:pPr>
      <w:bookmarkStart w:id="233" w:name="_Toc277949383"/>
      <w:r>
        <w:t>施工期的环境管理</w:t>
      </w:r>
      <w:bookmarkEnd w:id="233"/>
      <w:r>
        <w:t>及监理</w:t>
      </w:r>
    </w:p>
    <w:p w14:paraId="55BABDBE">
      <w:pPr>
        <w:pStyle w:val="58"/>
        <w:ind w:firstLine="480"/>
        <w:rPr>
          <w:rFonts w:cs="Times New Roman"/>
        </w:rPr>
      </w:pPr>
      <w:r>
        <w:rPr>
          <w:rFonts w:cs="Times New Roman"/>
        </w:rPr>
        <w:t>施工承包商在进行工程承包时，应将施工期的环境污染控制列入承包内容，并在工程开工前和施工过程中制定相应的环保防治措施和工程计划。</w:t>
      </w:r>
    </w:p>
    <w:p w14:paraId="780E0C1E">
      <w:pPr>
        <w:pStyle w:val="58"/>
        <w:ind w:firstLine="480"/>
        <w:rPr>
          <w:rFonts w:cs="Times New Roman"/>
          <w:szCs w:val="21"/>
        </w:rPr>
      </w:pPr>
      <w:r>
        <w:rPr>
          <w:rFonts w:cs="Times New Roman"/>
        </w:rPr>
        <w:t>项目施工时应向当地生态环境部门及其他有关主管部门申报；设专人负责管理并培训施工人员，以正确的工作方法控制施工过程中产生的不利环境影响；必要时，还需对施工人员进行环境保护知识培训，以确保项目施工期各项环保控制措施的落实。工程监理单位有责任配合当地环保主管机构，在做好工程监理的同时、做好环境监理，以保证环境工程能与主体工程同时施工及同时运行，并使项目建设施工影响范围的环境质量得到充分有效保证。</w:t>
      </w:r>
    </w:p>
    <w:p w14:paraId="4DF3E2E5">
      <w:pPr>
        <w:pStyle w:val="58"/>
        <w:ind w:firstLine="480"/>
        <w:rPr>
          <w:rStyle w:val="33"/>
          <w:rFonts w:cs="Times New Roman"/>
        </w:rPr>
      </w:pPr>
      <w:r>
        <w:rPr>
          <w:rFonts w:cs="Times New Roman"/>
        </w:rPr>
        <w:t>综上所述，项目建设将会对项目所在区域的大气环境、水环境、声环境产生一定程度的影响，但均属局部，短期不利影响，通过采取有效的预防和治理措施后，其影响程度将会大大降低，其影响范围也将减小，且随施工结束消失</w:t>
      </w:r>
      <w:r>
        <w:rPr>
          <w:rStyle w:val="33"/>
          <w:rFonts w:cs="Times New Roman"/>
        </w:rPr>
        <w:t>。</w:t>
      </w:r>
    </w:p>
    <w:p w14:paraId="205438BF">
      <w:pPr>
        <w:pStyle w:val="4"/>
      </w:pPr>
      <w:bookmarkStart w:id="234" w:name="_Toc207208401"/>
      <w:r>
        <w:t>运营期环境保护措施及管理要求</w:t>
      </w:r>
      <w:bookmarkEnd w:id="234"/>
    </w:p>
    <w:p w14:paraId="5A11AAC9">
      <w:pPr>
        <w:pStyle w:val="5"/>
        <w:spacing w:before="120"/>
      </w:pPr>
      <w:bookmarkStart w:id="235" w:name="_Toc23208"/>
      <w:bookmarkStart w:id="236" w:name="_Toc1511"/>
      <w:r>
        <w:t>废气治理措施及其可行性论证</w:t>
      </w:r>
      <w:bookmarkEnd w:id="235"/>
    </w:p>
    <w:p w14:paraId="72D1D215">
      <w:pPr>
        <w:pStyle w:val="6"/>
        <w:spacing w:before="120" w:after="120"/>
      </w:pPr>
      <w:r>
        <w:t>冶炼系统烟气</w:t>
      </w:r>
    </w:p>
    <w:p w14:paraId="76757380">
      <w:pPr>
        <w:pStyle w:val="58"/>
        <w:ind w:firstLine="480"/>
        <w:rPr>
          <w:rFonts w:cs="Times New Roman"/>
        </w:rPr>
      </w:pPr>
      <w:bookmarkStart w:id="237" w:name="_Hlk172076149"/>
      <w:r>
        <w:rPr>
          <w:rFonts w:cs="Times New Roman"/>
        </w:rPr>
        <w:t>（1）烧结废气</w:t>
      </w:r>
    </w:p>
    <w:p w14:paraId="12DCE9B8">
      <w:pPr>
        <w:pStyle w:val="58"/>
        <w:ind w:firstLine="480"/>
        <w:rPr>
          <w:rFonts w:cs="Times New Roman"/>
        </w:rPr>
      </w:pPr>
      <w:r>
        <w:rPr>
          <w:rFonts w:cs="Times New Roman"/>
        </w:rPr>
        <w:t>建设单位于2024年对烧结车间进行超低排放改造，主要改造内容为：对烧结车间烟气处理系统进行升级改造，除尘设施升级为多管除尘+湿电除尘；对烧结车间机头原有的石灰石—石膏法脱硫设施进行升级改造，升级为高效雾化喷淋式脱硫塔（GCT），原脱硫塔利旧；对烧结车间机头新建1套拟烟气SCR脱硝系统。对烧结车间机尾烟气处理系统进行升级改造，除尘设施升级为多管除尘+湿电除尘。</w:t>
      </w:r>
    </w:p>
    <w:p w14:paraId="3FFEE0D4">
      <w:pPr>
        <w:pStyle w:val="58"/>
        <w:ind w:firstLine="480"/>
        <w:rPr>
          <w:rFonts w:cs="Times New Roman"/>
        </w:rPr>
      </w:pPr>
      <w:r>
        <w:rPr>
          <w:rFonts w:cs="Times New Roman"/>
        </w:rPr>
        <w:t>烧结机头烟气进行脱硫、脱硝、除尘净化达标处理，烟气排放浓度达到超低排放限值要求，机尾烟气进行除尘净化达标处理，烟气排放浓度达到超低排放限值要求。厂区机头原多管除尘器拆除，新建多管除尘器，厂区机头原多管除尘器拆除，新建多管除尘器，在多管除尘器之后新建SCR反应器，在烧结机多管除尘器出口烟道布置燃烧器，连接煤气管道进行烟气加热。烧结机经密封后烟气进入多管除尘器进行预除尘、除尘后的烟气经烟气加热进入SCR反应器脱硝、除尘后的烟气经引风机抽入脱硫塔进行脱硫，在经新建湿式电除尘进行除尘，净化后达标的烟气直接通过烟囱排放；厂区机尾原多管除尘器拆除，新建多管除尘器，烟气经多管除尘后经引风机抽入新建湿式电除尘，净化后达标的烟气直接通过烟囱排放。原脱硫塔(Φ4000mm)利旧，原循环水罐位置新建循环水池。</w:t>
      </w:r>
    </w:p>
    <w:p w14:paraId="30040C91">
      <w:pPr>
        <w:pStyle w:val="58"/>
        <w:ind w:firstLine="480"/>
        <w:rPr>
          <w:rFonts w:cs="Times New Roman"/>
        </w:rPr>
      </w:pPr>
      <w:r>
        <w:rPr>
          <w:rFonts w:ascii="Cambria Math" w:hAnsi="Cambria Math" w:cs="Cambria Math"/>
        </w:rPr>
        <w:t>①</w:t>
      </w:r>
      <w:r>
        <w:rPr>
          <w:rFonts w:cs="Times New Roman"/>
        </w:rPr>
        <w:t>脱硝工艺</w:t>
      </w:r>
    </w:p>
    <w:p w14:paraId="2662F191">
      <w:pPr>
        <w:pStyle w:val="58"/>
        <w:ind w:firstLine="480"/>
        <w:rPr>
          <w:rFonts w:cs="Times New Roman"/>
        </w:rPr>
      </w:pPr>
      <w:r>
        <w:rPr>
          <w:rFonts w:cs="Times New Roman"/>
        </w:rPr>
        <w:t>脱销采用低温SCR工艺，保证NOx排放浓度≤50mg/Nm</w:t>
      </w:r>
      <w:r>
        <w:rPr>
          <w:rFonts w:cs="Times New Roman"/>
          <w:vertAlign w:val="superscript"/>
        </w:rPr>
        <w:t>3</w:t>
      </w:r>
      <w:r>
        <w:rPr>
          <w:rFonts w:cs="Times New Roman"/>
        </w:rPr>
        <w:t>。采用尿素溶液作为还原剂。</w:t>
      </w:r>
    </w:p>
    <w:p w14:paraId="3CDA07D1">
      <w:pPr>
        <w:pStyle w:val="58"/>
        <w:ind w:firstLine="480"/>
        <w:rPr>
          <w:rFonts w:cs="Times New Roman"/>
          <w:kern w:val="0"/>
        </w:rPr>
      </w:pPr>
      <w:r>
        <w:rPr>
          <w:rFonts w:cs="Times New Roman"/>
          <w:kern w:val="0"/>
        </w:rPr>
        <w:t>尿素溶液SCR工艺法就是利用尿素热解挥发的NH</w:t>
      </w:r>
      <w:r>
        <w:rPr>
          <w:rFonts w:cs="Times New Roman"/>
          <w:kern w:val="0"/>
          <w:vertAlign w:val="subscript"/>
        </w:rPr>
        <w:t>3</w:t>
      </w:r>
      <w:r>
        <w:rPr>
          <w:rFonts w:cs="Times New Roman"/>
          <w:kern w:val="0"/>
        </w:rPr>
        <w:t>对NO</w:t>
      </w:r>
      <w:r>
        <w:rPr>
          <w:rFonts w:cs="Times New Roman"/>
          <w:kern w:val="0"/>
          <w:vertAlign w:val="subscript"/>
        </w:rPr>
        <w:t>X</w:t>
      </w:r>
      <w:r>
        <w:rPr>
          <w:rFonts w:cs="Times New Roman"/>
          <w:kern w:val="0"/>
        </w:rPr>
        <w:t>的还原功能，在适合的温度窗口范围内在催化剂的作用下将NO</w:t>
      </w:r>
      <w:r>
        <w:rPr>
          <w:rFonts w:cs="Times New Roman"/>
          <w:kern w:val="0"/>
          <w:vertAlign w:val="subscript"/>
        </w:rPr>
        <w:t>X</w:t>
      </w:r>
      <w:r>
        <w:rPr>
          <w:rFonts w:cs="Times New Roman"/>
          <w:kern w:val="0"/>
        </w:rPr>
        <w:t>(主要是NO)还原为对大气没有影响的N</w:t>
      </w:r>
      <w:r>
        <w:rPr>
          <w:rFonts w:cs="Times New Roman"/>
          <w:kern w:val="0"/>
          <w:vertAlign w:val="subscript"/>
        </w:rPr>
        <w:t>2</w:t>
      </w:r>
      <w:r>
        <w:rPr>
          <w:rFonts w:cs="Times New Roman"/>
          <w:kern w:val="0"/>
        </w:rPr>
        <w:t>和水，NH</w:t>
      </w:r>
      <w:r>
        <w:rPr>
          <w:rFonts w:cs="Times New Roman"/>
          <w:kern w:val="0"/>
          <w:vertAlign w:val="subscript"/>
        </w:rPr>
        <w:t>3</w:t>
      </w:r>
      <w:r>
        <w:rPr>
          <w:rFonts w:cs="Times New Roman"/>
          <w:kern w:val="0"/>
        </w:rPr>
        <w:t>为还原剂，主要化学反应方程式为：</w:t>
      </w:r>
    </w:p>
    <w:p w14:paraId="136AA2FD">
      <w:pPr>
        <w:pStyle w:val="58"/>
        <w:ind w:firstLine="480"/>
        <w:rPr>
          <w:rFonts w:cs="Times New Roman"/>
          <w:kern w:val="0"/>
        </w:rPr>
      </w:pPr>
      <w:r>
        <w:rPr>
          <w:rFonts w:cs="Times New Roman"/>
          <w:kern w:val="0"/>
        </w:rPr>
        <w:t>在SCR反应器内，NO通过以下反应被还原：</w:t>
      </w:r>
    </w:p>
    <w:p w14:paraId="7CFB7103">
      <w:pPr>
        <w:pStyle w:val="58"/>
        <w:ind w:firstLine="480"/>
        <w:rPr>
          <w:rFonts w:cs="Times New Roman"/>
          <w:kern w:val="0"/>
        </w:rPr>
      </w:pPr>
      <w:r>
        <w:rPr>
          <w:rFonts w:cs="Times New Roman"/>
          <w:kern w:val="0"/>
        </w:rPr>
        <w:t>4NO+4NH</w:t>
      </w:r>
      <w:r>
        <w:rPr>
          <w:rFonts w:cs="Times New Roman"/>
          <w:kern w:val="0"/>
          <w:vertAlign w:val="subscript"/>
        </w:rPr>
        <w:t>3</w:t>
      </w:r>
      <w:r>
        <w:rPr>
          <w:rFonts w:cs="Times New Roman"/>
          <w:kern w:val="0"/>
        </w:rPr>
        <w:t>+O</w:t>
      </w:r>
      <w:r>
        <w:rPr>
          <w:rFonts w:cs="Times New Roman"/>
          <w:kern w:val="0"/>
          <w:vertAlign w:val="subscript"/>
        </w:rPr>
        <w:t>2</w:t>
      </w:r>
      <w:r>
        <w:rPr>
          <w:rFonts w:cs="Times New Roman"/>
          <w:kern w:val="0"/>
        </w:rPr>
        <w:t>→4N</w:t>
      </w:r>
      <w:r>
        <w:rPr>
          <w:rFonts w:cs="Times New Roman"/>
          <w:kern w:val="0"/>
          <w:vertAlign w:val="subscript"/>
        </w:rPr>
        <w:t>2</w:t>
      </w:r>
      <w:r>
        <w:rPr>
          <w:rFonts w:cs="Times New Roman"/>
          <w:kern w:val="0"/>
        </w:rPr>
        <w:t>+6H</w:t>
      </w:r>
      <w:r>
        <w:rPr>
          <w:rFonts w:cs="Times New Roman"/>
          <w:kern w:val="0"/>
          <w:vertAlign w:val="subscript"/>
        </w:rPr>
        <w:t>2</w:t>
      </w:r>
      <w:r>
        <w:rPr>
          <w:rFonts w:cs="Times New Roman"/>
          <w:kern w:val="0"/>
        </w:rPr>
        <w:t>O</w:t>
      </w:r>
    </w:p>
    <w:p w14:paraId="552B8DA1">
      <w:pPr>
        <w:pStyle w:val="58"/>
        <w:ind w:firstLine="480"/>
        <w:rPr>
          <w:rFonts w:cs="Times New Roman"/>
          <w:kern w:val="0"/>
        </w:rPr>
      </w:pPr>
      <w:r>
        <w:rPr>
          <w:rFonts w:cs="Times New Roman"/>
          <w:kern w:val="0"/>
        </w:rPr>
        <w:t>6NO+4NH</w:t>
      </w:r>
      <w:r>
        <w:rPr>
          <w:rFonts w:cs="Times New Roman"/>
          <w:kern w:val="0"/>
          <w:vertAlign w:val="subscript"/>
        </w:rPr>
        <w:t>3</w:t>
      </w:r>
      <w:r>
        <w:rPr>
          <w:rFonts w:cs="Times New Roman"/>
          <w:kern w:val="0"/>
        </w:rPr>
        <w:t>→5N</w:t>
      </w:r>
      <w:r>
        <w:rPr>
          <w:rFonts w:cs="Times New Roman"/>
          <w:kern w:val="0"/>
          <w:vertAlign w:val="subscript"/>
        </w:rPr>
        <w:t>2</w:t>
      </w:r>
      <w:r>
        <w:rPr>
          <w:rFonts w:cs="Times New Roman"/>
          <w:kern w:val="0"/>
        </w:rPr>
        <w:t>+6H</w:t>
      </w:r>
      <w:r>
        <w:rPr>
          <w:rFonts w:cs="Times New Roman"/>
          <w:kern w:val="0"/>
          <w:vertAlign w:val="subscript"/>
        </w:rPr>
        <w:t>2</w:t>
      </w:r>
      <w:r>
        <w:rPr>
          <w:rFonts w:cs="Times New Roman"/>
          <w:kern w:val="0"/>
        </w:rPr>
        <w:t>O</w:t>
      </w:r>
    </w:p>
    <w:p w14:paraId="02E537FA">
      <w:pPr>
        <w:pStyle w:val="58"/>
        <w:ind w:firstLine="480"/>
        <w:rPr>
          <w:rFonts w:cs="Times New Roman"/>
          <w:kern w:val="0"/>
        </w:rPr>
      </w:pPr>
      <w:r>
        <w:rPr>
          <w:rFonts w:cs="Times New Roman"/>
          <w:kern w:val="0"/>
        </w:rPr>
        <w:t>当烟气中有氧气时，反应第一式优先进行，因此，氨消耗量与NO还原量有一对一的关系。</w:t>
      </w:r>
    </w:p>
    <w:p w14:paraId="2EA1272C">
      <w:pPr>
        <w:pStyle w:val="58"/>
        <w:ind w:firstLine="480"/>
        <w:rPr>
          <w:rFonts w:cs="Times New Roman"/>
          <w:kern w:val="0"/>
        </w:rPr>
      </w:pPr>
      <w:r>
        <w:rPr>
          <w:rFonts w:cs="Times New Roman"/>
          <w:kern w:val="0"/>
        </w:rPr>
        <w:t>在烟气中，NO</w:t>
      </w:r>
      <w:r>
        <w:rPr>
          <w:rFonts w:cs="Times New Roman"/>
          <w:kern w:val="0"/>
          <w:vertAlign w:val="subscript"/>
        </w:rPr>
        <w:t>2</w:t>
      </w:r>
      <w:r>
        <w:rPr>
          <w:rFonts w:cs="Times New Roman"/>
          <w:kern w:val="0"/>
        </w:rPr>
        <w:t>一般约占总的NO</w:t>
      </w:r>
      <w:r>
        <w:rPr>
          <w:rFonts w:cs="Times New Roman"/>
          <w:kern w:val="0"/>
          <w:vertAlign w:val="subscript"/>
        </w:rPr>
        <w:t>X</w:t>
      </w:r>
      <w:r>
        <w:rPr>
          <w:rFonts w:cs="Times New Roman"/>
          <w:kern w:val="0"/>
        </w:rPr>
        <w:t>浓度的5%，NO</w:t>
      </w:r>
      <w:r>
        <w:rPr>
          <w:rFonts w:cs="Times New Roman"/>
          <w:kern w:val="0"/>
          <w:vertAlign w:val="subscript"/>
        </w:rPr>
        <w:t>2</w:t>
      </w:r>
      <w:r>
        <w:rPr>
          <w:rFonts w:cs="Times New Roman"/>
          <w:kern w:val="0"/>
        </w:rPr>
        <w:t>参与的反应如下：</w:t>
      </w:r>
    </w:p>
    <w:p w14:paraId="7768830C">
      <w:pPr>
        <w:pStyle w:val="58"/>
        <w:ind w:firstLine="480"/>
        <w:rPr>
          <w:rFonts w:cs="Times New Roman"/>
          <w:kern w:val="0"/>
        </w:rPr>
      </w:pPr>
      <w:r>
        <w:rPr>
          <w:rFonts w:cs="Times New Roman"/>
          <w:kern w:val="0"/>
        </w:rPr>
        <w:t>2NO</w:t>
      </w:r>
      <w:r>
        <w:rPr>
          <w:rFonts w:cs="Times New Roman"/>
          <w:kern w:val="0"/>
          <w:vertAlign w:val="subscript"/>
        </w:rPr>
        <w:t>2</w:t>
      </w:r>
      <w:r>
        <w:rPr>
          <w:rFonts w:cs="Times New Roman"/>
          <w:kern w:val="0"/>
        </w:rPr>
        <w:t>+4NH</w:t>
      </w:r>
      <w:r>
        <w:rPr>
          <w:rFonts w:cs="Times New Roman"/>
          <w:kern w:val="0"/>
          <w:vertAlign w:val="subscript"/>
        </w:rPr>
        <w:t>3</w:t>
      </w:r>
      <w:r>
        <w:rPr>
          <w:rFonts w:cs="Times New Roman"/>
          <w:kern w:val="0"/>
        </w:rPr>
        <w:t>+O</w:t>
      </w:r>
      <w:r>
        <w:rPr>
          <w:rFonts w:cs="Times New Roman"/>
          <w:kern w:val="0"/>
          <w:vertAlign w:val="subscript"/>
        </w:rPr>
        <w:t>2</w:t>
      </w:r>
      <w:r>
        <w:rPr>
          <w:rFonts w:cs="Times New Roman"/>
          <w:kern w:val="0"/>
        </w:rPr>
        <w:t>→3N</w:t>
      </w:r>
      <w:r>
        <w:rPr>
          <w:rFonts w:cs="Times New Roman"/>
          <w:kern w:val="0"/>
          <w:vertAlign w:val="subscript"/>
        </w:rPr>
        <w:t>2</w:t>
      </w:r>
      <w:r>
        <w:rPr>
          <w:rFonts w:cs="Times New Roman"/>
          <w:kern w:val="0"/>
        </w:rPr>
        <w:t>+6H</w:t>
      </w:r>
      <w:r>
        <w:rPr>
          <w:rFonts w:cs="Times New Roman"/>
          <w:kern w:val="0"/>
          <w:vertAlign w:val="subscript"/>
        </w:rPr>
        <w:t>2</w:t>
      </w:r>
      <w:r>
        <w:rPr>
          <w:rFonts w:cs="Times New Roman"/>
          <w:kern w:val="0"/>
        </w:rPr>
        <w:t>O</w:t>
      </w:r>
    </w:p>
    <w:p w14:paraId="7F785FD0">
      <w:pPr>
        <w:pStyle w:val="58"/>
        <w:ind w:firstLine="480"/>
        <w:rPr>
          <w:rFonts w:cs="Times New Roman"/>
          <w:kern w:val="0"/>
        </w:rPr>
      </w:pPr>
      <w:r>
        <w:rPr>
          <w:rFonts w:cs="Times New Roman"/>
          <w:kern w:val="0"/>
        </w:rPr>
        <w:t>6NO</w:t>
      </w:r>
      <w:r>
        <w:rPr>
          <w:rFonts w:cs="Times New Roman"/>
          <w:kern w:val="0"/>
          <w:vertAlign w:val="subscript"/>
        </w:rPr>
        <w:t>2</w:t>
      </w:r>
      <w:r>
        <w:rPr>
          <w:rFonts w:cs="Times New Roman"/>
          <w:kern w:val="0"/>
        </w:rPr>
        <w:t>+8NH</w:t>
      </w:r>
      <w:r>
        <w:rPr>
          <w:rFonts w:cs="Times New Roman"/>
          <w:kern w:val="0"/>
          <w:vertAlign w:val="subscript"/>
        </w:rPr>
        <w:t>3</w:t>
      </w:r>
      <w:r>
        <w:rPr>
          <w:rFonts w:cs="Times New Roman"/>
          <w:kern w:val="0"/>
        </w:rPr>
        <w:t xml:space="preserve"> →7N</w:t>
      </w:r>
      <w:r>
        <w:rPr>
          <w:rFonts w:cs="Times New Roman"/>
          <w:kern w:val="0"/>
          <w:vertAlign w:val="subscript"/>
        </w:rPr>
        <w:t>2</w:t>
      </w:r>
      <w:r>
        <w:rPr>
          <w:rFonts w:cs="Times New Roman"/>
          <w:kern w:val="0"/>
        </w:rPr>
        <w:t>+12H</w:t>
      </w:r>
      <w:r>
        <w:rPr>
          <w:rFonts w:cs="Times New Roman"/>
          <w:kern w:val="0"/>
          <w:vertAlign w:val="subscript"/>
        </w:rPr>
        <w:t>2</w:t>
      </w:r>
      <w:r>
        <w:rPr>
          <w:rFonts w:cs="Times New Roman"/>
          <w:kern w:val="0"/>
        </w:rPr>
        <w:t>O</w:t>
      </w:r>
    </w:p>
    <w:p w14:paraId="4800A387">
      <w:pPr>
        <w:pStyle w:val="58"/>
        <w:ind w:firstLine="480"/>
        <w:rPr>
          <w:rFonts w:cs="Times New Roman"/>
        </w:rPr>
      </w:pPr>
      <w:r>
        <w:rPr>
          <w:rFonts w:cs="Times New Roman"/>
        </w:rPr>
        <w:t>上面两个反应表明还原NO</w:t>
      </w:r>
      <w:r>
        <w:rPr>
          <w:rFonts w:cs="Times New Roman"/>
          <w:vertAlign w:val="subscript"/>
        </w:rPr>
        <w:t>2</w:t>
      </w:r>
      <w:r>
        <w:rPr>
          <w:rFonts w:cs="Times New Roman"/>
        </w:rPr>
        <w:t>比还原NO需要更多的氨(尿素)。在绝大多数烟气中，NO</w:t>
      </w:r>
      <w:r>
        <w:rPr>
          <w:rFonts w:cs="Times New Roman"/>
          <w:vertAlign w:val="subscript"/>
        </w:rPr>
        <w:t>2</w:t>
      </w:r>
      <w:r>
        <w:rPr>
          <w:rFonts w:cs="Times New Roman"/>
        </w:rPr>
        <w:t>仅占NO</w:t>
      </w:r>
      <w:r>
        <w:rPr>
          <w:rFonts w:cs="Times New Roman"/>
          <w:vertAlign w:val="subscript"/>
        </w:rPr>
        <w:t>X</w:t>
      </w:r>
      <w:r>
        <w:rPr>
          <w:rFonts w:cs="Times New Roman"/>
        </w:rPr>
        <w:t>总量的一小部分，因此NO</w:t>
      </w:r>
      <w:r>
        <w:rPr>
          <w:rFonts w:cs="Times New Roman"/>
          <w:vertAlign w:val="subscript"/>
        </w:rPr>
        <w:t>2</w:t>
      </w:r>
      <w:r>
        <w:rPr>
          <w:rFonts w:cs="Times New Roman"/>
        </w:rPr>
        <w:t>的影响并不显著。</w:t>
      </w:r>
    </w:p>
    <w:p w14:paraId="5B8E3A59">
      <w:pPr>
        <w:pStyle w:val="58"/>
        <w:ind w:firstLine="480"/>
        <w:rPr>
          <w:rFonts w:cs="Times New Roman"/>
        </w:rPr>
      </w:pPr>
      <w:r>
        <w:rPr>
          <w:rFonts w:ascii="Cambria Math" w:hAnsi="Cambria Math" w:cs="Cambria Math"/>
        </w:rPr>
        <w:t>②</w:t>
      </w:r>
      <w:r>
        <w:rPr>
          <w:rFonts w:cs="Times New Roman"/>
        </w:rPr>
        <w:t>脱硫工艺</w:t>
      </w:r>
    </w:p>
    <w:p w14:paraId="7A614D08">
      <w:pPr>
        <w:pStyle w:val="58"/>
        <w:ind w:firstLine="480"/>
        <w:rPr>
          <w:rFonts w:cs="Times New Roman"/>
        </w:rPr>
      </w:pPr>
      <w:r>
        <w:rPr>
          <w:rFonts w:cs="Times New Roman"/>
        </w:rPr>
        <w:t>1）工艺流程介绍</w:t>
      </w:r>
    </w:p>
    <w:p w14:paraId="01D530E8">
      <w:pPr>
        <w:pStyle w:val="58"/>
        <w:ind w:firstLine="480"/>
        <w:rPr>
          <w:rFonts w:cs="Times New Roman"/>
        </w:rPr>
      </w:pPr>
      <w:r>
        <w:rPr>
          <w:rFonts w:cs="Times New Roman"/>
        </w:rPr>
        <w:t>脱硫系统由SO</w:t>
      </w:r>
      <w:r>
        <w:rPr>
          <w:rFonts w:cs="Times New Roman"/>
          <w:vertAlign w:val="subscript"/>
        </w:rPr>
        <w:t>2</w:t>
      </w:r>
      <w:r>
        <w:rPr>
          <w:rFonts w:cs="Times New Roman"/>
        </w:rPr>
        <w:t>吸收系统、烟气系统、脱硫剂供给系统(利旧)、工艺水系统、电气控制系统和石膏压滤系统组成。</w:t>
      </w:r>
    </w:p>
    <w:p w14:paraId="6AC1F7A4">
      <w:pPr>
        <w:pStyle w:val="58"/>
        <w:ind w:firstLine="480"/>
        <w:rPr>
          <w:rFonts w:cs="Times New Roman"/>
        </w:rPr>
      </w:pPr>
      <w:r>
        <w:rPr>
          <w:rFonts w:cs="Times New Roman"/>
        </w:rPr>
        <w:t>烧结机产生的污染烟气进入高效雾化喷淋式脱硫塔内(烟气进口设置在脱硫塔中下部)。在脱硫塔内烟气由下而上与喷淋浆液逆流接触，两者充分混合。塔内设置三层高效雾化系统，在该区段空间充满着由雾化器喷出的粒径为100~300μm的雾化液滴，烟气中SO</w:t>
      </w:r>
      <w:r>
        <w:rPr>
          <w:rFonts w:cs="Times New Roman"/>
          <w:vertAlign w:val="subscript"/>
        </w:rPr>
        <w:t>2</w:t>
      </w:r>
      <w:r>
        <w:rPr>
          <w:rFonts w:cs="Times New Roman"/>
        </w:rPr>
        <w:t>与吸收碱液再次反应，脱除90%以上的二氧化硫。喷雾系统的合理选型及科学布置，使该雾化区形成无死角、重叠少的雾状液体均匀分布的雾化区段，烟气较长时间内在雾化区中穿行，烟气中SO</w:t>
      </w:r>
      <w:r>
        <w:rPr>
          <w:rFonts w:cs="Times New Roman"/>
          <w:vertAlign w:val="subscript"/>
        </w:rPr>
        <w:t>2</w:t>
      </w:r>
      <w:r>
        <w:rPr>
          <w:rFonts w:cs="Times New Roman"/>
        </w:rPr>
        <w:t>有了充足的机会与脱硫液接触，并不断与雾滴相碰，其中SO</w:t>
      </w:r>
      <w:r>
        <w:rPr>
          <w:rFonts w:cs="Times New Roman"/>
          <w:vertAlign w:val="subscript"/>
        </w:rPr>
        <w:t>2</w:t>
      </w:r>
      <w:r>
        <w:rPr>
          <w:rFonts w:cs="Times New Roman"/>
        </w:rPr>
        <w:t>与吸收液进行反应，从而被脱除，同时残留烟尘被带上“水珠”，质量增大。脱硫后的液体落入脱硫塔底部，定时定期排入脱硫塔后设置的收集系统，适当补充一定量的碱液后经循环泵再次送入喷雾和配液系统中再次利用，脱硫剂始终处于循环状态。</w:t>
      </w:r>
    </w:p>
    <w:p w14:paraId="2E4633BC">
      <w:pPr>
        <w:pStyle w:val="58"/>
        <w:ind w:firstLine="480"/>
        <w:rPr>
          <w:rFonts w:cs="Times New Roman"/>
        </w:rPr>
      </w:pPr>
      <w:r>
        <w:rPr>
          <w:rFonts w:cs="Times New Roman"/>
        </w:rPr>
        <w:t>2）脱硫液系统</w:t>
      </w:r>
    </w:p>
    <w:p w14:paraId="563B8604">
      <w:pPr>
        <w:pStyle w:val="58"/>
        <w:ind w:firstLine="480"/>
        <w:rPr>
          <w:rFonts w:cs="Times New Roman"/>
        </w:rPr>
      </w:pPr>
      <w:r>
        <w:rPr>
          <w:rFonts w:cs="Times New Roman"/>
        </w:rPr>
        <w:t>首先将碱液管中的碱液(~30%)放入循环池中，配成一定浓度的Ca</w:t>
      </w:r>
      <w:r>
        <w:rPr>
          <w:rFonts w:cs="Times New Roman"/>
          <w:vertAlign w:val="subscript"/>
        </w:rPr>
        <w:t>2</w:t>
      </w:r>
      <w:r>
        <w:rPr>
          <w:rFonts w:cs="Times New Roman"/>
        </w:rPr>
        <w:t>CO</w:t>
      </w:r>
      <w:r>
        <w:rPr>
          <w:rFonts w:cs="Times New Roman"/>
          <w:vertAlign w:val="subscript"/>
        </w:rPr>
        <w:t>3</w:t>
      </w:r>
      <w:r>
        <w:rPr>
          <w:rFonts w:cs="Times New Roman"/>
        </w:rPr>
        <w:t>溶液，经过循环泵，从脱硫塔的上部喷下，以雾状液滴与烟气中的SO</w:t>
      </w:r>
      <w:r>
        <w:rPr>
          <w:rFonts w:cs="Times New Roman"/>
          <w:vertAlign w:val="subscript"/>
        </w:rPr>
        <w:t>2</w:t>
      </w:r>
      <w:r>
        <w:rPr>
          <w:rFonts w:cs="Times New Roman"/>
        </w:rPr>
        <w:t>充分反应，脱硫液通过喷淋系统在脱硫塔内与SO</w:t>
      </w:r>
      <w:r>
        <w:rPr>
          <w:rFonts w:cs="Times New Roman"/>
          <w:vertAlign w:val="subscript"/>
        </w:rPr>
        <w:t>2</w:t>
      </w:r>
      <w:r>
        <w:rPr>
          <w:rFonts w:cs="Times New Roman"/>
        </w:rPr>
        <w:t>充分接触、反应后，落入塔底，流至循环池，脱硫液由循环泵进入脱硫塔循环使用，在正常运行过程中，向循环池加入碱液是通过pH计测定pH值后定量加入，循环液保持脱硫工艺所设定的pH值。</w:t>
      </w:r>
    </w:p>
    <w:p w14:paraId="449135AC">
      <w:pPr>
        <w:pStyle w:val="58"/>
        <w:ind w:firstLine="480"/>
        <w:rPr>
          <w:rFonts w:cs="Times New Roman"/>
        </w:rPr>
      </w:pPr>
      <w:r>
        <w:rPr>
          <w:rFonts w:ascii="Cambria Math" w:hAnsi="Cambria Math" w:cs="Cambria Math"/>
        </w:rPr>
        <w:t>③</w:t>
      </w:r>
      <w:r>
        <w:rPr>
          <w:rFonts w:cs="Times New Roman"/>
        </w:rPr>
        <w:t>湿式电除尘</w:t>
      </w:r>
    </w:p>
    <w:p w14:paraId="11C4E8BF">
      <w:pPr>
        <w:pStyle w:val="58"/>
        <w:ind w:firstLine="480"/>
        <w:rPr>
          <w:rFonts w:cs="Times New Roman"/>
        </w:rPr>
      </w:pPr>
      <w:r>
        <w:rPr>
          <w:rFonts w:cs="Times New Roman"/>
        </w:rPr>
        <w:t>工程建设2台湿式电除尘，采用六棱蜂窝管式立式除尘。WESP的工作原理为：在WESP的阳极管和阴极线之间施加数万伏直流高压电，在强电场的作用下，电晕线周围产生电晕层，电晕层中的空气发生雪崩式电离，从而产生大量的负离子和少量的阳离子，这个过程叫电晕放电；随工艺气流进人WESP内的尘(雾)粒子与这些正、负离子相碰撞而荷电，荷电后的尘(雾)粒子由于受到高压静电场库仑力的作用，分别向阴、阳极运动；到达两极后，将各自所带的电荷释放掉，尘(雾)粒子就被阴、阳极所收集，靠重力自流向下而与气体分离；部分的尘(雾)粒本身则由于其固有的黏性而附着在阳阳极管和阴极线上，通过冲洗的方法清除。</w:t>
      </w:r>
    </w:p>
    <w:p w14:paraId="4A219205">
      <w:pPr>
        <w:pStyle w:val="58"/>
        <w:ind w:firstLine="480"/>
        <w:rPr>
          <w:rFonts w:cs="Times New Roman"/>
        </w:rPr>
      </w:pPr>
      <w:r>
        <w:rPr>
          <w:rFonts w:cs="Times New Roman"/>
        </w:rPr>
        <w:t>改造后烧结车间废气排放参数如下：</w:t>
      </w:r>
    </w:p>
    <w:p w14:paraId="04EBB139">
      <w:pPr>
        <w:pStyle w:val="88"/>
        <w:rPr>
          <w:rFonts w:ascii="Times New Roman" w:hAnsi="Times New Roman" w:cs="Times New Roman"/>
        </w:rPr>
      </w:pPr>
      <w:r>
        <w:rPr>
          <w:rFonts w:ascii="Times New Roman" w:hAnsi="Times New Roman" w:cs="Times New Roman"/>
        </w:rPr>
        <w:t>表7.2-1    烧结车间技改后承诺烟气超低排放运行技术参数</w:t>
      </w:r>
    </w:p>
    <w:tbl>
      <w:tblPr>
        <w:tblStyle w:val="44"/>
        <w:tblW w:w="87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208"/>
        <w:gridCol w:w="1212"/>
        <w:gridCol w:w="1385"/>
        <w:gridCol w:w="1380"/>
        <w:gridCol w:w="1556"/>
        <w:gridCol w:w="928"/>
      </w:tblGrid>
      <w:tr w14:paraId="0F22D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052" w:type="dxa"/>
            <w:vMerge w:val="restart"/>
            <w:vAlign w:val="center"/>
          </w:tcPr>
          <w:p w14:paraId="60FA7E4B">
            <w:pPr>
              <w:pStyle w:val="34"/>
              <w:rPr>
                <w:rFonts w:ascii="Calibri" w:hAnsi="Calibri"/>
              </w:rPr>
            </w:pPr>
            <w:r>
              <w:rPr>
                <w:rFonts w:ascii="Calibri" w:hAnsi="Calibri"/>
              </w:rPr>
              <w:t>烧结机头烟气</w:t>
            </w:r>
          </w:p>
        </w:tc>
        <w:tc>
          <w:tcPr>
            <w:tcW w:w="1208" w:type="dxa"/>
            <w:vAlign w:val="center"/>
          </w:tcPr>
          <w:p w14:paraId="04CBF1FE">
            <w:pPr>
              <w:pStyle w:val="34"/>
              <w:rPr>
                <w:rFonts w:ascii="Calibri" w:hAnsi="Calibri"/>
              </w:rPr>
            </w:pPr>
            <w:r>
              <w:rPr>
                <w:rFonts w:ascii="Calibri" w:hAnsi="Calibri"/>
              </w:rPr>
              <w:t>工况流量10</w:t>
            </w:r>
            <w:r>
              <w:rPr>
                <w:rFonts w:ascii="Calibri" w:hAnsi="Calibri"/>
                <w:vertAlign w:val="superscript"/>
              </w:rPr>
              <w:t>4</w:t>
            </w:r>
            <w:r>
              <w:rPr>
                <w:rFonts w:ascii="Calibri" w:hAnsi="Calibri"/>
              </w:rPr>
              <w:t>m</w:t>
            </w:r>
            <w:r>
              <w:rPr>
                <w:rFonts w:ascii="Calibri" w:hAnsi="Calibri"/>
                <w:vertAlign w:val="superscript"/>
              </w:rPr>
              <w:t>3</w:t>
            </w:r>
            <w:r>
              <w:rPr>
                <w:rFonts w:ascii="Calibri" w:hAnsi="Calibri"/>
              </w:rPr>
              <w:t>/h</w:t>
            </w:r>
          </w:p>
        </w:tc>
        <w:tc>
          <w:tcPr>
            <w:tcW w:w="1212" w:type="dxa"/>
            <w:vAlign w:val="center"/>
          </w:tcPr>
          <w:p w14:paraId="1F0F6296">
            <w:pPr>
              <w:pStyle w:val="34"/>
              <w:rPr>
                <w:rFonts w:ascii="Calibri" w:hAnsi="Calibri"/>
              </w:rPr>
            </w:pPr>
            <w:r>
              <w:rPr>
                <w:rFonts w:ascii="Calibri" w:hAnsi="Calibri"/>
              </w:rPr>
              <w:t>氨逃逸</w:t>
            </w:r>
          </w:p>
          <w:p w14:paraId="2C45C8A5">
            <w:pPr>
              <w:pStyle w:val="34"/>
              <w:rPr>
                <w:rFonts w:ascii="Calibri" w:hAnsi="Calibri"/>
              </w:rPr>
            </w:pPr>
            <w:r>
              <w:rPr>
                <w:rFonts w:ascii="Calibri" w:hAnsi="Calibri"/>
              </w:rPr>
              <w:t>（PPM）</w:t>
            </w:r>
          </w:p>
        </w:tc>
        <w:tc>
          <w:tcPr>
            <w:tcW w:w="1385" w:type="dxa"/>
            <w:vAlign w:val="center"/>
          </w:tcPr>
          <w:p w14:paraId="0C2F259B">
            <w:pPr>
              <w:pStyle w:val="34"/>
              <w:rPr>
                <w:rFonts w:ascii="Calibri" w:hAnsi="Calibri"/>
              </w:rPr>
            </w:pPr>
            <w:r>
              <w:rPr>
                <w:rFonts w:ascii="Calibri" w:hAnsi="Calibri"/>
              </w:rPr>
              <w:t>NOx</w:t>
            </w:r>
          </w:p>
          <w:p w14:paraId="07C25F9D">
            <w:pPr>
              <w:pStyle w:val="34"/>
              <w:rPr>
                <w:rFonts w:ascii="Calibri" w:hAnsi="Calibri"/>
              </w:rPr>
            </w:pPr>
            <w:r>
              <w:rPr>
                <w:rFonts w:ascii="Calibri" w:hAnsi="Calibri"/>
              </w:rPr>
              <w:t>（mg/Nm</w:t>
            </w:r>
            <w:r>
              <w:rPr>
                <w:rFonts w:ascii="Calibri" w:hAnsi="Calibri"/>
                <w:vertAlign w:val="superscript"/>
              </w:rPr>
              <w:t>3</w:t>
            </w:r>
            <w:r>
              <w:rPr>
                <w:rFonts w:ascii="Calibri" w:hAnsi="Calibri"/>
              </w:rPr>
              <w:t>）</w:t>
            </w:r>
          </w:p>
        </w:tc>
        <w:tc>
          <w:tcPr>
            <w:tcW w:w="1380" w:type="dxa"/>
            <w:vAlign w:val="center"/>
          </w:tcPr>
          <w:p w14:paraId="46DAB545">
            <w:pPr>
              <w:pStyle w:val="34"/>
              <w:rPr>
                <w:rFonts w:ascii="Calibri" w:hAnsi="Calibri"/>
              </w:rPr>
            </w:pPr>
            <w:r>
              <w:rPr>
                <w:rFonts w:ascii="Calibri" w:hAnsi="Calibri"/>
              </w:rPr>
              <w:t>SO</w:t>
            </w:r>
            <w:r>
              <w:rPr>
                <w:rFonts w:ascii="Calibri" w:hAnsi="Calibri"/>
                <w:vertAlign w:val="subscript"/>
              </w:rPr>
              <w:t>2</w:t>
            </w:r>
          </w:p>
          <w:p w14:paraId="4F68EA7D">
            <w:pPr>
              <w:pStyle w:val="34"/>
              <w:rPr>
                <w:rFonts w:ascii="Calibri" w:hAnsi="Calibri"/>
              </w:rPr>
            </w:pPr>
            <w:r>
              <w:rPr>
                <w:rFonts w:ascii="Calibri" w:hAnsi="Calibri"/>
              </w:rPr>
              <w:t>（mg/Nm</w:t>
            </w:r>
            <w:r>
              <w:rPr>
                <w:rFonts w:ascii="Calibri" w:hAnsi="Calibri"/>
                <w:vertAlign w:val="superscript"/>
              </w:rPr>
              <w:t>3</w:t>
            </w:r>
            <w:r>
              <w:rPr>
                <w:rFonts w:ascii="Calibri" w:hAnsi="Calibri"/>
              </w:rPr>
              <w:t>）</w:t>
            </w:r>
          </w:p>
        </w:tc>
        <w:tc>
          <w:tcPr>
            <w:tcW w:w="1552" w:type="dxa"/>
            <w:vAlign w:val="center"/>
          </w:tcPr>
          <w:p w14:paraId="06F88FC3">
            <w:pPr>
              <w:pStyle w:val="34"/>
              <w:rPr>
                <w:rFonts w:ascii="Calibri" w:hAnsi="Calibri"/>
              </w:rPr>
            </w:pPr>
            <w:r>
              <w:rPr>
                <w:rFonts w:ascii="Calibri" w:hAnsi="Calibri"/>
              </w:rPr>
              <w:t>颗粒物</w:t>
            </w:r>
          </w:p>
          <w:p w14:paraId="08AFD0DC">
            <w:pPr>
              <w:pStyle w:val="34"/>
              <w:rPr>
                <w:rFonts w:ascii="Calibri" w:hAnsi="Calibri"/>
              </w:rPr>
            </w:pPr>
            <w:r>
              <w:rPr>
                <w:rFonts w:ascii="Calibri" w:hAnsi="Calibri"/>
              </w:rPr>
              <w:t>（mg/Nm</w:t>
            </w:r>
            <w:r>
              <w:rPr>
                <w:rFonts w:ascii="Calibri" w:hAnsi="Calibri"/>
                <w:vertAlign w:val="superscript"/>
              </w:rPr>
              <w:t>3</w:t>
            </w:r>
            <w:r>
              <w:rPr>
                <w:rFonts w:ascii="Calibri" w:hAnsi="Calibri"/>
              </w:rPr>
              <w:t>）</w:t>
            </w:r>
          </w:p>
        </w:tc>
        <w:tc>
          <w:tcPr>
            <w:tcW w:w="928" w:type="dxa"/>
            <w:vAlign w:val="center"/>
          </w:tcPr>
          <w:p w14:paraId="5BEC310E">
            <w:pPr>
              <w:pStyle w:val="34"/>
              <w:rPr>
                <w:rFonts w:ascii="Calibri" w:hAnsi="Calibri"/>
              </w:rPr>
            </w:pPr>
            <w:r>
              <w:rPr>
                <w:rFonts w:ascii="Calibri" w:hAnsi="Calibri"/>
              </w:rPr>
              <w:t>氧含量</w:t>
            </w:r>
          </w:p>
        </w:tc>
      </w:tr>
      <w:tr w14:paraId="4F21A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052" w:type="dxa"/>
            <w:vMerge w:val="continue"/>
            <w:vAlign w:val="center"/>
          </w:tcPr>
          <w:p w14:paraId="474E690C">
            <w:pPr>
              <w:pStyle w:val="34"/>
              <w:rPr>
                <w:rFonts w:ascii="Calibri" w:hAnsi="Calibri"/>
              </w:rPr>
            </w:pPr>
          </w:p>
        </w:tc>
        <w:tc>
          <w:tcPr>
            <w:tcW w:w="1208" w:type="dxa"/>
            <w:vAlign w:val="center"/>
          </w:tcPr>
          <w:p w14:paraId="2620D89D">
            <w:pPr>
              <w:pStyle w:val="34"/>
              <w:rPr>
                <w:rFonts w:ascii="Calibri" w:hAnsi="Calibri"/>
              </w:rPr>
            </w:pPr>
            <w:r>
              <w:rPr>
                <w:rFonts w:ascii="Calibri" w:hAnsi="Calibri"/>
              </w:rPr>
              <w:t>12</w:t>
            </w:r>
          </w:p>
        </w:tc>
        <w:tc>
          <w:tcPr>
            <w:tcW w:w="1212" w:type="dxa"/>
            <w:vAlign w:val="center"/>
          </w:tcPr>
          <w:p w14:paraId="5522BE0D">
            <w:pPr>
              <w:pStyle w:val="34"/>
              <w:rPr>
                <w:rFonts w:ascii="Calibri" w:hAnsi="Calibri"/>
              </w:rPr>
            </w:pPr>
            <w:r>
              <w:rPr>
                <w:rFonts w:ascii="Calibri" w:hAnsi="Calibri"/>
              </w:rPr>
              <w:t>＜3</w:t>
            </w:r>
          </w:p>
        </w:tc>
        <w:tc>
          <w:tcPr>
            <w:tcW w:w="1385" w:type="dxa"/>
            <w:vAlign w:val="center"/>
          </w:tcPr>
          <w:p w14:paraId="30E1C959">
            <w:pPr>
              <w:pStyle w:val="34"/>
              <w:rPr>
                <w:rFonts w:ascii="Calibri" w:hAnsi="Calibri"/>
              </w:rPr>
            </w:pPr>
            <w:r>
              <w:rPr>
                <w:rFonts w:ascii="Calibri" w:hAnsi="Calibri"/>
              </w:rPr>
              <w:t>＜45</w:t>
            </w:r>
          </w:p>
        </w:tc>
        <w:tc>
          <w:tcPr>
            <w:tcW w:w="1380" w:type="dxa"/>
            <w:vAlign w:val="center"/>
          </w:tcPr>
          <w:p w14:paraId="60F61FE4">
            <w:pPr>
              <w:pStyle w:val="34"/>
              <w:rPr>
                <w:rFonts w:ascii="Calibri" w:hAnsi="Calibri"/>
              </w:rPr>
            </w:pPr>
            <w:r>
              <w:rPr>
                <w:rFonts w:ascii="Calibri" w:hAnsi="Calibri"/>
              </w:rPr>
              <w:t>＜20</w:t>
            </w:r>
          </w:p>
        </w:tc>
        <w:tc>
          <w:tcPr>
            <w:tcW w:w="1552" w:type="dxa"/>
            <w:vAlign w:val="center"/>
          </w:tcPr>
          <w:p w14:paraId="5D324F62">
            <w:pPr>
              <w:pStyle w:val="34"/>
              <w:rPr>
                <w:rFonts w:ascii="Calibri" w:hAnsi="Calibri"/>
              </w:rPr>
            </w:pPr>
            <w:r>
              <w:rPr>
                <w:rFonts w:ascii="Calibri" w:hAnsi="Calibri"/>
              </w:rPr>
              <w:t>＜4</w:t>
            </w:r>
          </w:p>
        </w:tc>
        <w:tc>
          <w:tcPr>
            <w:tcW w:w="928" w:type="dxa"/>
            <w:vAlign w:val="center"/>
          </w:tcPr>
          <w:p w14:paraId="6E1C4F78">
            <w:pPr>
              <w:pStyle w:val="34"/>
              <w:rPr>
                <w:rFonts w:ascii="Calibri" w:hAnsi="Calibri"/>
              </w:rPr>
            </w:pPr>
            <w:r>
              <w:rPr>
                <w:rFonts w:ascii="Calibri" w:hAnsi="Calibri"/>
              </w:rPr>
              <w:t>16</w:t>
            </w:r>
          </w:p>
        </w:tc>
      </w:tr>
      <w:tr w14:paraId="523BF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52" w:type="dxa"/>
            <w:vMerge w:val="restart"/>
            <w:vAlign w:val="center"/>
          </w:tcPr>
          <w:p w14:paraId="59CB7ED3">
            <w:pPr>
              <w:pStyle w:val="34"/>
              <w:rPr>
                <w:rFonts w:ascii="Calibri" w:hAnsi="Calibri"/>
              </w:rPr>
            </w:pPr>
            <w:r>
              <w:rPr>
                <w:rFonts w:ascii="Calibri" w:hAnsi="Calibri"/>
              </w:rPr>
              <w:t>烧结机尾烟气</w:t>
            </w:r>
          </w:p>
        </w:tc>
        <w:tc>
          <w:tcPr>
            <w:tcW w:w="1208" w:type="dxa"/>
            <w:vAlign w:val="center"/>
          </w:tcPr>
          <w:p w14:paraId="6ECD454F">
            <w:pPr>
              <w:pStyle w:val="34"/>
              <w:rPr>
                <w:rFonts w:ascii="Calibri" w:hAnsi="Calibri"/>
              </w:rPr>
            </w:pPr>
            <w:r>
              <w:rPr>
                <w:rFonts w:ascii="Calibri" w:hAnsi="Calibri"/>
              </w:rPr>
              <w:t>工况流量10</w:t>
            </w:r>
            <w:r>
              <w:rPr>
                <w:rFonts w:ascii="Calibri" w:hAnsi="Calibri"/>
                <w:vertAlign w:val="superscript"/>
              </w:rPr>
              <w:t>4</w:t>
            </w:r>
            <w:r>
              <w:rPr>
                <w:rFonts w:ascii="Calibri" w:hAnsi="Calibri"/>
              </w:rPr>
              <w:t>m</w:t>
            </w:r>
            <w:r>
              <w:rPr>
                <w:rFonts w:ascii="Calibri" w:hAnsi="Calibri"/>
                <w:vertAlign w:val="superscript"/>
              </w:rPr>
              <w:t>3</w:t>
            </w:r>
            <w:r>
              <w:rPr>
                <w:rFonts w:ascii="Calibri" w:hAnsi="Calibri"/>
              </w:rPr>
              <w:t>/h</w:t>
            </w:r>
          </w:p>
        </w:tc>
        <w:tc>
          <w:tcPr>
            <w:tcW w:w="5533" w:type="dxa"/>
            <w:gridSpan w:val="4"/>
            <w:vAlign w:val="center"/>
          </w:tcPr>
          <w:p w14:paraId="53E8CDAD">
            <w:pPr>
              <w:pStyle w:val="34"/>
              <w:rPr>
                <w:rFonts w:ascii="Calibri" w:hAnsi="Calibri"/>
              </w:rPr>
            </w:pPr>
            <w:r>
              <w:rPr>
                <w:rFonts w:ascii="Calibri" w:hAnsi="Calibri"/>
              </w:rPr>
              <w:t>颗粒物</w:t>
            </w:r>
          </w:p>
          <w:p w14:paraId="252747EE">
            <w:pPr>
              <w:pStyle w:val="34"/>
              <w:rPr>
                <w:rFonts w:ascii="Calibri" w:hAnsi="Calibri"/>
              </w:rPr>
            </w:pPr>
            <w:r>
              <w:rPr>
                <w:rFonts w:ascii="Calibri" w:hAnsi="Calibri"/>
              </w:rPr>
              <w:t>（mg/Nm</w:t>
            </w:r>
            <w:r>
              <w:rPr>
                <w:rFonts w:ascii="Calibri" w:hAnsi="Calibri"/>
                <w:vertAlign w:val="superscript"/>
              </w:rPr>
              <w:t>3</w:t>
            </w:r>
            <w:r>
              <w:rPr>
                <w:rFonts w:ascii="Calibri" w:hAnsi="Calibri"/>
              </w:rPr>
              <w:t>）</w:t>
            </w:r>
          </w:p>
        </w:tc>
        <w:tc>
          <w:tcPr>
            <w:tcW w:w="928" w:type="dxa"/>
            <w:vAlign w:val="center"/>
          </w:tcPr>
          <w:p w14:paraId="6EFF4662">
            <w:pPr>
              <w:pStyle w:val="34"/>
              <w:rPr>
                <w:rFonts w:ascii="Calibri" w:hAnsi="Calibri"/>
              </w:rPr>
            </w:pPr>
            <w:r>
              <w:rPr>
                <w:rFonts w:ascii="Calibri" w:hAnsi="Calibri"/>
              </w:rPr>
              <w:t>氧含量</w:t>
            </w:r>
          </w:p>
        </w:tc>
      </w:tr>
      <w:tr w14:paraId="522CD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052" w:type="dxa"/>
            <w:vMerge w:val="continue"/>
            <w:vAlign w:val="center"/>
          </w:tcPr>
          <w:p w14:paraId="628D706A">
            <w:pPr>
              <w:pStyle w:val="34"/>
              <w:rPr>
                <w:rFonts w:ascii="Calibri" w:hAnsi="Calibri"/>
              </w:rPr>
            </w:pPr>
          </w:p>
        </w:tc>
        <w:tc>
          <w:tcPr>
            <w:tcW w:w="1208" w:type="dxa"/>
            <w:vAlign w:val="top"/>
          </w:tcPr>
          <w:p w14:paraId="671E87D8">
            <w:pPr>
              <w:pStyle w:val="34"/>
              <w:rPr>
                <w:rFonts w:ascii="Calibri" w:hAnsi="Calibri"/>
              </w:rPr>
            </w:pPr>
            <w:r>
              <w:rPr>
                <w:rFonts w:ascii="Calibri" w:hAnsi="Calibri"/>
              </w:rPr>
              <w:t>8</w:t>
            </w:r>
          </w:p>
        </w:tc>
        <w:tc>
          <w:tcPr>
            <w:tcW w:w="5533" w:type="dxa"/>
            <w:gridSpan w:val="4"/>
            <w:vAlign w:val="center"/>
          </w:tcPr>
          <w:p w14:paraId="194E548B">
            <w:pPr>
              <w:pStyle w:val="34"/>
              <w:rPr>
                <w:rFonts w:ascii="Calibri" w:hAnsi="Calibri"/>
              </w:rPr>
            </w:pPr>
            <w:r>
              <w:rPr>
                <w:rFonts w:ascii="Calibri" w:hAnsi="Calibri"/>
              </w:rPr>
              <w:t>＜5</w:t>
            </w:r>
          </w:p>
        </w:tc>
        <w:tc>
          <w:tcPr>
            <w:tcW w:w="928" w:type="dxa"/>
            <w:vAlign w:val="center"/>
          </w:tcPr>
          <w:p w14:paraId="6D0E21A0">
            <w:pPr>
              <w:pStyle w:val="34"/>
              <w:rPr>
                <w:rFonts w:ascii="Calibri" w:hAnsi="Calibri"/>
              </w:rPr>
            </w:pPr>
            <w:r>
              <w:rPr>
                <w:rFonts w:ascii="Calibri" w:hAnsi="Calibri"/>
              </w:rPr>
              <w:t>标态</w:t>
            </w:r>
          </w:p>
        </w:tc>
      </w:tr>
    </w:tbl>
    <w:p w14:paraId="1DF752DB">
      <w:pPr>
        <w:pStyle w:val="49"/>
      </w:pPr>
      <w:r>
        <w:t>综上所述，本项目烧结车间机头排口，颗粒物、SO</w:t>
      </w:r>
      <w:r>
        <w:rPr>
          <w:vertAlign w:val="subscript"/>
        </w:rPr>
        <w:t>2</w:t>
      </w:r>
      <w:r>
        <w:t>、NO</w:t>
      </w:r>
      <w:r>
        <w:rPr>
          <w:vertAlign w:val="subscript"/>
        </w:rPr>
        <w:t>X</w:t>
      </w:r>
      <w:r>
        <w:t>执行《关于推进实施钢铁行业超低排放的意见》（环大气〔2019〕35号）附件2排放限值；氟化物、二噁英类排放浓度执行《钢铁烧结、球团工业大气污染物排放标准》（GB28662-2012）及修改单中表3大气污染物特别排放限值。</w:t>
      </w:r>
    </w:p>
    <w:p w14:paraId="343269EF">
      <w:pPr>
        <w:pStyle w:val="3"/>
        <w:ind w:firstLine="480"/>
      </w:pPr>
      <w:r>
        <w:t>烧结机尾布袋除尘器排口颗粒物排放浓度执行《关于推进实施钢铁行业超低排放的意见》（环大气〔2019〕35号）附件2排放限值；</w:t>
      </w:r>
    </w:p>
    <w:p w14:paraId="0D16CF84">
      <w:pPr>
        <w:pStyle w:val="3"/>
        <w:ind w:firstLine="480"/>
      </w:pPr>
      <w:r>
        <w:t>（2）配料站废气</w:t>
      </w:r>
    </w:p>
    <w:p w14:paraId="3F23BEB0">
      <w:pPr>
        <w:pStyle w:val="3"/>
        <w:ind w:firstLine="480"/>
      </w:pPr>
      <w:r>
        <w:t>配料站工作过程中产生的粉尘由吸尘罩收集后经风道进入反吹布袋除尘器进行除尘，袋式收尘器是一种适用于细小烟尘的捕集且便于管理操作的收尘设备；根据验收及例行监测结果可知，冶炼车间配料站多管旋风除尘器排口（排气筒高度15m）颗粒物最大排放浓度为小于10mg/m</w:t>
      </w:r>
      <w:r>
        <w:rPr>
          <w:vertAlign w:val="superscript"/>
        </w:rPr>
        <w:t>3</w:t>
      </w:r>
      <w:r>
        <w:t>，颗粒物排放浓度满足《铁合金工业污染物排放标准》（GB28666-2012）中表6大气污染物特别排放限值（颗粒物20mg/m</w:t>
      </w:r>
      <w:r>
        <w:rPr>
          <w:vertAlign w:val="superscript"/>
        </w:rPr>
        <w:t>3</w:t>
      </w:r>
      <w:r>
        <w:t>）。</w:t>
      </w:r>
    </w:p>
    <w:p w14:paraId="59574791">
      <w:pPr>
        <w:pStyle w:val="58"/>
        <w:ind w:firstLine="480"/>
        <w:rPr>
          <w:rFonts w:cs="Times New Roman"/>
        </w:rPr>
      </w:pPr>
      <w:r>
        <w:rPr>
          <w:rFonts w:cs="Times New Roman"/>
        </w:rPr>
        <w:t>（3）冶炼废气</w:t>
      </w:r>
    </w:p>
    <w:p w14:paraId="04617985">
      <w:pPr>
        <w:pStyle w:val="58"/>
        <w:ind w:firstLine="480"/>
        <w:rPr>
          <w:rFonts w:cs="Times New Roman"/>
        </w:rPr>
      </w:pPr>
      <w:r>
        <w:rPr>
          <w:rFonts w:cs="Times New Roman"/>
        </w:rPr>
        <w:t>1）粉尘</w:t>
      </w:r>
    </w:p>
    <w:p w14:paraId="2A7F8FC0">
      <w:pPr>
        <w:pStyle w:val="58"/>
        <w:ind w:firstLine="480"/>
        <w:rPr>
          <w:rFonts w:cs="Times New Roman"/>
          <w:color w:val="000000"/>
        </w:rPr>
      </w:pPr>
      <w:r>
        <w:rPr>
          <w:rFonts w:cs="Times New Roman"/>
        </w:rPr>
        <w:t>原料破碎筛分主要为原料的颗粒。对于其产生的粉尘采用国内遍用的布袋除尘方式，可使捕集的原料回收利用。原料输送皮带机，斗提机在输送硅石、铬矿和焦炭的过程中，从皮带机端卸料、尾部受料、斗提机受料、双向胶带机、计量斗等等部位产生粉尘，由于产尘点多而分散，选用密闭措施，配料产生的粉尘集气罩收集后与破碎产生的粉尘一起布袋除尘以减少粉尘。本项目冶炼过程产生的煤气依托厂区现有煤气回收设施。现有</w:t>
      </w:r>
      <w:r>
        <w:rPr>
          <w:rFonts w:cs="Times New Roman"/>
          <w:color w:val="000000"/>
        </w:rPr>
        <w:t>废（煤）气回收采用洗涤塔、文氏塔、旋风脱水器即“两塔一文”湿法进行湿法除尘，处理后煤气进行回收利用。冶炼车间配料站多管旋风除尘器排口颗粒物排放浓度可满足《铁合金工业污染物排放标准》（GB28666-2012）及修改单中表6大气污染物特别排放限值（颗粒物20mg/m</w:t>
      </w:r>
      <w:r>
        <w:rPr>
          <w:rFonts w:cs="Times New Roman"/>
          <w:color w:val="000000"/>
          <w:vertAlign w:val="superscript"/>
        </w:rPr>
        <w:t>3</w:t>
      </w:r>
      <w:r>
        <w:rPr>
          <w:rFonts w:cs="Times New Roman"/>
          <w:color w:val="000000"/>
        </w:rPr>
        <w:t>）。</w:t>
      </w:r>
    </w:p>
    <w:p w14:paraId="7ABA8792">
      <w:pPr>
        <w:pStyle w:val="58"/>
        <w:ind w:firstLine="480"/>
        <w:rPr>
          <w:rFonts w:cs="Times New Roman"/>
          <w:color w:val="000000"/>
        </w:rPr>
      </w:pPr>
      <w:r>
        <w:rPr>
          <w:rFonts w:cs="Times New Roman"/>
          <w:color w:val="000000"/>
        </w:rPr>
        <w:t>2）煤气</w:t>
      </w:r>
    </w:p>
    <w:p w14:paraId="60EFEF89">
      <w:pPr>
        <w:pStyle w:val="58"/>
        <w:ind w:firstLine="480"/>
        <w:rPr>
          <w:rFonts w:cs="Times New Roman"/>
          <w:color w:val="000000"/>
        </w:rPr>
      </w:pPr>
      <w:r>
        <w:rPr>
          <w:rFonts w:cs="Times New Roman"/>
          <w:color w:val="000000"/>
        </w:rPr>
        <w:t>该法是矿热荒煤气由煤气上升导管导出，经集尘箱除去大颗粒烟尘后,进入喷淋洗涤塔经初步净化,并使煤气温度降至饱和温度，消除了高温、火星，并被初步净化；然后饱和温度下的煤气进入文丘里洗涤器内槽；净化后的气体进入脱水塔使气水分离，并收集夹带于水中的尘粒，使煤气净化。其出口含尘量为40～80mg/m</w:t>
      </w:r>
      <w:r>
        <w:rPr>
          <w:rFonts w:cs="Times New Roman"/>
          <w:color w:val="000000"/>
          <w:vertAlign w:val="superscript"/>
        </w:rPr>
        <w:t>3</w:t>
      </w:r>
      <w:r>
        <w:rPr>
          <w:rFonts w:cs="Times New Roman"/>
          <w:color w:val="000000"/>
        </w:rPr>
        <w:t>。煤气洗涤水经污水处理设施处理后循环使用。</w:t>
      </w:r>
    </w:p>
    <w:p w14:paraId="6FC55294">
      <w:pPr>
        <w:pStyle w:val="58"/>
        <w:ind w:firstLine="480"/>
        <w:rPr>
          <w:rFonts w:cs="Times New Roman"/>
          <w:color w:val="000000"/>
        </w:rPr>
      </w:pPr>
      <w:r>
        <w:rPr>
          <w:rFonts w:cs="Times New Roman"/>
          <w:color w:val="000000"/>
        </w:rPr>
        <w:t>工艺流程见图7.2-1。</w:t>
      </w:r>
    </w:p>
    <w:p w14:paraId="69F83391">
      <w:pPr>
        <w:pStyle w:val="58"/>
        <w:ind w:firstLine="480"/>
        <w:rPr>
          <w:rFonts w:cs="Times New Roman"/>
        </w:rPr>
      </w:pPr>
      <w:r>
        <w:rPr>
          <w:rFonts w:cs="Times New Roman"/>
        </w:rPr>
        <w:t>综上所述，本工艺采用成熟的湿法除尘，废水全部循环利用，且除尘效果好，选用此法是可行的。</w:t>
      </w:r>
    </w:p>
    <w:bookmarkEnd w:id="237"/>
    <w:p w14:paraId="71DF3D4E">
      <w:pPr>
        <w:pStyle w:val="6"/>
        <w:spacing w:before="120" w:after="120"/>
      </w:pPr>
      <w:r>
        <w:t>无组织扬尘</w:t>
      </w:r>
    </w:p>
    <w:p w14:paraId="1C3FCE4D">
      <w:pPr>
        <w:pStyle w:val="3"/>
        <w:ind w:firstLine="480"/>
      </w:pPr>
      <w:bookmarkStart w:id="238" w:name="_Hlk172076176"/>
      <w:r>
        <w:t>本项目无组织废气主要为颗粒物，颗粒物主要为原料及成品贮存、运输、筛分及配料过程产生的粉尘。在煤炭和原料的储存堆放过程中会有较大的扬尘产生。防治措施主要为建设封闭式煤棚和原料堆棚，并设置洒水抑尘措施；冶炼及烧结车间上料和煤炭输送采用封闭式廊道输送，冶炼车间配料至电炉内采取半封闭皮带输送；除尘器收集的粉尘设置灰库进行集中暂存；并在项目区种植花草树木。在采取以上措施后，可较好控制厂区无组织扬尘污染，措施可行。</w:t>
      </w:r>
      <w:bookmarkEnd w:id="238"/>
      <w:r>
        <w:t>厂界颗粒物可达到《铁合金工业污染物排放标准》（GB28666-2012）及修改单表7企业边界大气污染物浓度限值。</w:t>
      </w:r>
    </w:p>
    <w:p w14:paraId="56DA2847">
      <w:pPr>
        <w:pStyle w:val="5"/>
        <w:spacing w:before="120"/>
      </w:pPr>
      <w:r>
        <w:t>废水治理措施及其可行性论证</w:t>
      </w:r>
      <w:bookmarkEnd w:id="236"/>
    </w:p>
    <w:p w14:paraId="0A481080">
      <w:pPr>
        <w:pStyle w:val="3"/>
        <w:ind w:firstLine="480"/>
      </w:pPr>
      <w:r>
        <w:t>废水分为生产废水及生活污水，其中生产废水为动力车间循环冷却排水、冶炼车间变压器和炉体冷却排水、水淬渣冷却水及烧结车间脱硫排水，各工段废水全部循环利用不外排。</w:t>
      </w:r>
    </w:p>
    <w:p w14:paraId="09ADB6C6">
      <w:pPr>
        <w:pStyle w:val="3"/>
        <w:ind w:firstLine="480"/>
      </w:pPr>
      <w:bookmarkStart w:id="239" w:name="_Hlk172076185"/>
      <w:r>
        <w:t>本次技改项目不改变废水污染物含量与性质，通过现状工程验收及企业自行监测可知，厂区现有废水处理措施运行稳定，无外排生产废水，可实现厂区生产废水零排放。</w:t>
      </w:r>
      <w:bookmarkEnd w:id="239"/>
    </w:p>
    <w:p w14:paraId="68498D37">
      <w:pPr>
        <w:pStyle w:val="5"/>
        <w:spacing w:before="120"/>
      </w:pPr>
      <w:bookmarkStart w:id="240" w:name="_Toc29973"/>
      <w:r>
        <w:t>固废治理措施及其可行性论证</w:t>
      </w:r>
      <w:bookmarkEnd w:id="240"/>
    </w:p>
    <w:p w14:paraId="68BB552A">
      <w:pPr>
        <w:pStyle w:val="3"/>
        <w:ind w:firstLine="480"/>
      </w:pPr>
      <w:r>
        <w:t>（1）一般固废</w:t>
      </w:r>
    </w:p>
    <w:p w14:paraId="75BF1275">
      <w:pPr>
        <w:pStyle w:val="3"/>
        <w:ind w:firstLine="480"/>
      </w:pPr>
      <w:r>
        <w:t>本次技改后，新增固废主要为新增精炼炉精炼过程产生冶炼渣，与现有工程产生的冶炼渣一同优先送至岩棉保温炉用于岩棉生产，剩余冷却后作为一般固废外售处置。烧结废气处理过程产生的脱硫石膏作为一般固废外售处置。废气处理装置收尘灰作为原料回收再利用，暂存于原料库中的粉料仓内，减少污染物排放。</w:t>
      </w:r>
    </w:p>
    <w:p w14:paraId="3E34096A">
      <w:pPr>
        <w:pStyle w:val="3"/>
        <w:ind w:firstLine="480"/>
      </w:pPr>
      <w:r>
        <w:t>本技改项目现状固体废物得到合理处置并通过环保验收，原料库位于西侧，建筑面积为1500m</w:t>
      </w:r>
      <w:r>
        <w:rPr>
          <w:vertAlign w:val="superscript"/>
        </w:rPr>
        <w:t>2</w:t>
      </w:r>
      <w:r>
        <w:t>，结构形式为混凝土排架柱；库房内设有1座18m</w:t>
      </w:r>
      <w:r>
        <w:rPr>
          <w:vertAlign w:val="superscript"/>
        </w:rPr>
        <w:t>3</w:t>
      </w:r>
      <w:r>
        <w:t>集水坑，地面防渗采用抗渗混凝土硬化。可满足本项目固废存储需求。</w:t>
      </w:r>
    </w:p>
    <w:p w14:paraId="6D5A0B89">
      <w:pPr>
        <w:pStyle w:val="3"/>
        <w:ind w:firstLine="480"/>
      </w:pPr>
      <w:r>
        <w:t>本项目不新增劳动定员，不新增生活垃圾。现有生活垃圾收集后委托环卫部门拉运至生活垃圾填埋场填埋处置。</w:t>
      </w:r>
    </w:p>
    <w:p w14:paraId="3279736B">
      <w:pPr>
        <w:pStyle w:val="3"/>
        <w:ind w:firstLine="480"/>
      </w:pPr>
      <w:r>
        <w:t>综上，在采取相关固体废物污染防治措施后，本项目固废对环境影响可以接受。</w:t>
      </w:r>
    </w:p>
    <w:p w14:paraId="784D9208">
      <w:pPr>
        <w:pStyle w:val="3"/>
        <w:ind w:firstLine="480"/>
      </w:pPr>
      <w:r>
        <w:t>（2）危险废物污染防范措施可行性</w:t>
      </w:r>
    </w:p>
    <w:p w14:paraId="52E825A8">
      <w:pPr>
        <w:pStyle w:val="3"/>
        <w:ind w:firstLine="480"/>
      </w:pPr>
      <w:r>
        <w:t>现将本次依托危废暂存间运行阶段应采取的污染防治措施说明如下：</w:t>
      </w:r>
    </w:p>
    <w:p w14:paraId="2EF97579">
      <w:pPr>
        <w:pStyle w:val="3"/>
        <w:ind w:firstLine="480"/>
      </w:pPr>
      <w:r>
        <w:rPr>
          <w:rFonts w:ascii="Cambria Math" w:hAnsi="Cambria Math" w:cs="Cambria Math"/>
        </w:rPr>
        <w:t>①</w:t>
      </w:r>
      <w:r>
        <w:t>危废转移过程应按《危险废物转移管理办法》执行。</w:t>
      </w:r>
    </w:p>
    <w:p w14:paraId="331C7BD3">
      <w:pPr>
        <w:pStyle w:val="3"/>
        <w:ind w:firstLine="480"/>
      </w:pPr>
      <w:r>
        <w:rPr>
          <w:rFonts w:ascii="Cambria Math" w:hAnsi="Cambria Math" w:cs="Cambria Math"/>
        </w:rPr>
        <w:t>②</w:t>
      </w:r>
      <w:r>
        <w:t>危险废物贮存前应进行检验，确保同预定接收的危险废物一致，并登记注册。</w:t>
      </w:r>
    </w:p>
    <w:p w14:paraId="66C71176">
      <w:pPr>
        <w:pStyle w:val="3"/>
        <w:ind w:firstLine="480"/>
      </w:pPr>
      <w:r>
        <w:rPr>
          <w:rFonts w:ascii="Cambria Math" w:hAnsi="Cambria Math" w:cs="Cambria Math"/>
        </w:rPr>
        <w:t>③</w:t>
      </w:r>
      <w:r>
        <w:t>每个堆间应留有搬运通道。</w:t>
      </w:r>
    </w:p>
    <w:p w14:paraId="7DF5C477">
      <w:pPr>
        <w:pStyle w:val="3"/>
        <w:ind w:firstLine="480"/>
      </w:pPr>
      <w:r>
        <w:rPr>
          <w:rFonts w:ascii="Cambria Math" w:hAnsi="Cambria Math" w:cs="Cambria Math"/>
        </w:rPr>
        <w:t>④</w:t>
      </w:r>
      <w:r>
        <w:t>必须定期对所贮存的危险废物包装容器及贮存设施进行检查，发现破损，应及时采取措施清理更换。</w:t>
      </w:r>
    </w:p>
    <w:p w14:paraId="587EF8F3">
      <w:pPr>
        <w:pStyle w:val="3"/>
        <w:ind w:firstLine="480"/>
      </w:pPr>
      <w:r>
        <w:rPr>
          <w:rFonts w:ascii="Cambria Math" w:hAnsi="Cambria Math" w:cs="Cambria Math"/>
        </w:rPr>
        <w:t>⑤</w:t>
      </w:r>
      <w:r>
        <w:t>泄漏液、清洗液、浸出液必须符合GB8978的要求方可排放。</w:t>
      </w:r>
    </w:p>
    <w:p w14:paraId="1A215586">
      <w:pPr>
        <w:pStyle w:val="3"/>
        <w:ind w:firstLine="480"/>
      </w:pPr>
      <w:r>
        <w:rPr>
          <w:rFonts w:ascii="Cambria Math" w:hAnsi="Cambria Math" w:cs="Cambria Math"/>
        </w:rPr>
        <w:t>⑥</w:t>
      </w:r>
      <w:r>
        <w:t>危险废物贮存设施必须按GB15562.2的规定设置警示标志。</w:t>
      </w:r>
    </w:p>
    <w:p w14:paraId="0BDAC7F4">
      <w:pPr>
        <w:pStyle w:val="3"/>
        <w:ind w:firstLine="480"/>
      </w:pPr>
      <w:r>
        <w:rPr>
          <w:rFonts w:ascii="Cambria Math" w:hAnsi="Cambria Math" w:cs="Cambria Math"/>
        </w:rPr>
        <w:t>⑦</w:t>
      </w:r>
      <w:r>
        <w:t>危险废物贮存设施内清理出来的泄漏物，一律按危险废物处理。</w:t>
      </w:r>
    </w:p>
    <w:p w14:paraId="6335A00C">
      <w:pPr>
        <w:pStyle w:val="3"/>
        <w:ind w:firstLine="480"/>
      </w:pPr>
      <w:r>
        <w:rPr>
          <w:rFonts w:ascii="Cambria Math" w:hAnsi="Cambria Math" w:cs="Cambria Math"/>
        </w:rPr>
        <w:t>⑧</w:t>
      </w:r>
      <w:r>
        <w:t>危险废物贮存期限应符合《中华人民共和国固体废物污染环境防治法》的有关规定，不得超过1年。</w:t>
      </w:r>
    </w:p>
    <w:p w14:paraId="1B49E658">
      <w:pPr>
        <w:pStyle w:val="3"/>
        <w:ind w:firstLine="480"/>
      </w:pPr>
      <w:r>
        <w:rPr>
          <w:rFonts w:ascii="Cambria Math" w:hAnsi="Cambria Math" w:cs="Cambria Math"/>
        </w:rPr>
        <w:t>⑨</w:t>
      </w:r>
      <w:r>
        <w:t>应建立规范的管理和技术人员培训制度，定期针对管理和技术人员进行培训。培训内容至少应包括危险废物鉴别要求、危险废物转移联单管理、危险废物包装和标识、危险废物运输要求、危险废物事故应急方法。</w:t>
      </w:r>
    </w:p>
    <w:p w14:paraId="7D168CB7">
      <w:pPr>
        <w:pStyle w:val="3"/>
        <w:ind w:firstLine="480"/>
      </w:pPr>
      <w:r>
        <w:rPr>
          <w:rFonts w:ascii="Cambria Math" w:hAnsi="Cambria Math" w:cs="Cambria Math"/>
        </w:rPr>
        <w:t>⑩</w:t>
      </w:r>
      <w:r>
        <w:t>应补充完善应急预案。应急预案编制可参照《危险废物经营单位编制应急预案指南》，涉及运输的相关内容还应符合交通行政主管部门的有关规定。针对危险废物收集、贮存、运输过程中的事故易发环节应定期组织应急演练。</w:t>
      </w:r>
    </w:p>
    <w:p w14:paraId="65214502">
      <w:pPr>
        <w:pStyle w:val="3"/>
        <w:ind w:firstLine="480"/>
      </w:pPr>
      <w:r>
        <w:t>本技改项目对危废暂存间管理应满足《中华人民共和国固体废物污染环境防治法》（2020年9月1日）、《危险废物贮存污染控制标准》（GB 18597—2023）和《危险废物收集 贮存 运输技术规范》（HJ2025-2012）相关要求，对危险废物从产生、收集、贮存、运输、利用、处置各个环节实行全过程管理，措施可行。</w:t>
      </w:r>
    </w:p>
    <w:p w14:paraId="486159BC">
      <w:pPr>
        <w:pStyle w:val="3"/>
        <w:ind w:firstLine="480"/>
      </w:pPr>
      <w:r>
        <w:t>上述属危险废物的固废，在运输和处理过程中严格执行危险废物转运联单制度，按照《危险废物贮存污染控制标准》（GB18597—2023）进行防渗处理。</w:t>
      </w:r>
    </w:p>
    <w:p w14:paraId="59BC4C60">
      <w:pPr>
        <w:pStyle w:val="5"/>
        <w:spacing w:before="120"/>
      </w:pPr>
      <w:bookmarkStart w:id="241" w:name="_Toc6526"/>
      <w:r>
        <w:t>噪声治理措施及其可行性论证</w:t>
      </w:r>
      <w:bookmarkEnd w:id="241"/>
    </w:p>
    <w:p w14:paraId="27CAD8DE">
      <w:pPr>
        <w:pStyle w:val="3"/>
        <w:ind w:firstLine="480"/>
      </w:pPr>
      <w:r>
        <w:t>艾斯米尔采用的具体降噪措施如下：在各类风机进、出口处加装管道消声器；鼓风机和空气压缩机内衬泡沫吸声材料，外罩钢板采用封闭结构；鼓风机、离心机、泵类设置单独基础或减振措施，设备与管道间采用金属软管柔性联接；在满足工艺的前提下，尽可能选用功率小，噪声低的设备，并在气动型设备上安装相应的噪声装置；对厂内高噪设备（如粉磨机、各种泵等）均采取室内布置，并对高噪设备均采用减震基础；建筑设计中根据需要采取相应的吸声措施；高噪声设备采用有效的减振、消音措施如加装防振垫、柔性连接、隔声罩等；在总图布置时考虑地形、声源方向性和车间噪声强弱等因素，进行合理布局以求进一步要求降低厂界噪声。</w:t>
      </w:r>
    </w:p>
    <w:p w14:paraId="2BEE75E5">
      <w:pPr>
        <w:pStyle w:val="3"/>
        <w:ind w:firstLine="480"/>
      </w:pPr>
      <w:r>
        <w:t>根据原有项目验收监测以及2024年度自行监测报告可知，本项目厂界昼夜间厂界排放噪声均满足《工业企业厂界环境噪声排放标准》（GB12348-2008）3类声环境功能区厂界环境噪声排放限值。本项目位于产业园区内，周围200m范围内无噪声敏感点，因此噪声处置措施可行。</w:t>
      </w:r>
    </w:p>
    <w:p w14:paraId="762DA356">
      <w:pPr>
        <w:pStyle w:val="5"/>
        <w:spacing w:before="120"/>
      </w:pPr>
      <w:bookmarkStart w:id="242" w:name="_Toc18519"/>
      <w:r>
        <w:t>风险防范措施及其可行性论证</w:t>
      </w:r>
      <w:bookmarkEnd w:id="242"/>
    </w:p>
    <w:p w14:paraId="4FE00F94">
      <w:pPr>
        <w:pStyle w:val="3"/>
        <w:ind w:firstLine="480"/>
      </w:pPr>
      <w:r>
        <w:t>（1）总图布置</w:t>
      </w:r>
    </w:p>
    <w:p w14:paraId="61C28BFC">
      <w:pPr>
        <w:pStyle w:val="3"/>
        <w:ind w:firstLine="480"/>
      </w:pPr>
      <w:r>
        <w:rPr>
          <w:rFonts w:ascii="Cambria Math" w:hAnsi="Cambria Math" w:cs="Cambria Math"/>
        </w:rPr>
        <w:t>①</w:t>
      </w:r>
      <w:r>
        <w:t>在总图布置中，根据储存单元的功能，尽量分散，充分考虑建筑物的防火间距、安全距离、安全疏散以及自然条件等因素，注意合理进行功能分区，并有一定的防护带和绿化带，严格符合安全规范的要求。</w:t>
      </w:r>
    </w:p>
    <w:p w14:paraId="7F813FF9">
      <w:pPr>
        <w:pStyle w:val="3"/>
        <w:ind w:firstLine="480"/>
      </w:pPr>
      <w:r>
        <w:rPr>
          <w:rFonts w:ascii="Cambria Math" w:hAnsi="Cambria Math" w:cs="Cambria Math"/>
        </w:rPr>
        <w:t>②</w:t>
      </w:r>
      <w:r>
        <w:t>对所有设备、管道要设置消除静电的接地装置，顶部设置防雷击装置。</w:t>
      </w:r>
    </w:p>
    <w:p w14:paraId="1C803636">
      <w:pPr>
        <w:pStyle w:val="3"/>
        <w:ind w:firstLine="480"/>
      </w:pPr>
      <w:r>
        <w:t>（2）运行阶段事故防范措施</w:t>
      </w:r>
    </w:p>
    <w:p w14:paraId="7DAC67BE">
      <w:pPr>
        <w:pStyle w:val="3"/>
        <w:ind w:firstLine="480"/>
      </w:pPr>
      <w:r>
        <w:rPr>
          <w:rFonts w:ascii="Cambria Math" w:hAnsi="Cambria Math" w:cs="Cambria Math"/>
        </w:rPr>
        <w:t>①</w:t>
      </w:r>
      <w:r>
        <w:t>职工上岗前加强安全教育培训，经理论和实际考试合格后方可上岗，上岗时必须严格遵守操作规程，加强安全责任感。</w:t>
      </w:r>
    </w:p>
    <w:p w14:paraId="5A14D1B8">
      <w:pPr>
        <w:pStyle w:val="3"/>
        <w:ind w:firstLine="480"/>
      </w:pPr>
      <w:r>
        <w:rPr>
          <w:rFonts w:ascii="Cambria Math" w:hAnsi="Cambria Math" w:cs="Cambria Math"/>
        </w:rPr>
        <w:t>②</w:t>
      </w:r>
      <w:r>
        <w:t>加强安全设施、消防设施及检测报警及控制仪表的定期检测与日常维护、保养，若发现质量缺陷或故障，应及时排除，确保运行状态良好。</w:t>
      </w:r>
    </w:p>
    <w:p w14:paraId="6BBE56AF">
      <w:pPr>
        <w:pStyle w:val="3"/>
        <w:ind w:firstLine="480"/>
      </w:pPr>
      <w:r>
        <w:rPr>
          <w:rFonts w:ascii="Cambria Math" w:hAnsi="Cambria Math" w:cs="Cambria Math"/>
        </w:rPr>
        <w:t>③</w:t>
      </w:r>
      <w:r>
        <w:t>加强设备维护，严防“跑、冒、滴、漏”。</w:t>
      </w:r>
    </w:p>
    <w:p w14:paraId="0010656C">
      <w:pPr>
        <w:pStyle w:val="3"/>
        <w:ind w:firstLine="480"/>
      </w:pPr>
      <w:r>
        <w:rPr>
          <w:rFonts w:ascii="Cambria Math" w:hAnsi="Cambria Math" w:cs="Cambria Math"/>
        </w:rPr>
        <w:t>④</w:t>
      </w:r>
      <w:r>
        <w:t>在可能发生泄漏的位置设置喷淋冲洗设施，并配备相应的急救药品和器械在可能散发有毒有害气体的岗位加强通风，避免气体的聚集。</w:t>
      </w:r>
    </w:p>
    <w:p w14:paraId="100F9ECE">
      <w:pPr>
        <w:pStyle w:val="3"/>
        <w:ind w:firstLine="480"/>
      </w:pPr>
      <w:r>
        <w:rPr>
          <w:rFonts w:ascii="Cambria Math" w:hAnsi="Cambria Math" w:cs="Cambria Math"/>
        </w:rPr>
        <w:t>⑤</w:t>
      </w:r>
      <w:r>
        <w:t>项目应设置紧急切断系统，应能在事故状态下迅速关闭管道阀门。设置风险因子实时监控系统，该系统应具有自动监测及报警功能。</w:t>
      </w:r>
    </w:p>
    <w:p w14:paraId="424BEBA6">
      <w:pPr>
        <w:pStyle w:val="3"/>
        <w:ind w:firstLine="480"/>
      </w:pPr>
      <w:r>
        <w:rPr>
          <w:rFonts w:ascii="Cambria Math" w:hAnsi="Cambria Math" w:cs="Cambria Math"/>
        </w:rPr>
        <w:t>⑥</w:t>
      </w:r>
      <w:r>
        <w:t>建立健全安全生产责任制，加强安全教育培训工作，提高从业人员的安全意识和技术业务素质，建立盐酸泄露事故风险应急预案，有针对性的开展演练并及时修改完善。</w:t>
      </w:r>
    </w:p>
    <w:p w14:paraId="759C2A3E">
      <w:pPr>
        <w:pStyle w:val="3"/>
        <w:ind w:firstLine="480"/>
      </w:pPr>
      <w:r>
        <w:t>根据《危险废物收集 贮存 运输技术规范》（HJ2025-2012）：危险废物运输应由持有危险废物经营许可证的单位按照其许可证的经营范围组织实施，承担危险废物运输的单位应获得交通运输部门颁发的危险货物运输资质。危险废物公路运输应按照《道路危险货物运输管理规定》（交通部令〔2005年〕第9号）、JT617及JT618执行。危险废物的计量采用产生单位计量、接受单位复核的方式。本次评价对危废运输过程提出以下措施要求：</w:t>
      </w:r>
    </w:p>
    <w:p w14:paraId="030D8C94">
      <w:pPr>
        <w:pStyle w:val="3"/>
        <w:ind w:firstLine="480"/>
      </w:pPr>
      <w:r>
        <w:t>（1）危险废物采用专用包装，采用由高分子内衬的包装袋，具有耐酸、耐碱、抗腐蚀的特性，不易破裂。</w:t>
      </w:r>
    </w:p>
    <w:p w14:paraId="39D6CD94">
      <w:pPr>
        <w:pStyle w:val="3"/>
        <w:ind w:firstLine="480"/>
      </w:pPr>
      <w:r>
        <w:t>（2）经过周密检查，严防在装载、搬移或运输途中出现泄漏。在运输过程中要严格按照危险废物运输的管理规定，按照《危险废物转移管理办法》（生态环境部令第23号）及其他有关规定的要求安全运输，减少运输过程中的二次污染和可能造成的环境风险。</w:t>
      </w:r>
    </w:p>
    <w:p w14:paraId="00996902">
      <w:pPr>
        <w:pStyle w:val="3"/>
        <w:ind w:firstLine="480"/>
      </w:pPr>
      <w:r>
        <w:t>（3）本项目的危险废物运输任务由有资质的单位来承担，由专门的车辆密闭运输，驾驶员、操作工均持有“危险品运输资格证”，具有专业知识及处理突发事故的能力。具体措施如下：</w:t>
      </w:r>
    </w:p>
    <w:p w14:paraId="185E2BB9">
      <w:pPr>
        <w:pStyle w:val="3"/>
        <w:ind w:firstLine="480"/>
      </w:pPr>
      <w:r>
        <w:t>1）对驾驶员、装卸管理人员、押运人员进行有关安全知识培训，使其了解所运载的危险废物的性质、危害特性、包装容器的使用特性和发生意外时的应急措施，同时配备必要的应急处理器材和防护用品。</w:t>
      </w:r>
    </w:p>
    <w:p w14:paraId="6FC0224F">
      <w:pPr>
        <w:pStyle w:val="3"/>
        <w:ind w:firstLine="480"/>
      </w:pPr>
      <w:r>
        <w:t>2）运输、装卸危险废物时，依照有关法律、法规、规章的规定和国家标准的要求并按照危险废物的危险特性，采取必要的安全防护措施。加强防水、防压等措施，严格禁止抛洒滴漏，杜绝在运输过程中造成环境的二次污染。</w:t>
      </w:r>
    </w:p>
    <w:p w14:paraId="38F12EB1">
      <w:pPr>
        <w:pStyle w:val="3"/>
        <w:ind w:firstLine="480"/>
      </w:pPr>
      <w:r>
        <w:t>3）通过公路运输危险废物时，配备押运人员，并随时处于押运人员的监管之下，不超装、超载，不进入危险废物运输车辆禁止通行的区域；运输危险废物途中遇有无法正常运输的情况时，向当地有关部门报告。</w:t>
      </w:r>
    </w:p>
    <w:p w14:paraId="17991372">
      <w:pPr>
        <w:pStyle w:val="3"/>
        <w:ind w:firstLine="480"/>
      </w:pPr>
      <w:r>
        <w:t>4）危险废物收运车辆的行驶严格按照当地公安部门与交通部门协商确定的行驶路线和行驶时段行驶。危险废物的收集频次依据危险废物的产生量、危险废物产生单位到废物处理厂的距离、危险废物处理厂的能力、库存情况等确定。以定期收集为主，兼顾应急收集。运输路线力求最短、对沿路影响最小，避免转运过程中产生二次污染。危废运输路线将最大程度的避开市区、人口密集区、环境敏感区运输。</w:t>
      </w:r>
    </w:p>
    <w:p w14:paraId="668BB967">
      <w:pPr>
        <w:pStyle w:val="3"/>
        <w:ind w:firstLine="480"/>
      </w:pPr>
      <w:r>
        <w:t>5）所有运输车辆按规定的行走路线运输，车辆安装GPS定位设施；司机配备专用的移动式通讯工具，一旦发生紧急事故，可及时就地报警。</w:t>
      </w:r>
    </w:p>
    <w:p w14:paraId="19549F14">
      <w:pPr>
        <w:pStyle w:val="3"/>
        <w:ind w:firstLine="480"/>
      </w:pPr>
      <w:r>
        <w:t>在采取以上措施后，环境风险发生概率可有效降低，风险防范措施可行。</w:t>
      </w:r>
    </w:p>
    <w:p w14:paraId="5E678301">
      <w:pPr>
        <w:pStyle w:val="2"/>
      </w:pPr>
      <w:bookmarkStart w:id="243" w:name="_Toc207208402"/>
      <w:bookmarkStart w:id="244" w:name="_Toc1542"/>
      <w:bookmarkStart w:id="245" w:name="_Toc29984"/>
      <w:r>
        <w:t>碳排放评价</w:t>
      </w:r>
      <w:bookmarkEnd w:id="243"/>
    </w:p>
    <w:p w14:paraId="441994CE">
      <w:pPr>
        <w:ind w:firstLine="480"/>
      </w:pPr>
      <w:r>
        <w:t>气候变化是当前世界面临的最严峻挑战之一。积极应对气候变化是我国实现可持续发展的内在要求，是加强生态文明建设、实现美丽中国目标的重要抓手，是我国履行负责任大国责任、推动构建人类命运共同体的重大历史担当。习近平总书记于2020年9月22日在第七十五届联合国大会讲话中作出我国“二氧化碳排放力争于2030年前达到峰值，努力争取2060年前实现碳中和”的庄严承诺。2020年中央经济工作会议首次将“碳达峰、碳中和”列入新一年的重点任务，并在全国两会上将“碳达峰、碳中和”写入2021年政府工作报告。</w:t>
      </w:r>
    </w:p>
    <w:p w14:paraId="246E7BB4">
      <w:pPr>
        <w:ind w:firstLine="480"/>
      </w:pPr>
      <w:r>
        <w:t>根据生态环境部印发《关于加强高耗能、高排放建设项目生态环境源头防控的指导意见》（环环评〔2021〕45号）其中第7条明确指出：将碳排放影响评价纳入环境影响评价体系。</w:t>
      </w:r>
    </w:p>
    <w:p w14:paraId="3D8C6C34">
      <w:pPr>
        <w:ind w:firstLine="480"/>
      </w:pPr>
      <w:r>
        <w:t>本章节结合项目特点，分析建设项目核算边界内相关生产设施和场所产生的碳排放情况。明确建设项目能源结构及各种能源消费量、涉及碳排放的工业生产环节原辅料使用量、净调入电力和热力量等活动水平数据，分析确定建设项目生产营运阶段碳排放类型及排放种类。</w:t>
      </w:r>
    </w:p>
    <w:p w14:paraId="4F1FC920">
      <w:pPr>
        <w:pStyle w:val="4"/>
      </w:pPr>
      <w:bookmarkStart w:id="246" w:name="_Toc207208403"/>
      <w:r>
        <w:t>源项识别</w:t>
      </w:r>
      <w:bookmarkEnd w:id="246"/>
    </w:p>
    <w:p w14:paraId="1173C059">
      <w:pPr>
        <w:pStyle w:val="5"/>
        <w:spacing w:before="120"/>
      </w:pPr>
      <w:r>
        <w:t>核算边界</w:t>
      </w:r>
    </w:p>
    <w:p w14:paraId="20A6C324">
      <w:pPr>
        <w:ind w:firstLine="480"/>
      </w:pPr>
      <w:r>
        <w:t>以企业法人为边界，核算边界内所有生产设施产生的温室气体排放。</w:t>
      </w:r>
    </w:p>
    <w:p w14:paraId="38990762">
      <w:pPr>
        <w:ind w:firstLine="480"/>
      </w:pPr>
      <w:r>
        <w:t>生产设施范围包括直接生产系统、辅助生产系统，以及直接为生产服务的附属生产系统，其中辅助生产系统包括动力、供电、供水、机修、库房、运输等，附属生产系统包括生产指挥系统和厂区内为生产服务的部门和单位。企业厂界内生活能耗导致的排放原则上不在核算范围内。</w:t>
      </w:r>
    </w:p>
    <w:p w14:paraId="61BD0321">
      <w:pPr>
        <w:pStyle w:val="5"/>
        <w:spacing w:before="120"/>
      </w:pPr>
      <w:r>
        <w:t>排放源</w:t>
      </w:r>
    </w:p>
    <w:p w14:paraId="2B2E0299">
      <w:pPr>
        <w:ind w:firstLine="482"/>
      </w:pPr>
      <w:r>
        <w:t>本项目主要排放源为：</w:t>
      </w:r>
    </w:p>
    <w:p w14:paraId="1F2679DB">
      <w:pPr>
        <w:ind w:firstLine="482"/>
      </w:pPr>
      <w:r>
        <w:t>1）燃料燃烧排放。指净消耗的化石燃料燃烧产生的CO</w:t>
      </w:r>
      <w:r>
        <w:rPr>
          <w:vertAlign w:val="subscript"/>
        </w:rPr>
        <w:t>2</w:t>
      </w:r>
      <w:r>
        <w:t>排放，主要为焦炭、烟煤、煤气燃烧排放。</w:t>
      </w:r>
    </w:p>
    <w:p w14:paraId="221D8AF8">
      <w:pPr>
        <w:ind w:firstLine="482"/>
        <w:rPr>
          <w:kern w:val="0"/>
        </w:rPr>
      </w:pPr>
      <w:r>
        <w:t>2）企业净购入电力和净购入热力（如蒸汽）隐含产生的CO</w:t>
      </w:r>
      <w:r>
        <w:rPr>
          <w:vertAlign w:val="subscript"/>
        </w:rPr>
        <w:t>2</w:t>
      </w:r>
      <w:r>
        <w:t>排放。该部分排放实际上发生在生产这些电力、热力的企业，但由报告主体的消费活动引发，此处依照规定也计入报告主体的排放总量中。本项目电力需外购</w:t>
      </w:r>
      <w:r>
        <w:rPr>
          <w:kern w:val="0"/>
        </w:rPr>
        <w:t>。</w:t>
      </w:r>
    </w:p>
    <w:p w14:paraId="62691FB6">
      <w:pPr>
        <w:ind w:firstLine="482"/>
      </w:pPr>
      <w:r>
        <w:t>本项目碳排放源识别见表7.1-1。</w:t>
      </w:r>
    </w:p>
    <w:p w14:paraId="75F27E3A">
      <w:pPr>
        <w:pStyle w:val="40"/>
        <w:spacing w:before="120"/>
      </w:pPr>
      <w:r>
        <w:t>表7.1-1  项目碳排放源识别表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0"/>
        <w:gridCol w:w="1265"/>
        <w:gridCol w:w="2034"/>
        <w:gridCol w:w="1149"/>
        <w:gridCol w:w="562"/>
        <w:gridCol w:w="467"/>
        <w:gridCol w:w="562"/>
        <w:gridCol w:w="658"/>
        <w:gridCol w:w="722"/>
        <w:gridCol w:w="551"/>
      </w:tblGrid>
      <w:tr w14:paraId="6D39A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0" w:type="pct"/>
            <w:gridSpan w:val="2"/>
            <w:vMerge w:val="restart"/>
            <w:tcBorders>
              <w:top w:val="single" w:color="auto" w:sz="12" w:space="0"/>
              <w:left w:val="nil"/>
              <w:bottom w:val="single" w:color="auto" w:sz="4" w:space="0"/>
              <w:right w:val="single" w:color="auto" w:sz="4" w:space="0"/>
            </w:tcBorders>
            <w:vAlign w:val="center"/>
          </w:tcPr>
          <w:p w14:paraId="72E17399">
            <w:pPr>
              <w:pStyle w:val="34"/>
            </w:pPr>
            <w:r>
              <w:t>排放类型</w:t>
            </w:r>
          </w:p>
        </w:tc>
        <w:tc>
          <w:tcPr>
            <w:tcW w:w="1177" w:type="pct"/>
            <w:vMerge w:val="restart"/>
            <w:tcBorders>
              <w:top w:val="single" w:color="auto" w:sz="12" w:space="0"/>
              <w:left w:val="single" w:color="auto" w:sz="4" w:space="0"/>
              <w:bottom w:val="single" w:color="auto" w:sz="4" w:space="0"/>
              <w:right w:val="single" w:color="auto" w:sz="4" w:space="0"/>
            </w:tcBorders>
            <w:vAlign w:val="center"/>
          </w:tcPr>
          <w:p w14:paraId="4E1CB096">
            <w:pPr>
              <w:pStyle w:val="34"/>
            </w:pPr>
            <w:r>
              <w:t>排放设施</w:t>
            </w:r>
          </w:p>
        </w:tc>
        <w:tc>
          <w:tcPr>
            <w:tcW w:w="665" w:type="pct"/>
            <w:vMerge w:val="restart"/>
            <w:tcBorders>
              <w:top w:val="single" w:color="auto" w:sz="12" w:space="0"/>
              <w:left w:val="single" w:color="auto" w:sz="4" w:space="0"/>
              <w:bottom w:val="single" w:color="auto" w:sz="4" w:space="0"/>
              <w:right w:val="single" w:color="auto" w:sz="4" w:space="0"/>
            </w:tcBorders>
            <w:vAlign w:val="center"/>
          </w:tcPr>
          <w:p w14:paraId="3DAF5C02">
            <w:pPr>
              <w:pStyle w:val="34"/>
            </w:pPr>
            <w:r>
              <w:t>相应物料或能源种类</w:t>
            </w:r>
          </w:p>
        </w:tc>
        <w:tc>
          <w:tcPr>
            <w:tcW w:w="2038" w:type="pct"/>
            <w:gridSpan w:val="6"/>
            <w:tcBorders>
              <w:top w:val="single" w:color="auto" w:sz="12" w:space="0"/>
              <w:left w:val="single" w:color="auto" w:sz="4" w:space="0"/>
              <w:bottom w:val="single" w:color="auto" w:sz="4" w:space="0"/>
              <w:right w:val="nil"/>
            </w:tcBorders>
            <w:vAlign w:val="center"/>
          </w:tcPr>
          <w:p w14:paraId="0B6999B0">
            <w:pPr>
              <w:pStyle w:val="34"/>
            </w:pPr>
            <w:r>
              <w:t>温室气体种类</w:t>
            </w:r>
          </w:p>
        </w:tc>
      </w:tr>
      <w:tr w14:paraId="0ACBF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gridSpan w:val="2"/>
            <w:vMerge w:val="continue"/>
            <w:tcBorders>
              <w:top w:val="single" w:color="auto" w:sz="12" w:space="0"/>
              <w:left w:val="nil"/>
              <w:bottom w:val="single" w:color="auto" w:sz="4" w:space="0"/>
              <w:right w:val="single" w:color="auto" w:sz="4" w:space="0"/>
            </w:tcBorders>
            <w:vAlign w:val="center"/>
          </w:tcPr>
          <w:p w14:paraId="583DF955">
            <w:pPr>
              <w:pStyle w:val="34"/>
            </w:pPr>
          </w:p>
        </w:tc>
        <w:tc>
          <w:tcPr>
            <w:tcW w:w="1177" w:type="pct"/>
            <w:vMerge w:val="continue"/>
            <w:tcBorders>
              <w:top w:val="single" w:color="auto" w:sz="12" w:space="0"/>
              <w:left w:val="single" w:color="auto" w:sz="4" w:space="0"/>
              <w:bottom w:val="single" w:color="auto" w:sz="4" w:space="0"/>
              <w:right w:val="single" w:color="auto" w:sz="4" w:space="0"/>
            </w:tcBorders>
            <w:vAlign w:val="center"/>
          </w:tcPr>
          <w:p w14:paraId="5C9323B2">
            <w:pPr>
              <w:pStyle w:val="34"/>
            </w:pPr>
          </w:p>
        </w:tc>
        <w:tc>
          <w:tcPr>
            <w:tcW w:w="665" w:type="pct"/>
            <w:vMerge w:val="continue"/>
            <w:tcBorders>
              <w:top w:val="single" w:color="auto" w:sz="12" w:space="0"/>
              <w:left w:val="single" w:color="auto" w:sz="4" w:space="0"/>
              <w:bottom w:val="single" w:color="auto" w:sz="4" w:space="0"/>
              <w:right w:val="single" w:color="auto" w:sz="4" w:space="0"/>
            </w:tcBorders>
            <w:vAlign w:val="center"/>
          </w:tcPr>
          <w:p w14:paraId="13CD3A22">
            <w:pPr>
              <w:pStyle w:val="34"/>
            </w:pPr>
          </w:p>
        </w:tc>
        <w:tc>
          <w:tcPr>
            <w:tcW w:w="325" w:type="pct"/>
            <w:tcBorders>
              <w:top w:val="single" w:color="auto" w:sz="4" w:space="0"/>
              <w:left w:val="single" w:color="auto" w:sz="4" w:space="0"/>
              <w:bottom w:val="single" w:color="auto" w:sz="4" w:space="0"/>
              <w:right w:val="single" w:color="auto" w:sz="4" w:space="0"/>
            </w:tcBorders>
            <w:vAlign w:val="center"/>
          </w:tcPr>
          <w:p w14:paraId="433BF55B">
            <w:pPr>
              <w:pStyle w:val="34"/>
            </w:pPr>
            <w:r>
              <w:t>CO</w:t>
            </w:r>
            <w:r>
              <w:rPr>
                <w:vertAlign w:val="subscript"/>
              </w:rPr>
              <w:t>2</w:t>
            </w:r>
          </w:p>
        </w:tc>
        <w:tc>
          <w:tcPr>
            <w:tcW w:w="270" w:type="pct"/>
            <w:tcBorders>
              <w:top w:val="single" w:color="auto" w:sz="4" w:space="0"/>
              <w:left w:val="single" w:color="auto" w:sz="4" w:space="0"/>
              <w:bottom w:val="single" w:color="auto" w:sz="4" w:space="0"/>
              <w:right w:val="single" w:color="auto" w:sz="4" w:space="0"/>
            </w:tcBorders>
            <w:vAlign w:val="center"/>
          </w:tcPr>
          <w:p w14:paraId="6E407714">
            <w:pPr>
              <w:pStyle w:val="34"/>
            </w:pPr>
            <w:r>
              <w:t>CH</w:t>
            </w:r>
            <w:r>
              <w:rPr>
                <w:vertAlign w:val="subscript"/>
              </w:rPr>
              <w:t>4</w:t>
            </w:r>
          </w:p>
        </w:tc>
        <w:tc>
          <w:tcPr>
            <w:tcW w:w="325" w:type="pct"/>
            <w:tcBorders>
              <w:top w:val="single" w:color="auto" w:sz="4" w:space="0"/>
              <w:left w:val="single" w:color="auto" w:sz="4" w:space="0"/>
              <w:bottom w:val="single" w:color="auto" w:sz="4" w:space="0"/>
              <w:right w:val="single" w:color="auto" w:sz="4" w:space="0"/>
            </w:tcBorders>
            <w:vAlign w:val="center"/>
          </w:tcPr>
          <w:p w14:paraId="3A251DFF">
            <w:pPr>
              <w:pStyle w:val="34"/>
            </w:pPr>
            <w:r>
              <w:t>N</w:t>
            </w:r>
            <w:r>
              <w:rPr>
                <w:vertAlign w:val="subscript"/>
              </w:rPr>
              <w:t>2</w:t>
            </w:r>
            <w:r>
              <w:t>O</w:t>
            </w:r>
          </w:p>
        </w:tc>
        <w:tc>
          <w:tcPr>
            <w:tcW w:w="381" w:type="pct"/>
            <w:tcBorders>
              <w:top w:val="single" w:color="auto" w:sz="4" w:space="0"/>
              <w:left w:val="single" w:color="auto" w:sz="4" w:space="0"/>
              <w:bottom w:val="single" w:color="auto" w:sz="4" w:space="0"/>
              <w:right w:val="single" w:color="auto" w:sz="4" w:space="0"/>
            </w:tcBorders>
            <w:vAlign w:val="center"/>
          </w:tcPr>
          <w:p w14:paraId="3CFC907C">
            <w:pPr>
              <w:pStyle w:val="34"/>
            </w:pPr>
            <w:r>
              <w:t>HFCs</w:t>
            </w:r>
          </w:p>
        </w:tc>
        <w:tc>
          <w:tcPr>
            <w:tcW w:w="418" w:type="pct"/>
            <w:tcBorders>
              <w:top w:val="single" w:color="auto" w:sz="4" w:space="0"/>
              <w:left w:val="single" w:color="auto" w:sz="4" w:space="0"/>
              <w:bottom w:val="single" w:color="auto" w:sz="4" w:space="0"/>
              <w:right w:val="single" w:color="auto" w:sz="4" w:space="0"/>
            </w:tcBorders>
            <w:vAlign w:val="center"/>
          </w:tcPr>
          <w:p w14:paraId="403FBE83">
            <w:pPr>
              <w:pStyle w:val="34"/>
            </w:pPr>
            <w:r>
              <w:t>PFCs</w:t>
            </w:r>
          </w:p>
        </w:tc>
        <w:tc>
          <w:tcPr>
            <w:tcW w:w="319" w:type="pct"/>
            <w:tcBorders>
              <w:top w:val="single" w:color="auto" w:sz="4" w:space="0"/>
              <w:left w:val="single" w:color="auto" w:sz="4" w:space="0"/>
              <w:bottom w:val="single" w:color="auto" w:sz="4" w:space="0"/>
              <w:right w:val="nil"/>
            </w:tcBorders>
            <w:vAlign w:val="center"/>
          </w:tcPr>
          <w:p w14:paraId="687C7CC8">
            <w:pPr>
              <w:pStyle w:val="34"/>
            </w:pPr>
            <w:r>
              <w:t>SF</w:t>
            </w:r>
            <w:r>
              <w:rPr>
                <w:vertAlign w:val="subscript"/>
              </w:rPr>
              <w:t>6</w:t>
            </w:r>
          </w:p>
        </w:tc>
      </w:tr>
      <w:tr w14:paraId="75FA4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tcBorders>
              <w:top w:val="single" w:color="auto" w:sz="4" w:space="0"/>
              <w:left w:val="nil"/>
              <w:bottom w:val="single" w:color="auto" w:sz="4" w:space="0"/>
              <w:right w:val="single" w:color="auto" w:sz="4" w:space="0"/>
            </w:tcBorders>
            <w:vAlign w:val="center"/>
          </w:tcPr>
          <w:p w14:paraId="4D28BD05">
            <w:pPr>
              <w:pStyle w:val="34"/>
            </w:pPr>
            <w:r>
              <w:t>直接</w:t>
            </w:r>
          </w:p>
          <w:p w14:paraId="2EE8462E">
            <w:pPr>
              <w:pStyle w:val="34"/>
            </w:pPr>
            <w:r>
              <w:t>排放</w:t>
            </w:r>
          </w:p>
        </w:tc>
        <w:tc>
          <w:tcPr>
            <w:tcW w:w="732" w:type="pct"/>
            <w:tcBorders>
              <w:top w:val="single" w:color="auto" w:sz="4" w:space="0"/>
              <w:left w:val="single" w:color="auto" w:sz="4" w:space="0"/>
              <w:bottom w:val="single" w:color="auto" w:sz="4" w:space="0"/>
              <w:right w:val="single" w:color="auto" w:sz="4" w:space="0"/>
            </w:tcBorders>
            <w:vAlign w:val="center"/>
          </w:tcPr>
          <w:p w14:paraId="1FD912A1">
            <w:pPr>
              <w:pStyle w:val="34"/>
            </w:pPr>
            <w:r>
              <w:t>燃料燃烧</w:t>
            </w:r>
          </w:p>
        </w:tc>
        <w:tc>
          <w:tcPr>
            <w:tcW w:w="1177" w:type="pct"/>
            <w:tcBorders>
              <w:top w:val="single" w:color="auto" w:sz="4" w:space="0"/>
              <w:left w:val="single" w:color="auto" w:sz="4" w:space="0"/>
              <w:bottom w:val="single" w:color="auto" w:sz="4" w:space="0"/>
              <w:right w:val="single" w:color="auto" w:sz="4" w:space="0"/>
            </w:tcBorders>
            <w:vAlign w:val="center"/>
          </w:tcPr>
          <w:p w14:paraId="65AC5BA4">
            <w:pPr>
              <w:pStyle w:val="34"/>
            </w:pPr>
            <w:r>
              <w:t>熔炼炉</w:t>
            </w:r>
          </w:p>
        </w:tc>
        <w:tc>
          <w:tcPr>
            <w:tcW w:w="665" w:type="pct"/>
            <w:tcBorders>
              <w:top w:val="single" w:color="auto" w:sz="4" w:space="0"/>
              <w:left w:val="single" w:color="auto" w:sz="4" w:space="0"/>
              <w:bottom w:val="single" w:color="auto" w:sz="4" w:space="0"/>
              <w:right w:val="single" w:color="auto" w:sz="4" w:space="0"/>
            </w:tcBorders>
            <w:vAlign w:val="center"/>
          </w:tcPr>
          <w:p w14:paraId="2044826A">
            <w:pPr>
              <w:pStyle w:val="34"/>
            </w:pPr>
            <w:r>
              <w:t>烟煤、煤矸石、焦炭</w:t>
            </w:r>
          </w:p>
        </w:tc>
        <w:tc>
          <w:tcPr>
            <w:tcW w:w="325" w:type="pct"/>
            <w:tcBorders>
              <w:top w:val="single" w:color="auto" w:sz="4" w:space="0"/>
              <w:left w:val="single" w:color="auto" w:sz="4" w:space="0"/>
              <w:bottom w:val="single" w:color="auto" w:sz="4" w:space="0"/>
              <w:right w:val="single" w:color="auto" w:sz="4" w:space="0"/>
            </w:tcBorders>
            <w:vAlign w:val="center"/>
          </w:tcPr>
          <w:p w14:paraId="7F4BDC31">
            <w:pPr>
              <w:pStyle w:val="34"/>
            </w:pPr>
            <w:r>
              <w:t>√</w:t>
            </w:r>
          </w:p>
        </w:tc>
        <w:tc>
          <w:tcPr>
            <w:tcW w:w="270" w:type="pct"/>
            <w:tcBorders>
              <w:top w:val="single" w:color="auto" w:sz="4" w:space="0"/>
              <w:left w:val="single" w:color="auto" w:sz="4" w:space="0"/>
              <w:bottom w:val="single" w:color="auto" w:sz="4" w:space="0"/>
              <w:right w:val="single" w:color="auto" w:sz="4" w:space="0"/>
            </w:tcBorders>
            <w:vAlign w:val="center"/>
          </w:tcPr>
          <w:p w14:paraId="1C4B5324">
            <w:pPr>
              <w:pStyle w:val="34"/>
            </w:pPr>
          </w:p>
        </w:tc>
        <w:tc>
          <w:tcPr>
            <w:tcW w:w="325" w:type="pct"/>
            <w:tcBorders>
              <w:top w:val="single" w:color="auto" w:sz="4" w:space="0"/>
              <w:left w:val="single" w:color="auto" w:sz="4" w:space="0"/>
              <w:bottom w:val="single" w:color="auto" w:sz="4" w:space="0"/>
              <w:right w:val="single" w:color="auto" w:sz="4" w:space="0"/>
            </w:tcBorders>
            <w:vAlign w:val="center"/>
          </w:tcPr>
          <w:p w14:paraId="10C151FD">
            <w:pPr>
              <w:pStyle w:val="34"/>
            </w:pPr>
          </w:p>
        </w:tc>
        <w:tc>
          <w:tcPr>
            <w:tcW w:w="381" w:type="pct"/>
            <w:tcBorders>
              <w:top w:val="single" w:color="auto" w:sz="4" w:space="0"/>
              <w:left w:val="single" w:color="auto" w:sz="4" w:space="0"/>
              <w:bottom w:val="single" w:color="auto" w:sz="4" w:space="0"/>
              <w:right w:val="single" w:color="auto" w:sz="4" w:space="0"/>
            </w:tcBorders>
            <w:vAlign w:val="center"/>
          </w:tcPr>
          <w:p w14:paraId="63731C71">
            <w:pPr>
              <w:pStyle w:val="34"/>
            </w:pPr>
          </w:p>
        </w:tc>
        <w:tc>
          <w:tcPr>
            <w:tcW w:w="418" w:type="pct"/>
            <w:tcBorders>
              <w:top w:val="single" w:color="auto" w:sz="4" w:space="0"/>
              <w:left w:val="single" w:color="auto" w:sz="4" w:space="0"/>
              <w:bottom w:val="single" w:color="auto" w:sz="4" w:space="0"/>
              <w:right w:val="single" w:color="auto" w:sz="4" w:space="0"/>
            </w:tcBorders>
            <w:vAlign w:val="center"/>
          </w:tcPr>
          <w:p w14:paraId="52170A78">
            <w:pPr>
              <w:pStyle w:val="34"/>
            </w:pPr>
          </w:p>
        </w:tc>
        <w:tc>
          <w:tcPr>
            <w:tcW w:w="319" w:type="pct"/>
            <w:tcBorders>
              <w:top w:val="single" w:color="auto" w:sz="4" w:space="0"/>
              <w:left w:val="single" w:color="auto" w:sz="4" w:space="0"/>
              <w:bottom w:val="single" w:color="auto" w:sz="4" w:space="0"/>
              <w:right w:val="nil"/>
            </w:tcBorders>
            <w:vAlign w:val="center"/>
          </w:tcPr>
          <w:p w14:paraId="58F97B41">
            <w:pPr>
              <w:pStyle w:val="34"/>
            </w:pPr>
          </w:p>
        </w:tc>
      </w:tr>
      <w:tr w14:paraId="0CFFE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tcBorders>
              <w:top w:val="single" w:color="auto" w:sz="4" w:space="0"/>
              <w:left w:val="nil"/>
              <w:bottom w:val="single" w:color="auto" w:sz="12" w:space="0"/>
              <w:right w:val="single" w:color="auto" w:sz="4" w:space="0"/>
            </w:tcBorders>
            <w:vAlign w:val="center"/>
          </w:tcPr>
          <w:p w14:paraId="1DB85E74">
            <w:pPr>
              <w:pStyle w:val="34"/>
            </w:pPr>
            <w:r>
              <w:t>间接</w:t>
            </w:r>
          </w:p>
          <w:p w14:paraId="450C431C">
            <w:pPr>
              <w:pStyle w:val="34"/>
            </w:pPr>
            <w:r>
              <w:t>排放</w:t>
            </w:r>
          </w:p>
        </w:tc>
        <w:tc>
          <w:tcPr>
            <w:tcW w:w="732" w:type="pct"/>
            <w:tcBorders>
              <w:top w:val="single" w:color="auto" w:sz="4" w:space="0"/>
              <w:left w:val="single" w:color="auto" w:sz="4" w:space="0"/>
              <w:bottom w:val="single" w:color="auto" w:sz="12" w:space="0"/>
              <w:right w:val="single" w:color="auto" w:sz="4" w:space="0"/>
            </w:tcBorders>
            <w:vAlign w:val="center"/>
          </w:tcPr>
          <w:p w14:paraId="02776124">
            <w:pPr>
              <w:pStyle w:val="34"/>
            </w:pPr>
            <w:r>
              <w:t>净调入电力和热力</w:t>
            </w:r>
          </w:p>
        </w:tc>
        <w:tc>
          <w:tcPr>
            <w:tcW w:w="1177" w:type="pct"/>
            <w:tcBorders>
              <w:top w:val="single" w:color="auto" w:sz="4" w:space="0"/>
              <w:left w:val="single" w:color="auto" w:sz="4" w:space="0"/>
              <w:bottom w:val="single" w:color="auto" w:sz="12" w:space="0"/>
              <w:right w:val="single" w:color="auto" w:sz="4" w:space="0"/>
            </w:tcBorders>
            <w:vAlign w:val="center"/>
          </w:tcPr>
          <w:p w14:paraId="38D65EFF">
            <w:pPr>
              <w:pStyle w:val="34"/>
            </w:pPr>
            <w:r>
              <w:t>电动机系统、泵系统等电力</w:t>
            </w:r>
          </w:p>
        </w:tc>
        <w:tc>
          <w:tcPr>
            <w:tcW w:w="665" w:type="pct"/>
            <w:tcBorders>
              <w:top w:val="single" w:color="auto" w:sz="4" w:space="0"/>
              <w:left w:val="single" w:color="auto" w:sz="4" w:space="0"/>
              <w:bottom w:val="single" w:color="auto" w:sz="12" w:space="0"/>
              <w:right w:val="single" w:color="auto" w:sz="4" w:space="0"/>
            </w:tcBorders>
            <w:vAlign w:val="center"/>
          </w:tcPr>
          <w:p w14:paraId="130729F8">
            <w:pPr>
              <w:pStyle w:val="34"/>
            </w:pPr>
            <w:r>
              <w:t>电力</w:t>
            </w:r>
          </w:p>
        </w:tc>
        <w:tc>
          <w:tcPr>
            <w:tcW w:w="325" w:type="pct"/>
            <w:tcBorders>
              <w:top w:val="single" w:color="auto" w:sz="4" w:space="0"/>
              <w:left w:val="single" w:color="auto" w:sz="4" w:space="0"/>
              <w:bottom w:val="single" w:color="auto" w:sz="12" w:space="0"/>
              <w:right w:val="single" w:color="auto" w:sz="4" w:space="0"/>
            </w:tcBorders>
            <w:vAlign w:val="center"/>
          </w:tcPr>
          <w:p w14:paraId="14E1C498">
            <w:pPr>
              <w:pStyle w:val="34"/>
            </w:pPr>
            <w:r>
              <w:t>√</w:t>
            </w:r>
          </w:p>
        </w:tc>
        <w:tc>
          <w:tcPr>
            <w:tcW w:w="270" w:type="pct"/>
            <w:tcBorders>
              <w:top w:val="single" w:color="auto" w:sz="4" w:space="0"/>
              <w:left w:val="single" w:color="auto" w:sz="4" w:space="0"/>
              <w:bottom w:val="single" w:color="auto" w:sz="12" w:space="0"/>
              <w:right w:val="single" w:color="auto" w:sz="4" w:space="0"/>
            </w:tcBorders>
            <w:vAlign w:val="center"/>
          </w:tcPr>
          <w:p w14:paraId="343FC938">
            <w:pPr>
              <w:pStyle w:val="34"/>
            </w:pPr>
          </w:p>
        </w:tc>
        <w:tc>
          <w:tcPr>
            <w:tcW w:w="325" w:type="pct"/>
            <w:tcBorders>
              <w:top w:val="single" w:color="auto" w:sz="4" w:space="0"/>
              <w:left w:val="single" w:color="auto" w:sz="4" w:space="0"/>
              <w:bottom w:val="single" w:color="auto" w:sz="12" w:space="0"/>
              <w:right w:val="single" w:color="auto" w:sz="4" w:space="0"/>
            </w:tcBorders>
            <w:vAlign w:val="center"/>
          </w:tcPr>
          <w:p w14:paraId="0E17468F">
            <w:pPr>
              <w:pStyle w:val="34"/>
            </w:pPr>
          </w:p>
        </w:tc>
        <w:tc>
          <w:tcPr>
            <w:tcW w:w="381" w:type="pct"/>
            <w:tcBorders>
              <w:top w:val="single" w:color="auto" w:sz="4" w:space="0"/>
              <w:left w:val="single" w:color="auto" w:sz="4" w:space="0"/>
              <w:bottom w:val="single" w:color="auto" w:sz="12" w:space="0"/>
              <w:right w:val="single" w:color="auto" w:sz="4" w:space="0"/>
            </w:tcBorders>
            <w:vAlign w:val="center"/>
          </w:tcPr>
          <w:p w14:paraId="2DFA8DEE">
            <w:pPr>
              <w:pStyle w:val="34"/>
            </w:pPr>
          </w:p>
        </w:tc>
        <w:tc>
          <w:tcPr>
            <w:tcW w:w="418" w:type="pct"/>
            <w:tcBorders>
              <w:top w:val="single" w:color="auto" w:sz="4" w:space="0"/>
              <w:left w:val="single" w:color="auto" w:sz="4" w:space="0"/>
              <w:bottom w:val="single" w:color="auto" w:sz="12" w:space="0"/>
              <w:right w:val="single" w:color="auto" w:sz="4" w:space="0"/>
            </w:tcBorders>
            <w:vAlign w:val="center"/>
          </w:tcPr>
          <w:p w14:paraId="00239CDC">
            <w:pPr>
              <w:pStyle w:val="34"/>
            </w:pPr>
          </w:p>
        </w:tc>
        <w:tc>
          <w:tcPr>
            <w:tcW w:w="319" w:type="pct"/>
            <w:tcBorders>
              <w:top w:val="single" w:color="auto" w:sz="4" w:space="0"/>
              <w:left w:val="single" w:color="auto" w:sz="4" w:space="0"/>
              <w:bottom w:val="single" w:color="auto" w:sz="12" w:space="0"/>
              <w:right w:val="nil"/>
            </w:tcBorders>
            <w:vAlign w:val="center"/>
          </w:tcPr>
          <w:p w14:paraId="71455CA4">
            <w:pPr>
              <w:pStyle w:val="34"/>
            </w:pPr>
          </w:p>
        </w:tc>
      </w:tr>
    </w:tbl>
    <w:p w14:paraId="51277CB1">
      <w:pPr>
        <w:pStyle w:val="4"/>
        <w:spacing w:before="100" w:beforeAutospacing="1"/>
        <w:ind w:left="578" w:hanging="578"/>
      </w:pPr>
      <w:bookmarkStart w:id="247" w:name="_Toc207208404"/>
      <w:r>
        <w:t>源强核算</w:t>
      </w:r>
      <w:bookmarkEnd w:id="247"/>
    </w:p>
    <w:p w14:paraId="72E775F4">
      <w:pPr>
        <w:pStyle w:val="49"/>
      </w:pPr>
      <w:r>
        <w:t>建设项目碳排放计算方法参考如下：</w:t>
      </w:r>
    </w:p>
    <w:p w14:paraId="34A501CF">
      <w:pPr>
        <w:ind w:firstLine="480"/>
        <w:jc w:val="center"/>
      </w:pPr>
      <w:r>
        <w:rPr>
          <w:i/>
          <w:iCs/>
        </w:rPr>
        <w:t>AE</w:t>
      </w:r>
      <w:r>
        <w:rPr>
          <w:vertAlign w:val="subscript"/>
        </w:rPr>
        <w:t>总</w:t>
      </w:r>
      <w:r>
        <w:t xml:space="preserve">= </w:t>
      </w:r>
      <w:r>
        <w:rPr>
          <w:i/>
          <w:iCs/>
        </w:rPr>
        <w:t>AE</w:t>
      </w:r>
      <w:r>
        <w:rPr>
          <w:vertAlign w:val="subscript"/>
        </w:rPr>
        <w:t>燃料燃烧</w:t>
      </w:r>
      <w:r>
        <w:t xml:space="preserve">+ </w:t>
      </w:r>
      <w:r>
        <w:rPr>
          <w:i/>
          <w:iCs/>
        </w:rPr>
        <w:t>AE</w:t>
      </w:r>
      <w:r>
        <w:rPr>
          <w:vertAlign w:val="subscript"/>
        </w:rPr>
        <w:t>工业生产过程</w:t>
      </w:r>
      <w:r>
        <w:t xml:space="preserve">+ </w:t>
      </w:r>
      <w:r>
        <w:rPr>
          <w:i/>
          <w:iCs/>
        </w:rPr>
        <w:t>AE</w:t>
      </w:r>
      <w:r>
        <w:rPr>
          <w:vertAlign w:val="subscript"/>
        </w:rPr>
        <w:t xml:space="preserve">净调入电力和热力 </w:t>
      </w:r>
    </w:p>
    <w:p w14:paraId="394338E4">
      <w:pPr>
        <w:ind w:firstLine="480"/>
        <w:jc w:val="left"/>
      </w:pPr>
      <w:r>
        <w:t>式中：</w:t>
      </w:r>
    </w:p>
    <w:p w14:paraId="62EA62BC">
      <w:pPr>
        <w:ind w:firstLine="480"/>
        <w:jc w:val="left"/>
      </w:pPr>
      <w:r>
        <w:rPr>
          <w:i/>
          <w:iCs/>
        </w:rPr>
        <w:t>AE</w:t>
      </w:r>
      <w:r>
        <w:rPr>
          <w:vertAlign w:val="subscript"/>
        </w:rPr>
        <w:t>总</w:t>
      </w:r>
      <w:r>
        <w:t>—碳排放总量（tCO</w:t>
      </w:r>
      <w:r>
        <w:rPr>
          <w:vertAlign w:val="subscript"/>
        </w:rPr>
        <w:t>2</w:t>
      </w:r>
      <w:r>
        <w:t>e）；</w:t>
      </w:r>
    </w:p>
    <w:p w14:paraId="54DAB351">
      <w:pPr>
        <w:ind w:firstLine="480"/>
        <w:jc w:val="left"/>
      </w:pPr>
      <w:r>
        <w:rPr>
          <w:i/>
          <w:iCs/>
        </w:rPr>
        <w:t>AE</w:t>
      </w:r>
      <w:r>
        <w:rPr>
          <w:vertAlign w:val="subscript"/>
        </w:rPr>
        <w:t>燃料燃烧</w:t>
      </w:r>
      <w:r>
        <w:t>—燃料燃烧碳排放量（tCO</w:t>
      </w:r>
      <w:r>
        <w:rPr>
          <w:vertAlign w:val="subscript"/>
        </w:rPr>
        <w:t>2</w:t>
      </w:r>
      <w:r>
        <w:t>e）；</w:t>
      </w:r>
    </w:p>
    <w:p w14:paraId="651E0F47">
      <w:pPr>
        <w:ind w:firstLine="480"/>
        <w:jc w:val="left"/>
      </w:pPr>
      <w:r>
        <w:rPr>
          <w:i/>
          <w:iCs/>
        </w:rPr>
        <w:t>AE</w:t>
      </w:r>
      <w:r>
        <w:rPr>
          <w:vertAlign w:val="subscript"/>
        </w:rPr>
        <w:t>工业生产过程</w:t>
      </w:r>
      <w:r>
        <w:t>—工业生产过程碳排放量（tCO</w:t>
      </w:r>
      <w:r>
        <w:rPr>
          <w:vertAlign w:val="subscript"/>
        </w:rPr>
        <w:t>2</w:t>
      </w:r>
      <w:r>
        <w:t>e）；</w:t>
      </w:r>
    </w:p>
    <w:p w14:paraId="4D3D035D">
      <w:pPr>
        <w:ind w:firstLine="480"/>
      </w:pPr>
      <w:r>
        <w:rPr>
          <w:i/>
          <w:iCs/>
        </w:rPr>
        <w:t>AE</w:t>
      </w:r>
      <w:r>
        <w:rPr>
          <w:vertAlign w:val="subscript"/>
        </w:rPr>
        <w:t>净调入电力和热力</w:t>
      </w:r>
      <w:r>
        <w:t>—净调入电力和热力消耗碳排放总量（tCO</w:t>
      </w:r>
      <w:r>
        <w:rPr>
          <w:vertAlign w:val="subscript"/>
        </w:rPr>
        <w:t>2</w:t>
      </w:r>
      <w:r>
        <w:t>e）。</w:t>
      </w:r>
    </w:p>
    <w:p w14:paraId="635CDD08">
      <w:pPr>
        <w:spacing w:line="520" w:lineRule="exact"/>
        <w:ind w:firstLine="480"/>
      </w:pPr>
      <w:r>
        <w:t>根据上述计算，本项目</w:t>
      </w:r>
      <w:r>
        <w:rPr>
          <w:bCs/>
        </w:rPr>
        <w:t>净调入电力和热力消耗碳排放总量（</w:t>
      </w:r>
      <w:r>
        <w:rPr>
          <w:bCs/>
          <w:i/>
          <w:iCs/>
        </w:rPr>
        <w:t>AE</w:t>
      </w:r>
      <w:r>
        <w:rPr>
          <w:bCs/>
          <w:vertAlign w:val="subscript"/>
        </w:rPr>
        <w:t>净调入电力和热力</w:t>
      </w:r>
      <w:r>
        <w:rPr>
          <w:bCs/>
        </w:rPr>
        <w:t>）为</w:t>
      </w:r>
      <w:r>
        <w:t>16224.217</w:t>
      </w:r>
      <w:r>
        <w:rPr>
          <w:bCs/>
        </w:rPr>
        <w:t>t。</w:t>
      </w:r>
    </w:p>
    <w:p w14:paraId="7C986B9F">
      <w:pPr>
        <w:pStyle w:val="5"/>
        <w:spacing w:before="120"/>
      </w:pPr>
      <w:r>
        <w:t>总体碳排放量</w:t>
      </w:r>
    </w:p>
    <w:p w14:paraId="7E65AC4B">
      <w:pPr>
        <w:ind w:firstLine="480"/>
        <w:rPr>
          <w:bCs/>
        </w:rPr>
      </w:pPr>
      <w:r>
        <w:rPr>
          <w:bCs/>
        </w:rPr>
        <w:t>根据上述分项碳排放量计算，本次技改工程实施后碳排放总量为233567.457t，详见表7.2-3。</w:t>
      </w:r>
    </w:p>
    <w:p w14:paraId="1D8FAB11">
      <w:pPr>
        <w:pStyle w:val="40"/>
        <w:spacing w:before="120"/>
      </w:pPr>
      <w:r>
        <w:t>表7.2-3  项目碳排放量核算</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2180"/>
        <w:gridCol w:w="2965"/>
        <w:gridCol w:w="1968"/>
      </w:tblGrid>
      <w:tr w14:paraId="40B3C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984" w:type="pct"/>
            <w:vMerge w:val="restart"/>
            <w:vAlign w:val="center"/>
          </w:tcPr>
          <w:p w14:paraId="2BA25B5B">
            <w:pPr>
              <w:pStyle w:val="34"/>
              <w:rPr>
                <w:rFonts w:ascii="Calibri" w:hAnsi="Calibri"/>
              </w:rPr>
            </w:pPr>
            <w:r>
              <w:rPr>
                <w:rFonts w:ascii="Calibri" w:hAnsi="Calibri"/>
              </w:rPr>
              <w:t>项目</w:t>
            </w:r>
          </w:p>
        </w:tc>
        <w:tc>
          <w:tcPr>
            <w:tcW w:w="1231" w:type="pct"/>
            <w:vAlign w:val="center"/>
          </w:tcPr>
          <w:p w14:paraId="0E978409">
            <w:pPr>
              <w:pStyle w:val="34"/>
              <w:rPr>
                <w:rFonts w:ascii="Calibri" w:hAnsi="Calibri"/>
              </w:rPr>
            </w:pPr>
            <w:r>
              <w:rPr>
                <w:rFonts w:ascii="Calibri" w:hAnsi="Calibri"/>
              </w:rPr>
              <w:t>化石燃料燃烧排放量</w:t>
            </w:r>
          </w:p>
        </w:tc>
        <w:tc>
          <w:tcPr>
            <w:tcW w:w="1674" w:type="pct"/>
            <w:vAlign w:val="center"/>
          </w:tcPr>
          <w:p w14:paraId="65B0F5CE">
            <w:pPr>
              <w:pStyle w:val="34"/>
              <w:rPr>
                <w:rFonts w:ascii="Calibri" w:hAnsi="Calibri"/>
              </w:rPr>
            </w:pPr>
            <w:r>
              <w:rPr>
                <w:rFonts w:ascii="Calibri" w:hAnsi="Calibri"/>
              </w:rPr>
              <w:t>净调入电力消耗碳排放总量</w:t>
            </w:r>
          </w:p>
        </w:tc>
        <w:tc>
          <w:tcPr>
            <w:tcW w:w="1111" w:type="pct"/>
            <w:vAlign w:val="center"/>
          </w:tcPr>
          <w:p w14:paraId="50D2C3F0">
            <w:pPr>
              <w:pStyle w:val="34"/>
              <w:rPr>
                <w:rFonts w:ascii="Calibri" w:hAnsi="Calibri"/>
              </w:rPr>
            </w:pPr>
            <w:r>
              <w:rPr>
                <w:rFonts w:ascii="Calibri" w:hAnsi="Calibri"/>
              </w:rPr>
              <w:t>碳排放量</w:t>
            </w:r>
          </w:p>
        </w:tc>
      </w:tr>
      <w:tr w14:paraId="783F8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984" w:type="pct"/>
            <w:vMerge w:val="continue"/>
            <w:vAlign w:val="center"/>
          </w:tcPr>
          <w:p w14:paraId="4B1EB9BA">
            <w:pPr>
              <w:pStyle w:val="34"/>
              <w:rPr>
                <w:rFonts w:ascii="Calibri" w:hAnsi="Calibri"/>
              </w:rPr>
            </w:pPr>
          </w:p>
        </w:tc>
        <w:tc>
          <w:tcPr>
            <w:tcW w:w="1231" w:type="pct"/>
            <w:vAlign w:val="center"/>
          </w:tcPr>
          <w:p w14:paraId="74C7EFC1">
            <w:pPr>
              <w:pStyle w:val="34"/>
              <w:rPr>
                <w:rFonts w:ascii="Calibri" w:hAnsi="Calibri"/>
              </w:rPr>
            </w:pPr>
            <w:r>
              <w:rPr>
                <w:rFonts w:ascii="Calibri" w:hAnsi="Calibri"/>
              </w:rPr>
              <w:t>tCO</w:t>
            </w:r>
            <w:r>
              <w:rPr>
                <w:rFonts w:ascii="Calibri" w:hAnsi="Calibri"/>
                <w:vertAlign w:val="subscript"/>
              </w:rPr>
              <w:t>2</w:t>
            </w:r>
          </w:p>
        </w:tc>
        <w:tc>
          <w:tcPr>
            <w:tcW w:w="1674" w:type="pct"/>
            <w:vAlign w:val="center"/>
          </w:tcPr>
          <w:p w14:paraId="3545C17D">
            <w:pPr>
              <w:pStyle w:val="34"/>
              <w:rPr>
                <w:rFonts w:ascii="Calibri" w:hAnsi="Calibri"/>
              </w:rPr>
            </w:pPr>
            <w:r>
              <w:rPr>
                <w:rFonts w:ascii="Calibri" w:hAnsi="Calibri"/>
              </w:rPr>
              <w:t>tCO</w:t>
            </w:r>
            <w:r>
              <w:rPr>
                <w:rFonts w:ascii="Calibri" w:hAnsi="Calibri"/>
                <w:vertAlign w:val="subscript"/>
              </w:rPr>
              <w:t>2</w:t>
            </w:r>
          </w:p>
        </w:tc>
        <w:tc>
          <w:tcPr>
            <w:tcW w:w="1111" w:type="pct"/>
            <w:vAlign w:val="center"/>
          </w:tcPr>
          <w:p w14:paraId="501CB459">
            <w:pPr>
              <w:pStyle w:val="34"/>
              <w:rPr>
                <w:rFonts w:ascii="Calibri" w:hAnsi="Calibri"/>
              </w:rPr>
            </w:pPr>
            <w:r>
              <w:rPr>
                <w:rFonts w:ascii="Calibri" w:hAnsi="Calibri"/>
              </w:rPr>
              <w:t>tCO</w:t>
            </w:r>
            <w:r>
              <w:rPr>
                <w:rFonts w:ascii="Calibri" w:hAnsi="Calibri"/>
                <w:vertAlign w:val="subscript"/>
              </w:rPr>
              <w:t>2</w:t>
            </w:r>
          </w:p>
        </w:tc>
      </w:tr>
      <w:tr w14:paraId="6445C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4" w:type="pct"/>
            <w:vAlign w:val="center"/>
          </w:tcPr>
          <w:p w14:paraId="39695610">
            <w:pPr>
              <w:pStyle w:val="34"/>
              <w:rPr>
                <w:rFonts w:ascii="Calibri" w:hAnsi="Calibri"/>
              </w:rPr>
            </w:pPr>
            <w:r>
              <w:rPr>
                <w:rFonts w:ascii="Calibri" w:hAnsi="Calibri"/>
              </w:rPr>
              <w:t>现有工程</w:t>
            </w:r>
          </w:p>
        </w:tc>
        <w:tc>
          <w:tcPr>
            <w:tcW w:w="1231" w:type="pct"/>
            <w:vAlign w:val="center"/>
          </w:tcPr>
          <w:p w14:paraId="19177C9B">
            <w:pPr>
              <w:pStyle w:val="34"/>
              <w:rPr>
                <w:rFonts w:ascii="Calibri" w:hAnsi="Calibri"/>
              </w:rPr>
            </w:pPr>
            <w:r>
              <w:rPr>
                <w:rFonts w:ascii="Calibri" w:hAnsi="Calibri"/>
              </w:rPr>
              <w:t>199969.18</w:t>
            </w:r>
          </w:p>
        </w:tc>
        <w:tc>
          <w:tcPr>
            <w:tcW w:w="1674" w:type="pct"/>
            <w:vAlign w:val="center"/>
          </w:tcPr>
          <w:p w14:paraId="35140327">
            <w:pPr>
              <w:pStyle w:val="34"/>
              <w:rPr>
                <w:rFonts w:ascii="Calibri" w:hAnsi="Calibri"/>
              </w:rPr>
            </w:pPr>
            <w:r>
              <w:rPr>
                <w:rFonts w:ascii="Calibri" w:hAnsi="Calibri"/>
              </w:rPr>
              <w:t>14892.09</w:t>
            </w:r>
          </w:p>
        </w:tc>
        <w:tc>
          <w:tcPr>
            <w:tcW w:w="1111" w:type="pct"/>
            <w:vAlign w:val="center"/>
          </w:tcPr>
          <w:p w14:paraId="5BC9B586">
            <w:pPr>
              <w:pStyle w:val="34"/>
              <w:rPr>
                <w:rFonts w:ascii="Calibri" w:hAnsi="Calibri"/>
              </w:rPr>
            </w:pPr>
            <w:r>
              <w:rPr>
                <w:rFonts w:ascii="Calibri" w:hAnsi="Calibri"/>
              </w:rPr>
              <w:t>214861.27</w:t>
            </w:r>
          </w:p>
        </w:tc>
      </w:tr>
      <w:tr w14:paraId="1AD02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4" w:type="pct"/>
            <w:vAlign w:val="center"/>
          </w:tcPr>
          <w:p w14:paraId="63A44DDF">
            <w:pPr>
              <w:pStyle w:val="34"/>
              <w:rPr>
                <w:rFonts w:ascii="Calibri" w:hAnsi="Calibri"/>
              </w:rPr>
            </w:pPr>
            <w:r>
              <w:rPr>
                <w:rFonts w:ascii="Calibri" w:hAnsi="Calibri"/>
              </w:rPr>
              <w:t>本次技改工程</w:t>
            </w:r>
          </w:p>
        </w:tc>
        <w:tc>
          <w:tcPr>
            <w:tcW w:w="1231" w:type="pct"/>
            <w:vAlign w:val="center"/>
          </w:tcPr>
          <w:p w14:paraId="314C43EC">
            <w:pPr>
              <w:pStyle w:val="34"/>
              <w:rPr>
                <w:rFonts w:ascii="Calibri" w:hAnsi="Calibri"/>
              </w:rPr>
            </w:pPr>
            <w:r>
              <w:rPr>
                <w:rFonts w:ascii="Calibri" w:hAnsi="Calibri"/>
              </w:rPr>
              <w:t>17374.06</w:t>
            </w:r>
          </w:p>
        </w:tc>
        <w:tc>
          <w:tcPr>
            <w:tcW w:w="1674" w:type="pct"/>
            <w:vAlign w:val="center"/>
          </w:tcPr>
          <w:p w14:paraId="55D67B64">
            <w:pPr>
              <w:pStyle w:val="34"/>
              <w:rPr>
                <w:rFonts w:ascii="Calibri" w:hAnsi="Calibri"/>
              </w:rPr>
            </w:pPr>
            <w:r>
              <w:rPr>
                <w:rFonts w:ascii="Calibri" w:hAnsi="Calibri"/>
              </w:rPr>
              <w:t>1352.127</w:t>
            </w:r>
          </w:p>
        </w:tc>
        <w:tc>
          <w:tcPr>
            <w:tcW w:w="1111" w:type="pct"/>
            <w:vAlign w:val="center"/>
          </w:tcPr>
          <w:p w14:paraId="2048902F">
            <w:pPr>
              <w:pStyle w:val="34"/>
              <w:rPr>
                <w:rFonts w:ascii="Calibri" w:hAnsi="Calibri"/>
              </w:rPr>
            </w:pPr>
            <w:r>
              <w:rPr>
                <w:rFonts w:ascii="Calibri" w:hAnsi="Calibri"/>
              </w:rPr>
              <w:t>18726.187</w:t>
            </w:r>
          </w:p>
        </w:tc>
      </w:tr>
      <w:tr w14:paraId="5F5C5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4" w:type="pct"/>
            <w:vAlign w:val="center"/>
          </w:tcPr>
          <w:p w14:paraId="3D99A890">
            <w:pPr>
              <w:pStyle w:val="34"/>
              <w:rPr>
                <w:rFonts w:ascii="Calibri" w:hAnsi="Calibri"/>
              </w:rPr>
            </w:pPr>
            <w:r>
              <w:rPr>
                <w:rFonts w:ascii="Calibri" w:hAnsi="Calibri"/>
              </w:rPr>
              <w:t>全厂</w:t>
            </w:r>
          </w:p>
        </w:tc>
        <w:tc>
          <w:tcPr>
            <w:tcW w:w="1231" w:type="pct"/>
            <w:vAlign w:val="center"/>
          </w:tcPr>
          <w:p w14:paraId="4AE47B3F">
            <w:pPr>
              <w:pStyle w:val="34"/>
              <w:rPr>
                <w:rFonts w:ascii="Calibri" w:hAnsi="Calibri"/>
              </w:rPr>
            </w:pPr>
            <w:r>
              <w:rPr>
                <w:rFonts w:ascii="Calibri" w:hAnsi="Calibri"/>
              </w:rPr>
              <w:t>217343.24</w:t>
            </w:r>
          </w:p>
        </w:tc>
        <w:tc>
          <w:tcPr>
            <w:tcW w:w="1674" w:type="pct"/>
            <w:vAlign w:val="center"/>
          </w:tcPr>
          <w:p w14:paraId="3A58FF0C">
            <w:pPr>
              <w:pStyle w:val="34"/>
              <w:rPr>
                <w:rFonts w:ascii="Calibri" w:hAnsi="Calibri"/>
              </w:rPr>
            </w:pPr>
            <w:r>
              <w:rPr>
                <w:rFonts w:ascii="Calibri" w:hAnsi="Calibri"/>
              </w:rPr>
              <w:t>16224.217</w:t>
            </w:r>
          </w:p>
        </w:tc>
        <w:tc>
          <w:tcPr>
            <w:tcW w:w="1111" w:type="pct"/>
            <w:vAlign w:val="center"/>
          </w:tcPr>
          <w:p w14:paraId="033D3D10">
            <w:pPr>
              <w:pStyle w:val="34"/>
              <w:rPr>
                <w:rFonts w:ascii="Calibri" w:hAnsi="Calibri"/>
              </w:rPr>
            </w:pPr>
            <w:r>
              <w:rPr>
                <w:rFonts w:ascii="Calibri" w:hAnsi="Calibri"/>
              </w:rPr>
              <w:t>233567.457</w:t>
            </w:r>
          </w:p>
        </w:tc>
      </w:tr>
    </w:tbl>
    <w:p w14:paraId="737BAAA1">
      <w:pPr>
        <w:pStyle w:val="4"/>
      </w:pPr>
      <w:bookmarkStart w:id="248" w:name="_Toc207208405"/>
      <w:r>
        <w:t>减排潜力分析</w:t>
      </w:r>
      <w:bookmarkEnd w:id="248"/>
    </w:p>
    <w:p w14:paraId="6A4DD7C0">
      <w:pPr>
        <w:ind w:firstLine="480"/>
      </w:pPr>
      <w:r>
        <w:t>本项目位于通过采用各种先进技术，大量降低物料消耗、减少生产中各种污染物的产生和排放；工艺流程紧凑、合理、顺畅，最大限度地缩短中间环节物流运距，节约投资和运行成本，并在工艺设计、设备选型、建筑材料、电气系统、节能管理等各方面均采用了一系列节能措施。项目符合产业政策要求，能较好地节约能源及改善产业发展；产品达到质量控制标准要求。本项目拟建生产设备均不属于《产业结构调整指导目录（2024年本）》中落后生产工艺装备及《国家安全监管总局关于印发淘汰落后安全技术装备目录（2015年第一批）》中的淘汰落后设备，符合清洁生产要求。</w:t>
      </w:r>
    </w:p>
    <w:p w14:paraId="475AC4EE">
      <w:pPr>
        <w:ind w:firstLine="480"/>
      </w:pPr>
      <w:r>
        <w:t>本项目的碳排放源主要包括化石燃料燃烧排放（天然气）和净购入电力排放，根据碳排放核算结果可知，对碳排放结果影响最大的为化石燃料燃烧排放，其次为净调入电力消耗碳排放。</w:t>
      </w:r>
    </w:p>
    <w:p w14:paraId="0041B2AF">
      <w:pPr>
        <w:ind w:firstLine="480"/>
      </w:pPr>
      <w:r>
        <w:t>本项目尽量提高燃料在生产工艺中的利用率，最大可能控制和降低燃料消耗量，以达到二氧化碳的减排效果。在项目运营过程中应主要注重节能、加强循环利用，始终贯彻循环利用的环保理念于整个生产过程中。</w:t>
      </w:r>
    </w:p>
    <w:p w14:paraId="73709D57">
      <w:pPr>
        <w:pStyle w:val="4"/>
      </w:pPr>
      <w:bookmarkStart w:id="249" w:name="_Toc207208406"/>
      <w:r>
        <w:t>排放控制管理</w:t>
      </w:r>
      <w:bookmarkEnd w:id="249"/>
    </w:p>
    <w:p w14:paraId="42511488">
      <w:pPr>
        <w:pStyle w:val="5"/>
        <w:spacing w:before="120"/>
      </w:pPr>
      <w:r>
        <w:t>组织管理</w:t>
      </w:r>
    </w:p>
    <w:p w14:paraId="3B8D8C49">
      <w:pPr>
        <w:ind w:firstLine="480"/>
      </w:pPr>
      <w:r>
        <w:t>（1）建立制度</w:t>
      </w:r>
    </w:p>
    <w:p w14:paraId="404B8F0E">
      <w:pPr>
        <w:ind w:firstLine="480"/>
      </w:pPr>
      <w:r>
        <w:t>为规范企业碳管理工作，结合自身生产管理实际情况，建立碳管理制度，包括但不限于建立企业碳管理工作组织体系；明确各岗位职责及权限范围；明确战略管理、碳排放管理、碳资产管理、信息公开等具体内容；明确各事项审批流程及时限；明确管理制度的时效性。</w:t>
      </w:r>
    </w:p>
    <w:p w14:paraId="2DBBF151">
      <w:pPr>
        <w:ind w:firstLine="480"/>
      </w:pPr>
      <w:r>
        <w:t>（2）能力培养</w:t>
      </w:r>
    </w:p>
    <w:p w14:paraId="1E25731D">
      <w:pPr>
        <w:ind w:firstLine="480"/>
      </w:pPr>
      <w:r>
        <w:t>为确保企业碳管理工作人员具备相应能力，企业应开展以下工作：通过教育、培训、技能和经验交流，确保从事碳管理有关工作人员具备相应的能力，并保存相关记录；对于碳管理工作有重大影响的人员进行岗位专业技能培训，并保存培训记录；企业可选择外派培训、内部培训和横向交流等方式开展培训工作。</w:t>
      </w:r>
    </w:p>
    <w:p w14:paraId="1DBDEC57">
      <w:pPr>
        <w:ind w:firstLine="480"/>
      </w:pPr>
      <w:r>
        <w:t>（3）意识培养</w:t>
      </w:r>
    </w:p>
    <w:p w14:paraId="1A20800D">
      <w:pPr>
        <w:ind w:firstLine="480"/>
      </w:pPr>
      <w:r>
        <w:t>企业应采取措施，使全体人员都意识到：实施企业碳管理工作的重要性；降低碳排放、提高碳排放绩效给企业带来的效益，以及个人工作改进能带来的碳排放绩效；偏离碳管理制度规定运行程序的潜在后果。</w:t>
      </w:r>
    </w:p>
    <w:p w14:paraId="6BDD4045">
      <w:pPr>
        <w:pStyle w:val="5"/>
        <w:spacing w:before="120"/>
      </w:pPr>
      <w:r>
        <w:t>排放管理</w:t>
      </w:r>
    </w:p>
    <w:p w14:paraId="21F79732">
      <w:pPr>
        <w:ind w:firstLine="480"/>
      </w:pPr>
      <w:r>
        <w:t>（1）监测管理</w:t>
      </w:r>
    </w:p>
    <w:p w14:paraId="32702405">
      <w:pPr>
        <w:ind w:firstLine="480"/>
      </w:pPr>
      <w:r>
        <w:t>企业应根据自身的生产工艺以及《工业其他行业企业温室气体排放核算方法与报告指南（试行）》中核算标准和国家相关部门发布的技术指南的有关要求，确保对其运行中的决定碳排放绩效的关键特性进行定期监视、测量和分析，关键特性至少应包括但不限于：排放源设施、各碳源流数据、具备实测条件的与排放因子相关的数据、碳排放相关数据和生产相关数据获取方式、数据的准确性。</w:t>
      </w:r>
    </w:p>
    <w:p w14:paraId="132298E7">
      <w:pPr>
        <w:ind w:firstLine="480"/>
      </w:pPr>
      <w:r>
        <w:t>企业应对监视和测量获取的相关数据进行分析，应开展以下工作：</w:t>
      </w:r>
    </w:p>
    <w:p w14:paraId="31509B87">
      <w:pPr>
        <w:ind w:firstLine="480"/>
      </w:pPr>
      <w:r>
        <w:t>a) 规范碳排放数据的整理和分析；</w:t>
      </w:r>
    </w:p>
    <w:p w14:paraId="7C6B5A10">
      <w:pPr>
        <w:ind w:firstLine="480"/>
      </w:pPr>
      <w:r>
        <w:t>b) 对数据来源进行分类整理；</w:t>
      </w:r>
    </w:p>
    <w:p w14:paraId="3D6B17B7">
      <w:pPr>
        <w:ind w:firstLine="480"/>
      </w:pPr>
      <w:r>
        <w:t>c) 对排放因子及相关参数的监测数据进行分类整理；</w:t>
      </w:r>
    </w:p>
    <w:p w14:paraId="5079A3B7">
      <w:pPr>
        <w:ind w:firstLine="480"/>
      </w:pPr>
      <w:r>
        <w:t>d) 对数据进行处理并进行统计分析；</w:t>
      </w:r>
    </w:p>
    <w:p w14:paraId="658A9452">
      <w:pPr>
        <w:ind w:firstLine="480"/>
      </w:pPr>
      <w:r>
        <w:t>e) 形成数据分析报告并存档。</w:t>
      </w:r>
    </w:p>
    <w:p w14:paraId="1068FCC3">
      <w:pPr>
        <w:ind w:firstLine="480"/>
      </w:pPr>
      <w:r>
        <w:t>（2）报告管理</w:t>
      </w:r>
    </w:p>
    <w:p w14:paraId="26B578B1">
      <w:pPr>
        <w:ind w:firstLine="480"/>
      </w:pPr>
      <w:r>
        <w:t>企业应基于碳排放核算的结果编写碳排放报告，并对其进行校核。</w:t>
      </w:r>
    </w:p>
    <w:p w14:paraId="1AE3EC74">
      <w:pPr>
        <w:ind w:firstLine="480"/>
      </w:pPr>
      <w:r>
        <w:t>核算报告编写应符合主管部门所规定的格式要求，对经过内部质量控制的核算结果进行确认形成最终企业盖章的碳排放报告，并按要求提交给主管部门1份，本企业存档1份。</w:t>
      </w:r>
    </w:p>
    <w:p w14:paraId="34F2E2ED">
      <w:pPr>
        <w:pStyle w:val="5"/>
        <w:spacing w:before="120"/>
      </w:pPr>
      <w:r>
        <w:t>信息公开</w:t>
      </w:r>
    </w:p>
    <w:p w14:paraId="64F86E32">
      <w:pPr>
        <w:ind w:firstLine="480"/>
      </w:pPr>
      <w:r>
        <w:t>企业应按照主管部门相关要求和规定，核算并上报企业碳排放情况。鼓励企业选择合适的自发性披露渠道和方式，面向社会发布企业碳排放情况。</w:t>
      </w:r>
    </w:p>
    <w:p w14:paraId="29A854AC">
      <w:pPr>
        <w:pStyle w:val="4"/>
      </w:pPr>
      <w:bookmarkStart w:id="250" w:name="_Toc207208407"/>
      <w:r>
        <w:t>节能降碳措施</w:t>
      </w:r>
      <w:bookmarkEnd w:id="250"/>
    </w:p>
    <w:p w14:paraId="39C52287">
      <w:pPr>
        <w:widowControl/>
        <w:ind w:firstLine="480"/>
        <w:jc w:val="left"/>
      </w:pPr>
      <w:r>
        <w:t>本项目在工艺设计、设备选型、电气系统、节能管理等各方面均采用了一系列节能措施，项目业主重视生产中各个环节的节能降耗，取得了较为明显的节能效果。</w:t>
      </w:r>
    </w:p>
    <w:p w14:paraId="5ACA58ED">
      <w:pPr>
        <w:ind w:firstLine="480"/>
      </w:pPr>
      <w:r>
        <w:t>（1）工艺及设备节能</w:t>
      </w:r>
    </w:p>
    <w:p w14:paraId="1FC26BAB">
      <w:pPr>
        <w:ind w:firstLine="480"/>
      </w:pPr>
      <w:r>
        <w:t>通过采用各种先进技术，大量降低物料消耗、减少生产中各种污染物的产生和排放。工艺流程紧凑、合理、顺畅，最大限度地缩短中间环节物流运距，节约投资和运行成本。优化设备布置，缩短物料输送距离，使物料流向符合流程，尽量借用位差，减少重力提升。系统正常运转时，最大限度地提高开机利用率，减少设备空转时间，提高生产效率。投入设备自动化保护装置，减少人工成本，同时保证设备的正常运行、减少事故率。</w:t>
      </w:r>
    </w:p>
    <w:p w14:paraId="00A9445C">
      <w:pPr>
        <w:ind w:firstLine="480"/>
      </w:pPr>
      <w:r>
        <w:t>本项目主要工艺生产设备选型在保证技术先进、性能可靠的前提下，大多数采用节能型设备。主要用能设备选择具备技术先进性、高效性和可靠性、在国内外广泛使用的产品，采用先进的自动控制系统，使各生产系统在优化条件下操作，提高用能水平。从节能、环保角度出发，设计优先选用效率高、能耗低、噪声低的设备。</w:t>
      </w:r>
    </w:p>
    <w:p w14:paraId="78B02A9A">
      <w:pPr>
        <w:ind w:firstLine="480"/>
      </w:pPr>
      <w:r>
        <w:t>（2）电气节能</w:t>
      </w:r>
    </w:p>
    <w:p w14:paraId="195F4418">
      <w:pPr>
        <w:ind w:firstLine="480"/>
      </w:pPr>
      <w:r>
        <w:t>选用节能型变压器，将变压器设置在负荷中心，可以减少低压侧线路长度，降低线路损耗。在车间变电所低压侧母线上装设并联电容器，有效降低变压器和线路的损耗。</w:t>
      </w:r>
    </w:p>
    <w:p w14:paraId="76C40C2E">
      <w:pPr>
        <w:ind w:firstLine="480"/>
      </w:pPr>
      <w:r>
        <w:t>加强运行管理，实现变压器经济运行：在企业负荷变化情况下，要及时投入或切除部分变压器，防止变压器轻载和空载运行。</w:t>
      </w:r>
    </w:p>
    <w:p w14:paraId="5A143B24">
      <w:pPr>
        <w:ind w:firstLine="480"/>
      </w:pPr>
      <w:r>
        <w:t>按照《建筑照明设计标准》（GB 50034-2013）及使用要求，合适地设计及考虑各个场所的照度值及照明功率密度值。厂区道路照明电源在保证合理电压降情况下实行多点供电，并统一控制开闭，光源为高压钠灯。尽量采用天然采光，减少人工照明。</w:t>
      </w:r>
    </w:p>
    <w:p w14:paraId="552DCCC9">
      <w:pPr>
        <w:ind w:firstLine="480"/>
      </w:pPr>
      <w:r>
        <w:t>（3）给排水节能</w:t>
      </w:r>
      <w:r>
        <w:tab/>
      </w:r>
    </w:p>
    <w:p w14:paraId="59162CC2">
      <w:pPr>
        <w:ind w:firstLine="480"/>
      </w:pPr>
      <w:r>
        <w:t>充分利用园区供水系统水压。合理进行管网布局，减少压损。各部门要根据生产及生活的实际情况，合理配置水表等计量装置，减少水资源浪费。</w:t>
      </w:r>
    </w:p>
    <w:p w14:paraId="42C00457">
      <w:pPr>
        <w:ind w:firstLine="480"/>
      </w:pPr>
      <w:r>
        <w:t>选用合格的水泵、阀门、管道、管件以及卫生洁具，做到管路系统不发生渗漏和爆裂。采用管内壁光滑、阻力小的给水管材，给水水嘴采用密封新能好、能限制出流流率并经国家有关质量检测部门检测合格的节水水嘴。生活供水系统采用变频调速供水设备，可根据不同时段用水量变化调节电机转速降低电耗。</w:t>
      </w:r>
    </w:p>
    <w:p w14:paraId="5B734CBA">
      <w:pPr>
        <w:ind w:firstLine="480"/>
      </w:pPr>
      <w:r>
        <w:t>（4）通风节能措施</w:t>
      </w:r>
    </w:p>
    <w:p w14:paraId="71537494">
      <w:pPr>
        <w:ind w:firstLine="480"/>
      </w:pPr>
      <w:r>
        <w:t>在建筑耗能中，根据不同情况采取相应的节能措施。车间控制室与工艺配合将控制室远离散热设备配置，加强控制室的隔热保温，以减少冷负荷。</w:t>
      </w:r>
    </w:p>
    <w:p w14:paraId="29AC3905">
      <w:pPr>
        <w:ind w:firstLine="480"/>
      </w:pPr>
      <w:r>
        <w:t>通风系统在设计中，具备自然通风条件场合均采用自然通风，以节约电能。一般的机械通风系统均采用自然进风，机械排风形式或自然排风，从而节约风机用电能。机械通风系统风机选用低能耗高效率的轴流式风机，使得通风系统耗能大大降低。系统风机采用高效节能新型风机，正确选用风机的高效区。大型风机均采用直联或联轴器式联接，以提高传动效率，达到节约能源目的。</w:t>
      </w:r>
    </w:p>
    <w:p w14:paraId="4F1433FB">
      <w:pPr>
        <w:pStyle w:val="4"/>
      </w:pPr>
      <w:bookmarkStart w:id="251" w:name="_Toc207208408"/>
      <w:r>
        <w:t>碳排放分析结论</w:t>
      </w:r>
      <w:bookmarkEnd w:id="251"/>
    </w:p>
    <w:p w14:paraId="551B02BE">
      <w:pPr>
        <w:ind w:firstLine="480"/>
        <w:sectPr>
          <w:pgSz w:w="12240" w:h="15840"/>
          <w:pgMar w:top="1276" w:right="1800" w:bottom="1440" w:left="1800" w:header="720" w:footer="474" w:gutter="0"/>
          <w:cols w:space="720" w:num="1"/>
        </w:sectPr>
      </w:pPr>
      <w:r>
        <w:t>本项目以企业法人独立核算单位为边界，核算生产系统产生的温室气体排放量。主要为核算边界内所有的化石燃料燃烧排放量及企业购入的电力和热力所对应的二氧化碳排放量之和。全厂碳排放总量为233567.457tCO</w:t>
      </w:r>
      <w:r>
        <w:rPr>
          <w:vertAlign w:val="subscript"/>
        </w:rPr>
        <w:t>2</w:t>
      </w:r>
      <w:r>
        <w:t>e。在工艺设计、设备选型、建筑材料、电气配置、节能管理等方面，本项目均采用了一系列节能降碳措施以实现生产中各个环节的降碳降耗。</w:t>
      </w:r>
    </w:p>
    <w:p w14:paraId="084515B5">
      <w:pPr>
        <w:pStyle w:val="2"/>
      </w:pPr>
      <w:bookmarkStart w:id="252" w:name="_Toc207208409"/>
      <w:r>
        <w:t>环境影响经济损益分析</w:t>
      </w:r>
      <w:bookmarkEnd w:id="244"/>
      <w:bookmarkEnd w:id="245"/>
      <w:bookmarkEnd w:id="252"/>
    </w:p>
    <w:p w14:paraId="5D5E7CB2">
      <w:pPr>
        <w:pStyle w:val="4"/>
      </w:pPr>
      <w:bookmarkStart w:id="253" w:name="_Toc207208410"/>
      <w:bookmarkStart w:id="254" w:name="_Toc10772"/>
      <w:bookmarkStart w:id="255" w:name="_Toc2013"/>
      <w:r>
        <w:t>经济效益分析</w:t>
      </w:r>
      <w:bookmarkEnd w:id="253"/>
      <w:bookmarkEnd w:id="254"/>
      <w:bookmarkEnd w:id="255"/>
    </w:p>
    <w:p w14:paraId="0CE29E7F">
      <w:pPr>
        <w:pStyle w:val="58"/>
        <w:ind w:firstLine="480"/>
        <w:rPr>
          <w:rFonts w:cs="Times New Roman"/>
        </w:rPr>
      </w:pPr>
      <w:r>
        <w:rPr>
          <w:rFonts w:cs="Times New Roman"/>
        </w:rPr>
        <w:t>（1）对当地宏观经济的影响</w:t>
      </w:r>
    </w:p>
    <w:p w14:paraId="6CE71BD7">
      <w:pPr>
        <w:pStyle w:val="58"/>
        <w:ind w:firstLine="480"/>
        <w:rPr>
          <w:rFonts w:cs="Times New Roman"/>
        </w:rPr>
      </w:pPr>
      <w:r>
        <w:rPr>
          <w:rFonts w:cs="Times New Roman"/>
        </w:rPr>
        <w:t>经济增长贡献：本项目的年均利润总额达到1514.30万元，将直接为奎屯市的财政收入做出贡献，推动当地经济的增长。</w:t>
      </w:r>
    </w:p>
    <w:p w14:paraId="7923FFA9">
      <w:pPr>
        <w:pStyle w:val="58"/>
        <w:ind w:firstLine="480"/>
        <w:rPr>
          <w:rFonts w:cs="Times New Roman"/>
        </w:rPr>
      </w:pPr>
      <w:r>
        <w:rPr>
          <w:rFonts w:cs="Times New Roman"/>
        </w:rPr>
        <w:t>税收收入增加：项目的运营将带来稳定的税收收入，有助于改善地方财政状况，支持基础设施建设和其他公共事业的发展。</w:t>
      </w:r>
    </w:p>
    <w:p w14:paraId="751400A2">
      <w:pPr>
        <w:pStyle w:val="58"/>
        <w:ind w:firstLine="480"/>
        <w:rPr>
          <w:rFonts w:cs="Times New Roman"/>
        </w:rPr>
      </w:pPr>
      <w:r>
        <w:rPr>
          <w:rFonts w:cs="Times New Roman"/>
        </w:rPr>
        <w:t>（2）对产业经济的影响</w:t>
      </w:r>
    </w:p>
    <w:p w14:paraId="1B694C00">
      <w:pPr>
        <w:pStyle w:val="58"/>
        <w:ind w:firstLine="480"/>
        <w:rPr>
          <w:rFonts w:cs="Times New Roman"/>
        </w:rPr>
      </w:pPr>
      <w:r>
        <w:rPr>
          <w:rFonts w:cs="Times New Roman"/>
        </w:rPr>
        <w:t>技术创新推动：项目的实施将促进技术创新和产业升级，提高当地中低碳锰铁产业的技术水平，增强产业的核心竞争力。</w:t>
      </w:r>
    </w:p>
    <w:p w14:paraId="31956D4C">
      <w:pPr>
        <w:pStyle w:val="58"/>
        <w:ind w:firstLine="480"/>
        <w:rPr>
          <w:rFonts w:cs="Times New Roman"/>
        </w:rPr>
      </w:pPr>
      <w:r>
        <w:rPr>
          <w:rFonts w:cs="Times New Roman"/>
        </w:rPr>
        <w:t>市场需求扩大：中低碳锰铁的广泛应用将推动相关行业的发展，如光伏、国防军工、信息产业等，进一步扩大市场需求，为当地经济发展注入新的动力。</w:t>
      </w:r>
    </w:p>
    <w:p w14:paraId="4C8ED985">
      <w:pPr>
        <w:pStyle w:val="58"/>
        <w:ind w:firstLine="480"/>
        <w:rPr>
          <w:rFonts w:cs="Times New Roman"/>
        </w:rPr>
      </w:pPr>
      <w:r>
        <w:rPr>
          <w:rFonts w:cs="Times New Roman"/>
        </w:rPr>
        <w:t>（3）对区域经济的影响</w:t>
      </w:r>
    </w:p>
    <w:p w14:paraId="1F3BA626">
      <w:pPr>
        <w:pStyle w:val="58"/>
        <w:ind w:firstLine="480"/>
        <w:rPr>
          <w:rFonts w:cs="Times New Roman"/>
        </w:rPr>
      </w:pPr>
      <w:r>
        <w:rPr>
          <w:rFonts w:cs="Times New Roman"/>
        </w:rPr>
        <w:t>区域协调发展：该项目的实施将促进奎屯市与周边地区的经济联系和合作，推动区域经济的协调发展。</w:t>
      </w:r>
    </w:p>
    <w:p w14:paraId="4E61C9AF">
      <w:pPr>
        <w:pStyle w:val="58"/>
        <w:ind w:firstLine="480"/>
        <w:rPr>
          <w:rFonts w:cs="Times New Roman"/>
        </w:rPr>
      </w:pPr>
      <w:r>
        <w:rPr>
          <w:rFonts w:cs="Times New Roman"/>
        </w:rPr>
        <w:t>资源优化配置：项目的投资将引导资源的优化配置，提高资源利用效率，促进当地经济的可持续发展。</w:t>
      </w:r>
    </w:p>
    <w:p w14:paraId="18831C2A">
      <w:pPr>
        <w:pStyle w:val="58"/>
        <w:ind w:firstLine="480"/>
        <w:rPr>
          <w:rFonts w:cs="Times New Roman"/>
        </w:rPr>
      </w:pPr>
      <w:r>
        <w:rPr>
          <w:rFonts w:cs="Times New Roman"/>
        </w:rPr>
        <w:t>产业集聚效应：项目的成功实施将吸引更多相关产业和企业入驻奎屯市，形成产业集聚效应，提高整个区域的产业竞争力。</w:t>
      </w:r>
    </w:p>
    <w:p w14:paraId="78DC25B6">
      <w:pPr>
        <w:pStyle w:val="58"/>
        <w:ind w:firstLine="480"/>
        <w:rPr>
          <w:rFonts w:cs="Times New Roman"/>
        </w:rPr>
      </w:pPr>
      <w:r>
        <w:rPr>
          <w:rFonts w:cs="Times New Roman"/>
        </w:rPr>
        <w:t>四、项目经济合理性评价</w:t>
      </w:r>
    </w:p>
    <w:p w14:paraId="309FA8A3">
      <w:pPr>
        <w:pStyle w:val="58"/>
        <w:ind w:firstLine="480"/>
        <w:rPr>
          <w:rFonts w:cs="Times New Roman"/>
        </w:rPr>
      </w:pPr>
      <w:r>
        <w:rPr>
          <w:rFonts w:cs="Times New Roman"/>
        </w:rPr>
        <w:t>投资回报率高：总投资收益率 ROI 为 20.70%，投资回收期（所得税前）5.33 年（含建设期），投资回收期（所得税后）6.21 年（含建设期），投资回报率高，具有较好的经济效益。</w:t>
      </w:r>
    </w:p>
    <w:p w14:paraId="78152FE1">
      <w:pPr>
        <w:pStyle w:val="58"/>
        <w:ind w:firstLine="480"/>
        <w:rPr>
          <w:rFonts w:cs="Times New Roman"/>
        </w:rPr>
      </w:pPr>
      <w:r>
        <w:rPr>
          <w:rFonts w:cs="Times New Roman"/>
        </w:rPr>
        <w:t>市场需求稳定：中低碳锰铁具有广泛的市场需求，且随着新能源等产业的快速发展，市场需求将持续增长，为项目的长期发展提供了有力保障。</w:t>
      </w:r>
    </w:p>
    <w:p w14:paraId="5FDAD38E">
      <w:pPr>
        <w:pStyle w:val="58"/>
        <w:ind w:firstLine="480"/>
        <w:rPr>
          <w:rFonts w:cs="Times New Roman"/>
        </w:rPr>
      </w:pPr>
      <w:r>
        <w:rPr>
          <w:rFonts w:cs="Times New Roman"/>
        </w:rPr>
        <w:t>技术可行性高：中低碳锰铁的生产技术已经相对成熟，项目的实施在技术上是可行的。</w:t>
      </w:r>
    </w:p>
    <w:p w14:paraId="68F2E27F">
      <w:pPr>
        <w:pStyle w:val="58"/>
        <w:ind w:firstLine="480"/>
        <w:rPr>
          <w:rFonts w:cs="Times New Roman"/>
        </w:rPr>
      </w:pPr>
      <w:r>
        <w:rPr>
          <w:rFonts w:cs="Times New Roman"/>
        </w:rPr>
        <w:t>综上所述，该中低碳锰铁项目对新疆奎屯市的宏观经济、产业经济和区域经济都将产生积极的影响，且项目的经济合理性较高。因此，该项目的实施是值得鼓励和支持的。</w:t>
      </w:r>
    </w:p>
    <w:p w14:paraId="48E82244">
      <w:pPr>
        <w:pStyle w:val="4"/>
      </w:pPr>
      <w:bookmarkStart w:id="256" w:name="_Toc26105"/>
      <w:bookmarkStart w:id="257" w:name="_Toc6336"/>
      <w:bookmarkStart w:id="258" w:name="_Toc207208411"/>
      <w:r>
        <w:t>社会效益分析</w:t>
      </w:r>
      <w:bookmarkEnd w:id="256"/>
      <w:bookmarkEnd w:id="257"/>
      <w:bookmarkEnd w:id="258"/>
    </w:p>
    <w:p w14:paraId="0C775569">
      <w:pPr>
        <w:pStyle w:val="3"/>
        <w:ind w:firstLine="480"/>
        <w:rPr>
          <w:lang w:bidi="ar"/>
        </w:rPr>
      </w:pPr>
      <w:r>
        <w:t>本项目实施后，</w:t>
      </w:r>
      <w:r>
        <w:rPr>
          <w:lang w:bidi="ar"/>
        </w:rPr>
        <w:t>逐步实现企业功能的转型，优化当地的产业结构，填补行业的空白，同时，项目建成后可以增加税收、带来一定的就业机会，促进当地经济的发展。符合循环经济发展的要求。</w:t>
      </w:r>
    </w:p>
    <w:p w14:paraId="5914544A">
      <w:pPr>
        <w:pStyle w:val="3"/>
        <w:ind w:firstLine="480"/>
        <w:rPr>
          <w:lang w:bidi="ar"/>
        </w:rPr>
      </w:pPr>
      <w:r>
        <w:rPr>
          <w:lang w:bidi="ar"/>
        </w:rPr>
        <w:t>因此，新疆艾斯米尔锰合金有限公司特种合金冶炼及烧结车间技改项目具有良好的社会效益。</w:t>
      </w:r>
    </w:p>
    <w:p w14:paraId="7BF28F18">
      <w:pPr>
        <w:pStyle w:val="4"/>
      </w:pPr>
      <w:bookmarkStart w:id="259" w:name="_Toc29928"/>
      <w:bookmarkStart w:id="260" w:name="_Toc8664"/>
      <w:bookmarkStart w:id="261" w:name="_Toc207208412"/>
      <w:r>
        <w:t>环境损益分析</w:t>
      </w:r>
      <w:bookmarkEnd w:id="259"/>
      <w:bookmarkEnd w:id="260"/>
      <w:bookmarkEnd w:id="261"/>
    </w:p>
    <w:p w14:paraId="2368815C">
      <w:pPr>
        <w:pStyle w:val="58"/>
        <w:ind w:firstLine="480"/>
        <w:rPr>
          <w:rFonts w:cs="Times New Roman"/>
        </w:rPr>
      </w:pPr>
      <w:r>
        <w:rPr>
          <w:rFonts w:cs="Times New Roman"/>
        </w:rPr>
        <w:t>本项目总投资6002.69万元，其中环保投资为186万元，环保投资占总投资比例为3.10%。环保投资情况详见下表。</w:t>
      </w:r>
    </w:p>
    <w:p w14:paraId="7B3760CA">
      <w:pPr>
        <w:pStyle w:val="88"/>
        <w:rPr>
          <w:rFonts w:ascii="Times New Roman" w:hAnsi="Times New Roman" w:cs="Times New Roman"/>
        </w:rPr>
      </w:pPr>
      <w:r>
        <w:rPr>
          <w:rFonts w:ascii="Times New Roman" w:hAnsi="Times New Roman" w:cs="Times New Roman"/>
        </w:rPr>
        <w:t>表9.3-1    环保投资估算一览表</w:t>
      </w:r>
    </w:p>
    <w:tbl>
      <w:tblPr>
        <w:tblStyle w:val="28"/>
        <w:tblW w:w="825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694"/>
        <w:gridCol w:w="1946"/>
        <w:gridCol w:w="4409"/>
        <w:gridCol w:w="784"/>
      </w:tblGrid>
      <w:tr w14:paraId="5DA732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tcBorders>
              <w:top w:val="single" w:color="auto" w:sz="12" w:space="0"/>
              <w:left w:val="nil"/>
              <w:bottom w:val="single" w:color="auto" w:sz="6" w:space="0"/>
              <w:right w:val="single" w:color="auto" w:sz="6" w:space="0"/>
            </w:tcBorders>
            <w:vAlign w:val="center"/>
          </w:tcPr>
          <w:p w14:paraId="16891255">
            <w:pPr>
              <w:pStyle w:val="96"/>
            </w:pPr>
            <w:bookmarkStart w:id="262" w:name="_Hlk116733178"/>
            <w:r>
              <w:t>时段</w:t>
            </w:r>
            <w:bookmarkEnd w:id="262"/>
          </w:p>
        </w:tc>
        <w:tc>
          <w:tcPr>
            <w:tcW w:w="694" w:type="dxa"/>
            <w:tcBorders>
              <w:top w:val="single" w:color="auto" w:sz="12" w:space="0"/>
              <w:left w:val="single" w:color="auto" w:sz="6" w:space="0"/>
              <w:bottom w:val="single" w:color="auto" w:sz="6" w:space="0"/>
              <w:right w:val="single" w:color="auto" w:sz="6" w:space="0"/>
            </w:tcBorders>
            <w:vAlign w:val="center"/>
          </w:tcPr>
          <w:p w14:paraId="2390FE8D">
            <w:pPr>
              <w:pStyle w:val="96"/>
            </w:pPr>
            <w:r>
              <w:t>类别</w:t>
            </w:r>
          </w:p>
        </w:tc>
        <w:tc>
          <w:tcPr>
            <w:tcW w:w="1946" w:type="dxa"/>
            <w:tcBorders>
              <w:top w:val="single" w:color="auto" w:sz="12" w:space="0"/>
              <w:left w:val="single" w:color="auto" w:sz="6" w:space="0"/>
              <w:bottom w:val="single" w:color="auto" w:sz="6" w:space="0"/>
              <w:right w:val="single" w:color="auto" w:sz="6" w:space="0"/>
            </w:tcBorders>
            <w:vAlign w:val="center"/>
          </w:tcPr>
          <w:p w14:paraId="0C823F7E">
            <w:pPr>
              <w:pStyle w:val="96"/>
            </w:pPr>
            <w:r>
              <w:t>污染物</w:t>
            </w:r>
          </w:p>
        </w:tc>
        <w:tc>
          <w:tcPr>
            <w:tcW w:w="4409" w:type="dxa"/>
            <w:tcBorders>
              <w:top w:val="single" w:color="auto" w:sz="12" w:space="0"/>
              <w:left w:val="single" w:color="auto" w:sz="6" w:space="0"/>
              <w:bottom w:val="single" w:color="auto" w:sz="6" w:space="0"/>
              <w:right w:val="single" w:color="auto" w:sz="6" w:space="0"/>
            </w:tcBorders>
            <w:vAlign w:val="center"/>
          </w:tcPr>
          <w:p w14:paraId="7BCA7732">
            <w:pPr>
              <w:pStyle w:val="96"/>
            </w:pPr>
            <w:r>
              <w:t>治理措施内容</w:t>
            </w:r>
          </w:p>
        </w:tc>
        <w:tc>
          <w:tcPr>
            <w:tcW w:w="784" w:type="dxa"/>
            <w:tcBorders>
              <w:top w:val="single" w:color="auto" w:sz="12" w:space="0"/>
              <w:left w:val="single" w:color="auto" w:sz="6" w:space="0"/>
              <w:bottom w:val="single" w:color="auto" w:sz="6" w:space="0"/>
              <w:right w:val="nil"/>
            </w:tcBorders>
            <w:vAlign w:val="center"/>
          </w:tcPr>
          <w:p w14:paraId="214BC2BC">
            <w:pPr>
              <w:pStyle w:val="96"/>
            </w:pPr>
            <w:r>
              <w:t>投资</w:t>
            </w:r>
          </w:p>
          <w:p w14:paraId="727A6CA7">
            <w:pPr>
              <w:pStyle w:val="96"/>
            </w:pPr>
            <w:r>
              <w:t>（万元）</w:t>
            </w:r>
          </w:p>
        </w:tc>
      </w:tr>
      <w:tr w14:paraId="138103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restart"/>
            <w:tcBorders>
              <w:top w:val="single" w:color="auto" w:sz="6" w:space="0"/>
              <w:left w:val="nil"/>
              <w:bottom w:val="single" w:color="auto" w:sz="6" w:space="0"/>
              <w:right w:val="single" w:color="auto" w:sz="6" w:space="0"/>
            </w:tcBorders>
            <w:vAlign w:val="center"/>
          </w:tcPr>
          <w:p w14:paraId="723673EE">
            <w:pPr>
              <w:pStyle w:val="96"/>
            </w:pPr>
            <w:r>
              <w:t>施工期</w:t>
            </w:r>
          </w:p>
        </w:tc>
        <w:tc>
          <w:tcPr>
            <w:tcW w:w="694" w:type="dxa"/>
            <w:vMerge w:val="restart"/>
            <w:tcBorders>
              <w:top w:val="single" w:color="auto" w:sz="6" w:space="0"/>
              <w:left w:val="single" w:color="auto" w:sz="6" w:space="0"/>
              <w:bottom w:val="single" w:color="auto" w:sz="6" w:space="0"/>
              <w:right w:val="single" w:color="auto" w:sz="6" w:space="0"/>
            </w:tcBorders>
            <w:vAlign w:val="center"/>
          </w:tcPr>
          <w:p w14:paraId="2E0A5F4F">
            <w:pPr>
              <w:pStyle w:val="96"/>
            </w:pPr>
            <w:r>
              <w:t>废气</w:t>
            </w:r>
          </w:p>
        </w:tc>
        <w:tc>
          <w:tcPr>
            <w:tcW w:w="1946" w:type="dxa"/>
            <w:tcBorders>
              <w:top w:val="single" w:color="auto" w:sz="6" w:space="0"/>
              <w:left w:val="single" w:color="auto" w:sz="6" w:space="0"/>
              <w:bottom w:val="single" w:color="auto" w:sz="6" w:space="0"/>
              <w:right w:val="single" w:color="auto" w:sz="6" w:space="0"/>
            </w:tcBorders>
            <w:vAlign w:val="center"/>
          </w:tcPr>
          <w:p w14:paraId="5EF71843">
            <w:pPr>
              <w:pStyle w:val="96"/>
            </w:pPr>
            <w:r>
              <w:t>粉尘</w:t>
            </w:r>
          </w:p>
        </w:tc>
        <w:tc>
          <w:tcPr>
            <w:tcW w:w="4409" w:type="dxa"/>
            <w:tcBorders>
              <w:top w:val="single" w:color="auto" w:sz="6" w:space="0"/>
              <w:left w:val="single" w:color="auto" w:sz="6" w:space="0"/>
              <w:bottom w:val="single" w:color="auto" w:sz="6" w:space="0"/>
              <w:right w:val="single" w:color="auto" w:sz="6" w:space="0"/>
            </w:tcBorders>
            <w:vAlign w:val="center"/>
          </w:tcPr>
          <w:p w14:paraId="486AB5E1">
            <w:pPr>
              <w:pStyle w:val="96"/>
            </w:pPr>
            <w:r>
              <w:t>加强施工期环境管理，场地适时洒水，散堆物料用蓬布覆盖，车辆冲洗上路，避免大风天气作业等；</w:t>
            </w:r>
          </w:p>
        </w:tc>
        <w:tc>
          <w:tcPr>
            <w:tcW w:w="784" w:type="dxa"/>
            <w:vMerge w:val="restart"/>
            <w:tcBorders>
              <w:top w:val="single" w:color="auto" w:sz="6" w:space="0"/>
              <w:left w:val="single" w:color="auto" w:sz="6" w:space="0"/>
              <w:bottom w:val="single" w:color="auto" w:sz="6" w:space="0"/>
              <w:right w:val="nil"/>
            </w:tcBorders>
            <w:vAlign w:val="center"/>
          </w:tcPr>
          <w:p w14:paraId="40D05606">
            <w:pPr>
              <w:pStyle w:val="96"/>
            </w:pPr>
            <w:r>
              <w:t>10.0</w:t>
            </w:r>
          </w:p>
        </w:tc>
      </w:tr>
      <w:tr w14:paraId="5D9A1B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576FAE0C">
            <w:pPr>
              <w:widowControl/>
              <w:jc w:val="left"/>
              <w:rPr>
                <w:sz w:val="21"/>
                <w:szCs w:val="21"/>
              </w:rPr>
            </w:pPr>
          </w:p>
        </w:tc>
        <w:tc>
          <w:tcPr>
            <w:tcW w:w="694" w:type="dxa"/>
            <w:vMerge w:val="continue"/>
            <w:tcBorders>
              <w:top w:val="single" w:color="auto" w:sz="6" w:space="0"/>
              <w:left w:val="single" w:color="auto" w:sz="6" w:space="0"/>
              <w:bottom w:val="single" w:color="auto" w:sz="6" w:space="0"/>
              <w:right w:val="single" w:color="auto" w:sz="6" w:space="0"/>
            </w:tcBorders>
            <w:vAlign w:val="center"/>
          </w:tcPr>
          <w:p w14:paraId="7274E1D1">
            <w:pPr>
              <w:widowControl/>
              <w:jc w:val="left"/>
              <w:rPr>
                <w:sz w:val="21"/>
                <w:szCs w:val="21"/>
              </w:rPr>
            </w:pPr>
          </w:p>
        </w:tc>
        <w:tc>
          <w:tcPr>
            <w:tcW w:w="1946" w:type="dxa"/>
            <w:tcBorders>
              <w:top w:val="single" w:color="auto" w:sz="6" w:space="0"/>
              <w:left w:val="single" w:color="auto" w:sz="6" w:space="0"/>
              <w:bottom w:val="single" w:color="auto" w:sz="6" w:space="0"/>
              <w:right w:val="single" w:color="auto" w:sz="6" w:space="0"/>
            </w:tcBorders>
            <w:vAlign w:val="center"/>
          </w:tcPr>
          <w:p w14:paraId="0907F881">
            <w:pPr>
              <w:pStyle w:val="96"/>
            </w:pPr>
            <w:r>
              <w:t>机械尾气</w:t>
            </w:r>
          </w:p>
        </w:tc>
        <w:tc>
          <w:tcPr>
            <w:tcW w:w="4409" w:type="dxa"/>
            <w:tcBorders>
              <w:top w:val="single" w:color="auto" w:sz="6" w:space="0"/>
              <w:left w:val="single" w:color="auto" w:sz="6" w:space="0"/>
              <w:bottom w:val="single" w:color="auto" w:sz="6" w:space="0"/>
              <w:right w:val="single" w:color="auto" w:sz="6" w:space="0"/>
            </w:tcBorders>
            <w:vAlign w:val="center"/>
          </w:tcPr>
          <w:p w14:paraId="11D51DCB">
            <w:pPr>
              <w:pStyle w:val="96"/>
            </w:pPr>
            <w:r>
              <w:t>加强车辆管理，定期保养；</w:t>
            </w:r>
          </w:p>
        </w:tc>
        <w:tc>
          <w:tcPr>
            <w:tcW w:w="784" w:type="dxa"/>
            <w:vMerge w:val="continue"/>
            <w:tcBorders>
              <w:top w:val="single" w:color="auto" w:sz="6" w:space="0"/>
              <w:left w:val="single" w:color="auto" w:sz="6" w:space="0"/>
              <w:bottom w:val="single" w:color="auto" w:sz="6" w:space="0"/>
              <w:right w:val="nil"/>
            </w:tcBorders>
            <w:vAlign w:val="center"/>
          </w:tcPr>
          <w:p w14:paraId="37E4BFAD">
            <w:pPr>
              <w:widowControl/>
              <w:jc w:val="left"/>
              <w:rPr>
                <w:sz w:val="21"/>
                <w:szCs w:val="21"/>
              </w:rPr>
            </w:pPr>
          </w:p>
        </w:tc>
      </w:tr>
      <w:tr w14:paraId="74D8B8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7C2D2E67">
            <w:pPr>
              <w:widowControl/>
              <w:jc w:val="left"/>
              <w:rPr>
                <w:sz w:val="21"/>
                <w:szCs w:val="21"/>
              </w:rPr>
            </w:pPr>
          </w:p>
        </w:tc>
        <w:tc>
          <w:tcPr>
            <w:tcW w:w="694" w:type="dxa"/>
            <w:tcBorders>
              <w:top w:val="single" w:color="auto" w:sz="6" w:space="0"/>
              <w:left w:val="single" w:color="auto" w:sz="6" w:space="0"/>
              <w:bottom w:val="single" w:color="auto" w:sz="6" w:space="0"/>
              <w:right w:val="single" w:color="auto" w:sz="6" w:space="0"/>
            </w:tcBorders>
            <w:vAlign w:val="center"/>
          </w:tcPr>
          <w:p w14:paraId="6C5A1C2D">
            <w:pPr>
              <w:pStyle w:val="96"/>
            </w:pPr>
            <w:r>
              <w:t>废水</w:t>
            </w:r>
          </w:p>
        </w:tc>
        <w:tc>
          <w:tcPr>
            <w:tcW w:w="1946" w:type="dxa"/>
            <w:tcBorders>
              <w:top w:val="single" w:color="auto" w:sz="6" w:space="0"/>
              <w:left w:val="single" w:color="auto" w:sz="6" w:space="0"/>
              <w:bottom w:val="single" w:color="auto" w:sz="6" w:space="0"/>
              <w:right w:val="single" w:color="auto" w:sz="6" w:space="0"/>
            </w:tcBorders>
            <w:vAlign w:val="center"/>
          </w:tcPr>
          <w:p w14:paraId="57F7E6CD">
            <w:pPr>
              <w:pStyle w:val="96"/>
            </w:pPr>
            <w:r>
              <w:t>SS、COD</w:t>
            </w:r>
          </w:p>
        </w:tc>
        <w:tc>
          <w:tcPr>
            <w:tcW w:w="4409" w:type="dxa"/>
            <w:tcBorders>
              <w:top w:val="single" w:color="auto" w:sz="6" w:space="0"/>
              <w:left w:val="single" w:color="auto" w:sz="6" w:space="0"/>
              <w:bottom w:val="single" w:color="auto" w:sz="6" w:space="0"/>
              <w:right w:val="single" w:color="auto" w:sz="6" w:space="0"/>
            </w:tcBorders>
            <w:vAlign w:val="center"/>
          </w:tcPr>
          <w:p w14:paraId="5C5E3B6F">
            <w:pPr>
              <w:pStyle w:val="96"/>
            </w:pPr>
            <w:r>
              <w:t>设置沉砂池；</w:t>
            </w:r>
          </w:p>
        </w:tc>
        <w:tc>
          <w:tcPr>
            <w:tcW w:w="784" w:type="dxa"/>
            <w:tcBorders>
              <w:top w:val="single" w:color="auto" w:sz="6" w:space="0"/>
              <w:left w:val="single" w:color="auto" w:sz="6" w:space="0"/>
              <w:bottom w:val="single" w:color="auto" w:sz="6" w:space="0"/>
              <w:right w:val="nil"/>
            </w:tcBorders>
            <w:vAlign w:val="center"/>
          </w:tcPr>
          <w:p w14:paraId="261AFFEC">
            <w:pPr>
              <w:pStyle w:val="96"/>
            </w:pPr>
            <w:r>
              <w:t>2.0</w:t>
            </w:r>
          </w:p>
        </w:tc>
      </w:tr>
      <w:tr w14:paraId="397C0C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391BC691">
            <w:pPr>
              <w:widowControl/>
              <w:jc w:val="left"/>
              <w:rPr>
                <w:sz w:val="21"/>
                <w:szCs w:val="21"/>
              </w:rPr>
            </w:pPr>
          </w:p>
        </w:tc>
        <w:tc>
          <w:tcPr>
            <w:tcW w:w="694" w:type="dxa"/>
            <w:tcBorders>
              <w:top w:val="single" w:color="auto" w:sz="6" w:space="0"/>
              <w:left w:val="single" w:color="auto" w:sz="6" w:space="0"/>
              <w:bottom w:val="single" w:color="auto" w:sz="6" w:space="0"/>
              <w:right w:val="single" w:color="auto" w:sz="6" w:space="0"/>
            </w:tcBorders>
            <w:vAlign w:val="center"/>
          </w:tcPr>
          <w:p w14:paraId="799D6BBC">
            <w:pPr>
              <w:pStyle w:val="96"/>
            </w:pPr>
            <w:r>
              <w:t>噪声</w:t>
            </w:r>
          </w:p>
        </w:tc>
        <w:tc>
          <w:tcPr>
            <w:tcW w:w="1946" w:type="dxa"/>
            <w:tcBorders>
              <w:top w:val="single" w:color="auto" w:sz="6" w:space="0"/>
              <w:left w:val="single" w:color="auto" w:sz="6" w:space="0"/>
              <w:bottom w:val="single" w:color="auto" w:sz="6" w:space="0"/>
              <w:right w:val="single" w:color="auto" w:sz="6" w:space="0"/>
            </w:tcBorders>
            <w:vAlign w:val="center"/>
          </w:tcPr>
          <w:p w14:paraId="273AFAF1">
            <w:pPr>
              <w:pStyle w:val="96"/>
            </w:pPr>
            <w:r>
              <w:t>噪声</w:t>
            </w:r>
          </w:p>
        </w:tc>
        <w:tc>
          <w:tcPr>
            <w:tcW w:w="4409" w:type="dxa"/>
            <w:tcBorders>
              <w:top w:val="single" w:color="auto" w:sz="6" w:space="0"/>
              <w:left w:val="single" w:color="auto" w:sz="6" w:space="0"/>
              <w:bottom w:val="single" w:color="auto" w:sz="6" w:space="0"/>
              <w:right w:val="single" w:color="auto" w:sz="6" w:space="0"/>
            </w:tcBorders>
            <w:vAlign w:val="center"/>
          </w:tcPr>
          <w:p w14:paraId="1CB9BBE8">
            <w:pPr>
              <w:pStyle w:val="96"/>
            </w:pPr>
            <w:r>
              <w:t>合理安排作业时间，优选低噪声设备，加强维修管理，加强运输车辆管理；</w:t>
            </w:r>
          </w:p>
        </w:tc>
        <w:tc>
          <w:tcPr>
            <w:tcW w:w="784" w:type="dxa"/>
            <w:tcBorders>
              <w:top w:val="single" w:color="auto" w:sz="6" w:space="0"/>
              <w:left w:val="single" w:color="auto" w:sz="6" w:space="0"/>
              <w:bottom w:val="single" w:color="auto" w:sz="6" w:space="0"/>
              <w:right w:val="nil"/>
            </w:tcBorders>
            <w:vAlign w:val="center"/>
          </w:tcPr>
          <w:p w14:paraId="1C6A6A48">
            <w:pPr>
              <w:pStyle w:val="96"/>
            </w:pPr>
            <w:r>
              <w:t>2.0</w:t>
            </w:r>
          </w:p>
        </w:tc>
      </w:tr>
      <w:tr w14:paraId="3F4138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66E7E60E">
            <w:pPr>
              <w:widowControl/>
              <w:jc w:val="left"/>
              <w:rPr>
                <w:sz w:val="21"/>
                <w:szCs w:val="21"/>
              </w:rPr>
            </w:pPr>
          </w:p>
        </w:tc>
        <w:tc>
          <w:tcPr>
            <w:tcW w:w="694" w:type="dxa"/>
            <w:vMerge w:val="restart"/>
            <w:tcBorders>
              <w:top w:val="single" w:color="auto" w:sz="6" w:space="0"/>
              <w:left w:val="single" w:color="auto" w:sz="6" w:space="0"/>
              <w:bottom w:val="single" w:color="auto" w:sz="6" w:space="0"/>
              <w:right w:val="single" w:color="auto" w:sz="6" w:space="0"/>
            </w:tcBorders>
            <w:vAlign w:val="center"/>
          </w:tcPr>
          <w:p w14:paraId="697186EB">
            <w:pPr>
              <w:pStyle w:val="96"/>
            </w:pPr>
            <w:r>
              <w:t>固体废物</w:t>
            </w:r>
          </w:p>
        </w:tc>
        <w:tc>
          <w:tcPr>
            <w:tcW w:w="1946" w:type="dxa"/>
            <w:tcBorders>
              <w:top w:val="single" w:color="auto" w:sz="6" w:space="0"/>
              <w:left w:val="single" w:color="auto" w:sz="6" w:space="0"/>
              <w:bottom w:val="single" w:color="auto" w:sz="6" w:space="0"/>
              <w:right w:val="single" w:color="auto" w:sz="6" w:space="0"/>
            </w:tcBorders>
            <w:vAlign w:val="center"/>
          </w:tcPr>
          <w:p w14:paraId="4351CB6C">
            <w:pPr>
              <w:pStyle w:val="96"/>
            </w:pPr>
            <w:r>
              <w:t>施工废料、弃土、装修垃圾</w:t>
            </w:r>
          </w:p>
        </w:tc>
        <w:tc>
          <w:tcPr>
            <w:tcW w:w="4409" w:type="dxa"/>
            <w:tcBorders>
              <w:top w:val="single" w:color="auto" w:sz="6" w:space="0"/>
              <w:left w:val="single" w:color="auto" w:sz="6" w:space="0"/>
              <w:bottom w:val="single" w:color="auto" w:sz="6" w:space="0"/>
              <w:right w:val="single" w:color="auto" w:sz="6" w:space="0"/>
            </w:tcBorders>
            <w:vAlign w:val="center"/>
          </w:tcPr>
          <w:p w14:paraId="33F5D736">
            <w:pPr>
              <w:pStyle w:val="96"/>
            </w:pPr>
            <w:r>
              <w:t>可回收部分回收，不可回收部分送垃圾填埋场安全填埋，弃土弃渣按市政要求送指定地点堆放；</w:t>
            </w:r>
          </w:p>
        </w:tc>
        <w:tc>
          <w:tcPr>
            <w:tcW w:w="784" w:type="dxa"/>
            <w:vMerge w:val="restart"/>
            <w:tcBorders>
              <w:top w:val="single" w:color="auto" w:sz="6" w:space="0"/>
              <w:left w:val="single" w:color="auto" w:sz="6" w:space="0"/>
              <w:bottom w:val="single" w:color="auto" w:sz="6" w:space="0"/>
              <w:right w:val="nil"/>
            </w:tcBorders>
            <w:vAlign w:val="center"/>
          </w:tcPr>
          <w:p w14:paraId="794DF872">
            <w:pPr>
              <w:pStyle w:val="96"/>
            </w:pPr>
            <w:r>
              <w:t>10.0</w:t>
            </w:r>
          </w:p>
        </w:tc>
      </w:tr>
      <w:tr w14:paraId="4802A0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44294501">
            <w:pPr>
              <w:widowControl/>
              <w:jc w:val="left"/>
              <w:rPr>
                <w:sz w:val="21"/>
                <w:szCs w:val="21"/>
              </w:rPr>
            </w:pPr>
          </w:p>
        </w:tc>
        <w:tc>
          <w:tcPr>
            <w:tcW w:w="694" w:type="dxa"/>
            <w:vMerge w:val="continue"/>
            <w:tcBorders>
              <w:top w:val="single" w:color="auto" w:sz="6" w:space="0"/>
              <w:left w:val="single" w:color="auto" w:sz="6" w:space="0"/>
              <w:bottom w:val="single" w:color="auto" w:sz="6" w:space="0"/>
              <w:right w:val="single" w:color="auto" w:sz="6" w:space="0"/>
            </w:tcBorders>
            <w:vAlign w:val="center"/>
          </w:tcPr>
          <w:p w14:paraId="7E491B9D">
            <w:pPr>
              <w:widowControl/>
              <w:jc w:val="left"/>
              <w:rPr>
                <w:sz w:val="21"/>
                <w:szCs w:val="21"/>
              </w:rPr>
            </w:pPr>
          </w:p>
        </w:tc>
        <w:tc>
          <w:tcPr>
            <w:tcW w:w="1946" w:type="dxa"/>
            <w:tcBorders>
              <w:top w:val="single" w:color="auto" w:sz="6" w:space="0"/>
              <w:left w:val="single" w:color="auto" w:sz="6" w:space="0"/>
              <w:bottom w:val="single" w:color="auto" w:sz="6" w:space="0"/>
              <w:right w:val="single" w:color="auto" w:sz="6" w:space="0"/>
            </w:tcBorders>
            <w:vAlign w:val="center"/>
          </w:tcPr>
          <w:p w14:paraId="55B55796">
            <w:pPr>
              <w:pStyle w:val="96"/>
            </w:pPr>
            <w:r>
              <w:t>生活垃圾</w:t>
            </w:r>
          </w:p>
        </w:tc>
        <w:tc>
          <w:tcPr>
            <w:tcW w:w="4409" w:type="dxa"/>
            <w:tcBorders>
              <w:top w:val="single" w:color="auto" w:sz="6" w:space="0"/>
              <w:left w:val="single" w:color="auto" w:sz="6" w:space="0"/>
              <w:bottom w:val="single" w:color="auto" w:sz="6" w:space="0"/>
              <w:right w:val="single" w:color="auto" w:sz="6" w:space="0"/>
            </w:tcBorders>
            <w:vAlign w:val="center"/>
          </w:tcPr>
          <w:p w14:paraId="28EDF195">
            <w:pPr>
              <w:pStyle w:val="96"/>
            </w:pPr>
            <w:r>
              <w:t>设置垃圾收集设施；</w:t>
            </w:r>
          </w:p>
        </w:tc>
        <w:tc>
          <w:tcPr>
            <w:tcW w:w="784" w:type="dxa"/>
            <w:vMerge w:val="continue"/>
            <w:tcBorders>
              <w:top w:val="single" w:color="auto" w:sz="6" w:space="0"/>
              <w:left w:val="single" w:color="auto" w:sz="6" w:space="0"/>
              <w:bottom w:val="single" w:color="auto" w:sz="6" w:space="0"/>
              <w:right w:val="nil"/>
            </w:tcBorders>
            <w:vAlign w:val="center"/>
          </w:tcPr>
          <w:p w14:paraId="4B599DAC">
            <w:pPr>
              <w:widowControl/>
              <w:jc w:val="left"/>
              <w:rPr>
                <w:sz w:val="21"/>
                <w:szCs w:val="21"/>
              </w:rPr>
            </w:pPr>
          </w:p>
        </w:tc>
      </w:tr>
      <w:tr w14:paraId="480DEE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27CDB658">
            <w:pPr>
              <w:widowControl/>
              <w:jc w:val="left"/>
              <w:rPr>
                <w:sz w:val="21"/>
                <w:szCs w:val="21"/>
              </w:rPr>
            </w:pPr>
          </w:p>
        </w:tc>
        <w:tc>
          <w:tcPr>
            <w:tcW w:w="694" w:type="dxa"/>
            <w:tcBorders>
              <w:top w:val="single" w:color="auto" w:sz="6" w:space="0"/>
              <w:left w:val="single" w:color="auto" w:sz="6" w:space="0"/>
              <w:bottom w:val="single" w:color="auto" w:sz="6" w:space="0"/>
              <w:right w:val="single" w:color="auto" w:sz="6" w:space="0"/>
            </w:tcBorders>
            <w:vAlign w:val="center"/>
          </w:tcPr>
          <w:p w14:paraId="19D9232A">
            <w:pPr>
              <w:pStyle w:val="96"/>
            </w:pPr>
            <w:r>
              <w:t>生态环境</w:t>
            </w:r>
          </w:p>
        </w:tc>
        <w:tc>
          <w:tcPr>
            <w:tcW w:w="1946" w:type="dxa"/>
            <w:tcBorders>
              <w:top w:val="single" w:color="auto" w:sz="6" w:space="0"/>
              <w:left w:val="single" w:color="auto" w:sz="6" w:space="0"/>
              <w:bottom w:val="single" w:color="auto" w:sz="6" w:space="0"/>
              <w:right w:val="single" w:color="auto" w:sz="6" w:space="0"/>
            </w:tcBorders>
            <w:vAlign w:val="center"/>
          </w:tcPr>
          <w:p w14:paraId="3A26C9E4">
            <w:pPr>
              <w:pStyle w:val="96"/>
            </w:pPr>
            <w:r>
              <w:t>/</w:t>
            </w:r>
          </w:p>
        </w:tc>
        <w:tc>
          <w:tcPr>
            <w:tcW w:w="4409" w:type="dxa"/>
            <w:tcBorders>
              <w:top w:val="single" w:color="auto" w:sz="6" w:space="0"/>
              <w:left w:val="single" w:color="auto" w:sz="6" w:space="0"/>
              <w:bottom w:val="single" w:color="auto" w:sz="6" w:space="0"/>
              <w:right w:val="single" w:color="auto" w:sz="6" w:space="0"/>
            </w:tcBorders>
            <w:vAlign w:val="center"/>
          </w:tcPr>
          <w:p w14:paraId="7D1BFC2D">
            <w:pPr>
              <w:pStyle w:val="96"/>
            </w:pPr>
            <w:r>
              <w:t>减少土方开挖、回填量和堆放占用土地，做好施工期生态恢复及防砂治沙工作；</w:t>
            </w:r>
          </w:p>
        </w:tc>
        <w:tc>
          <w:tcPr>
            <w:tcW w:w="784" w:type="dxa"/>
            <w:tcBorders>
              <w:top w:val="single" w:color="auto" w:sz="6" w:space="0"/>
              <w:left w:val="single" w:color="auto" w:sz="6" w:space="0"/>
              <w:bottom w:val="single" w:color="auto" w:sz="6" w:space="0"/>
              <w:right w:val="nil"/>
            </w:tcBorders>
            <w:vAlign w:val="center"/>
          </w:tcPr>
          <w:p w14:paraId="35A64E13">
            <w:pPr>
              <w:pStyle w:val="96"/>
            </w:pPr>
            <w:r>
              <w:t>5.0</w:t>
            </w:r>
          </w:p>
        </w:tc>
      </w:tr>
      <w:tr w14:paraId="2B200D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restart"/>
            <w:tcBorders>
              <w:top w:val="single" w:color="auto" w:sz="6" w:space="0"/>
              <w:left w:val="nil"/>
              <w:bottom w:val="single" w:color="auto" w:sz="6" w:space="0"/>
              <w:right w:val="single" w:color="auto" w:sz="6" w:space="0"/>
            </w:tcBorders>
            <w:vAlign w:val="center"/>
          </w:tcPr>
          <w:p w14:paraId="59955F2F">
            <w:pPr>
              <w:pStyle w:val="96"/>
            </w:pPr>
            <w:r>
              <w:t>运营期</w:t>
            </w:r>
          </w:p>
        </w:tc>
        <w:tc>
          <w:tcPr>
            <w:tcW w:w="694" w:type="dxa"/>
            <w:vMerge w:val="restart"/>
            <w:tcBorders>
              <w:top w:val="single" w:color="auto" w:sz="6" w:space="0"/>
              <w:left w:val="single" w:color="auto" w:sz="6" w:space="0"/>
              <w:bottom w:val="single" w:color="auto" w:sz="6" w:space="0"/>
              <w:right w:val="single" w:color="auto" w:sz="6" w:space="0"/>
            </w:tcBorders>
            <w:vAlign w:val="center"/>
          </w:tcPr>
          <w:p w14:paraId="527165AA">
            <w:pPr>
              <w:pStyle w:val="96"/>
            </w:pPr>
            <w:r>
              <w:t>废气</w:t>
            </w:r>
          </w:p>
        </w:tc>
        <w:tc>
          <w:tcPr>
            <w:tcW w:w="1946" w:type="dxa"/>
            <w:tcBorders>
              <w:top w:val="single" w:color="auto" w:sz="6" w:space="0"/>
              <w:left w:val="single" w:color="auto" w:sz="6" w:space="0"/>
              <w:bottom w:val="single" w:color="auto" w:sz="6" w:space="0"/>
              <w:right w:val="single" w:color="auto" w:sz="6" w:space="0"/>
            </w:tcBorders>
            <w:vAlign w:val="center"/>
          </w:tcPr>
          <w:p w14:paraId="6356118F">
            <w:pPr>
              <w:pStyle w:val="96"/>
            </w:pPr>
            <w:r>
              <w:t>烧结机头废气排放口</w:t>
            </w:r>
          </w:p>
        </w:tc>
        <w:tc>
          <w:tcPr>
            <w:tcW w:w="4409" w:type="dxa"/>
            <w:tcBorders>
              <w:top w:val="single" w:color="auto" w:sz="6" w:space="0"/>
              <w:left w:val="single" w:color="auto" w:sz="6" w:space="0"/>
              <w:bottom w:val="single" w:color="auto" w:sz="6" w:space="0"/>
              <w:right w:val="single" w:color="auto" w:sz="6" w:space="0"/>
            </w:tcBorders>
            <w:vAlign w:val="center"/>
          </w:tcPr>
          <w:p w14:paraId="77EC7CE1">
            <w:pPr>
              <w:pStyle w:val="96"/>
            </w:pPr>
            <w:r>
              <w:t>经SCR脱硝+石灰石-石膏法脱硫+多管除尘+湿电除尘处理后通过55m排气筒（DA002）排放</w:t>
            </w:r>
          </w:p>
        </w:tc>
        <w:tc>
          <w:tcPr>
            <w:tcW w:w="784" w:type="dxa"/>
            <w:tcBorders>
              <w:top w:val="single" w:color="auto" w:sz="6" w:space="0"/>
              <w:left w:val="single" w:color="auto" w:sz="6" w:space="0"/>
              <w:bottom w:val="single" w:color="auto" w:sz="6" w:space="0"/>
              <w:right w:val="nil"/>
            </w:tcBorders>
            <w:vAlign w:val="center"/>
          </w:tcPr>
          <w:p w14:paraId="467FAD16">
            <w:pPr>
              <w:pStyle w:val="96"/>
            </w:pPr>
            <w:r>
              <w:t>/</w:t>
            </w:r>
          </w:p>
        </w:tc>
      </w:tr>
      <w:tr w14:paraId="29DF19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07BEE930">
            <w:pPr>
              <w:widowControl/>
              <w:jc w:val="left"/>
              <w:rPr>
                <w:sz w:val="21"/>
                <w:szCs w:val="21"/>
              </w:rPr>
            </w:pPr>
          </w:p>
        </w:tc>
        <w:tc>
          <w:tcPr>
            <w:tcW w:w="694" w:type="dxa"/>
            <w:vMerge w:val="continue"/>
            <w:tcBorders>
              <w:top w:val="single" w:color="auto" w:sz="6" w:space="0"/>
              <w:left w:val="single" w:color="auto" w:sz="6" w:space="0"/>
              <w:bottom w:val="single" w:color="auto" w:sz="6" w:space="0"/>
              <w:right w:val="single" w:color="auto" w:sz="6" w:space="0"/>
            </w:tcBorders>
            <w:vAlign w:val="center"/>
          </w:tcPr>
          <w:p w14:paraId="42049D3F">
            <w:pPr>
              <w:widowControl/>
              <w:jc w:val="left"/>
              <w:rPr>
                <w:sz w:val="21"/>
                <w:szCs w:val="21"/>
              </w:rPr>
            </w:pPr>
          </w:p>
        </w:tc>
        <w:tc>
          <w:tcPr>
            <w:tcW w:w="1946" w:type="dxa"/>
            <w:tcBorders>
              <w:top w:val="single" w:color="auto" w:sz="6" w:space="0"/>
              <w:left w:val="single" w:color="auto" w:sz="6" w:space="0"/>
              <w:bottom w:val="single" w:color="auto" w:sz="6" w:space="0"/>
              <w:right w:val="single" w:color="auto" w:sz="6" w:space="0"/>
            </w:tcBorders>
            <w:vAlign w:val="center"/>
          </w:tcPr>
          <w:p w14:paraId="46114650">
            <w:pPr>
              <w:pStyle w:val="96"/>
            </w:pPr>
            <w:r>
              <w:t>烧结机尾废气排放口</w:t>
            </w:r>
          </w:p>
        </w:tc>
        <w:tc>
          <w:tcPr>
            <w:tcW w:w="4409" w:type="dxa"/>
            <w:tcBorders>
              <w:top w:val="single" w:color="auto" w:sz="6" w:space="0"/>
              <w:left w:val="single" w:color="auto" w:sz="6" w:space="0"/>
              <w:bottom w:val="single" w:color="auto" w:sz="6" w:space="0"/>
              <w:right w:val="single" w:color="auto" w:sz="6" w:space="0"/>
            </w:tcBorders>
            <w:vAlign w:val="center"/>
          </w:tcPr>
          <w:p w14:paraId="1FC34F65">
            <w:pPr>
              <w:pStyle w:val="96"/>
              <w:rPr>
                <w:kern w:val="2"/>
              </w:rPr>
            </w:pPr>
            <w:r>
              <w:rPr>
                <w:kern w:val="2"/>
              </w:rPr>
              <w:t>经多管除尘器+湿式电除尘+30m排气筒（DA008）排放</w:t>
            </w:r>
          </w:p>
        </w:tc>
        <w:tc>
          <w:tcPr>
            <w:tcW w:w="784" w:type="dxa"/>
            <w:tcBorders>
              <w:top w:val="single" w:color="auto" w:sz="6" w:space="0"/>
              <w:left w:val="single" w:color="auto" w:sz="6" w:space="0"/>
              <w:bottom w:val="single" w:color="auto" w:sz="6" w:space="0"/>
              <w:right w:val="nil"/>
            </w:tcBorders>
            <w:vAlign w:val="center"/>
          </w:tcPr>
          <w:p w14:paraId="22C9917C">
            <w:pPr>
              <w:pStyle w:val="96"/>
            </w:pPr>
            <w:r>
              <w:t>/</w:t>
            </w:r>
          </w:p>
        </w:tc>
      </w:tr>
      <w:tr w14:paraId="5BAB67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6EF2E87F">
            <w:pPr>
              <w:widowControl/>
              <w:jc w:val="left"/>
              <w:rPr>
                <w:sz w:val="21"/>
                <w:szCs w:val="21"/>
              </w:rPr>
            </w:pPr>
          </w:p>
        </w:tc>
        <w:tc>
          <w:tcPr>
            <w:tcW w:w="694" w:type="dxa"/>
            <w:vMerge w:val="continue"/>
            <w:tcBorders>
              <w:top w:val="single" w:color="auto" w:sz="6" w:space="0"/>
              <w:left w:val="single" w:color="auto" w:sz="6" w:space="0"/>
              <w:bottom w:val="single" w:color="auto" w:sz="6" w:space="0"/>
              <w:right w:val="single" w:color="auto" w:sz="6" w:space="0"/>
            </w:tcBorders>
            <w:vAlign w:val="center"/>
          </w:tcPr>
          <w:p w14:paraId="77CE47F2">
            <w:pPr>
              <w:widowControl/>
              <w:jc w:val="left"/>
              <w:rPr>
                <w:sz w:val="21"/>
                <w:szCs w:val="21"/>
              </w:rPr>
            </w:pPr>
          </w:p>
        </w:tc>
        <w:tc>
          <w:tcPr>
            <w:tcW w:w="1946" w:type="dxa"/>
            <w:tcBorders>
              <w:top w:val="single" w:color="auto" w:sz="6" w:space="0"/>
              <w:left w:val="single" w:color="auto" w:sz="6" w:space="0"/>
              <w:bottom w:val="single" w:color="auto" w:sz="6" w:space="0"/>
              <w:right w:val="single" w:color="auto" w:sz="6" w:space="0"/>
            </w:tcBorders>
            <w:vAlign w:val="center"/>
          </w:tcPr>
          <w:p w14:paraId="3FAAF9D6">
            <w:pPr>
              <w:pStyle w:val="96"/>
            </w:pPr>
            <w:r>
              <w:t>技改新增精炼车间废气排放口</w:t>
            </w:r>
          </w:p>
        </w:tc>
        <w:tc>
          <w:tcPr>
            <w:tcW w:w="4409" w:type="dxa"/>
            <w:tcBorders>
              <w:top w:val="single" w:color="auto" w:sz="6" w:space="0"/>
              <w:left w:val="single" w:color="auto" w:sz="6" w:space="0"/>
              <w:bottom w:val="single" w:color="auto" w:sz="6" w:space="0"/>
              <w:right w:val="single" w:color="auto" w:sz="6" w:space="0"/>
            </w:tcBorders>
            <w:vAlign w:val="center"/>
          </w:tcPr>
          <w:p w14:paraId="1D3F6860">
            <w:pPr>
              <w:pStyle w:val="96"/>
              <w:rPr>
                <w:kern w:val="2"/>
              </w:rPr>
            </w:pPr>
            <w:r>
              <w:rPr>
                <w:kern w:val="2"/>
              </w:rPr>
              <w:t>袋式除尘器+15m排气筒（DA009）</w:t>
            </w:r>
          </w:p>
        </w:tc>
        <w:tc>
          <w:tcPr>
            <w:tcW w:w="784" w:type="dxa"/>
            <w:tcBorders>
              <w:top w:val="single" w:color="auto" w:sz="6" w:space="0"/>
              <w:left w:val="single" w:color="auto" w:sz="6" w:space="0"/>
              <w:bottom w:val="single" w:color="auto" w:sz="6" w:space="0"/>
              <w:right w:val="nil"/>
            </w:tcBorders>
            <w:vAlign w:val="center"/>
          </w:tcPr>
          <w:p w14:paraId="2493F85A">
            <w:pPr>
              <w:pStyle w:val="96"/>
            </w:pPr>
            <w:r>
              <w:t>50</w:t>
            </w:r>
          </w:p>
        </w:tc>
      </w:tr>
      <w:tr w14:paraId="50EE95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59AE1B99">
            <w:pPr>
              <w:widowControl/>
              <w:jc w:val="left"/>
              <w:rPr>
                <w:sz w:val="21"/>
                <w:szCs w:val="21"/>
              </w:rPr>
            </w:pPr>
          </w:p>
        </w:tc>
        <w:tc>
          <w:tcPr>
            <w:tcW w:w="694" w:type="dxa"/>
            <w:tcBorders>
              <w:top w:val="single" w:color="auto" w:sz="6" w:space="0"/>
              <w:left w:val="single" w:color="auto" w:sz="6" w:space="0"/>
              <w:bottom w:val="single" w:color="auto" w:sz="6" w:space="0"/>
              <w:right w:val="single" w:color="auto" w:sz="6" w:space="0"/>
            </w:tcBorders>
            <w:vAlign w:val="center"/>
          </w:tcPr>
          <w:p w14:paraId="076599B9">
            <w:pPr>
              <w:pStyle w:val="96"/>
            </w:pPr>
            <w:r>
              <w:t>废水</w:t>
            </w:r>
          </w:p>
        </w:tc>
        <w:tc>
          <w:tcPr>
            <w:tcW w:w="1946" w:type="dxa"/>
            <w:tcBorders>
              <w:top w:val="single" w:color="auto" w:sz="6" w:space="0"/>
              <w:left w:val="single" w:color="auto" w:sz="6" w:space="0"/>
              <w:bottom w:val="single" w:color="auto" w:sz="6" w:space="0"/>
              <w:right w:val="single" w:color="auto" w:sz="6" w:space="0"/>
            </w:tcBorders>
            <w:vAlign w:val="center"/>
          </w:tcPr>
          <w:p w14:paraId="5FC6F937">
            <w:pPr>
              <w:pStyle w:val="96"/>
            </w:pPr>
            <w:r>
              <w:t>循环冷却系统</w:t>
            </w:r>
          </w:p>
        </w:tc>
        <w:tc>
          <w:tcPr>
            <w:tcW w:w="4409" w:type="dxa"/>
            <w:tcBorders>
              <w:top w:val="single" w:color="auto" w:sz="6" w:space="0"/>
              <w:left w:val="single" w:color="auto" w:sz="6" w:space="0"/>
              <w:bottom w:val="single" w:color="auto" w:sz="6" w:space="0"/>
              <w:right w:val="single" w:color="auto" w:sz="6" w:space="0"/>
            </w:tcBorders>
            <w:vAlign w:val="center"/>
          </w:tcPr>
          <w:p w14:paraId="6F5396DB">
            <w:pPr>
              <w:pStyle w:val="96"/>
            </w:pPr>
            <w:r>
              <w:t>循环冷却水，全部循环使用，不外排</w:t>
            </w:r>
          </w:p>
        </w:tc>
        <w:tc>
          <w:tcPr>
            <w:tcW w:w="784" w:type="dxa"/>
            <w:tcBorders>
              <w:top w:val="single" w:color="auto" w:sz="6" w:space="0"/>
              <w:left w:val="single" w:color="auto" w:sz="6" w:space="0"/>
              <w:bottom w:val="single" w:color="auto" w:sz="6" w:space="0"/>
              <w:right w:val="nil"/>
            </w:tcBorders>
            <w:vAlign w:val="center"/>
          </w:tcPr>
          <w:p w14:paraId="74CF54A1">
            <w:pPr>
              <w:pStyle w:val="96"/>
            </w:pPr>
            <w:r>
              <w:t>1.0</w:t>
            </w:r>
          </w:p>
        </w:tc>
      </w:tr>
      <w:tr w14:paraId="6308B0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6BDB06F2">
            <w:pPr>
              <w:widowControl/>
              <w:jc w:val="left"/>
              <w:rPr>
                <w:sz w:val="21"/>
                <w:szCs w:val="21"/>
              </w:rPr>
            </w:pPr>
          </w:p>
        </w:tc>
        <w:tc>
          <w:tcPr>
            <w:tcW w:w="694" w:type="dxa"/>
            <w:tcBorders>
              <w:top w:val="single" w:color="auto" w:sz="6" w:space="0"/>
              <w:left w:val="single" w:color="auto" w:sz="6" w:space="0"/>
              <w:bottom w:val="single" w:color="auto" w:sz="6" w:space="0"/>
              <w:right w:val="single" w:color="auto" w:sz="6" w:space="0"/>
            </w:tcBorders>
            <w:vAlign w:val="center"/>
          </w:tcPr>
          <w:p w14:paraId="4CA65F75">
            <w:pPr>
              <w:pStyle w:val="96"/>
            </w:pPr>
            <w:r>
              <w:t>噪声</w:t>
            </w:r>
          </w:p>
        </w:tc>
        <w:tc>
          <w:tcPr>
            <w:tcW w:w="1946" w:type="dxa"/>
            <w:tcBorders>
              <w:top w:val="single" w:color="auto" w:sz="6" w:space="0"/>
              <w:left w:val="single" w:color="auto" w:sz="6" w:space="0"/>
              <w:bottom w:val="single" w:color="auto" w:sz="6" w:space="0"/>
              <w:right w:val="single" w:color="auto" w:sz="6" w:space="0"/>
            </w:tcBorders>
            <w:vAlign w:val="center"/>
          </w:tcPr>
          <w:p w14:paraId="25A8FAED">
            <w:pPr>
              <w:pStyle w:val="96"/>
            </w:pPr>
            <w:r>
              <w:t>噪声</w:t>
            </w:r>
          </w:p>
        </w:tc>
        <w:tc>
          <w:tcPr>
            <w:tcW w:w="4409" w:type="dxa"/>
            <w:tcBorders>
              <w:top w:val="single" w:color="auto" w:sz="6" w:space="0"/>
              <w:left w:val="single" w:color="auto" w:sz="6" w:space="0"/>
              <w:bottom w:val="single" w:color="auto" w:sz="6" w:space="0"/>
              <w:right w:val="single" w:color="auto" w:sz="6" w:space="0"/>
            </w:tcBorders>
            <w:vAlign w:val="center"/>
          </w:tcPr>
          <w:p w14:paraId="5EAF0D65">
            <w:pPr>
              <w:pStyle w:val="96"/>
            </w:pPr>
            <w:r>
              <w:t>选购低噪声设备，基础减排、建筑隔声；</w:t>
            </w:r>
          </w:p>
        </w:tc>
        <w:tc>
          <w:tcPr>
            <w:tcW w:w="784" w:type="dxa"/>
            <w:tcBorders>
              <w:top w:val="single" w:color="auto" w:sz="6" w:space="0"/>
              <w:left w:val="single" w:color="auto" w:sz="6" w:space="0"/>
              <w:bottom w:val="single" w:color="auto" w:sz="6" w:space="0"/>
              <w:right w:val="nil"/>
            </w:tcBorders>
            <w:vAlign w:val="center"/>
          </w:tcPr>
          <w:p w14:paraId="7CA1B77A">
            <w:pPr>
              <w:pStyle w:val="96"/>
            </w:pPr>
            <w:r>
              <w:t>5.0</w:t>
            </w:r>
          </w:p>
        </w:tc>
      </w:tr>
      <w:tr w14:paraId="141703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5F703DD0">
            <w:pPr>
              <w:widowControl/>
              <w:jc w:val="left"/>
              <w:rPr>
                <w:sz w:val="21"/>
                <w:szCs w:val="21"/>
              </w:rPr>
            </w:pPr>
          </w:p>
        </w:tc>
        <w:tc>
          <w:tcPr>
            <w:tcW w:w="694" w:type="dxa"/>
            <w:vMerge w:val="restart"/>
            <w:tcBorders>
              <w:top w:val="single" w:color="auto" w:sz="6" w:space="0"/>
              <w:left w:val="single" w:color="auto" w:sz="6" w:space="0"/>
              <w:bottom w:val="single" w:color="auto" w:sz="6" w:space="0"/>
              <w:right w:val="single" w:color="auto" w:sz="6" w:space="0"/>
            </w:tcBorders>
            <w:vAlign w:val="center"/>
          </w:tcPr>
          <w:p w14:paraId="70002C87">
            <w:pPr>
              <w:pStyle w:val="96"/>
            </w:pPr>
            <w:r>
              <w:t>固体废物</w:t>
            </w:r>
          </w:p>
        </w:tc>
        <w:tc>
          <w:tcPr>
            <w:tcW w:w="1946" w:type="dxa"/>
            <w:tcBorders>
              <w:top w:val="single" w:color="auto" w:sz="6" w:space="0"/>
              <w:left w:val="single" w:color="auto" w:sz="6" w:space="0"/>
              <w:bottom w:val="single" w:color="auto" w:sz="6" w:space="0"/>
              <w:right w:val="single" w:color="auto" w:sz="6" w:space="0"/>
            </w:tcBorders>
            <w:vAlign w:val="center"/>
          </w:tcPr>
          <w:p w14:paraId="51B91A52">
            <w:pPr>
              <w:pStyle w:val="96"/>
            </w:pPr>
            <w:r>
              <w:t>一般固废</w:t>
            </w:r>
          </w:p>
        </w:tc>
        <w:tc>
          <w:tcPr>
            <w:tcW w:w="4409" w:type="dxa"/>
            <w:tcBorders>
              <w:top w:val="single" w:color="auto" w:sz="6" w:space="0"/>
              <w:left w:val="single" w:color="auto" w:sz="6" w:space="0"/>
              <w:bottom w:val="single" w:color="auto" w:sz="6" w:space="0"/>
              <w:right w:val="single" w:color="auto" w:sz="6" w:space="0"/>
            </w:tcBorders>
            <w:vAlign w:val="center"/>
          </w:tcPr>
          <w:p w14:paraId="4533AF8E">
            <w:pPr>
              <w:pStyle w:val="96"/>
            </w:pPr>
            <w:r>
              <w:t>冶炼渣、脱硫石膏依托现有仓库临时存储，统一交由奎屯龙之盾商贸有限公司处置</w:t>
            </w:r>
          </w:p>
        </w:tc>
        <w:tc>
          <w:tcPr>
            <w:tcW w:w="784" w:type="dxa"/>
            <w:tcBorders>
              <w:top w:val="single" w:color="auto" w:sz="6" w:space="0"/>
              <w:left w:val="single" w:color="auto" w:sz="6" w:space="0"/>
              <w:bottom w:val="single" w:color="auto" w:sz="6" w:space="0"/>
              <w:right w:val="nil"/>
            </w:tcBorders>
            <w:vAlign w:val="center"/>
          </w:tcPr>
          <w:p w14:paraId="6AE2A669">
            <w:pPr>
              <w:pStyle w:val="96"/>
            </w:pPr>
            <w:r>
              <w:t>10.0</w:t>
            </w:r>
          </w:p>
        </w:tc>
      </w:tr>
      <w:tr w14:paraId="21EFF9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51EC55FA">
            <w:pPr>
              <w:widowControl/>
              <w:jc w:val="left"/>
              <w:rPr>
                <w:sz w:val="21"/>
                <w:szCs w:val="21"/>
              </w:rPr>
            </w:pPr>
          </w:p>
        </w:tc>
        <w:tc>
          <w:tcPr>
            <w:tcW w:w="694" w:type="dxa"/>
            <w:vMerge w:val="continue"/>
            <w:tcBorders>
              <w:top w:val="single" w:color="auto" w:sz="6" w:space="0"/>
              <w:left w:val="single" w:color="auto" w:sz="6" w:space="0"/>
              <w:bottom w:val="single" w:color="auto" w:sz="6" w:space="0"/>
              <w:right w:val="single" w:color="auto" w:sz="6" w:space="0"/>
            </w:tcBorders>
            <w:vAlign w:val="center"/>
          </w:tcPr>
          <w:p w14:paraId="72AB33AE">
            <w:pPr>
              <w:widowControl/>
              <w:jc w:val="left"/>
              <w:rPr>
                <w:sz w:val="21"/>
                <w:szCs w:val="21"/>
              </w:rPr>
            </w:pPr>
          </w:p>
        </w:tc>
        <w:tc>
          <w:tcPr>
            <w:tcW w:w="1946" w:type="dxa"/>
            <w:tcBorders>
              <w:top w:val="single" w:color="auto" w:sz="6" w:space="0"/>
              <w:left w:val="single" w:color="auto" w:sz="6" w:space="0"/>
              <w:bottom w:val="single" w:color="auto" w:sz="6" w:space="0"/>
              <w:right w:val="single" w:color="auto" w:sz="6" w:space="0"/>
            </w:tcBorders>
            <w:vAlign w:val="center"/>
          </w:tcPr>
          <w:p w14:paraId="2CEA8E93">
            <w:pPr>
              <w:pStyle w:val="96"/>
            </w:pPr>
            <w:r>
              <w:t>危险废物</w:t>
            </w:r>
          </w:p>
        </w:tc>
        <w:tc>
          <w:tcPr>
            <w:tcW w:w="4409" w:type="dxa"/>
            <w:tcBorders>
              <w:top w:val="single" w:color="auto" w:sz="6" w:space="0"/>
              <w:left w:val="single" w:color="auto" w:sz="6" w:space="0"/>
              <w:bottom w:val="single" w:color="auto" w:sz="6" w:space="0"/>
              <w:right w:val="single" w:color="auto" w:sz="6" w:space="0"/>
            </w:tcBorders>
            <w:vAlign w:val="center"/>
          </w:tcPr>
          <w:p w14:paraId="3D6C7AB0">
            <w:pPr>
              <w:pStyle w:val="96"/>
            </w:pPr>
            <w:r>
              <w:t>废矿物油集中收集后在危废暂存间暂存，统一由新疆创蓝环保科技有限责任公司处置</w:t>
            </w:r>
          </w:p>
        </w:tc>
        <w:tc>
          <w:tcPr>
            <w:tcW w:w="784" w:type="dxa"/>
            <w:tcBorders>
              <w:top w:val="single" w:color="auto" w:sz="6" w:space="0"/>
              <w:left w:val="single" w:color="auto" w:sz="6" w:space="0"/>
              <w:bottom w:val="single" w:color="auto" w:sz="6" w:space="0"/>
              <w:right w:val="nil"/>
            </w:tcBorders>
            <w:vAlign w:val="center"/>
          </w:tcPr>
          <w:p w14:paraId="05AB9140">
            <w:pPr>
              <w:pStyle w:val="96"/>
            </w:pPr>
            <w:r>
              <w:t>1.0</w:t>
            </w:r>
          </w:p>
        </w:tc>
      </w:tr>
      <w:tr w14:paraId="6B1D5D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0E446924">
            <w:pPr>
              <w:widowControl/>
              <w:jc w:val="left"/>
              <w:rPr>
                <w:sz w:val="21"/>
                <w:szCs w:val="21"/>
              </w:rPr>
            </w:pPr>
          </w:p>
        </w:tc>
        <w:tc>
          <w:tcPr>
            <w:tcW w:w="694" w:type="dxa"/>
            <w:vMerge w:val="restart"/>
            <w:tcBorders>
              <w:top w:val="single" w:color="auto" w:sz="6" w:space="0"/>
              <w:left w:val="single" w:color="auto" w:sz="6" w:space="0"/>
              <w:right w:val="single" w:color="auto" w:sz="6" w:space="0"/>
            </w:tcBorders>
            <w:vAlign w:val="center"/>
          </w:tcPr>
          <w:p w14:paraId="71824D49">
            <w:pPr>
              <w:pStyle w:val="96"/>
            </w:pPr>
            <w:r>
              <w:t>环境风险</w:t>
            </w:r>
          </w:p>
        </w:tc>
        <w:tc>
          <w:tcPr>
            <w:tcW w:w="1946" w:type="dxa"/>
            <w:tcBorders>
              <w:top w:val="single" w:color="auto" w:sz="6" w:space="0"/>
              <w:left w:val="single" w:color="auto" w:sz="6" w:space="0"/>
              <w:bottom w:val="single" w:color="auto" w:sz="6" w:space="0"/>
              <w:right w:val="single" w:color="auto" w:sz="6" w:space="0"/>
            </w:tcBorders>
            <w:vAlign w:val="center"/>
          </w:tcPr>
          <w:p w14:paraId="2EDBE71A">
            <w:pPr>
              <w:pStyle w:val="96"/>
            </w:pPr>
            <w:r>
              <w:t>在线监测</w:t>
            </w:r>
          </w:p>
        </w:tc>
        <w:tc>
          <w:tcPr>
            <w:tcW w:w="4409" w:type="dxa"/>
            <w:tcBorders>
              <w:top w:val="single" w:color="auto" w:sz="6" w:space="0"/>
              <w:left w:val="single" w:color="auto" w:sz="6" w:space="0"/>
              <w:bottom w:val="single" w:color="auto" w:sz="6" w:space="0"/>
              <w:right w:val="single" w:color="auto" w:sz="6" w:space="0"/>
            </w:tcBorders>
            <w:vAlign w:val="center"/>
          </w:tcPr>
          <w:p w14:paraId="453D9468">
            <w:pPr>
              <w:pStyle w:val="96"/>
            </w:pPr>
            <w:r>
              <w:t>安装相关的在线监测设备和环保分析采样设备，包括在线监测设备仪器等。</w:t>
            </w:r>
          </w:p>
        </w:tc>
        <w:tc>
          <w:tcPr>
            <w:tcW w:w="784" w:type="dxa"/>
            <w:tcBorders>
              <w:top w:val="single" w:color="auto" w:sz="6" w:space="0"/>
              <w:left w:val="single" w:color="auto" w:sz="6" w:space="0"/>
              <w:bottom w:val="single" w:color="auto" w:sz="6" w:space="0"/>
              <w:right w:val="nil"/>
            </w:tcBorders>
            <w:vAlign w:val="center"/>
          </w:tcPr>
          <w:p w14:paraId="667329F4">
            <w:pPr>
              <w:pStyle w:val="96"/>
            </w:pPr>
            <w:r>
              <w:t>60.0</w:t>
            </w:r>
          </w:p>
        </w:tc>
      </w:tr>
      <w:tr w14:paraId="41EE37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dxa"/>
            <w:vMerge w:val="continue"/>
            <w:tcBorders>
              <w:top w:val="single" w:color="auto" w:sz="6" w:space="0"/>
              <w:left w:val="nil"/>
              <w:bottom w:val="single" w:color="auto" w:sz="6" w:space="0"/>
              <w:right w:val="single" w:color="auto" w:sz="6" w:space="0"/>
            </w:tcBorders>
            <w:vAlign w:val="center"/>
          </w:tcPr>
          <w:p w14:paraId="608A1BD1">
            <w:pPr>
              <w:widowControl/>
              <w:jc w:val="left"/>
              <w:rPr>
                <w:sz w:val="21"/>
                <w:szCs w:val="21"/>
              </w:rPr>
            </w:pPr>
          </w:p>
        </w:tc>
        <w:tc>
          <w:tcPr>
            <w:tcW w:w="694" w:type="dxa"/>
            <w:vMerge w:val="continue"/>
            <w:tcBorders>
              <w:left w:val="single" w:color="auto" w:sz="6" w:space="0"/>
              <w:bottom w:val="single" w:color="auto" w:sz="6" w:space="0"/>
              <w:right w:val="single" w:color="auto" w:sz="6" w:space="0"/>
            </w:tcBorders>
            <w:vAlign w:val="center"/>
          </w:tcPr>
          <w:p w14:paraId="2D5A0B8D">
            <w:pPr>
              <w:pStyle w:val="96"/>
            </w:pPr>
          </w:p>
        </w:tc>
        <w:tc>
          <w:tcPr>
            <w:tcW w:w="1946" w:type="dxa"/>
            <w:tcBorders>
              <w:top w:val="single" w:color="auto" w:sz="6" w:space="0"/>
              <w:left w:val="single" w:color="auto" w:sz="6" w:space="0"/>
              <w:bottom w:val="single" w:color="auto" w:sz="6" w:space="0"/>
              <w:right w:val="single" w:color="auto" w:sz="6" w:space="0"/>
            </w:tcBorders>
            <w:vAlign w:val="center"/>
          </w:tcPr>
          <w:p w14:paraId="7279E5E7">
            <w:pPr>
              <w:pStyle w:val="96"/>
            </w:pPr>
            <w:r>
              <w:t>防渗措施</w:t>
            </w:r>
          </w:p>
        </w:tc>
        <w:tc>
          <w:tcPr>
            <w:tcW w:w="4409" w:type="dxa"/>
            <w:tcBorders>
              <w:top w:val="single" w:color="auto" w:sz="6" w:space="0"/>
              <w:left w:val="single" w:color="auto" w:sz="6" w:space="0"/>
              <w:bottom w:val="single" w:color="auto" w:sz="6" w:space="0"/>
              <w:right w:val="single" w:color="auto" w:sz="6" w:space="0"/>
            </w:tcBorders>
            <w:vAlign w:val="center"/>
          </w:tcPr>
          <w:p w14:paraId="4975CC46">
            <w:pPr>
              <w:pStyle w:val="96"/>
            </w:pPr>
            <w:r>
              <w:t>防腐缸砖+防腐涂料+抗渗混凝土</w:t>
            </w:r>
          </w:p>
        </w:tc>
        <w:tc>
          <w:tcPr>
            <w:tcW w:w="784" w:type="dxa"/>
            <w:tcBorders>
              <w:top w:val="single" w:color="auto" w:sz="6" w:space="0"/>
              <w:left w:val="single" w:color="auto" w:sz="6" w:space="0"/>
              <w:bottom w:val="single" w:color="auto" w:sz="6" w:space="0"/>
              <w:right w:val="nil"/>
            </w:tcBorders>
            <w:vAlign w:val="center"/>
          </w:tcPr>
          <w:p w14:paraId="472A6EEC">
            <w:pPr>
              <w:pStyle w:val="96"/>
            </w:pPr>
            <w:r>
              <w:t>30.0</w:t>
            </w:r>
          </w:p>
        </w:tc>
      </w:tr>
      <w:tr w14:paraId="510C61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75" w:type="dxa"/>
            <w:gridSpan w:val="4"/>
            <w:tcBorders>
              <w:top w:val="single" w:color="auto" w:sz="6" w:space="0"/>
              <w:left w:val="nil"/>
              <w:bottom w:val="single" w:color="auto" w:sz="12" w:space="0"/>
              <w:right w:val="single" w:color="auto" w:sz="6" w:space="0"/>
            </w:tcBorders>
            <w:vAlign w:val="center"/>
          </w:tcPr>
          <w:p w14:paraId="6ACA0164">
            <w:pPr>
              <w:pStyle w:val="96"/>
            </w:pPr>
            <w:r>
              <w:t>环保投资合计</w:t>
            </w:r>
          </w:p>
        </w:tc>
        <w:tc>
          <w:tcPr>
            <w:tcW w:w="784" w:type="dxa"/>
            <w:tcBorders>
              <w:top w:val="single" w:color="auto" w:sz="6" w:space="0"/>
              <w:left w:val="single" w:color="auto" w:sz="6" w:space="0"/>
              <w:bottom w:val="single" w:color="auto" w:sz="12" w:space="0"/>
              <w:right w:val="nil"/>
            </w:tcBorders>
            <w:vAlign w:val="center"/>
          </w:tcPr>
          <w:p w14:paraId="62A43830">
            <w:pPr>
              <w:pStyle w:val="96"/>
            </w:pPr>
            <w:r>
              <w:t>186</w:t>
            </w:r>
          </w:p>
        </w:tc>
      </w:tr>
    </w:tbl>
    <w:p w14:paraId="630FEF0D">
      <w:pPr>
        <w:pStyle w:val="58"/>
        <w:ind w:firstLine="480"/>
        <w:rPr>
          <w:rFonts w:cs="Times New Roman"/>
        </w:rPr>
      </w:pPr>
      <w:r>
        <w:rPr>
          <w:rFonts w:cs="Times New Roman"/>
        </w:rPr>
        <w:t>本项目环保投资主要包括废气源头控制、固体废物综合利用、环境风险控制等环境工程投资，投资重点符合项目的特点，在这些环境保护措施充分实施后，生产过程的污染物排放将会大大地减少，将大量的污染消化在生产过程中，外排废物的环境污染风险也将会大大地降低，使项目建设的环境正效益最大化，较好地控制本项目对环境的污染和影响程度，其环境影响在允许范围之内。</w:t>
      </w:r>
    </w:p>
    <w:p w14:paraId="7552A4CE">
      <w:pPr>
        <w:pStyle w:val="4"/>
      </w:pPr>
      <w:bookmarkStart w:id="263" w:name="_Toc207208413"/>
      <w:bookmarkStart w:id="264" w:name="_Toc32218"/>
      <w:bookmarkStart w:id="265" w:name="_Toc24596"/>
      <w:r>
        <w:t>结论</w:t>
      </w:r>
      <w:bookmarkEnd w:id="263"/>
      <w:bookmarkEnd w:id="264"/>
      <w:bookmarkEnd w:id="265"/>
    </w:p>
    <w:p w14:paraId="7E895FEE">
      <w:pPr>
        <w:pStyle w:val="3"/>
        <w:ind w:firstLine="480"/>
        <w:rPr>
          <w:lang w:val="zh-CN"/>
        </w:rPr>
      </w:pPr>
      <w:r>
        <w:rPr>
          <w:lang w:val="zh-CN"/>
        </w:rPr>
        <w:t>综上所述，建设项目如认真落实本环评提出的各项环境保护措施，保证项目的环境可行性，将具有较为良好的社会效益、经济效益。此外，应当注意在生产过程中加强设备的管理、职工培训、严格操作规程，保证生产设备和环保设施的正常运行，确保环境保护要求的防治措施得到实施，</w:t>
      </w:r>
      <w:r>
        <w:t>使</w:t>
      </w:r>
      <w:r>
        <w:rPr>
          <w:lang w:val="zh-CN"/>
        </w:rPr>
        <w:t>本项目的环境经济效益达到预期的效果。</w:t>
      </w:r>
    </w:p>
    <w:p w14:paraId="77321948">
      <w:pPr>
        <w:pStyle w:val="3"/>
        <w:ind w:firstLine="480"/>
      </w:pPr>
    </w:p>
    <w:p w14:paraId="5800C7AE">
      <w:pPr>
        <w:pStyle w:val="2"/>
      </w:pPr>
      <w:bookmarkStart w:id="266" w:name="_Toc207208414"/>
      <w:bookmarkStart w:id="267" w:name="_Toc12933"/>
      <w:bookmarkStart w:id="268" w:name="_Toc2294"/>
      <w:r>
        <w:t>环境管理与环境监测计划</w:t>
      </w:r>
      <w:bookmarkEnd w:id="266"/>
      <w:bookmarkEnd w:id="267"/>
      <w:bookmarkEnd w:id="268"/>
    </w:p>
    <w:p w14:paraId="30F94709">
      <w:pPr>
        <w:pStyle w:val="4"/>
      </w:pPr>
      <w:bookmarkStart w:id="269" w:name="_Toc15163"/>
      <w:bookmarkStart w:id="270" w:name="_Toc11187"/>
      <w:bookmarkStart w:id="271" w:name="_Toc207208415"/>
      <w:r>
        <w:t>环境管理要求</w:t>
      </w:r>
      <w:bookmarkEnd w:id="269"/>
      <w:bookmarkEnd w:id="270"/>
      <w:bookmarkEnd w:id="271"/>
    </w:p>
    <w:p w14:paraId="66270287">
      <w:pPr>
        <w:pStyle w:val="3"/>
        <w:ind w:firstLine="480"/>
      </w:pPr>
      <w:r>
        <w:t>本技改项目环境管理机构的主要职责包为营运期，具体如下：</w:t>
      </w:r>
    </w:p>
    <w:p w14:paraId="0198E238">
      <w:pPr>
        <w:pStyle w:val="3"/>
        <w:ind w:firstLine="480"/>
      </w:pPr>
      <w:r>
        <w:rPr>
          <w:rFonts w:ascii="Cambria Math" w:hAnsi="Cambria Math" w:cs="Cambria Math"/>
        </w:rPr>
        <w:t>①</w:t>
      </w:r>
      <w:r>
        <w:t>制定污染治理操作规程，记录污染治理设施运行及检修情况，确保治理设施常年正常运行。</w:t>
      </w:r>
    </w:p>
    <w:p w14:paraId="612B2468">
      <w:pPr>
        <w:pStyle w:val="3"/>
        <w:ind w:firstLine="480"/>
      </w:pPr>
      <w:r>
        <w:rPr>
          <w:rFonts w:ascii="Cambria Math" w:hAnsi="Cambria Math" w:cs="Cambria Math"/>
        </w:rPr>
        <w:t>②</w:t>
      </w:r>
      <w:r>
        <w:t>环保机构除执行各项有关环境保护工作的指令外，还应接受当地生态环境局的检查监督，组织环保监测及统计工作，配合上级部门对本企业环保项目进行检查验收，定期与不定期地上报各项管理工作的执行情况以及各项有关环境参数、污染源排放指标，建立污染源及厂区周围环境质量监测数据档案，定期编写环保简报，制定全厂环保年度计划和长远规划，为区域整体环境控制服务。</w:t>
      </w:r>
    </w:p>
    <w:p w14:paraId="4F208E1C">
      <w:pPr>
        <w:pStyle w:val="3"/>
        <w:ind w:firstLine="480"/>
      </w:pPr>
      <w:r>
        <w:rPr>
          <w:rFonts w:ascii="Cambria Math" w:hAnsi="Cambria Math" w:cs="Cambria Math"/>
        </w:rPr>
        <w:t>③</w:t>
      </w:r>
      <w:r>
        <w:t>确保污染治理措施执行“三同时”，检查、监督全厂环保设施的正常高效运行，使各项治理设施达到设计要求。</w:t>
      </w:r>
    </w:p>
    <w:p w14:paraId="2EF8B5CB">
      <w:pPr>
        <w:pStyle w:val="3"/>
        <w:ind w:firstLine="480"/>
      </w:pPr>
      <w:r>
        <w:rPr>
          <w:rFonts w:ascii="Cambria Math" w:hAnsi="Cambria Math" w:cs="Cambria Math"/>
        </w:rPr>
        <w:t>④</w:t>
      </w:r>
      <w:r>
        <w:t>技改工程对废气采取了技术可行的治理措施，满足达标排放：生产废水经处理后回用；各种固体废物外售或由厂家回收，严格对堆场进行管理</w:t>
      </w:r>
    </w:p>
    <w:p w14:paraId="1662FC9F">
      <w:pPr>
        <w:pStyle w:val="3"/>
        <w:ind w:firstLine="480"/>
      </w:pPr>
      <w:r>
        <w:rPr>
          <w:rFonts w:ascii="Cambria Math" w:hAnsi="Cambria Math" w:cs="Cambria Math"/>
        </w:rPr>
        <w:t>⑤</w:t>
      </w:r>
      <w:r>
        <w:t>加强环保知识宣传教育，提高职工环境意识，把环境意识贯彻到企业各车间班组及每个职工的日常生产、生活中；推广治理方面的先进技术。</w:t>
      </w:r>
    </w:p>
    <w:p w14:paraId="6E822B5D">
      <w:pPr>
        <w:pStyle w:val="3"/>
        <w:ind w:firstLine="480"/>
      </w:pPr>
      <w:r>
        <w:rPr>
          <w:rFonts w:ascii="Cambria Math" w:hAnsi="Cambria Math" w:cs="Cambria Math"/>
        </w:rPr>
        <w:t>⑥</w:t>
      </w:r>
      <w:r>
        <w:t>贯彻执行环境保护法规和标准。</w:t>
      </w:r>
    </w:p>
    <w:p w14:paraId="12C67331">
      <w:pPr>
        <w:pStyle w:val="3"/>
        <w:ind w:firstLine="480"/>
      </w:pPr>
      <w:r>
        <w:rPr>
          <w:rFonts w:ascii="Cambria Math" w:hAnsi="Cambria Math" w:cs="Cambria Math"/>
        </w:rPr>
        <w:t>⑦</w:t>
      </w:r>
      <w:r>
        <w:t>组织制定厂级和各车间的环境保护管理的规章制度并监督执行。</w:t>
      </w:r>
    </w:p>
    <w:p w14:paraId="623DE18F">
      <w:pPr>
        <w:pStyle w:val="3"/>
        <w:ind w:firstLine="480"/>
      </w:pPr>
      <w:r>
        <w:rPr>
          <w:rFonts w:ascii="Cambria Math" w:hAnsi="Cambria Math" w:cs="Cambria Math"/>
        </w:rPr>
        <w:t>⑧</w:t>
      </w:r>
      <w:r>
        <w:t>制定并组织实施各项环境保护的规划和计划。</w:t>
      </w:r>
    </w:p>
    <w:p w14:paraId="7B032514">
      <w:pPr>
        <w:pStyle w:val="3"/>
        <w:ind w:firstLine="480"/>
      </w:pPr>
      <w:r>
        <w:rPr>
          <w:rFonts w:ascii="Cambria Math" w:hAnsi="Cambria Math" w:cs="Cambria Math"/>
        </w:rPr>
        <w:t>⑨</w:t>
      </w:r>
      <w:r>
        <w:t>领导和组织环境监测工作。</w:t>
      </w:r>
    </w:p>
    <w:p w14:paraId="42B27351">
      <w:pPr>
        <w:pStyle w:val="3"/>
        <w:ind w:firstLine="480"/>
      </w:pPr>
      <w:r>
        <w:rPr>
          <w:rFonts w:ascii="Cambria Math" w:hAnsi="Cambria Math" w:cs="Cambria Math"/>
        </w:rPr>
        <w:t>⑩</w:t>
      </w:r>
      <w:r>
        <w:t>及时推广、应用污染治理先进技术和经验。</w:t>
      </w:r>
    </w:p>
    <w:p w14:paraId="52FEB86D">
      <w:pPr>
        <w:pStyle w:val="4"/>
      </w:pPr>
      <w:bookmarkStart w:id="272" w:name="_Toc26327"/>
      <w:bookmarkStart w:id="273" w:name="_Toc4418"/>
      <w:bookmarkStart w:id="274" w:name="_Toc207208416"/>
      <w:r>
        <w:t>环境管理制度</w:t>
      </w:r>
      <w:bookmarkEnd w:id="272"/>
      <w:bookmarkEnd w:id="273"/>
      <w:bookmarkEnd w:id="274"/>
    </w:p>
    <w:p w14:paraId="10F60AD0">
      <w:pPr>
        <w:pStyle w:val="3"/>
        <w:ind w:firstLine="480"/>
      </w:pPr>
      <w:r>
        <w:t>新疆艾斯米尔锰合金有限公司目前已设立较完善的环境保护管理机构，编制并实施了“新疆艾斯米尔锰合金有限公司环境保护管理制度”，待本技改项目完成后，可根据公司需要进一步完善环境保护与安全管理机构，负责全厂环保组织机构与职责的归口管理。目前公司总经理是现有工程环境管理的最高负责者。公司实行一级机构、二级管理的管理模式，本着先进合理、经济实用、有利于安全环保管理的精神，公司设主管环保副总经理、安全环保部、车间设兼职环保安全员，形成了较完善的安全环保管理网络，分工负责承担企业安全环保管理职责。根据安全环保工作需要，公司委托当地有资质的环境监测站，厂内实验室配合，共同承担公司范围内各工业污染源及其污染防治设施的监测、岗位尘毒测定以及大气、废渣堆场等的监测，把握企业生产过程中环境质量状况。</w:t>
      </w:r>
    </w:p>
    <w:p w14:paraId="4A097F8A">
      <w:pPr>
        <w:pStyle w:val="3"/>
        <w:ind w:firstLine="0" w:firstLineChars="0"/>
        <w:jc w:val="center"/>
      </w:pPr>
      <w:r>
        <w:drawing>
          <wp:inline distT="0" distB="0" distL="114300" distR="114300">
            <wp:extent cx="4200525" cy="2133600"/>
            <wp:effectExtent l="19050" t="19050" r="28575" b="1905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6"/>
                    <a:stretch>
                      <a:fillRect/>
                    </a:stretch>
                  </pic:blipFill>
                  <pic:spPr>
                    <a:xfrm>
                      <a:off x="0" y="0"/>
                      <a:ext cx="4200525" cy="2133600"/>
                    </a:xfrm>
                    <a:prstGeom prst="rect">
                      <a:avLst/>
                    </a:prstGeom>
                    <a:noFill/>
                    <a:ln w="19050" cap="flat" cmpd="sng">
                      <a:solidFill>
                        <a:srgbClr val="000000"/>
                      </a:solidFill>
                      <a:prstDash val="solid"/>
                      <a:round/>
                      <a:headEnd type="none" w="med" len="med"/>
                      <a:tailEnd type="none" w="med" len="med"/>
                    </a:ln>
                  </pic:spPr>
                </pic:pic>
              </a:graphicData>
            </a:graphic>
          </wp:inline>
        </w:drawing>
      </w:r>
    </w:p>
    <w:p w14:paraId="696EB0E4">
      <w:pPr>
        <w:pStyle w:val="42"/>
      </w:pPr>
      <w:r>
        <w:t>图9.2-1    环境管理组织机构示意图</w:t>
      </w:r>
    </w:p>
    <w:p w14:paraId="5684F9E9">
      <w:pPr>
        <w:pStyle w:val="4"/>
      </w:pPr>
      <w:bookmarkStart w:id="275" w:name="_Toc6349"/>
      <w:bookmarkStart w:id="276" w:name="_Toc207208417"/>
      <w:r>
        <w:t>环境管理计划</w:t>
      </w:r>
      <w:bookmarkEnd w:id="275"/>
      <w:bookmarkEnd w:id="276"/>
    </w:p>
    <w:p w14:paraId="46744CBD">
      <w:pPr>
        <w:pStyle w:val="3"/>
        <w:ind w:firstLine="480"/>
        <w:rPr>
          <w:spacing w:val="4"/>
        </w:rPr>
      </w:pPr>
      <w:r>
        <w:t>针对本工程不同的工作阶段，制定有关的环境管理计划，见下表。</w:t>
      </w:r>
    </w:p>
    <w:p w14:paraId="76B0DA7B">
      <w:pPr>
        <w:pStyle w:val="40"/>
        <w:spacing w:before="156"/>
      </w:pPr>
      <w:r>
        <w:t>表10.3-1    各阶段环境管理工作的具体内容</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20"/>
        <w:gridCol w:w="6906"/>
      </w:tblGrid>
      <w:tr w14:paraId="1D5616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9" w:hRule="atLeast"/>
          <w:tblHeader/>
        </w:trPr>
        <w:tc>
          <w:tcPr>
            <w:tcW w:w="950" w:type="pct"/>
            <w:vAlign w:val="center"/>
          </w:tcPr>
          <w:p w14:paraId="79BA8921">
            <w:pPr>
              <w:pStyle w:val="41"/>
            </w:pPr>
            <w:r>
              <w:t>各阶段</w:t>
            </w:r>
          </w:p>
        </w:tc>
        <w:tc>
          <w:tcPr>
            <w:tcW w:w="4049" w:type="pct"/>
            <w:vAlign w:val="center"/>
          </w:tcPr>
          <w:p w14:paraId="042BBF49">
            <w:pPr>
              <w:pStyle w:val="41"/>
            </w:pPr>
            <w:r>
              <w:t>环境管理工作计划的具体内容</w:t>
            </w:r>
          </w:p>
        </w:tc>
      </w:tr>
      <w:tr w14:paraId="2163F1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950" w:type="pct"/>
            <w:vAlign w:val="center"/>
          </w:tcPr>
          <w:p w14:paraId="0AAD1B6A">
            <w:pPr>
              <w:pStyle w:val="41"/>
            </w:pPr>
            <w:r>
              <w:t>环境管理总要求</w:t>
            </w:r>
          </w:p>
        </w:tc>
        <w:tc>
          <w:tcPr>
            <w:tcW w:w="4049" w:type="pct"/>
            <w:vAlign w:val="center"/>
          </w:tcPr>
          <w:p w14:paraId="2E015759">
            <w:pPr>
              <w:pStyle w:val="41"/>
              <w:jc w:val="left"/>
            </w:pPr>
            <w:r>
              <w:rPr>
                <w:rFonts w:ascii="Cambria Math" w:hAnsi="Cambria Math" w:cs="Cambria Math"/>
              </w:rPr>
              <w:t>①</w:t>
            </w:r>
            <w:r>
              <w:t>依法自行或委托技术单位开展环境影响评价工作。</w:t>
            </w:r>
          </w:p>
          <w:p w14:paraId="0480C0C3">
            <w:pPr>
              <w:pStyle w:val="41"/>
              <w:jc w:val="left"/>
            </w:pPr>
            <w:r>
              <w:rPr>
                <w:rFonts w:ascii="Cambria Math" w:hAnsi="Cambria Math" w:cs="Cambria Math"/>
              </w:rPr>
              <w:t>②</w:t>
            </w:r>
            <w:r>
              <w:t>依据“三同时”制度，建设项目需配套建设的环境保护设施，必须与主体工程同时设计、同时施工、同时投产使用。</w:t>
            </w:r>
          </w:p>
          <w:p w14:paraId="5A6F9AA2">
            <w:pPr>
              <w:pStyle w:val="41"/>
              <w:jc w:val="left"/>
              <w:rPr>
                <w:lang w:val="zh-CN"/>
              </w:rPr>
            </w:pPr>
            <w:r>
              <w:rPr>
                <w:rFonts w:ascii="Cambria Math" w:hAnsi="Cambria Math" w:cs="Cambria Math"/>
              </w:rPr>
              <w:t>③</w:t>
            </w:r>
            <w:r>
              <w:t>建设项目竣工后，建设单位应</w:t>
            </w:r>
            <w:r>
              <w:rPr>
                <w:lang w:val="zh-CN"/>
              </w:rPr>
              <w:t>当按照国务院环境保护行政主管部门规定的标准和程序，对配套建设的环境保护设施进行验收，编制验收报告。</w:t>
            </w:r>
          </w:p>
          <w:p w14:paraId="068C0F9F">
            <w:pPr>
              <w:pStyle w:val="41"/>
              <w:jc w:val="left"/>
            </w:pPr>
            <w:r>
              <w:rPr>
                <w:rFonts w:ascii="Cambria Math" w:hAnsi="Cambria Math" w:cs="Cambria Math"/>
              </w:rPr>
              <w:t>④</w:t>
            </w:r>
            <w:r>
              <w:t>制定运行阶段的环境保护管理制度，保证环保设施正常运行，保证污染物长期稳定达标排放。</w:t>
            </w:r>
          </w:p>
          <w:p w14:paraId="46400746">
            <w:pPr>
              <w:pStyle w:val="41"/>
              <w:jc w:val="left"/>
            </w:pPr>
            <w:r>
              <w:rPr>
                <w:rFonts w:ascii="Cambria Math" w:hAnsi="Cambria Math" w:cs="Cambria Math"/>
              </w:rPr>
              <w:t>⑤</w:t>
            </w:r>
            <w:r>
              <w:t>按照监测计划对污染物排放和环境进行监测。</w:t>
            </w:r>
          </w:p>
        </w:tc>
      </w:tr>
      <w:tr w14:paraId="2A52E5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950" w:type="pct"/>
            <w:vAlign w:val="center"/>
          </w:tcPr>
          <w:p w14:paraId="122E08BF">
            <w:pPr>
              <w:pStyle w:val="41"/>
            </w:pPr>
            <w:r>
              <w:t>建设阶段</w:t>
            </w:r>
          </w:p>
        </w:tc>
        <w:tc>
          <w:tcPr>
            <w:tcW w:w="4049" w:type="pct"/>
            <w:vAlign w:val="center"/>
          </w:tcPr>
          <w:p w14:paraId="0B124A14">
            <w:pPr>
              <w:pStyle w:val="41"/>
              <w:jc w:val="left"/>
            </w:pPr>
            <w:r>
              <w:rPr>
                <w:rFonts w:ascii="Cambria Math" w:hAnsi="Cambria Math" w:cs="Cambria Math"/>
              </w:rPr>
              <w:t>①</w:t>
            </w:r>
            <w:r>
              <w:t>建设项目的初步设计，应当按照环境保护设计规范的要求，编制环境保护篇章，落实防治环境污染和生态破坏的措施以及环境保护设施投资概算。</w:t>
            </w:r>
          </w:p>
          <w:p w14:paraId="57B087B4">
            <w:pPr>
              <w:pStyle w:val="41"/>
              <w:jc w:val="left"/>
            </w:pPr>
            <w:r>
              <w:rPr>
                <w:rFonts w:ascii="Cambria Math" w:hAnsi="Cambria Math" w:cs="Cambria Math"/>
              </w:rPr>
              <w:t>②</w:t>
            </w:r>
            <w:r>
              <w:t>建设单位应当将环境保护设施建设纳入施工合同，保证环境保护设施建设进度和资金，并在项目建设过程中同时组织实施环境影响报告表及其审批部门审批决定中提出的环境保护对策措施。</w:t>
            </w:r>
          </w:p>
        </w:tc>
      </w:tr>
      <w:tr w14:paraId="51AB7A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950" w:type="pct"/>
            <w:vAlign w:val="center"/>
          </w:tcPr>
          <w:p w14:paraId="492FA314">
            <w:pPr>
              <w:pStyle w:val="41"/>
            </w:pPr>
            <w:r>
              <w:t>竣工验收阶段</w:t>
            </w:r>
          </w:p>
        </w:tc>
        <w:tc>
          <w:tcPr>
            <w:tcW w:w="4049" w:type="pct"/>
            <w:vAlign w:val="center"/>
          </w:tcPr>
          <w:p w14:paraId="43901008">
            <w:pPr>
              <w:pStyle w:val="41"/>
              <w:jc w:val="left"/>
            </w:pPr>
            <w:r>
              <w:rPr>
                <w:rFonts w:ascii="Cambria Math" w:hAnsi="Cambria Math" w:cs="Cambria Math"/>
              </w:rPr>
              <w:t>①</w:t>
            </w:r>
            <w:r>
              <w:t>建设项目竣工后，建设单位应当按照《建设项目竣工环境保护验收暂行办法》（2017年）和《建设项目竣工环境保护验收技术指南 污染影响类》，对配套建设的环境保护设施进行验收，编制验收报告。</w:t>
            </w:r>
          </w:p>
          <w:p w14:paraId="08C3CD9D">
            <w:pPr>
              <w:pStyle w:val="41"/>
              <w:jc w:val="left"/>
            </w:pPr>
            <w:r>
              <w:rPr>
                <w:rFonts w:ascii="Cambria Math" w:hAnsi="Cambria Math" w:cs="Cambria Math"/>
              </w:rPr>
              <w:t>②</w:t>
            </w:r>
            <w:r>
              <w:t>建设单位在环境保护设施验收过程中，应当如实查验、监测、记载建设项目环境保护设施的建设和调试情况，不得弄虚作假。</w:t>
            </w:r>
          </w:p>
          <w:p w14:paraId="5AB3B72E">
            <w:pPr>
              <w:pStyle w:val="41"/>
              <w:jc w:val="left"/>
            </w:pPr>
            <w:r>
              <w:rPr>
                <w:rFonts w:ascii="Cambria Math" w:hAnsi="Cambria Math" w:cs="Cambria Math"/>
              </w:rPr>
              <w:t>③</w:t>
            </w:r>
            <w:r>
              <w:t>除按照国家规定需要保密的情形外，建设单位应当依法向社会公开验收报告。</w:t>
            </w:r>
          </w:p>
          <w:p w14:paraId="3B8753ED">
            <w:pPr>
              <w:pStyle w:val="41"/>
              <w:jc w:val="left"/>
            </w:pPr>
            <w:r>
              <w:rPr>
                <w:rFonts w:ascii="Cambria Math" w:hAnsi="Cambria Math" w:cs="Cambria Math"/>
              </w:rPr>
              <w:t>④</w:t>
            </w:r>
            <w:r>
              <w:t>建设项目配套建设的环境保护设施经验收合格，方可投入生产或者使用；未经验收或者验收不合格的，不得投入生产或者使用。</w:t>
            </w:r>
          </w:p>
        </w:tc>
      </w:tr>
      <w:tr w14:paraId="65F1EE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950" w:type="pct"/>
            <w:vAlign w:val="center"/>
          </w:tcPr>
          <w:p w14:paraId="3A826F18">
            <w:pPr>
              <w:pStyle w:val="41"/>
            </w:pPr>
            <w:r>
              <w:t>生产运行阶段</w:t>
            </w:r>
          </w:p>
        </w:tc>
        <w:tc>
          <w:tcPr>
            <w:tcW w:w="4049" w:type="pct"/>
            <w:vAlign w:val="center"/>
          </w:tcPr>
          <w:p w14:paraId="38ECCABB">
            <w:pPr>
              <w:pStyle w:val="41"/>
              <w:jc w:val="left"/>
            </w:pPr>
            <w:r>
              <w:rPr>
                <w:rFonts w:ascii="Cambria Math" w:hAnsi="Cambria Math" w:cs="Cambria Math"/>
              </w:rPr>
              <w:t>①</w:t>
            </w:r>
            <w:r>
              <w:t>把污染防治和环境管理纳入企业日常经营管理活动，从计划管理、生产管理、技术管理、设备管理到经济成本核算都要有控制污染的内容和指标，并要落实到岗位。</w:t>
            </w:r>
          </w:p>
          <w:p w14:paraId="6F2A27B2">
            <w:pPr>
              <w:pStyle w:val="41"/>
              <w:jc w:val="left"/>
            </w:pPr>
            <w:r>
              <w:rPr>
                <w:rFonts w:ascii="Cambria Math" w:hAnsi="Cambria Math" w:cs="Cambria Math"/>
              </w:rPr>
              <w:t>②</w:t>
            </w:r>
            <w:r>
              <w:t>企业主要领导负责实行环保责任制，指标逐级分解，做到奖罚分明。</w:t>
            </w:r>
          </w:p>
          <w:p w14:paraId="3F41C79B">
            <w:pPr>
              <w:pStyle w:val="41"/>
              <w:jc w:val="left"/>
            </w:pPr>
            <w:r>
              <w:rPr>
                <w:rFonts w:ascii="Cambria Math" w:hAnsi="Cambria Math" w:cs="Cambria Math"/>
              </w:rPr>
              <w:t>③</w:t>
            </w:r>
            <w:r>
              <w:t>建立健全企业的污染监测系统，为企业环境管理提供依据。</w:t>
            </w:r>
          </w:p>
          <w:p w14:paraId="59936D88">
            <w:pPr>
              <w:pStyle w:val="41"/>
              <w:jc w:val="left"/>
            </w:pPr>
            <w:r>
              <w:rPr>
                <w:rFonts w:ascii="Cambria Math" w:hAnsi="Cambria Math" w:cs="Cambria Math"/>
              </w:rPr>
              <w:t>④</w:t>
            </w:r>
            <w:r>
              <w:t>建立环境保护信息反馈和群众监督制度，监察企业生产和管理活动违背环保法规和制度的行为。</w:t>
            </w:r>
          </w:p>
          <w:p w14:paraId="07DDEDA6">
            <w:pPr>
              <w:pStyle w:val="41"/>
              <w:jc w:val="left"/>
            </w:pPr>
            <w:r>
              <w:rPr>
                <w:rFonts w:ascii="Cambria Math" w:hAnsi="Cambria Math" w:cs="Cambria Math"/>
              </w:rPr>
              <w:t>⑤</w:t>
            </w:r>
            <w:r>
              <w:t>建立大气、地下水、土壤风险管理制度，制订风险应急预案。</w:t>
            </w:r>
          </w:p>
          <w:p w14:paraId="67F2BAB7">
            <w:pPr>
              <w:pStyle w:val="41"/>
              <w:jc w:val="left"/>
            </w:pPr>
            <w:r>
              <w:rPr>
                <w:rFonts w:ascii="Cambria Math" w:hAnsi="Cambria Math" w:cs="Cambria Math"/>
              </w:rPr>
              <w:t>⑥</w:t>
            </w:r>
            <w:r>
              <w:t>定期向生态环境部门汇报情况配合生态环境部门的监督、检查。</w:t>
            </w:r>
          </w:p>
        </w:tc>
      </w:tr>
    </w:tbl>
    <w:p w14:paraId="0D4ECD92">
      <w:pPr>
        <w:pStyle w:val="4"/>
        <w:rPr>
          <w:lang w:bidi="ar"/>
        </w:rPr>
      </w:pPr>
      <w:bookmarkStart w:id="277" w:name="_Toc207208418"/>
      <w:bookmarkStart w:id="278" w:name="_Toc6484"/>
      <w:bookmarkStart w:id="279" w:name="_Toc4724"/>
      <w:bookmarkStart w:id="280" w:name="_Toc24572"/>
      <w:r>
        <w:rPr>
          <w:lang w:bidi="ar"/>
        </w:rPr>
        <w:t>排污许可</w:t>
      </w:r>
      <w:bookmarkEnd w:id="277"/>
    </w:p>
    <w:p w14:paraId="23312139">
      <w:pPr>
        <w:widowControl/>
        <w:spacing w:line="480" w:lineRule="exact"/>
        <w:ind w:firstLine="480" w:firstLineChars="200"/>
        <w:jc w:val="left"/>
      </w:pPr>
      <w:r>
        <w:rPr>
          <w:lang w:bidi="ar"/>
        </w:rPr>
        <w:t>2016年11月，国务院办公厅发布了《控制污染物排放许可制实施方案》， 方案指出：“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p>
    <w:p w14:paraId="2ED4509D">
      <w:pPr>
        <w:widowControl/>
        <w:spacing w:line="480" w:lineRule="exact"/>
        <w:ind w:firstLine="480" w:firstLineChars="200"/>
        <w:jc w:val="left"/>
        <w:rPr>
          <w:lang w:bidi="ar"/>
        </w:rPr>
      </w:pPr>
      <w:r>
        <w:rPr>
          <w:lang w:bidi="ar"/>
        </w:rPr>
        <w:t>此外，《排污许可管理条例》已于2020年12月9日国务院第117次常务会议通过，自2021年3月1日起施行。条例规定：“依照法律规定实行排污许可管理的企业事业单位和其他生产经营者（以下称排污单位），应当依照本条例规定申请取得排污许可证；未取得排污许可证的，不得排放污染物。”</w:t>
      </w:r>
    </w:p>
    <w:p w14:paraId="222566C3">
      <w:pPr>
        <w:widowControl/>
        <w:spacing w:line="480" w:lineRule="exact"/>
        <w:ind w:firstLine="480" w:firstLineChars="200"/>
        <w:jc w:val="left"/>
      </w:pPr>
      <w:r>
        <w:rPr>
          <w:lang w:bidi="ar"/>
        </w:rPr>
        <w:t>因此，本项目在报批环评报告书后、项目实际运行前，应重新申领排污许可证，作为本项目合法运行的前提。排污许可证申请及核发按《排污许可管理条例》《排污许可证管理暂行规定》及《排污许可证申请与核发技术规范 铁合金、电解锰工业》（HJ1117—2020）填报执行。</w:t>
      </w:r>
    </w:p>
    <w:p w14:paraId="0FE40482">
      <w:pPr>
        <w:widowControl/>
        <w:spacing w:line="480" w:lineRule="exact"/>
        <w:ind w:firstLine="480" w:firstLineChars="200"/>
      </w:pPr>
      <w:r>
        <w:rPr>
          <w:lang w:bidi="ar"/>
        </w:rPr>
        <w:t>本项目应参照排污单位排污许可证申请与合法的基本情况及要求进行申报、确定许可排放限值、核算实际排放量、执行自行监测、环境管理台账与排污许可证执行报告等环境管理要求。加强污染防治可行技术要求、落实自行监测管理要求并严格环境管理台账与排污许可证执行报告编制要求。</w:t>
      </w:r>
    </w:p>
    <w:p w14:paraId="398DB583">
      <w:pPr>
        <w:pStyle w:val="4"/>
      </w:pPr>
      <w:bookmarkStart w:id="281" w:name="_Toc207208419"/>
      <w:r>
        <w:t>污染物排放清单</w:t>
      </w:r>
      <w:bookmarkEnd w:id="278"/>
      <w:bookmarkEnd w:id="279"/>
      <w:bookmarkEnd w:id="281"/>
    </w:p>
    <w:p w14:paraId="0C79249B">
      <w:pPr>
        <w:pStyle w:val="5"/>
        <w:spacing w:before="156"/>
      </w:pPr>
      <w:r>
        <w:t>污染物排放清单</w:t>
      </w:r>
    </w:p>
    <w:p w14:paraId="1E7E02C3">
      <w:pPr>
        <w:pStyle w:val="49"/>
      </w:pPr>
      <w:r>
        <w:t>项目生产运行阶段产生的主要污染物来源为：锅炉废气、烧结废气及各工段一般排放口产生的废气、各工段产生的固体废物等。</w:t>
      </w:r>
    </w:p>
    <w:p w14:paraId="633CAC02">
      <w:pPr>
        <w:pStyle w:val="49"/>
      </w:pPr>
      <w:r>
        <w:t>项目应严格落实各项环境保护措施，减少污染物的排放量，严格执行“三同时”制度，确保各项环境保护措施能够和生产工艺“同时设计、同时施工、同时投产使用”。在此基础上，通过本项目工程分析，确定本项目主要污染物的排放清单情况汇总见表4.4-1。</w:t>
      </w:r>
    </w:p>
    <w:p w14:paraId="299FB945">
      <w:pPr>
        <w:pStyle w:val="5"/>
        <w:spacing w:before="156"/>
      </w:pPr>
      <w:r>
        <w:t>排污口规范管理</w:t>
      </w:r>
    </w:p>
    <w:p w14:paraId="6F935F29">
      <w:pPr>
        <w:pStyle w:val="3"/>
        <w:ind w:firstLine="480"/>
      </w:pPr>
      <w:r>
        <w:t>排污口是污染物进入环境、对环境产生影响的通道，强化排污口的管理是实施污染物总量控制的基础工作之一，也是区域环境管理逐步实现污染物排放科学化、定量化的重要手段。针对这些排放口进行规范化管理，具体如下。</w:t>
      </w:r>
    </w:p>
    <w:p w14:paraId="03B69299">
      <w:pPr>
        <w:pStyle w:val="6"/>
      </w:pPr>
      <w:r>
        <w:t>排污口规范化管理的基本原则</w:t>
      </w:r>
    </w:p>
    <w:p w14:paraId="0E229DE0">
      <w:pPr>
        <w:pStyle w:val="3"/>
        <w:ind w:firstLine="480"/>
      </w:pPr>
      <w:r>
        <w:t>（1）向环境排放污染物的排污口必须规范化。</w:t>
      </w:r>
    </w:p>
    <w:p w14:paraId="610F46E1">
      <w:pPr>
        <w:pStyle w:val="3"/>
        <w:ind w:firstLine="480"/>
      </w:pPr>
      <w:r>
        <w:t>（2）根据工程特点和国家列入的总量控制指标，确定本工程锅炉排口及烧结废气排口为主要排放口，作为管理的重点。</w:t>
      </w:r>
    </w:p>
    <w:p w14:paraId="221F21E6">
      <w:pPr>
        <w:pStyle w:val="3"/>
        <w:ind w:firstLine="480"/>
      </w:pPr>
      <w:r>
        <w:t>（3）排污口便于采样与计量检测，便于日常现场监督检查。</w:t>
      </w:r>
    </w:p>
    <w:p w14:paraId="1F642735">
      <w:pPr>
        <w:pStyle w:val="6"/>
      </w:pPr>
      <w:r>
        <w:t>排污口的技术要求</w:t>
      </w:r>
    </w:p>
    <w:p w14:paraId="6040EE00">
      <w:pPr>
        <w:pStyle w:val="3"/>
        <w:ind w:firstLine="480"/>
      </w:pPr>
      <w:r>
        <w:t>（1）排污口的设置必须合理确定，按照环监（96）470号文件要求，进行规范化管理。</w:t>
      </w:r>
    </w:p>
    <w:p w14:paraId="35F7565C">
      <w:pPr>
        <w:pStyle w:val="3"/>
        <w:ind w:firstLine="480"/>
      </w:pPr>
      <w:r>
        <w:t>（2）废气排放口设置应符合《污染源监测技术规范》要求，留设取样孔和监测平台。</w:t>
      </w:r>
    </w:p>
    <w:p w14:paraId="6CB8D186">
      <w:pPr>
        <w:pStyle w:val="6"/>
      </w:pPr>
      <w:r>
        <w:t>排污口立标管理</w:t>
      </w:r>
    </w:p>
    <w:p w14:paraId="094AF42C">
      <w:pPr>
        <w:pStyle w:val="3"/>
        <w:ind w:firstLine="480"/>
      </w:pPr>
      <w:r>
        <w:t>（1）污染物排放口按国家《环境保护图形标志》（15562.1-1995）的规定，设置原国家环保总局统一制作的环境保护图形标志牌。</w:t>
      </w:r>
    </w:p>
    <w:p w14:paraId="1B860471">
      <w:pPr>
        <w:pStyle w:val="3"/>
        <w:ind w:firstLine="480"/>
      </w:pPr>
      <w:r>
        <w:t>（2）污染物排放口的环境保护图形标志牌应设置在靠近采样点的醒目处，标志牌设置高度为其上缘距地面约2m。</w:t>
      </w:r>
    </w:p>
    <w:p w14:paraId="62CC4084">
      <w:pPr>
        <w:pStyle w:val="6"/>
      </w:pPr>
      <w:r>
        <w:t>排污口建档管理</w:t>
      </w:r>
    </w:p>
    <w:p w14:paraId="50D3EB02">
      <w:pPr>
        <w:pStyle w:val="3"/>
        <w:ind w:firstLine="480"/>
      </w:pPr>
      <w:r>
        <w:t>（1）要求使用原国家环保总局统一印制的《中华人民共和国规范化排污口标志牌登记证》，并按要求填写有关内容。</w:t>
      </w:r>
    </w:p>
    <w:p w14:paraId="6CEB8A82">
      <w:pPr>
        <w:pStyle w:val="3"/>
        <w:ind w:firstLine="480"/>
      </w:pPr>
      <w:r>
        <w:t>（2）根据排污口管理档案内容要求，项目建成投产后，将主要污染物种类数量、浓度、排放去向、达标情况及设施运行情况记录于档案。</w:t>
      </w:r>
    </w:p>
    <w:p w14:paraId="232D94D0">
      <w:pPr>
        <w:pStyle w:val="4"/>
      </w:pPr>
      <w:bookmarkStart w:id="282" w:name="_Toc2521"/>
      <w:bookmarkStart w:id="283" w:name="_Toc207208420"/>
      <w:r>
        <w:t>环境监测计划</w:t>
      </w:r>
      <w:bookmarkEnd w:id="280"/>
      <w:bookmarkEnd w:id="282"/>
      <w:bookmarkEnd w:id="283"/>
    </w:p>
    <w:p w14:paraId="26B2C582">
      <w:pPr>
        <w:pStyle w:val="5"/>
        <w:spacing w:before="156"/>
        <w:rPr>
          <w:lang w:bidi="ar"/>
        </w:rPr>
      </w:pPr>
      <w:r>
        <w:rPr>
          <w:lang w:bidi="ar"/>
        </w:rPr>
        <w:t>污染源监测计划</w:t>
      </w:r>
    </w:p>
    <w:p w14:paraId="334FCCD1">
      <w:pPr>
        <w:pStyle w:val="3"/>
        <w:ind w:firstLine="480"/>
      </w:pPr>
      <w:r>
        <w:t>项目应按照环境监测管理规定和技术规范要求设计永久采样口、采样测试平台和排污口标志，冶炼烟气治理设施排气筒及污（废）水排放口安装自动连续监测装置并与生态环境部门联网，合理布置地下水监测井。</w:t>
      </w:r>
    </w:p>
    <w:p w14:paraId="1771376F">
      <w:pPr>
        <w:pStyle w:val="3"/>
        <w:ind w:firstLine="480"/>
      </w:pPr>
      <w:r>
        <w:t>环境监测是项目环境管理工作的重要部分，是对项目本身运营过程中所排放的污染物进行定期监测，以掌握环境质量及其变化趋势，为控制污染物和净化环境提供依据。</w:t>
      </w:r>
    </w:p>
    <w:p w14:paraId="6D685811">
      <w:pPr>
        <w:pStyle w:val="3"/>
        <w:ind w:firstLine="480"/>
      </w:pPr>
      <w:r>
        <w:t>排污单位可自行或委托第三方监测机构开展监测工作，并安排专人对监测数据进行记录、整理、统计和分析。排污单位对监测结果的真实性、准确性、完整性负责。</w:t>
      </w:r>
    </w:p>
    <w:p w14:paraId="57076D99">
      <w:pPr>
        <w:pStyle w:val="3"/>
        <w:ind w:firstLine="480"/>
      </w:pPr>
      <w:bookmarkStart w:id="284" w:name="_Hlk172076629"/>
      <w:r>
        <w:t>根据《排污许可证申请与核发技术规范 铁合金、电解锰工业》（HJ1117—2020），本次技改相关排口监测计划见下表10.5-1，企业其余现有排口按照排污许可相关检测计划执行。</w:t>
      </w:r>
    </w:p>
    <w:p w14:paraId="5304764D">
      <w:pPr>
        <w:pStyle w:val="40"/>
        <w:spacing w:before="156"/>
      </w:pPr>
      <w:bookmarkStart w:id="285" w:name="_Hlk172048698"/>
      <w:bookmarkStart w:id="286" w:name="_Hlk172058921"/>
      <w:r>
        <w:t>表10.5-1    本次技改工程相关排口污染源监测计划</w:t>
      </w:r>
    </w:p>
    <w:tbl>
      <w:tblPr>
        <w:tblStyle w:val="28"/>
        <w:tblW w:w="5011"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7"/>
        <w:gridCol w:w="2194"/>
        <w:gridCol w:w="1419"/>
        <w:gridCol w:w="2317"/>
        <w:gridCol w:w="1258"/>
      </w:tblGrid>
      <w:tr w14:paraId="64ABB0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744" w:type="pct"/>
            <w:tcMar>
              <w:top w:w="0" w:type="dxa"/>
              <w:left w:w="57" w:type="dxa"/>
              <w:bottom w:w="0" w:type="dxa"/>
              <w:right w:w="57" w:type="dxa"/>
            </w:tcMar>
            <w:vAlign w:val="center"/>
          </w:tcPr>
          <w:p w14:paraId="6D3B3B24">
            <w:pPr>
              <w:pStyle w:val="41"/>
            </w:pPr>
            <w:r>
              <w:t>产污环节</w:t>
            </w:r>
          </w:p>
        </w:tc>
        <w:tc>
          <w:tcPr>
            <w:tcW w:w="1299" w:type="pct"/>
            <w:tcMar>
              <w:top w:w="0" w:type="dxa"/>
              <w:left w:w="57" w:type="dxa"/>
              <w:bottom w:w="0" w:type="dxa"/>
              <w:right w:w="57" w:type="dxa"/>
            </w:tcMar>
            <w:vAlign w:val="center"/>
          </w:tcPr>
          <w:p w14:paraId="1458C5BF">
            <w:pPr>
              <w:pStyle w:val="41"/>
            </w:pPr>
            <w:r>
              <w:t>监测点位</w:t>
            </w:r>
          </w:p>
        </w:tc>
        <w:tc>
          <w:tcPr>
            <w:tcW w:w="840" w:type="pct"/>
            <w:tcMar>
              <w:top w:w="0" w:type="dxa"/>
              <w:left w:w="57" w:type="dxa"/>
              <w:bottom w:w="0" w:type="dxa"/>
              <w:right w:w="57" w:type="dxa"/>
            </w:tcMar>
            <w:vAlign w:val="center"/>
          </w:tcPr>
          <w:p w14:paraId="2CA6F8FE">
            <w:pPr>
              <w:pStyle w:val="41"/>
            </w:pPr>
            <w:r>
              <w:t>排放口类型</w:t>
            </w:r>
          </w:p>
        </w:tc>
        <w:tc>
          <w:tcPr>
            <w:tcW w:w="1372" w:type="pct"/>
            <w:tcMar>
              <w:top w:w="0" w:type="dxa"/>
              <w:left w:w="57" w:type="dxa"/>
              <w:bottom w:w="0" w:type="dxa"/>
              <w:right w:w="57" w:type="dxa"/>
            </w:tcMar>
            <w:vAlign w:val="center"/>
          </w:tcPr>
          <w:p w14:paraId="1CAB027D">
            <w:pPr>
              <w:pStyle w:val="41"/>
            </w:pPr>
            <w:r>
              <w:t>监测因子</w:t>
            </w:r>
          </w:p>
        </w:tc>
        <w:tc>
          <w:tcPr>
            <w:tcW w:w="745" w:type="pct"/>
            <w:tcMar>
              <w:top w:w="0" w:type="dxa"/>
              <w:left w:w="57" w:type="dxa"/>
              <w:bottom w:w="0" w:type="dxa"/>
              <w:right w:w="57" w:type="dxa"/>
            </w:tcMar>
            <w:vAlign w:val="center"/>
          </w:tcPr>
          <w:p w14:paraId="678B438F">
            <w:pPr>
              <w:pStyle w:val="41"/>
            </w:pPr>
            <w:r>
              <w:t>监测频次</w:t>
            </w:r>
          </w:p>
        </w:tc>
      </w:tr>
      <w:tr w14:paraId="010EE8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00" w:type="pct"/>
            <w:gridSpan w:val="5"/>
            <w:tcMar>
              <w:top w:w="0" w:type="dxa"/>
              <w:left w:w="57" w:type="dxa"/>
              <w:bottom w:w="0" w:type="dxa"/>
              <w:right w:w="57" w:type="dxa"/>
            </w:tcMar>
            <w:vAlign w:val="center"/>
          </w:tcPr>
          <w:p w14:paraId="298F7F2F">
            <w:pPr>
              <w:pStyle w:val="41"/>
            </w:pPr>
            <w:r>
              <w:t>废气有组织排放</w:t>
            </w:r>
          </w:p>
        </w:tc>
      </w:tr>
      <w:tr w14:paraId="6C4383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744" w:type="pct"/>
            <w:tcMar>
              <w:top w:w="0" w:type="dxa"/>
              <w:left w:w="57" w:type="dxa"/>
              <w:bottom w:w="0" w:type="dxa"/>
              <w:right w:w="57" w:type="dxa"/>
            </w:tcMar>
            <w:vAlign w:val="center"/>
          </w:tcPr>
          <w:p w14:paraId="33EF8463">
            <w:pPr>
              <w:pStyle w:val="41"/>
            </w:pPr>
            <w:r>
              <w:t>配料工段</w:t>
            </w:r>
          </w:p>
        </w:tc>
        <w:tc>
          <w:tcPr>
            <w:tcW w:w="1299" w:type="pct"/>
            <w:tcMar>
              <w:top w:w="0" w:type="dxa"/>
              <w:left w:w="57" w:type="dxa"/>
              <w:bottom w:w="0" w:type="dxa"/>
              <w:right w:w="57" w:type="dxa"/>
            </w:tcMar>
            <w:vAlign w:val="center"/>
          </w:tcPr>
          <w:p w14:paraId="06B68DDB">
            <w:pPr>
              <w:pStyle w:val="41"/>
            </w:pPr>
            <w:r>
              <w:t>配料站废气排放口（DA006）</w:t>
            </w:r>
          </w:p>
        </w:tc>
        <w:tc>
          <w:tcPr>
            <w:tcW w:w="840" w:type="pct"/>
            <w:tcMar>
              <w:top w:w="0" w:type="dxa"/>
              <w:left w:w="57" w:type="dxa"/>
              <w:bottom w:w="0" w:type="dxa"/>
              <w:right w:w="57" w:type="dxa"/>
            </w:tcMar>
            <w:vAlign w:val="center"/>
          </w:tcPr>
          <w:p w14:paraId="246CB8E7">
            <w:pPr>
              <w:pStyle w:val="41"/>
            </w:pPr>
            <w:r>
              <w:t>一般排放口</w:t>
            </w:r>
          </w:p>
        </w:tc>
        <w:tc>
          <w:tcPr>
            <w:tcW w:w="1372" w:type="pct"/>
            <w:tcMar>
              <w:top w:w="0" w:type="dxa"/>
              <w:left w:w="57" w:type="dxa"/>
              <w:bottom w:w="0" w:type="dxa"/>
              <w:right w:w="57" w:type="dxa"/>
            </w:tcMar>
            <w:vAlign w:val="center"/>
          </w:tcPr>
          <w:p w14:paraId="79FE49CC">
            <w:pPr>
              <w:pStyle w:val="41"/>
            </w:pPr>
            <w:r>
              <w:t>颗粒物</w:t>
            </w:r>
          </w:p>
        </w:tc>
        <w:tc>
          <w:tcPr>
            <w:tcW w:w="745" w:type="pct"/>
            <w:tcMar>
              <w:top w:w="0" w:type="dxa"/>
              <w:left w:w="57" w:type="dxa"/>
              <w:bottom w:w="0" w:type="dxa"/>
              <w:right w:w="57" w:type="dxa"/>
            </w:tcMar>
            <w:vAlign w:val="center"/>
          </w:tcPr>
          <w:p w14:paraId="2B62116E">
            <w:pPr>
              <w:pStyle w:val="41"/>
            </w:pPr>
            <w:r>
              <w:t>1次/年</w:t>
            </w:r>
          </w:p>
        </w:tc>
      </w:tr>
      <w:tr w14:paraId="2B0C5F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744" w:type="pct"/>
            <w:vMerge w:val="restart"/>
            <w:tcMar>
              <w:top w:w="0" w:type="dxa"/>
              <w:left w:w="57" w:type="dxa"/>
              <w:bottom w:w="0" w:type="dxa"/>
              <w:right w:w="57" w:type="dxa"/>
            </w:tcMar>
            <w:vAlign w:val="center"/>
          </w:tcPr>
          <w:p w14:paraId="752BC213">
            <w:pPr>
              <w:pStyle w:val="41"/>
            </w:pPr>
            <w:r>
              <w:t>烧结工段</w:t>
            </w:r>
          </w:p>
        </w:tc>
        <w:tc>
          <w:tcPr>
            <w:tcW w:w="1299" w:type="pct"/>
            <w:vMerge w:val="restart"/>
            <w:tcMar>
              <w:top w:w="0" w:type="dxa"/>
              <w:left w:w="57" w:type="dxa"/>
              <w:bottom w:w="0" w:type="dxa"/>
              <w:right w:w="57" w:type="dxa"/>
            </w:tcMar>
            <w:vAlign w:val="center"/>
          </w:tcPr>
          <w:p w14:paraId="2AC1373C">
            <w:pPr>
              <w:pStyle w:val="41"/>
            </w:pPr>
            <w:r>
              <w:t>烧结机头废气排放口（DA002）</w:t>
            </w:r>
          </w:p>
        </w:tc>
        <w:tc>
          <w:tcPr>
            <w:tcW w:w="840" w:type="pct"/>
            <w:vMerge w:val="restart"/>
            <w:tcMar>
              <w:top w:w="0" w:type="dxa"/>
              <w:left w:w="57" w:type="dxa"/>
              <w:bottom w:w="0" w:type="dxa"/>
              <w:right w:w="57" w:type="dxa"/>
            </w:tcMar>
            <w:vAlign w:val="center"/>
          </w:tcPr>
          <w:p w14:paraId="5170B4AA">
            <w:pPr>
              <w:pStyle w:val="41"/>
            </w:pPr>
            <w:r>
              <w:t>主要排放口</w:t>
            </w:r>
          </w:p>
        </w:tc>
        <w:tc>
          <w:tcPr>
            <w:tcW w:w="1372" w:type="pct"/>
            <w:tcMar>
              <w:top w:w="0" w:type="dxa"/>
              <w:left w:w="57" w:type="dxa"/>
              <w:bottom w:w="0" w:type="dxa"/>
              <w:right w:w="57" w:type="dxa"/>
            </w:tcMar>
            <w:vAlign w:val="center"/>
          </w:tcPr>
          <w:p w14:paraId="6BCFBC9D">
            <w:pPr>
              <w:pStyle w:val="41"/>
            </w:pPr>
            <w:r>
              <w:t>氮氧化物、二氧化硫、颗粒物</w:t>
            </w:r>
          </w:p>
        </w:tc>
        <w:tc>
          <w:tcPr>
            <w:tcW w:w="745" w:type="pct"/>
            <w:tcMar>
              <w:top w:w="0" w:type="dxa"/>
              <w:left w:w="57" w:type="dxa"/>
              <w:bottom w:w="0" w:type="dxa"/>
              <w:right w:w="57" w:type="dxa"/>
            </w:tcMar>
            <w:vAlign w:val="center"/>
          </w:tcPr>
          <w:p w14:paraId="1B83D197">
            <w:pPr>
              <w:pStyle w:val="41"/>
            </w:pPr>
            <w:r>
              <w:t>自动监测</w:t>
            </w:r>
          </w:p>
        </w:tc>
      </w:tr>
      <w:tr w14:paraId="11B90C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744" w:type="pct"/>
            <w:vMerge w:val="continue"/>
            <w:tcMar>
              <w:top w:w="0" w:type="dxa"/>
              <w:left w:w="57" w:type="dxa"/>
              <w:bottom w:w="0" w:type="dxa"/>
              <w:right w:w="57" w:type="dxa"/>
            </w:tcMar>
            <w:vAlign w:val="center"/>
          </w:tcPr>
          <w:p w14:paraId="14C2370C">
            <w:pPr>
              <w:pStyle w:val="41"/>
            </w:pPr>
          </w:p>
        </w:tc>
        <w:tc>
          <w:tcPr>
            <w:tcW w:w="1299" w:type="pct"/>
            <w:vMerge w:val="continue"/>
            <w:tcMar>
              <w:top w:w="0" w:type="dxa"/>
              <w:left w:w="57" w:type="dxa"/>
              <w:bottom w:w="0" w:type="dxa"/>
              <w:right w:w="57" w:type="dxa"/>
            </w:tcMar>
            <w:vAlign w:val="center"/>
          </w:tcPr>
          <w:p w14:paraId="79C68938">
            <w:pPr>
              <w:pStyle w:val="41"/>
            </w:pPr>
          </w:p>
        </w:tc>
        <w:tc>
          <w:tcPr>
            <w:tcW w:w="840" w:type="pct"/>
            <w:vMerge w:val="continue"/>
            <w:tcMar>
              <w:top w:w="0" w:type="dxa"/>
              <w:left w:w="57" w:type="dxa"/>
              <w:bottom w:w="0" w:type="dxa"/>
              <w:right w:w="57" w:type="dxa"/>
            </w:tcMar>
            <w:vAlign w:val="center"/>
          </w:tcPr>
          <w:p w14:paraId="508B1C95">
            <w:pPr>
              <w:pStyle w:val="41"/>
            </w:pPr>
          </w:p>
        </w:tc>
        <w:tc>
          <w:tcPr>
            <w:tcW w:w="1372" w:type="pct"/>
            <w:tcMar>
              <w:top w:w="0" w:type="dxa"/>
              <w:left w:w="57" w:type="dxa"/>
              <w:bottom w:w="0" w:type="dxa"/>
              <w:right w:w="57" w:type="dxa"/>
            </w:tcMar>
            <w:vAlign w:val="center"/>
          </w:tcPr>
          <w:p w14:paraId="03D4680F">
            <w:pPr>
              <w:pStyle w:val="41"/>
            </w:pPr>
            <w:r>
              <w:t>氟化物、二噁英类</w:t>
            </w:r>
          </w:p>
        </w:tc>
        <w:tc>
          <w:tcPr>
            <w:tcW w:w="745" w:type="pct"/>
            <w:tcMar>
              <w:top w:w="0" w:type="dxa"/>
              <w:left w:w="57" w:type="dxa"/>
              <w:bottom w:w="0" w:type="dxa"/>
              <w:right w:w="57" w:type="dxa"/>
            </w:tcMar>
            <w:vAlign w:val="center"/>
          </w:tcPr>
          <w:p w14:paraId="06A8B875">
            <w:pPr>
              <w:pStyle w:val="41"/>
            </w:pPr>
            <w:r>
              <w:t>1次/季度</w:t>
            </w:r>
          </w:p>
        </w:tc>
      </w:tr>
      <w:tr w14:paraId="6699E6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744" w:type="pct"/>
            <w:vMerge w:val="continue"/>
            <w:tcMar>
              <w:top w:w="0" w:type="dxa"/>
              <w:left w:w="57" w:type="dxa"/>
              <w:bottom w:w="0" w:type="dxa"/>
              <w:right w:w="57" w:type="dxa"/>
            </w:tcMar>
            <w:vAlign w:val="center"/>
          </w:tcPr>
          <w:p w14:paraId="030FA391">
            <w:pPr>
              <w:pStyle w:val="41"/>
            </w:pPr>
          </w:p>
        </w:tc>
        <w:tc>
          <w:tcPr>
            <w:tcW w:w="1299" w:type="pct"/>
            <w:tcMar>
              <w:top w:w="0" w:type="dxa"/>
              <w:left w:w="57" w:type="dxa"/>
              <w:bottom w:w="0" w:type="dxa"/>
              <w:right w:w="57" w:type="dxa"/>
            </w:tcMar>
            <w:vAlign w:val="center"/>
          </w:tcPr>
          <w:p w14:paraId="0A02B38B">
            <w:pPr>
              <w:pStyle w:val="41"/>
            </w:pPr>
            <w:r>
              <w:t>烧结机尾废气排放口（DA008）</w:t>
            </w:r>
          </w:p>
        </w:tc>
        <w:tc>
          <w:tcPr>
            <w:tcW w:w="840" w:type="pct"/>
            <w:tcMar>
              <w:top w:w="0" w:type="dxa"/>
              <w:left w:w="57" w:type="dxa"/>
              <w:bottom w:w="0" w:type="dxa"/>
              <w:right w:w="57" w:type="dxa"/>
            </w:tcMar>
            <w:vAlign w:val="center"/>
          </w:tcPr>
          <w:p w14:paraId="24AE8203">
            <w:pPr>
              <w:pStyle w:val="41"/>
            </w:pPr>
            <w:r>
              <w:t>一般排放口</w:t>
            </w:r>
          </w:p>
        </w:tc>
        <w:tc>
          <w:tcPr>
            <w:tcW w:w="1372" w:type="pct"/>
            <w:tcMar>
              <w:top w:w="0" w:type="dxa"/>
              <w:left w:w="57" w:type="dxa"/>
              <w:bottom w:w="0" w:type="dxa"/>
              <w:right w:w="57" w:type="dxa"/>
            </w:tcMar>
            <w:vAlign w:val="center"/>
          </w:tcPr>
          <w:p w14:paraId="55BE857F">
            <w:pPr>
              <w:pStyle w:val="41"/>
            </w:pPr>
            <w:r>
              <w:t>颗粒物</w:t>
            </w:r>
          </w:p>
        </w:tc>
        <w:tc>
          <w:tcPr>
            <w:tcW w:w="745" w:type="pct"/>
            <w:tcMar>
              <w:top w:w="0" w:type="dxa"/>
              <w:left w:w="57" w:type="dxa"/>
              <w:bottom w:w="0" w:type="dxa"/>
              <w:right w:w="57" w:type="dxa"/>
            </w:tcMar>
            <w:vAlign w:val="center"/>
          </w:tcPr>
          <w:p w14:paraId="0914309F">
            <w:pPr>
              <w:pStyle w:val="41"/>
            </w:pPr>
            <w:r>
              <w:t>自动监测</w:t>
            </w:r>
          </w:p>
        </w:tc>
      </w:tr>
      <w:tr w14:paraId="215B5A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744" w:type="pct"/>
            <w:tcMar>
              <w:top w:w="0" w:type="dxa"/>
              <w:left w:w="57" w:type="dxa"/>
              <w:bottom w:w="0" w:type="dxa"/>
              <w:right w:w="57" w:type="dxa"/>
            </w:tcMar>
            <w:vAlign w:val="center"/>
          </w:tcPr>
          <w:p w14:paraId="392DADAC">
            <w:pPr>
              <w:pStyle w:val="41"/>
            </w:pPr>
            <w:r>
              <w:t>技改新增精炼工段</w:t>
            </w:r>
          </w:p>
        </w:tc>
        <w:tc>
          <w:tcPr>
            <w:tcW w:w="1299" w:type="pct"/>
            <w:tcMar>
              <w:top w:w="0" w:type="dxa"/>
              <w:left w:w="57" w:type="dxa"/>
              <w:bottom w:w="0" w:type="dxa"/>
              <w:right w:w="57" w:type="dxa"/>
            </w:tcMar>
            <w:vAlign w:val="center"/>
          </w:tcPr>
          <w:p w14:paraId="286C7727">
            <w:pPr>
              <w:pStyle w:val="41"/>
            </w:pPr>
            <w:r>
              <w:t>技改新增精炼车间废气排放口（DA009）</w:t>
            </w:r>
          </w:p>
        </w:tc>
        <w:tc>
          <w:tcPr>
            <w:tcW w:w="840" w:type="pct"/>
            <w:tcMar>
              <w:top w:w="0" w:type="dxa"/>
              <w:left w:w="57" w:type="dxa"/>
              <w:bottom w:w="0" w:type="dxa"/>
              <w:right w:w="57" w:type="dxa"/>
            </w:tcMar>
            <w:vAlign w:val="center"/>
          </w:tcPr>
          <w:p w14:paraId="6423DA93">
            <w:pPr>
              <w:pStyle w:val="41"/>
            </w:pPr>
            <w:r>
              <w:t>一般排放口</w:t>
            </w:r>
          </w:p>
        </w:tc>
        <w:tc>
          <w:tcPr>
            <w:tcW w:w="1372" w:type="pct"/>
            <w:tcMar>
              <w:top w:w="0" w:type="dxa"/>
              <w:left w:w="57" w:type="dxa"/>
              <w:bottom w:w="0" w:type="dxa"/>
              <w:right w:w="57" w:type="dxa"/>
            </w:tcMar>
            <w:vAlign w:val="center"/>
          </w:tcPr>
          <w:p w14:paraId="4E851736">
            <w:pPr>
              <w:pStyle w:val="41"/>
            </w:pPr>
            <w:r>
              <w:t>颗粒物</w:t>
            </w:r>
          </w:p>
        </w:tc>
        <w:tc>
          <w:tcPr>
            <w:tcW w:w="745" w:type="pct"/>
            <w:tcMar>
              <w:top w:w="0" w:type="dxa"/>
              <w:left w:w="57" w:type="dxa"/>
              <w:bottom w:w="0" w:type="dxa"/>
              <w:right w:w="57" w:type="dxa"/>
            </w:tcMar>
            <w:vAlign w:val="center"/>
          </w:tcPr>
          <w:p w14:paraId="62D85C57">
            <w:pPr>
              <w:pStyle w:val="41"/>
            </w:pPr>
            <w:r>
              <w:t>1次/季度</w:t>
            </w:r>
          </w:p>
        </w:tc>
      </w:tr>
      <w:tr w14:paraId="7BC38C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00" w:type="pct"/>
            <w:gridSpan w:val="5"/>
            <w:tcMar>
              <w:top w:w="0" w:type="dxa"/>
              <w:left w:w="57" w:type="dxa"/>
              <w:bottom w:w="0" w:type="dxa"/>
              <w:right w:w="57" w:type="dxa"/>
            </w:tcMar>
            <w:vAlign w:val="center"/>
          </w:tcPr>
          <w:p w14:paraId="48B5A68F">
            <w:pPr>
              <w:pStyle w:val="41"/>
            </w:pPr>
            <w:r>
              <w:t>废气无组织排放</w:t>
            </w:r>
          </w:p>
        </w:tc>
      </w:tr>
      <w:tr w14:paraId="087D2F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744" w:type="pct"/>
            <w:tcMar>
              <w:top w:w="0" w:type="dxa"/>
              <w:left w:w="57" w:type="dxa"/>
              <w:bottom w:w="0" w:type="dxa"/>
              <w:right w:w="57" w:type="dxa"/>
            </w:tcMar>
            <w:vAlign w:val="center"/>
          </w:tcPr>
          <w:p w14:paraId="18002772">
            <w:pPr>
              <w:pStyle w:val="41"/>
            </w:pPr>
            <w:r>
              <w:t>厂界</w:t>
            </w:r>
          </w:p>
        </w:tc>
        <w:tc>
          <w:tcPr>
            <w:tcW w:w="2139" w:type="pct"/>
            <w:gridSpan w:val="2"/>
            <w:tcMar>
              <w:top w:w="0" w:type="dxa"/>
              <w:left w:w="57" w:type="dxa"/>
              <w:bottom w:w="0" w:type="dxa"/>
              <w:right w:w="57" w:type="dxa"/>
            </w:tcMar>
            <w:vAlign w:val="center"/>
          </w:tcPr>
          <w:p w14:paraId="58F6118F">
            <w:pPr>
              <w:pStyle w:val="41"/>
            </w:pPr>
            <w:r>
              <w:t>企业边界</w:t>
            </w:r>
          </w:p>
        </w:tc>
        <w:tc>
          <w:tcPr>
            <w:tcW w:w="1372" w:type="pct"/>
            <w:tcMar>
              <w:top w:w="0" w:type="dxa"/>
              <w:left w:w="57" w:type="dxa"/>
              <w:bottom w:w="0" w:type="dxa"/>
              <w:right w:w="57" w:type="dxa"/>
            </w:tcMar>
            <w:vAlign w:val="center"/>
          </w:tcPr>
          <w:p w14:paraId="730C9049">
            <w:pPr>
              <w:pStyle w:val="41"/>
            </w:pPr>
            <w:r>
              <w:t>颗粒物</w:t>
            </w:r>
          </w:p>
        </w:tc>
        <w:tc>
          <w:tcPr>
            <w:tcW w:w="745" w:type="pct"/>
            <w:tcMar>
              <w:top w:w="0" w:type="dxa"/>
              <w:left w:w="57" w:type="dxa"/>
              <w:bottom w:w="0" w:type="dxa"/>
              <w:right w:w="57" w:type="dxa"/>
            </w:tcMar>
            <w:vAlign w:val="center"/>
          </w:tcPr>
          <w:p w14:paraId="44082B98">
            <w:pPr>
              <w:pStyle w:val="41"/>
            </w:pPr>
            <w:r>
              <w:t>1次/季度</w:t>
            </w:r>
          </w:p>
        </w:tc>
      </w:tr>
      <w:bookmarkEnd w:id="284"/>
      <w:bookmarkEnd w:id="285"/>
    </w:tbl>
    <w:p w14:paraId="45912DD5">
      <w:pPr>
        <w:pStyle w:val="5"/>
        <w:spacing w:before="156"/>
        <w:rPr>
          <w:lang w:bidi="ar"/>
        </w:rPr>
      </w:pPr>
      <w:r>
        <w:rPr>
          <w:lang w:bidi="ar"/>
        </w:rPr>
        <w:t>环境质量监测计划</w:t>
      </w:r>
    </w:p>
    <w:p w14:paraId="6D9817EC">
      <w:pPr>
        <w:pStyle w:val="3"/>
        <w:ind w:firstLine="480"/>
      </w:pPr>
      <w:bookmarkStart w:id="287" w:name="_Hlk172048533"/>
      <w:r>
        <w:t>根据大气环境、水环境、土壤环境等环评技术导则，设置环境质量监测情况如下表：</w:t>
      </w:r>
    </w:p>
    <w:p w14:paraId="7EDAA6E0">
      <w:pPr>
        <w:pStyle w:val="40"/>
        <w:spacing w:before="156"/>
      </w:pPr>
      <w:bookmarkStart w:id="288" w:name="_Hlk172045267"/>
      <w:r>
        <w:t>表10.5-2    环境质量监测计划</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3"/>
        <w:gridCol w:w="3138"/>
        <w:gridCol w:w="2919"/>
        <w:gridCol w:w="1153"/>
      </w:tblGrid>
      <w:tr w14:paraId="79126D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trPr>
        <w:tc>
          <w:tcPr>
            <w:tcW w:w="720" w:type="pct"/>
            <w:tcMar>
              <w:top w:w="0" w:type="dxa"/>
              <w:left w:w="57" w:type="dxa"/>
              <w:bottom w:w="0" w:type="dxa"/>
              <w:right w:w="57" w:type="dxa"/>
            </w:tcMar>
            <w:vAlign w:val="center"/>
          </w:tcPr>
          <w:p w14:paraId="2540E02E">
            <w:pPr>
              <w:pStyle w:val="41"/>
            </w:pPr>
            <w:r>
              <w:t>环境要素</w:t>
            </w:r>
          </w:p>
        </w:tc>
        <w:tc>
          <w:tcPr>
            <w:tcW w:w="1863" w:type="pct"/>
            <w:tcMar>
              <w:top w:w="0" w:type="dxa"/>
              <w:left w:w="57" w:type="dxa"/>
              <w:bottom w:w="0" w:type="dxa"/>
              <w:right w:w="57" w:type="dxa"/>
            </w:tcMar>
            <w:vAlign w:val="center"/>
          </w:tcPr>
          <w:p w14:paraId="44E5017A">
            <w:pPr>
              <w:pStyle w:val="41"/>
            </w:pPr>
            <w:r>
              <w:t>监测点位</w:t>
            </w:r>
          </w:p>
        </w:tc>
        <w:tc>
          <w:tcPr>
            <w:tcW w:w="1733" w:type="pct"/>
            <w:tcMar>
              <w:top w:w="0" w:type="dxa"/>
              <w:left w:w="57" w:type="dxa"/>
              <w:bottom w:w="0" w:type="dxa"/>
              <w:right w:w="57" w:type="dxa"/>
            </w:tcMar>
            <w:vAlign w:val="center"/>
          </w:tcPr>
          <w:p w14:paraId="20768B13">
            <w:pPr>
              <w:pStyle w:val="41"/>
            </w:pPr>
            <w:r>
              <w:t>监测因子</w:t>
            </w:r>
          </w:p>
        </w:tc>
        <w:tc>
          <w:tcPr>
            <w:tcW w:w="684" w:type="pct"/>
            <w:tcMar>
              <w:top w:w="0" w:type="dxa"/>
              <w:left w:w="57" w:type="dxa"/>
              <w:bottom w:w="0" w:type="dxa"/>
              <w:right w:w="57" w:type="dxa"/>
            </w:tcMar>
            <w:vAlign w:val="center"/>
          </w:tcPr>
          <w:p w14:paraId="7EC22500">
            <w:pPr>
              <w:pStyle w:val="41"/>
            </w:pPr>
            <w:r>
              <w:t>监测频次</w:t>
            </w:r>
          </w:p>
        </w:tc>
      </w:tr>
      <w:tr w14:paraId="5C6EF9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trPr>
        <w:tc>
          <w:tcPr>
            <w:tcW w:w="720" w:type="pct"/>
            <w:tcMar>
              <w:top w:w="0" w:type="dxa"/>
              <w:left w:w="57" w:type="dxa"/>
              <w:bottom w:w="0" w:type="dxa"/>
              <w:right w:w="57" w:type="dxa"/>
            </w:tcMar>
            <w:vAlign w:val="center"/>
          </w:tcPr>
          <w:p w14:paraId="53068FA4">
            <w:pPr>
              <w:pStyle w:val="41"/>
            </w:pPr>
            <w:r>
              <w:t>土壤环境</w:t>
            </w:r>
          </w:p>
        </w:tc>
        <w:tc>
          <w:tcPr>
            <w:tcW w:w="1863" w:type="pct"/>
            <w:tcMar>
              <w:top w:w="0" w:type="dxa"/>
              <w:left w:w="57" w:type="dxa"/>
              <w:bottom w:w="0" w:type="dxa"/>
              <w:right w:w="57" w:type="dxa"/>
            </w:tcMar>
            <w:vAlign w:val="center"/>
          </w:tcPr>
          <w:p w14:paraId="3DC161EB">
            <w:pPr>
              <w:pStyle w:val="41"/>
            </w:pPr>
            <w:r>
              <w:t>东北侧农田</w:t>
            </w:r>
          </w:p>
        </w:tc>
        <w:tc>
          <w:tcPr>
            <w:tcW w:w="1733" w:type="pct"/>
            <w:tcMar>
              <w:top w:w="0" w:type="dxa"/>
              <w:left w:w="57" w:type="dxa"/>
              <w:bottom w:w="0" w:type="dxa"/>
              <w:right w:w="57" w:type="dxa"/>
            </w:tcMar>
            <w:vAlign w:val="center"/>
          </w:tcPr>
          <w:p w14:paraId="3ED637F5">
            <w:pPr>
              <w:pStyle w:val="41"/>
            </w:pPr>
            <w:r>
              <w:t>二噁英类</w:t>
            </w:r>
          </w:p>
        </w:tc>
        <w:tc>
          <w:tcPr>
            <w:tcW w:w="684" w:type="pct"/>
            <w:tcMar>
              <w:top w:w="0" w:type="dxa"/>
              <w:left w:w="57" w:type="dxa"/>
              <w:bottom w:w="0" w:type="dxa"/>
              <w:right w:w="57" w:type="dxa"/>
            </w:tcMar>
            <w:vAlign w:val="center"/>
          </w:tcPr>
          <w:p w14:paraId="3B2D85B3">
            <w:pPr>
              <w:pStyle w:val="41"/>
            </w:pPr>
            <w:r>
              <w:t>1次/3年</w:t>
            </w:r>
          </w:p>
        </w:tc>
      </w:tr>
      <w:bookmarkEnd w:id="286"/>
      <w:bookmarkEnd w:id="287"/>
      <w:bookmarkEnd w:id="288"/>
    </w:tbl>
    <w:p w14:paraId="286FE66F">
      <w:pPr>
        <w:pStyle w:val="4"/>
      </w:pPr>
      <w:bookmarkStart w:id="289" w:name="_Toc207208421"/>
      <w:bookmarkStart w:id="290" w:name="_Toc18611"/>
      <w:bookmarkStart w:id="291" w:name="_Toc32209"/>
      <w:r>
        <w:t>环境保护验收与“三同时”</w:t>
      </w:r>
      <w:bookmarkEnd w:id="289"/>
      <w:bookmarkEnd w:id="290"/>
      <w:bookmarkEnd w:id="291"/>
    </w:p>
    <w:p w14:paraId="67E80631">
      <w:pPr>
        <w:spacing w:line="480" w:lineRule="exact"/>
        <w:ind w:firstLine="480" w:firstLineChars="200"/>
      </w:pPr>
      <w:r>
        <w:t>（1）环境工程设计</w:t>
      </w:r>
    </w:p>
    <w:p w14:paraId="4B4265C9">
      <w:pPr>
        <w:spacing w:line="480" w:lineRule="exact"/>
        <w:ind w:firstLine="480" w:firstLineChars="200"/>
      </w:pPr>
      <w:r>
        <w:t>按照环评文件及其批复要求，落实工程环境设计，重点做好废气防治、废水处置与噪声治理和危险固体废物的安全处置等项工作，确保三废达标排放；污染治理设置必须与主体工程实现“三同时”。</w:t>
      </w:r>
    </w:p>
    <w:p w14:paraId="4D479DA5">
      <w:pPr>
        <w:spacing w:line="480" w:lineRule="exact"/>
        <w:ind w:firstLine="480" w:firstLineChars="200"/>
      </w:pPr>
      <w:r>
        <w:t>（2）验收标准与范围</w:t>
      </w:r>
    </w:p>
    <w:p w14:paraId="4F77A3AC">
      <w:pPr>
        <w:spacing w:line="480" w:lineRule="exact"/>
        <w:ind w:firstLine="480" w:firstLineChars="200"/>
      </w:pPr>
      <w:r>
        <w:rPr>
          <w:rFonts w:ascii="Cambria Math" w:hAnsi="Cambria Math" w:cs="Cambria Math"/>
        </w:rPr>
        <w:t>①</w:t>
      </w:r>
      <w:r>
        <w:t>按照《国务院关于修改〈建设项目环境保护管理条例〉的决定》（国令第682号）有关规定执行；</w:t>
      </w:r>
    </w:p>
    <w:p w14:paraId="3BCEEA6E">
      <w:pPr>
        <w:spacing w:line="480" w:lineRule="exact"/>
        <w:ind w:firstLine="480" w:firstLineChars="200"/>
      </w:pPr>
      <w:r>
        <w:rPr>
          <w:rFonts w:ascii="Cambria Math" w:hAnsi="Cambria Math" w:cs="Cambria Math"/>
        </w:rPr>
        <w:t>②</w:t>
      </w:r>
      <w:r>
        <w:t>与工程有关的各项环保设施，包括为污染防治和保护环境设施建成或配套建成的工程、设备、装置，以及各项生态保护、水土保持绿化设施；</w:t>
      </w:r>
    </w:p>
    <w:p w14:paraId="0C045BD9">
      <w:pPr>
        <w:spacing w:line="480" w:lineRule="exact"/>
        <w:ind w:firstLine="480" w:firstLineChars="200"/>
      </w:pPr>
      <w:r>
        <w:rPr>
          <w:rFonts w:ascii="Cambria Math" w:hAnsi="Cambria Math" w:cs="Cambria Math"/>
        </w:rPr>
        <w:t>③</w:t>
      </w:r>
      <w:r>
        <w:t>本报告书及其批复文件和有关设计文件规定应采取的其他各项环保措施。</w:t>
      </w:r>
    </w:p>
    <w:p w14:paraId="1E445E2A">
      <w:pPr>
        <w:spacing w:line="480" w:lineRule="exact"/>
        <w:ind w:firstLine="480" w:firstLineChars="200"/>
      </w:pPr>
      <w:r>
        <w:t>（3）竣工验收</w:t>
      </w:r>
    </w:p>
    <w:p w14:paraId="3FDD2BED">
      <w:pPr>
        <w:spacing w:line="480" w:lineRule="exact"/>
        <w:ind w:firstLine="480" w:firstLineChars="200"/>
      </w:pPr>
      <w:r>
        <w:t>建设项目竣工后，建设单位应当按照国务院环境保护行政主管部门规定的标准和程序，对配套建设的环境保护设施进行验收，编制验收报告。</w:t>
      </w:r>
    </w:p>
    <w:p w14:paraId="22EB058E">
      <w:pPr>
        <w:spacing w:line="480" w:lineRule="exact"/>
        <w:ind w:firstLine="480" w:firstLineChars="200"/>
      </w:pPr>
      <w:r>
        <w:t>建设单位在环境保护设施验收过程中，应当如实查验、监测、记载建设项目环境保护设施的建设和调试情况，不得弄虚作假。</w:t>
      </w:r>
    </w:p>
    <w:p w14:paraId="2D40E5FD">
      <w:pPr>
        <w:spacing w:line="480" w:lineRule="exact"/>
        <w:ind w:firstLine="480" w:firstLineChars="200"/>
      </w:pPr>
      <w:r>
        <w:t>除按照国家规定需要保密的情形外，建设单位应当依法向社会公开验收报告。</w:t>
      </w:r>
    </w:p>
    <w:p w14:paraId="2DC3E6BD">
      <w:pPr>
        <w:pStyle w:val="3"/>
        <w:ind w:firstLine="480"/>
      </w:pPr>
      <w:r>
        <w:t>本项目环保设施竣工验收与“三同时”情况见下表：</w:t>
      </w:r>
    </w:p>
    <w:p w14:paraId="4F77B39B">
      <w:pPr>
        <w:pStyle w:val="3"/>
        <w:keepNext/>
        <w:ind w:firstLine="0" w:firstLineChars="0"/>
        <w:rPr>
          <w:rFonts w:eastAsia="黑体"/>
        </w:rPr>
      </w:pPr>
      <w:bookmarkStart w:id="292" w:name="_Hlk172058929"/>
      <w:r>
        <w:rPr>
          <w:rFonts w:eastAsia="黑体"/>
        </w:rPr>
        <w:t>表10.6-1   本次技改工程环境保护措施竣工“三同时”验收内容及要求一览表</w:t>
      </w:r>
    </w:p>
    <w:tbl>
      <w:tblPr>
        <w:tblStyle w:val="28"/>
        <w:tblW w:w="847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354"/>
        <w:gridCol w:w="1489"/>
        <w:gridCol w:w="1559"/>
        <w:gridCol w:w="2835"/>
        <w:gridCol w:w="2233"/>
      </w:tblGrid>
      <w:tr w14:paraId="5F1A10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blHeader/>
          <w:jc w:val="center"/>
        </w:trPr>
        <w:tc>
          <w:tcPr>
            <w:tcW w:w="0" w:type="auto"/>
            <w:vAlign w:val="center"/>
          </w:tcPr>
          <w:p w14:paraId="3E321E12">
            <w:pPr>
              <w:pStyle w:val="41"/>
            </w:pPr>
            <w:r>
              <w:t>分类</w:t>
            </w:r>
          </w:p>
        </w:tc>
        <w:tc>
          <w:tcPr>
            <w:tcW w:w="1489" w:type="dxa"/>
            <w:vAlign w:val="center"/>
          </w:tcPr>
          <w:p w14:paraId="23B86D6F">
            <w:pPr>
              <w:pStyle w:val="41"/>
            </w:pPr>
            <w:r>
              <w:t>验收点</w:t>
            </w:r>
          </w:p>
        </w:tc>
        <w:tc>
          <w:tcPr>
            <w:tcW w:w="1559" w:type="dxa"/>
            <w:vAlign w:val="center"/>
          </w:tcPr>
          <w:p w14:paraId="754B0D71">
            <w:pPr>
              <w:pStyle w:val="41"/>
            </w:pPr>
            <w:r>
              <w:t>污染因子</w:t>
            </w:r>
          </w:p>
        </w:tc>
        <w:tc>
          <w:tcPr>
            <w:tcW w:w="2835" w:type="dxa"/>
            <w:vAlign w:val="center"/>
          </w:tcPr>
          <w:p w14:paraId="5B4FAB40">
            <w:pPr>
              <w:pStyle w:val="41"/>
            </w:pPr>
            <w:r>
              <w:t>处理措施验收</w:t>
            </w:r>
          </w:p>
        </w:tc>
        <w:tc>
          <w:tcPr>
            <w:tcW w:w="2233" w:type="dxa"/>
            <w:vAlign w:val="center"/>
          </w:tcPr>
          <w:p w14:paraId="1A699231">
            <w:pPr>
              <w:pStyle w:val="41"/>
            </w:pPr>
            <w:r>
              <w:t>验收要求</w:t>
            </w:r>
          </w:p>
        </w:tc>
      </w:tr>
      <w:tr w14:paraId="084702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restart"/>
            <w:vAlign w:val="center"/>
          </w:tcPr>
          <w:p w14:paraId="05F43EE0">
            <w:pPr>
              <w:pStyle w:val="41"/>
            </w:pPr>
            <w:r>
              <w:t>废气</w:t>
            </w:r>
          </w:p>
        </w:tc>
        <w:tc>
          <w:tcPr>
            <w:tcW w:w="1489" w:type="dxa"/>
            <w:vAlign w:val="center"/>
          </w:tcPr>
          <w:p w14:paraId="061CC9BB">
            <w:pPr>
              <w:pStyle w:val="41"/>
            </w:pPr>
            <w:r>
              <w:t>配料站废气排放口（DA006）</w:t>
            </w:r>
          </w:p>
        </w:tc>
        <w:tc>
          <w:tcPr>
            <w:tcW w:w="1559" w:type="dxa"/>
            <w:vAlign w:val="center"/>
          </w:tcPr>
          <w:p w14:paraId="1973C0CF">
            <w:pPr>
              <w:pStyle w:val="41"/>
            </w:pPr>
            <w:r>
              <w:t>颗粒物</w:t>
            </w:r>
          </w:p>
        </w:tc>
        <w:tc>
          <w:tcPr>
            <w:tcW w:w="2835" w:type="dxa"/>
            <w:vAlign w:val="center"/>
          </w:tcPr>
          <w:p w14:paraId="08B88FAF">
            <w:pPr>
              <w:pStyle w:val="41"/>
            </w:pPr>
            <w:r>
              <w:t>经袋式除尘器+15m排气筒（DA006）排放</w:t>
            </w:r>
          </w:p>
        </w:tc>
        <w:tc>
          <w:tcPr>
            <w:tcW w:w="2233" w:type="dxa"/>
            <w:vAlign w:val="center"/>
          </w:tcPr>
          <w:p w14:paraId="2B6CCED1">
            <w:pPr>
              <w:pStyle w:val="41"/>
            </w:pPr>
            <w:r>
              <w:t>《铁合金工业污染物排放标准》（GB28666-2012）中表6大气污染物特别排放限值（颗粒物20mg/m</w:t>
            </w:r>
            <w:r>
              <w:rPr>
                <w:vertAlign w:val="superscript"/>
              </w:rPr>
              <w:t>3</w:t>
            </w:r>
            <w:r>
              <w:t>）</w:t>
            </w:r>
          </w:p>
        </w:tc>
      </w:tr>
      <w:tr w14:paraId="2E6D35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81" w:hRule="atLeast"/>
          <w:jc w:val="center"/>
        </w:trPr>
        <w:tc>
          <w:tcPr>
            <w:tcW w:w="0" w:type="auto"/>
            <w:vMerge w:val="continue"/>
            <w:vAlign w:val="center"/>
          </w:tcPr>
          <w:p w14:paraId="2729ED3B">
            <w:pPr>
              <w:pStyle w:val="41"/>
            </w:pPr>
          </w:p>
        </w:tc>
        <w:tc>
          <w:tcPr>
            <w:tcW w:w="1489" w:type="dxa"/>
            <w:vMerge w:val="restart"/>
            <w:vAlign w:val="center"/>
          </w:tcPr>
          <w:p w14:paraId="0E7EB539">
            <w:pPr>
              <w:pStyle w:val="41"/>
            </w:pPr>
            <w:r>
              <w:t>烧结机头废气排放口（DA002）</w:t>
            </w:r>
          </w:p>
        </w:tc>
        <w:tc>
          <w:tcPr>
            <w:tcW w:w="1559" w:type="dxa"/>
            <w:vAlign w:val="center"/>
          </w:tcPr>
          <w:p w14:paraId="2DFAF572">
            <w:pPr>
              <w:pStyle w:val="41"/>
            </w:pPr>
            <w:r>
              <w:t>SO</w:t>
            </w:r>
            <w:r>
              <w:rPr>
                <w:vertAlign w:val="subscript"/>
              </w:rPr>
              <w:t>2</w:t>
            </w:r>
            <w:r>
              <w:t>、NOx、颗粒物、</w:t>
            </w:r>
          </w:p>
        </w:tc>
        <w:tc>
          <w:tcPr>
            <w:tcW w:w="2835" w:type="dxa"/>
            <w:vMerge w:val="restart"/>
            <w:vAlign w:val="center"/>
          </w:tcPr>
          <w:p w14:paraId="0FA6D090">
            <w:pPr>
              <w:pStyle w:val="41"/>
            </w:pPr>
            <w:r>
              <w:t>经SCR脱硝+石灰石-石膏法脱硫+多管除尘+湿电除尘处理后通过55m排气筒（DA002）排放</w:t>
            </w:r>
          </w:p>
        </w:tc>
        <w:tc>
          <w:tcPr>
            <w:tcW w:w="2233" w:type="dxa"/>
            <w:vAlign w:val="center"/>
          </w:tcPr>
          <w:p w14:paraId="0D9BD5FE">
            <w:pPr>
              <w:pStyle w:val="41"/>
            </w:pPr>
            <w:r>
              <w:t>《关于推进实施钢铁行业超低排放的意见》（环大气〔2019〕35号）附件2排放限值</w:t>
            </w:r>
          </w:p>
        </w:tc>
      </w:tr>
      <w:tr w14:paraId="44D800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continue"/>
            <w:vAlign w:val="center"/>
          </w:tcPr>
          <w:p w14:paraId="2E9D2F1A">
            <w:pPr>
              <w:pStyle w:val="41"/>
            </w:pPr>
          </w:p>
        </w:tc>
        <w:tc>
          <w:tcPr>
            <w:tcW w:w="1489" w:type="dxa"/>
            <w:vMerge w:val="continue"/>
            <w:vAlign w:val="center"/>
          </w:tcPr>
          <w:p w14:paraId="5F24BDAD">
            <w:pPr>
              <w:pStyle w:val="41"/>
            </w:pPr>
          </w:p>
        </w:tc>
        <w:tc>
          <w:tcPr>
            <w:tcW w:w="1559" w:type="dxa"/>
            <w:vAlign w:val="center"/>
          </w:tcPr>
          <w:p w14:paraId="1F8D8FC2">
            <w:pPr>
              <w:pStyle w:val="41"/>
            </w:pPr>
            <w:r>
              <w:t>氨、氟化物、</w:t>
            </w:r>
            <w:r>
              <w:rPr>
                <w:spacing w:val="-5"/>
              </w:rPr>
              <w:t>二噁英类</w:t>
            </w:r>
          </w:p>
        </w:tc>
        <w:tc>
          <w:tcPr>
            <w:tcW w:w="2835" w:type="dxa"/>
            <w:vMerge w:val="continue"/>
            <w:vAlign w:val="center"/>
          </w:tcPr>
          <w:p w14:paraId="14D0CD43">
            <w:pPr>
              <w:pStyle w:val="41"/>
            </w:pPr>
          </w:p>
        </w:tc>
        <w:tc>
          <w:tcPr>
            <w:tcW w:w="2233" w:type="dxa"/>
            <w:vAlign w:val="center"/>
          </w:tcPr>
          <w:p w14:paraId="295F3744">
            <w:pPr>
              <w:pStyle w:val="41"/>
            </w:pPr>
            <w:r>
              <w:t>《钢铁烧结、球团工业大气污染物排放标准》（GB28662-2012）及修改单中表3大气污染物特别排放限值</w:t>
            </w:r>
          </w:p>
        </w:tc>
      </w:tr>
      <w:tr w14:paraId="448839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continue"/>
            <w:vAlign w:val="center"/>
          </w:tcPr>
          <w:p w14:paraId="2DA45F51">
            <w:pPr>
              <w:pStyle w:val="41"/>
            </w:pPr>
          </w:p>
        </w:tc>
        <w:tc>
          <w:tcPr>
            <w:tcW w:w="1489" w:type="dxa"/>
            <w:vAlign w:val="center"/>
          </w:tcPr>
          <w:p w14:paraId="15E976E7">
            <w:pPr>
              <w:pStyle w:val="41"/>
            </w:pPr>
            <w:r>
              <w:t>烧结机尾废气排放口（DA008）</w:t>
            </w:r>
          </w:p>
        </w:tc>
        <w:tc>
          <w:tcPr>
            <w:tcW w:w="1559" w:type="dxa"/>
            <w:vAlign w:val="center"/>
          </w:tcPr>
          <w:p w14:paraId="3883328B">
            <w:pPr>
              <w:pStyle w:val="41"/>
            </w:pPr>
            <w:r>
              <w:t>颗粒物</w:t>
            </w:r>
          </w:p>
        </w:tc>
        <w:tc>
          <w:tcPr>
            <w:tcW w:w="2835" w:type="dxa"/>
            <w:vAlign w:val="center"/>
          </w:tcPr>
          <w:p w14:paraId="1C36C1EF">
            <w:pPr>
              <w:pStyle w:val="41"/>
            </w:pPr>
            <w:r>
              <w:t>经多管除尘器+湿式电除尘+30m排气筒（DA008）排放</w:t>
            </w:r>
          </w:p>
        </w:tc>
        <w:tc>
          <w:tcPr>
            <w:tcW w:w="2233" w:type="dxa"/>
            <w:vAlign w:val="center"/>
          </w:tcPr>
          <w:p w14:paraId="7BBAB394">
            <w:pPr>
              <w:pStyle w:val="41"/>
            </w:pPr>
            <w:r>
              <w:t>《关于推进实施钢铁行业超低排放的意见》（环大气〔2019〕35号）附件2排放限值（颗粒物10mg/m</w:t>
            </w:r>
            <w:r>
              <w:rPr>
                <w:vertAlign w:val="superscript"/>
              </w:rPr>
              <w:t>3</w:t>
            </w:r>
            <w:r>
              <w:t>）</w:t>
            </w:r>
          </w:p>
        </w:tc>
      </w:tr>
      <w:tr w14:paraId="2F4382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continue"/>
            <w:vAlign w:val="center"/>
          </w:tcPr>
          <w:p w14:paraId="3902F8CE">
            <w:pPr>
              <w:pStyle w:val="41"/>
            </w:pPr>
          </w:p>
        </w:tc>
        <w:tc>
          <w:tcPr>
            <w:tcW w:w="1489" w:type="dxa"/>
            <w:vAlign w:val="center"/>
          </w:tcPr>
          <w:p w14:paraId="420FBB52">
            <w:pPr>
              <w:pStyle w:val="41"/>
            </w:pPr>
            <w:r>
              <w:t>技改新增精炼车间废气排放口（DA009）</w:t>
            </w:r>
          </w:p>
        </w:tc>
        <w:tc>
          <w:tcPr>
            <w:tcW w:w="1559" w:type="dxa"/>
            <w:vAlign w:val="center"/>
          </w:tcPr>
          <w:p w14:paraId="70921360">
            <w:pPr>
              <w:pStyle w:val="41"/>
            </w:pPr>
            <w:r>
              <w:t>颗粒物</w:t>
            </w:r>
          </w:p>
        </w:tc>
        <w:tc>
          <w:tcPr>
            <w:tcW w:w="2835" w:type="dxa"/>
            <w:vAlign w:val="center"/>
          </w:tcPr>
          <w:p w14:paraId="2EFE3ADE">
            <w:pPr>
              <w:pStyle w:val="41"/>
            </w:pPr>
            <w:r>
              <w:rPr>
                <w:spacing w:val="-1"/>
              </w:rPr>
              <w:t>袋式除尘器+15m排气筒（DA009）</w:t>
            </w:r>
          </w:p>
        </w:tc>
        <w:tc>
          <w:tcPr>
            <w:tcW w:w="2233" w:type="dxa"/>
            <w:vAlign w:val="center"/>
          </w:tcPr>
          <w:p w14:paraId="6A252D30">
            <w:pPr>
              <w:pStyle w:val="41"/>
            </w:pPr>
            <w:r>
              <w:t>《铁合金工业污染物排放标准》（GB28666-2012）中表6大气污染物特别排放限值（颗粒物20mg/m</w:t>
            </w:r>
            <w:r>
              <w:rPr>
                <w:vertAlign w:val="superscript"/>
              </w:rPr>
              <w:t>3</w:t>
            </w:r>
            <w:r>
              <w:t>）</w:t>
            </w:r>
          </w:p>
        </w:tc>
      </w:tr>
      <w:tr w14:paraId="65C20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continue"/>
            <w:vAlign w:val="center"/>
          </w:tcPr>
          <w:p w14:paraId="4BFCB4D4">
            <w:pPr>
              <w:pStyle w:val="41"/>
            </w:pPr>
          </w:p>
        </w:tc>
        <w:tc>
          <w:tcPr>
            <w:tcW w:w="1489" w:type="dxa"/>
            <w:vAlign w:val="center"/>
          </w:tcPr>
          <w:p w14:paraId="38B20D1F">
            <w:pPr>
              <w:pStyle w:val="41"/>
            </w:pPr>
            <w:r>
              <w:t>无组织</w:t>
            </w:r>
          </w:p>
        </w:tc>
        <w:tc>
          <w:tcPr>
            <w:tcW w:w="1559" w:type="dxa"/>
            <w:vAlign w:val="center"/>
          </w:tcPr>
          <w:p w14:paraId="21AE2B84">
            <w:pPr>
              <w:pStyle w:val="41"/>
            </w:pPr>
            <w:r>
              <w:t>颗粒物</w:t>
            </w:r>
          </w:p>
        </w:tc>
        <w:tc>
          <w:tcPr>
            <w:tcW w:w="2835" w:type="dxa"/>
            <w:vAlign w:val="center"/>
          </w:tcPr>
          <w:p w14:paraId="31C824D8">
            <w:pPr>
              <w:pStyle w:val="41"/>
              <w:rPr>
                <w:spacing w:val="-1"/>
              </w:rPr>
            </w:pPr>
            <w:r>
              <w:rPr>
                <w:spacing w:val="-1"/>
              </w:rPr>
              <w:t>建设封闭式煤棚和原料堆棚，并设置洒水抑尘措施；冶炼及烧结车间上料和煤炭输送采用封闭式廊道输送，冶炼车间配料至电炉内采取半封闭皮带输送；除尘器收集的粉尘设置灰库进行集中暂存。</w:t>
            </w:r>
          </w:p>
        </w:tc>
        <w:tc>
          <w:tcPr>
            <w:tcW w:w="2233" w:type="dxa"/>
            <w:vAlign w:val="center"/>
          </w:tcPr>
          <w:p w14:paraId="663A4DA8">
            <w:pPr>
              <w:pStyle w:val="41"/>
            </w:pPr>
          </w:p>
        </w:tc>
      </w:tr>
      <w:tr w14:paraId="4FDEF9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Align w:val="center"/>
          </w:tcPr>
          <w:p w14:paraId="5ED53BEE">
            <w:pPr>
              <w:pStyle w:val="41"/>
            </w:pPr>
            <w:r>
              <w:t>废水</w:t>
            </w:r>
          </w:p>
        </w:tc>
        <w:tc>
          <w:tcPr>
            <w:tcW w:w="1489" w:type="dxa"/>
            <w:vAlign w:val="center"/>
          </w:tcPr>
          <w:p w14:paraId="356914CB">
            <w:pPr>
              <w:pStyle w:val="41"/>
            </w:pPr>
            <w:r>
              <w:t>循环冷却系统</w:t>
            </w:r>
          </w:p>
        </w:tc>
        <w:tc>
          <w:tcPr>
            <w:tcW w:w="1559" w:type="dxa"/>
            <w:vAlign w:val="center"/>
          </w:tcPr>
          <w:p w14:paraId="1B4F88D7">
            <w:pPr>
              <w:pStyle w:val="41"/>
            </w:pPr>
            <w:r>
              <w:t>SS</w:t>
            </w:r>
          </w:p>
        </w:tc>
        <w:tc>
          <w:tcPr>
            <w:tcW w:w="2835" w:type="dxa"/>
            <w:vAlign w:val="center"/>
          </w:tcPr>
          <w:p w14:paraId="55415275">
            <w:pPr>
              <w:pStyle w:val="41"/>
              <w:rPr>
                <w:spacing w:val="-1"/>
              </w:rPr>
            </w:pPr>
            <w:r>
              <w:rPr>
                <w:spacing w:val="-1"/>
              </w:rPr>
              <w:t>循环冷却水，全部循环使用，不外排</w:t>
            </w:r>
          </w:p>
        </w:tc>
        <w:tc>
          <w:tcPr>
            <w:tcW w:w="2233" w:type="dxa"/>
            <w:vAlign w:val="center"/>
          </w:tcPr>
          <w:p w14:paraId="46052EBE">
            <w:pPr>
              <w:pStyle w:val="41"/>
            </w:pPr>
            <w:r>
              <w:t>合理处置</w:t>
            </w:r>
          </w:p>
        </w:tc>
      </w:tr>
      <w:tr w14:paraId="570196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Align w:val="center"/>
          </w:tcPr>
          <w:p w14:paraId="38169278">
            <w:pPr>
              <w:pStyle w:val="41"/>
            </w:pPr>
            <w:r>
              <w:t>噪声</w:t>
            </w:r>
          </w:p>
        </w:tc>
        <w:tc>
          <w:tcPr>
            <w:tcW w:w="1489" w:type="dxa"/>
            <w:vAlign w:val="center"/>
          </w:tcPr>
          <w:p w14:paraId="54FDDFCE">
            <w:pPr>
              <w:pStyle w:val="41"/>
            </w:pPr>
            <w:r>
              <w:t>设备噪声</w:t>
            </w:r>
          </w:p>
        </w:tc>
        <w:tc>
          <w:tcPr>
            <w:tcW w:w="1559" w:type="dxa"/>
            <w:vAlign w:val="center"/>
          </w:tcPr>
          <w:p w14:paraId="2A7FD65A">
            <w:pPr>
              <w:pStyle w:val="41"/>
            </w:pPr>
            <w:r>
              <w:t>dB（A）</w:t>
            </w:r>
          </w:p>
        </w:tc>
        <w:tc>
          <w:tcPr>
            <w:tcW w:w="2835" w:type="dxa"/>
            <w:vAlign w:val="center"/>
          </w:tcPr>
          <w:p w14:paraId="054EFF7C">
            <w:pPr>
              <w:pStyle w:val="41"/>
              <w:rPr>
                <w:spacing w:val="-1"/>
              </w:rPr>
            </w:pPr>
            <w:r>
              <w:rPr>
                <w:spacing w:val="-1"/>
              </w:rPr>
              <w:t>选购低噪声设备，基础减排、建筑隔声；</w:t>
            </w:r>
          </w:p>
        </w:tc>
        <w:tc>
          <w:tcPr>
            <w:tcW w:w="2233" w:type="dxa"/>
            <w:vAlign w:val="center"/>
          </w:tcPr>
          <w:p w14:paraId="42ABE1C8">
            <w:pPr>
              <w:pStyle w:val="41"/>
            </w:pPr>
            <w:r>
              <w:t>《工业企业厂界环境噪声排放标准》（GB12348-2008）3类声环境功能区厂界环境噪声排放限值</w:t>
            </w:r>
          </w:p>
        </w:tc>
      </w:tr>
      <w:tr w14:paraId="015BA9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restart"/>
            <w:vAlign w:val="center"/>
          </w:tcPr>
          <w:p w14:paraId="72EAA14C">
            <w:pPr>
              <w:pStyle w:val="41"/>
            </w:pPr>
            <w:r>
              <w:t>固废</w:t>
            </w:r>
          </w:p>
        </w:tc>
        <w:tc>
          <w:tcPr>
            <w:tcW w:w="1489" w:type="dxa"/>
            <w:vMerge w:val="restart"/>
            <w:vAlign w:val="center"/>
          </w:tcPr>
          <w:p w14:paraId="2E3ACADC">
            <w:pPr>
              <w:pStyle w:val="41"/>
            </w:pPr>
            <w:r>
              <w:t>一般固废</w:t>
            </w:r>
          </w:p>
        </w:tc>
        <w:tc>
          <w:tcPr>
            <w:tcW w:w="1559" w:type="dxa"/>
            <w:vAlign w:val="center"/>
          </w:tcPr>
          <w:p w14:paraId="20852347">
            <w:pPr>
              <w:pStyle w:val="41"/>
            </w:pPr>
            <w:r>
              <w:t>冶炼渣</w:t>
            </w:r>
          </w:p>
        </w:tc>
        <w:tc>
          <w:tcPr>
            <w:tcW w:w="2835" w:type="dxa"/>
            <w:vMerge w:val="restart"/>
            <w:vAlign w:val="center"/>
          </w:tcPr>
          <w:p w14:paraId="2EA72DF7">
            <w:pPr>
              <w:pStyle w:val="41"/>
            </w:pPr>
            <w:r>
              <w:t>统一交由奎屯龙之盾商贸有限公司处置</w:t>
            </w:r>
          </w:p>
        </w:tc>
        <w:tc>
          <w:tcPr>
            <w:tcW w:w="2233" w:type="dxa"/>
            <w:vMerge w:val="restart"/>
            <w:vAlign w:val="center"/>
          </w:tcPr>
          <w:p w14:paraId="5E9B2808">
            <w:pPr>
              <w:pStyle w:val="41"/>
            </w:pPr>
            <w:r>
              <w:t>合理处置</w:t>
            </w:r>
          </w:p>
        </w:tc>
      </w:tr>
      <w:tr w14:paraId="3D06F6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continue"/>
            <w:vAlign w:val="center"/>
          </w:tcPr>
          <w:p w14:paraId="348DF0B8">
            <w:pPr>
              <w:pStyle w:val="41"/>
            </w:pPr>
          </w:p>
        </w:tc>
        <w:tc>
          <w:tcPr>
            <w:tcW w:w="1489" w:type="dxa"/>
            <w:vMerge w:val="continue"/>
            <w:vAlign w:val="center"/>
          </w:tcPr>
          <w:p w14:paraId="4458951E">
            <w:pPr>
              <w:pStyle w:val="41"/>
            </w:pPr>
          </w:p>
        </w:tc>
        <w:tc>
          <w:tcPr>
            <w:tcW w:w="1559" w:type="dxa"/>
            <w:vAlign w:val="center"/>
          </w:tcPr>
          <w:p w14:paraId="155D6FD0">
            <w:pPr>
              <w:pStyle w:val="41"/>
            </w:pPr>
            <w:r>
              <w:t>脱硫石膏</w:t>
            </w:r>
          </w:p>
        </w:tc>
        <w:tc>
          <w:tcPr>
            <w:tcW w:w="2835" w:type="dxa"/>
            <w:vMerge w:val="continue"/>
            <w:vAlign w:val="center"/>
          </w:tcPr>
          <w:p w14:paraId="3C973A81">
            <w:pPr>
              <w:pStyle w:val="41"/>
            </w:pPr>
          </w:p>
        </w:tc>
        <w:tc>
          <w:tcPr>
            <w:tcW w:w="2233" w:type="dxa"/>
            <w:vMerge w:val="continue"/>
            <w:vAlign w:val="center"/>
          </w:tcPr>
          <w:p w14:paraId="10AC4CB2">
            <w:pPr>
              <w:pStyle w:val="41"/>
            </w:pPr>
          </w:p>
        </w:tc>
      </w:tr>
      <w:tr w14:paraId="77D529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continue"/>
            <w:vAlign w:val="center"/>
          </w:tcPr>
          <w:p w14:paraId="4F266CB5">
            <w:pPr>
              <w:pStyle w:val="41"/>
            </w:pPr>
          </w:p>
        </w:tc>
        <w:tc>
          <w:tcPr>
            <w:tcW w:w="1489" w:type="dxa"/>
            <w:vMerge w:val="continue"/>
            <w:vAlign w:val="center"/>
          </w:tcPr>
          <w:p w14:paraId="10253F90">
            <w:pPr>
              <w:pStyle w:val="41"/>
            </w:pPr>
          </w:p>
        </w:tc>
        <w:tc>
          <w:tcPr>
            <w:tcW w:w="1559" w:type="dxa"/>
            <w:vAlign w:val="center"/>
          </w:tcPr>
          <w:p w14:paraId="000428B2">
            <w:pPr>
              <w:pStyle w:val="41"/>
            </w:pPr>
            <w:r>
              <w:t>收尘灰</w:t>
            </w:r>
          </w:p>
        </w:tc>
        <w:tc>
          <w:tcPr>
            <w:tcW w:w="2835" w:type="dxa"/>
            <w:vAlign w:val="center"/>
          </w:tcPr>
          <w:p w14:paraId="3A99DCAD">
            <w:pPr>
              <w:pStyle w:val="41"/>
            </w:pPr>
            <w:r>
              <w:t>作为原料回收利用</w:t>
            </w:r>
          </w:p>
        </w:tc>
        <w:tc>
          <w:tcPr>
            <w:tcW w:w="2233" w:type="dxa"/>
            <w:vMerge w:val="continue"/>
            <w:vAlign w:val="center"/>
          </w:tcPr>
          <w:p w14:paraId="3BB3B28A">
            <w:pPr>
              <w:pStyle w:val="41"/>
            </w:pPr>
          </w:p>
        </w:tc>
      </w:tr>
      <w:tr w14:paraId="17B1A8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0" w:type="auto"/>
            <w:vMerge w:val="continue"/>
            <w:vAlign w:val="center"/>
          </w:tcPr>
          <w:p w14:paraId="47AEBD5B">
            <w:pPr>
              <w:pStyle w:val="41"/>
            </w:pPr>
          </w:p>
        </w:tc>
        <w:tc>
          <w:tcPr>
            <w:tcW w:w="1489" w:type="dxa"/>
            <w:vAlign w:val="center"/>
          </w:tcPr>
          <w:p w14:paraId="15A31E68">
            <w:pPr>
              <w:pStyle w:val="41"/>
            </w:pPr>
            <w:r>
              <w:t>危险废物</w:t>
            </w:r>
          </w:p>
        </w:tc>
        <w:tc>
          <w:tcPr>
            <w:tcW w:w="1559" w:type="dxa"/>
            <w:vAlign w:val="center"/>
          </w:tcPr>
          <w:p w14:paraId="2DD24729">
            <w:pPr>
              <w:pStyle w:val="41"/>
            </w:pPr>
            <w:r>
              <w:t>废矿物油</w:t>
            </w:r>
          </w:p>
        </w:tc>
        <w:tc>
          <w:tcPr>
            <w:tcW w:w="2835" w:type="dxa"/>
            <w:vAlign w:val="center"/>
          </w:tcPr>
          <w:p w14:paraId="7700BF64">
            <w:pPr>
              <w:pStyle w:val="41"/>
            </w:pPr>
            <w:r>
              <w:t>集中收集后在危废暂存间暂存，统一由新疆创蓝环保科技有限责任公司处置</w:t>
            </w:r>
          </w:p>
        </w:tc>
        <w:tc>
          <w:tcPr>
            <w:tcW w:w="2233" w:type="dxa"/>
            <w:vMerge w:val="continue"/>
            <w:vAlign w:val="center"/>
          </w:tcPr>
          <w:p w14:paraId="72BB54D0">
            <w:pPr>
              <w:pStyle w:val="41"/>
            </w:pPr>
          </w:p>
        </w:tc>
      </w:tr>
      <w:bookmarkEnd w:id="292"/>
    </w:tbl>
    <w:p w14:paraId="159CD05E">
      <w:pPr>
        <w:pStyle w:val="3"/>
        <w:ind w:firstLine="480"/>
        <w:sectPr>
          <w:pgSz w:w="11906" w:h="16838"/>
          <w:pgMar w:top="1440" w:right="1797" w:bottom="1440" w:left="1797" w:header="851" w:footer="616" w:gutter="0"/>
          <w:cols w:space="720" w:num="1"/>
          <w:docGrid w:type="lines" w:linePitch="312" w:charSpace="0"/>
        </w:sectPr>
      </w:pPr>
    </w:p>
    <w:p w14:paraId="3BF26C22">
      <w:pPr>
        <w:pStyle w:val="2"/>
      </w:pPr>
      <w:bookmarkStart w:id="293" w:name="_Toc26252"/>
      <w:bookmarkStart w:id="294" w:name="_Toc15842"/>
      <w:bookmarkStart w:id="295" w:name="_Toc207208422"/>
      <w:r>
        <w:t>环境影响评价结论</w:t>
      </w:r>
      <w:bookmarkEnd w:id="293"/>
      <w:bookmarkEnd w:id="294"/>
      <w:bookmarkEnd w:id="295"/>
    </w:p>
    <w:p w14:paraId="5E2B20DA">
      <w:pPr>
        <w:pStyle w:val="4"/>
      </w:pPr>
      <w:bookmarkStart w:id="296" w:name="_Toc27254"/>
      <w:bookmarkStart w:id="297" w:name="_Toc16630"/>
      <w:bookmarkStart w:id="298" w:name="_Toc207208423"/>
      <w:r>
        <w:t>建设概况</w:t>
      </w:r>
      <w:bookmarkEnd w:id="296"/>
      <w:bookmarkEnd w:id="297"/>
      <w:bookmarkEnd w:id="298"/>
    </w:p>
    <w:p w14:paraId="3798367E">
      <w:pPr>
        <w:pStyle w:val="3"/>
        <w:ind w:firstLine="480"/>
      </w:pPr>
      <w:r>
        <w:t>项目厂址位于奎屯-独山子经济技术开发区喀什东路100号新疆艾斯米尔锰合金有限公司，新建精炼炉设备车间、1×6300kVA精炼炉（采用二步法及热装热兑精炼工艺）及配套辅助设施、除尘环保系统、循环及消防水泵房、配料站、皮带廊，现有冶炼车间进行建筑结构及消防改造；将现有24平方米步进式烧结机更换为48平方米带式烧结机。年产3.5万吨中低碳锰铁合金。</w:t>
      </w:r>
    </w:p>
    <w:p w14:paraId="656F5DCE">
      <w:pPr>
        <w:widowControl/>
        <w:ind w:firstLine="480" w:firstLineChars="200"/>
        <w:jc w:val="left"/>
      </w:pPr>
      <w:r>
        <w:t>项目投资：本次技改工程总投资6002.69万元，其中环保投资为186万元，环保投资占总投资比例为3.10%。</w:t>
      </w:r>
    </w:p>
    <w:p w14:paraId="7C6EA676">
      <w:pPr>
        <w:pStyle w:val="4"/>
      </w:pPr>
      <w:bookmarkStart w:id="299" w:name="_Toc7252"/>
      <w:bookmarkStart w:id="300" w:name="_Toc207208424"/>
      <w:r>
        <w:t>产业政策符合性</w:t>
      </w:r>
      <w:bookmarkEnd w:id="299"/>
      <w:bookmarkEnd w:id="300"/>
    </w:p>
    <w:p w14:paraId="3BF4FC05">
      <w:pPr>
        <w:pStyle w:val="3"/>
        <w:ind w:firstLine="480"/>
      </w:pPr>
      <w:r>
        <w:t>本次技改工程新增设备不含《产业结构调整指导目录（2024年本）》中“限制类”“淘汰类”，符合国家产业政策。</w:t>
      </w:r>
    </w:p>
    <w:p w14:paraId="40752F19">
      <w:pPr>
        <w:pStyle w:val="4"/>
      </w:pPr>
      <w:bookmarkStart w:id="301" w:name="_Toc9752"/>
      <w:bookmarkStart w:id="302" w:name="_Toc8712"/>
      <w:bookmarkStart w:id="303" w:name="_Toc207208425"/>
      <w:r>
        <w:t>环境质量现状</w:t>
      </w:r>
      <w:bookmarkEnd w:id="301"/>
      <w:bookmarkEnd w:id="302"/>
      <w:bookmarkEnd w:id="303"/>
    </w:p>
    <w:p w14:paraId="6A9C9F68">
      <w:pPr>
        <w:pStyle w:val="3"/>
        <w:ind w:firstLine="480"/>
      </w:pPr>
      <w:r>
        <w:t>（1）大气环境质量现状</w:t>
      </w:r>
    </w:p>
    <w:p w14:paraId="159C4402">
      <w:pPr>
        <w:pStyle w:val="3"/>
        <w:ind w:firstLine="480"/>
      </w:pPr>
      <w:r>
        <w:t>本项目所在区域各污染物平均浓度均优于《环境空气质量标准》（GB3095-2012）及修改单中二级标准，属于达标区。</w:t>
      </w:r>
    </w:p>
    <w:p w14:paraId="26E9B16F">
      <w:pPr>
        <w:pStyle w:val="3"/>
        <w:ind w:firstLine="480"/>
      </w:pPr>
      <w:r>
        <w:t>项目区及周边敏感目监测点氮氧化物、TSP、氟化物现状浓度均满足《环境空气质量标准》（GB3095-2012）及其修改单二级标准及要求，氨满足《环境影响评价技术导则 大气环境》（HJ2.2-2018）附录D限值，二噁英类满足日本年平均浓度参考标准限值。</w:t>
      </w:r>
    </w:p>
    <w:p w14:paraId="6E48A558">
      <w:pPr>
        <w:pStyle w:val="3"/>
        <w:ind w:firstLine="480"/>
      </w:pPr>
      <w:r>
        <w:t>（2）地下水环境质量现状</w:t>
      </w:r>
    </w:p>
    <w:p w14:paraId="73FC1FBF">
      <w:pPr>
        <w:pStyle w:val="3"/>
        <w:ind w:firstLine="480"/>
      </w:pPr>
      <w:r>
        <w:rPr>
          <w:lang w:bidi="ar"/>
        </w:rPr>
        <w:t>从地下水监测及分析结果可知各监测点各项监测指标均符合《地下水质量标准》（</w:t>
      </w:r>
      <w:r>
        <w:rPr>
          <w:rFonts w:eastAsia="Times New Roman"/>
          <w:lang w:bidi="ar"/>
        </w:rPr>
        <w:t>GB/T14848-2017</w:t>
      </w:r>
      <w:r>
        <w:rPr>
          <w:lang w:bidi="ar"/>
        </w:rPr>
        <w:t>）中的Ⅲ类标准要求，项目区地下水环境质量良好。对照项目区上游、项目区地下水中各监测因子变化量不大。</w:t>
      </w:r>
    </w:p>
    <w:p w14:paraId="2A5AC91D">
      <w:pPr>
        <w:pStyle w:val="3"/>
        <w:ind w:firstLine="480"/>
      </w:pPr>
      <w:r>
        <w:t>（3）声环境质量现状</w:t>
      </w:r>
    </w:p>
    <w:p w14:paraId="77E23892">
      <w:pPr>
        <w:pStyle w:val="3"/>
        <w:ind w:firstLine="480"/>
      </w:pPr>
      <w:r>
        <w:t>本项目厂界外200m范围内无噪声敏感目标，项目区厂界现状噪声满足《声环境质量标准》（GB3096-2008）3类标准要求。</w:t>
      </w:r>
    </w:p>
    <w:p w14:paraId="3CA12D7A">
      <w:pPr>
        <w:pStyle w:val="3"/>
        <w:ind w:firstLine="480"/>
      </w:pPr>
      <w:r>
        <w:t>（4）土壤环境质量现状</w:t>
      </w:r>
    </w:p>
    <w:p w14:paraId="0E5A85A7">
      <w:pPr>
        <w:pStyle w:val="3"/>
        <w:ind w:firstLine="480"/>
      </w:pPr>
      <w:r>
        <w:t>评价区域内土壤各监测因子均能满足《土壤环境质量建设用地土壤污染风险管控标准》（GB36600-2018）建设用地第二类用地筛选值要求。</w:t>
      </w:r>
    </w:p>
    <w:p w14:paraId="41C61376">
      <w:pPr>
        <w:pStyle w:val="3"/>
        <w:ind w:firstLine="480"/>
      </w:pPr>
      <w:r>
        <w:t>（5）生态环境质量现状</w:t>
      </w:r>
    </w:p>
    <w:p w14:paraId="66E56DC2">
      <w:pPr>
        <w:pStyle w:val="3"/>
        <w:ind w:firstLine="480"/>
      </w:pPr>
      <w:r>
        <w:t>项目区产业园区，已作为二、三类用地开发建设多年，市政设施和其他服务设施也同时开始了建设活动，承受一定的人类活动干扰。主要植被类型是以低矮的灌木、半灌木荒漠为主，主要群落类型有红砂群落，梭梭群落，盐爪爪群落，碱蓬群落等，植物种类组成单调和旱生性是当地植被的主要特征。植物稀疏，盖度约10%。项目区开发强度较大，项目区周边野生动物较少，以多种昆虫居多，其次是鼠类，常见野生动物有喜鹊、麻雀、沙鼠等，区域内没有珍稀野生动植物，周边无生态敏感保护目标。</w:t>
      </w:r>
    </w:p>
    <w:p w14:paraId="0AB087CB">
      <w:pPr>
        <w:pStyle w:val="4"/>
      </w:pPr>
      <w:bookmarkStart w:id="304" w:name="_Toc6182"/>
      <w:bookmarkStart w:id="305" w:name="_Toc207208426"/>
      <w:bookmarkStart w:id="306" w:name="_Toc18771"/>
      <w:r>
        <w:t>污染物排放情况</w:t>
      </w:r>
      <w:bookmarkEnd w:id="304"/>
      <w:bookmarkEnd w:id="305"/>
      <w:bookmarkEnd w:id="306"/>
    </w:p>
    <w:p w14:paraId="315621D5">
      <w:pPr>
        <w:pStyle w:val="6"/>
      </w:pPr>
      <w:r>
        <w:t>废气</w:t>
      </w:r>
    </w:p>
    <w:p w14:paraId="505CACDD">
      <w:pPr>
        <w:pStyle w:val="49"/>
      </w:pPr>
      <w:r>
        <w:t>烧结车间机头排口经SCR脱硝+石灰石-石膏法脱硫+多管除尘+湿电除尘处理后通过55m排气筒（DA002）排放，颗粒物、SO</w:t>
      </w:r>
      <w:r>
        <w:rPr>
          <w:vertAlign w:val="subscript"/>
        </w:rPr>
        <w:t>2</w:t>
      </w:r>
      <w:r>
        <w:t>、NO</w:t>
      </w:r>
      <w:r>
        <w:rPr>
          <w:vertAlign w:val="subscript"/>
        </w:rPr>
        <w:t>X</w:t>
      </w:r>
      <w:r>
        <w:t>满足《关于推进实施钢铁行业超低排放的意见》（环大气〔2019〕35号）附件2排放限值；氟化物、二噁英类排放浓度满足《钢铁烧结、球团工业大气污染物排放标准》（GB28662-2012）及修改单中表3大气污染物特别排放限值。</w:t>
      </w:r>
    </w:p>
    <w:p w14:paraId="0E6074E0">
      <w:pPr>
        <w:pStyle w:val="49"/>
      </w:pPr>
      <w:r>
        <w:t>烧结机尾布经多管除尘器+湿式电除尘+30m排气筒（DA008）排放，颗粒物排放浓度满足《关于推进实施钢铁行业超低排放的意见》（环大气〔2019〕35号）附件2排放限值；</w:t>
      </w:r>
    </w:p>
    <w:p w14:paraId="25708001">
      <w:pPr>
        <w:pStyle w:val="49"/>
      </w:pPr>
      <w:r>
        <w:t>配料站排口经袋式除尘器+15m排气筒（DA006）排放，颗粒物排放浓度满足《铁合金工业污染物排放标准》（GB28666-2012）及修改单中表6大气污染物特别排放限值（颗粒物20mg/m</w:t>
      </w:r>
      <w:r>
        <w:rPr>
          <w:vertAlign w:val="superscript"/>
        </w:rPr>
        <w:t>3</w:t>
      </w:r>
      <w:r>
        <w:t>）。</w:t>
      </w:r>
    </w:p>
    <w:p w14:paraId="67EB7CE7">
      <w:pPr>
        <w:pStyle w:val="3"/>
        <w:ind w:firstLine="480"/>
      </w:pPr>
      <w:r>
        <w:t>本项目无组织废气主要为颗粒物，颗粒物主要为原料及成品贮存、运输、筛分及配料过程产生的粉尘。在煤炭和原料的储存堆放过程中会有较大的扬尘产生。防治措施主要为建设封闭式煤棚和原料堆棚，并设置洒水抑尘措施；冶炼及烧结车间上料和煤炭输送采用封闭式廊道输送，冶炼车间配料至电炉内采取半封闭皮带输送；除尘器收集的粉尘设置灰库进行集中暂存；并在项目区种植花草树木。在采取以上措施后，厂界颗粒物可满足《铁合金工业污染物排放标准》（GB28666-2012）及修改单表7企业边界大气污染物浓度限值。可较好控制厂区无组织扬尘污染，措施可行。</w:t>
      </w:r>
    </w:p>
    <w:p w14:paraId="5023A241">
      <w:pPr>
        <w:pStyle w:val="6"/>
      </w:pPr>
      <w:r>
        <w:t>废水</w:t>
      </w:r>
    </w:p>
    <w:p w14:paraId="02146684">
      <w:pPr>
        <w:pStyle w:val="3"/>
        <w:ind w:firstLine="480"/>
      </w:pPr>
      <w:r>
        <w:t>废水分为生产废水及生活污水，其中生产废水为动力车间循环冷却排水、冶炼车间变压器和炉体冷却排水、水淬渣冷却水及烧结车间脱硫排水，各工段废水全部循环利用不外排。</w:t>
      </w:r>
    </w:p>
    <w:p w14:paraId="63AD93B1">
      <w:pPr>
        <w:pStyle w:val="3"/>
        <w:ind w:firstLine="480"/>
      </w:pPr>
      <w:r>
        <w:t>本次技改项目不改变废水污染物含量与性质，通过现状工程验收与本次现场检查，废水处理措施运行稳定，无外排废水，可实现厂区生产废水零排放。</w:t>
      </w:r>
    </w:p>
    <w:p w14:paraId="1507E0EC">
      <w:pPr>
        <w:pStyle w:val="6"/>
      </w:pPr>
      <w:r>
        <w:t>固体废物</w:t>
      </w:r>
    </w:p>
    <w:p w14:paraId="6A4C6C43">
      <w:pPr>
        <w:pStyle w:val="3"/>
        <w:ind w:firstLine="480"/>
      </w:pPr>
      <w:r>
        <w:t>本次技改后，新增固废主要为新增精炼炉精炼过程产生冶炼渣，与现有工程产生的冶炼渣一同优先送至岩棉保温炉用于岩棉生产，剩余冷却后作为一般固废外售处置。烧结废气处理过程产生的脱硫石膏作为一般固废外售处置。废气处理装置收尘灰作为原料回收再利用，暂存于原料库中的粉料仓内，减少污染物排放。</w:t>
      </w:r>
    </w:p>
    <w:p w14:paraId="10E23ED4">
      <w:pPr>
        <w:pStyle w:val="3"/>
        <w:ind w:firstLine="480"/>
      </w:pPr>
      <w:r>
        <w:t>本项目不新增劳动定员，不新增生活垃圾。现有生活垃圾收集后委托环卫部门拉运至生活垃圾填埋场填埋处置。</w:t>
      </w:r>
    </w:p>
    <w:p w14:paraId="5291017D">
      <w:pPr>
        <w:pStyle w:val="6"/>
      </w:pPr>
      <w:r>
        <w:t>噪声</w:t>
      </w:r>
    </w:p>
    <w:p w14:paraId="1FF2F446">
      <w:pPr>
        <w:pStyle w:val="3"/>
        <w:ind w:firstLine="480"/>
      </w:pPr>
      <w:r>
        <w:t>在各类风机进、出口处加装管道消声器；鼓风机和空气压缩机内衬泡沫吸声材料，外罩钢板采用封闭结构；鼓风机、离心机、泵类设置单独基础或减振措施，设备与管道间采用金属软管柔性联接；在满足工艺的前提下，尽可能选用功率小，噪声低的设备，并在气动型设备上安装相应的噪声装置；项目厂界噪声可达《工业企业厂界环境噪声排放标准》(GB12348-2008)3类标准要求。本项目运营期噪声对周围环境噪声影响可以接受。</w:t>
      </w:r>
    </w:p>
    <w:p w14:paraId="4691EF6E">
      <w:pPr>
        <w:pStyle w:val="4"/>
      </w:pPr>
      <w:bookmarkStart w:id="307" w:name="_Toc24994"/>
      <w:bookmarkStart w:id="308" w:name="_Toc2972"/>
      <w:bookmarkStart w:id="309" w:name="_Toc207208427"/>
      <w:r>
        <w:t>主要环境影响</w:t>
      </w:r>
      <w:bookmarkEnd w:id="307"/>
      <w:bookmarkEnd w:id="308"/>
      <w:bookmarkEnd w:id="309"/>
    </w:p>
    <w:p w14:paraId="679B2C2B">
      <w:pPr>
        <w:pStyle w:val="3"/>
        <w:ind w:firstLine="480"/>
      </w:pPr>
      <w:r>
        <w:t>（1）大气环境影响</w:t>
      </w:r>
    </w:p>
    <w:p w14:paraId="46FA6C53">
      <w:pPr>
        <w:pStyle w:val="3"/>
        <w:ind w:firstLine="480"/>
      </w:pPr>
      <w:r>
        <w:t>本项目运营期正常排放情况下对周边环境空气不会造成明显不良影响。</w:t>
      </w:r>
    </w:p>
    <w:p w14:paraId="101A8BEA">
      <w:pPr>
        <w:pStyle w:val="3"/>
        <w:ind w:firstLine="480"/>
      </w:pPr>
      <w:r>
        <w:t>（2）地表水环境影响</w:t>
      </w:r>
    </w:p>
    <w:p w14:paraId="657648BA">
      <w:pPr>
        <w:pStyle w:val="3"/>
        <w:ind w:firstLine="480"/>
      </w:pPr>
      <w:r>
        <w:t>本项目生产废水全部循环利用，不外排，生活污水经处理后排入园区污水管网。</w:t>
      </w:r>
    </w:p>
    <w:p w14:paraId="05D0F4AB">
      <w:pPr>
        <w:pStyle w:val="3"/>
        <w:ind w:firstLine="480"/>
      </w:pPr>
      <w:r>
        <w:t>（3）地下水环境影响</w:t>
      </w:r>
    </w:p>
    <w:p w14:paraId="3C470995">
      <w:pPr>
        <w:pStyle w:val="3"/>
        <w:ind w:firstLine="480"/>
      </w:pPr>
      <w:r>
        <w:t>经过预测，在非正常工况下，影响区域主要集中在厂址外500m范围内，由于此区域内无饮用水取水井等地下水敏感目标，因此在严格采取风险防范措施和风险应急措施（见风险评价章节）后，在事故状态下污染物的泄漏对周边地下水的影响范围有限，本项目运营期对地下水环境影响可以接受。</w:t>
      </w:r>
    </w:p>
    <w:p w14:paraId="0C475B38">
      <w:pPr>
        <w:pStyle w:val="3"/>
        <w:ind w:firstLine="480"/>
      </w:pPr>
      <w:r>
        <w:t>（4）声环境影响</w:t>
      </w:r>
    </w:p>
    <w:p w14:paraId="28832EC3">
      <w:pPr>
        <w:pStyle w:val="3"/>
        <w:ind w:firstLine="480"/>
      </w:pPr>
      <w:r>
        <w:t>根据现场实测和预测结果，厂界昼夜噪声均满足《工业企业厂界环境噪声排放标准》（GB12348-2008）3类标准要求。本项目运营期噪声对周围环境噪声影响小。</w:t>
      </w:r>
    </w:p>
    <w:p w14:paraId="4BA5CA41">
      <w:pPr>
        <w:pStyle w:val="3"/>
        <w:ind w:firstLine="480"/>
      </w:pPr>
      <w:r>
        <w:t>（5）固体废物的环境影响</w:t>
      </w:r>
    </w:p>
    <w:p w14:paraId="324CEA2B">
      <w:pPr>
        <w:pStyle w:val="3"/>
        <w:ind w:firstLine="480"/>
      </w:pPr>
      <w:r>
        <w:t>项目区建设有各类固体废物贮存设施，贮存场所按照各类固体废物污染控制标准进行设计，加强规范化管理的情况下，固体废物对环境影响可以接受。</w:t>
      </w:r>
    </w:p>
    <w:p w14:paraId="4BC04332">
      <w:pPr>
        <w:pStyle w:val="3"/>
        <w:ind w:firstLine="480"/>
      </w:pPr>
      <w:r>
        <w:t>（6）土壤环境影响</w:t>
      </w:r>
    </w:p>
    <w:p w14:paraId="29DEAB42">
      <w:pPr>
        <w:pStyle w:val="3"/>
        <w:ind w:firstLine="480"/>
      </w:pPr>
      <w:r>
        <w:t>本项目对土壤环境影响途径为大气沉降，生产过程中的各种物料及污染物均须确保与天然土壤隔离，不会通过裸露区渗入到土壤中，尽可能避免对土壤环境造成不利影响。在做好场地防渗和日常生产安全管理、环境管理的基础上，本项目的土壤环境影响可以接受。</w:t>
      </w:r>
    </w:p>
    <w:p w14:paraId="5E5CD180">
      <w:pPr>
        <w:pStyle w:val="3"/>
        <w:ind w:firstLine="480"/>
      </w:pPr>
      <w:r>
        <w:t>（7）风险的环境影响</w:t>
      </w:r>
    </w:p>
    <w:p w14:paraId="29DE0321">
      <w:pPr>
        <w:pStyle w:val="3"/>
        <w:ind w:firstLine="480"/>
      </w:pPr>
      <w:r>
        <w:t>本次评价对本项目可能造成的各类风险事故，提出了相关预防及应急管理措施，企业应在加强生产环境管理的前提下，严格执行风险防范措施，加强事故应急演练，认真落实相关环保规定。</w:t>
      </w:r>
    </w:p>
    <w:p w14:paraId="452AC47B">
      <w:pPr>
        <w:pStyle w:val="3"/>
        <w:ind w:firstLine="480"/>
      </w:pPr>
      <w:r>
        <w:t>在采取上述措施后，本项目环境风险影响程度可接受。</w:t>
      </w:r>
    </w:p>
    <w:p w14:paraId="14C08511">
      <w:pPr>
        <w:pStyle w:val="4"/>
      </w:pPr>
      <w:bookmarkStart w:id="310" w:name="_Toc20695"/>
      <w:bookmarkStart w:id="311" w:name="_Toc11591"/>
      <w:bookmarkStart w:id="312" w:name="_Toc207208428"/>
      <w:r>
        <w:t>环境保护措施</w:t>
      </w:r>
      <w:bookmarkEnd w:id="310"/>
      <w:bookmarkEnd w:id="311"/>
      <w:bookmarkEnd w:id="312"/>
    </w:p>
    <w:p w14:paraId="38BDA39C">
      <w:pPr>
        <w:pStyle w:val="4"/>
      </w:pPr>
      <w:bookmarkStart w:id="313" w:name="_Toc207208429"/>
      <w:r>
        <w:t>总量控制指标</w:t>
      </w:r>
      <w:bookmarkEnd w:id="313"/>
    </w:p>
    <w:p w14:paraId="5E3A679E">
      <w:pPr>
        <w:pStyle w:val="3"/>
        <w:ind w:firstLine="480"/>
      </w:pPr>
      <w:r>
        <w:rPr>
          <w:lang w:bidi="ar"/>
        </w:rPr>
        <w:t>本次技改工程设计的烧结车间改造前已停产，现有环评及排污许可包含烧结车间总量指标，且2024年停产期间对烧结车间废气治理设施进行升级提高污染治理效率，本次技改工程实施后，各项污染物排放总量均满足原有排污许可证、环评及批复要求。无需新申请总量控制指标。</w:t>
      </w:r>
    </w:p>
    <w:p w14:paraId="01A61156">
      <w:pPr>
        <w:pStyle w:val="4"/>
      </w:pPr>
      <w:bookmarkStart w:id="314" w:name="_Toc207208430"/>
      <w:r>
        <w:t>碳减排分析</w:t>
      </w:r>
      <w:bookmarkEnd w:id="314"/>
    </w:p>
    <w:p w14:paraId="5AF3CA29">
      <w:pPr>
        <w:pStyle w:val="3"/>
        <w:ind w:firstLine="480"/>
      </w:pPr>
      <w:r>
        <w:t>本项目以企业法人独立核算单位为边界，核算生产系统产生的温室气体排放量。主要为核算边界内所有的化石燃料燃烧排放量及企业购入的电力和热力所对应的二氧化碳排放量之和。全厂碳排放总量为233567.457tCO</w:t>
      </w:r>
      <w:r>
        <w:rPr>
          <w:vertAlign w:val="subscript"/>
        </w:rPr>
        <w:t>2</w:t>
      </w:r>
      <w:r>
        <w:t>e。在工艺设计、设备选型、建筑材料、电气配置、节能管理等方面，本项目均采用了一系列节能降碳措施以实现生产中各个环节的降碳降耗。</w:t>
      </w:r>
    </w:p>
    <w:p w14:paraId="559F7065">
      <w:pPr>
        <w:pStyle w:val="4"/>
      </w:pPr>
      <w:bookmarkStart w:id="315" w:name="_Toc22960"/>
      <w:bookmarkStart w:id="316" w:name="_Toc2388"/>
      <w:bookmarkStart w:id="317" w:name="_Toc207208431"/>
      <w:r>
        <w:t>环境影响经济损益分析</w:t>
      </w:r>
      <w:bookmarkEnd w:id="315"/>
      <w:bookmarkEnd w:id="316"/>
      <w:bookmarkEnd w:id="317"/>
    </w:p>
    <w:p w14:paraId="60A7AE67">
      <w:pPr>
        <w:pStyle w:val="3"/>
        <w:ind w:firstLine="480"/>
        <w:rPr>
          <w:lang w:val="zh-CN"/>
        </w:rPr>
      </w:pPr>
      <w:r>
        <w:rPr>
          <w:lang w:val="zh-CN"/>
        </w:rPr>
        <w:t>建设项目如认真落实本环评提出的各项环境保护措施，保证项目的环境可行性，将具有较为良好的社会效益、经济效益。此外，应当注意在生产过程中加强设备的管理、职工培训、严格操作规程，保证生产设备和环保设施的正常运行，确保环境保护要求的防治措施得到实施，</w:t>
      </w:r>
      <w:r>
        <w:t>使</w:t>
      </w:r>
      <w:r>
        <w:rPr>
          <w:lang w:val="zh-CN"/>
        </w:rPr>
        <w:t>本项目的环境经济效益达到预期的效果。</w:t>
      </w:r>
    </w:p>
    <w:p w14:paraId="1BDA8BD9">
      <w:pPr>
        <w:pStyle w:val="4"/>
      </w:pPr>
      <w:bookmarkStart w:id="318" w:name="_Toc207208432"/>
      <w:r>
        <w:t>公众参与</w:t>
      </w:r>
      <w:bookmarkEnd w:id="318"/>
    </w:p>
    <w:p w14:paraId="2A33C2EC">
      <w:pPr>
        <w:pStyle w:val="3"/>
        <w:ind w:firstLine="480"/>
      </w:pPr>
      <w:r>
        <w:t>根据《中华人民共和国环境影响评价法》《环境影响评价公众参与办法》（生态环境部令第4号）中的相关规定，建设单位在项目环境影响评价工作开展期间正常开展了公众参与工作，对项目相关环境影响评价信息进行了公示，本次公众参与工作符合相关法律法规要求，公示及公众意见征询均真实有效，并可反映出评价范围内居民的整体意见和看法。总体而言，被调查公众没有反对意见，公众支持本项目建设。</w:t>
      </w:r>
    </w:p>
    <w:p w14:paraId="1EC9AF54">
      <w:pPr>
        <w:pStyle w:val="4"/>
      </w:pPr>
      <w:bookmarkStart w:id="319" w:name="_Toc21109"/>
      <w:bookmarkStart w:id="320" w:name="_Toc8057"/>
      <w:bookmarkStart w:id="321" w:name="_Toc207208433"/>
      <w:r>
        <w:t>环境影响评价综合结论</w:t>
      </w:r>
      <w:bookmarkEnd w:id="319"/>
      <w:bookmarkEnd w:id="320"/>
      <w:bookmarkEnd w:id="321"/>
    </w:p>
    <w:p w14:paraId="3A57E9F4">
      <w:pPr>
        <w:pStyle w:val="3"/>
        <w:ind w:firstLine="480"/>
      </w:pPr>
      <w:r>
        <w:t>本次技改工程符合《产业结构调整指导目录（2024年本）》，符合《关于奎屯-独山子经济技术开发区总体规划（2012-2030）环境影响报告书》及其审查意见（新环函〔2014〕4号）相关要求等相关环境管理要求；项目采用国内先进成熟的生产工艺，在能耗、水耗、装备水平及污染物排放等方面达到国内先进水平，符合清洁生产要求。项目配套建设污染防治及环境风险防范设施，污染物可以实现达标排放，满足总量控制要求，环境影响和环境风险可以接受。在严格执行“三同时”制度、严格落实本报告书提出的各项环保措施的条件下，从环境保护角度分析，工程建设可行。</w:t>
      </w:r>
    </w:p>
    <w:p w14:paraId="59B71792">
      <w:pPr>
        <w:pStyle w:val="4"/>
      </w:pPr>
      <w:bookmarkStart w:id="322" w:name="_Toc207208434"/>
      <w:r>
        <w:t>建议及要求</w:t>
      </w:r>
      <w:bookmarkEnd w:id="322"/>
    </w:p>
    <w:p w14:paraId="60102563">
      <w:pPr>
        <w:pStyle w:val="49"/>
      </w:pPr>
      <w:r>
        <w:t>（1）对环保设施一定要实行“三同时”原则，在工程生产期，要加强各项污染控制设施的运行管理，实行定期维护、检修和考核制度，确保设施完好率，并使其正常稳定运转发挥效用。</w:t>
      </w:r>
    </w:p>
    <w:p w14:paraId="66772FA3">
      <w:pPr>
        <w:pStyle w:val="49"/>
      </w:pPr>
      <w:r>
        <w:t>（2）加强生产管理和环保设施管理，提高员工各环节操作的规范性，以保证环保设施的正常运营，从而减少污染物的产生量。</w:t>
      </w:r>
    </w:p>
    <w:p w14:paraId="056B76E8">
      <w:pPr>
        <w:pStyle w:val="49"/>
      </w:pPr>
      <w:r>
        <w:t>（3）建立健全安全环保规章制度，建立事故应急预案，加强职工安全环保知识教育，杜绝各种污染事故和火灾的发生。</w:t>
      </w:r>
    </w:p>
    <w:sectPr>
      <w:type w:val="continuous"/>
      <w:pgSz w:w="11906" w:h="16838"/>
      <w:pgMar w:top="1440" w:right="1800" w:bottom="1440" w:left="1800" w:header="851" w:footer="474"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06F" w:usb1="1200FBEF" w:usb2="0004C000" w:usb3="00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460F7">
    <w:pPr>
      <w:tabs>
        <w:tab w:val="center" w:pos="4536"/>
        <w:tab w:val="right" w:pos="8306"/>
      </w:tabs>
      <w:jc w:val="right"/>
    </w:pPr>
    <w:r>
      <w:rPr>
        <w:rFonts w:hint="eastAsia"/>
      </w:rPr>
      <w:t>乌鲁木齐天之宇环保科技有限公司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B1543">
    <w:pPr>
      <w:tabs>
        <w:tab w:val="center" w:pos="4536"/>
        <w:tab w:val="right" w:pos="8306"/>
      </w:tabs>
      <w:jc w:val="right"/>
    </w:pPr>
    <w:r>
      <mc:AlternateContent>
        <mc:Choice Requires="wps">
          <w:drawing>
            <wp:anchor distT="0" distB="0" distL="114300" distR="114300" simplePos="0" relativeHeight="251661312" behindDoc="0" locked="0" layoutInCell="1" allowOverlap="1">
              <wp:simplePos x="0" y="0"/>
              <wp:positionH relativeFrom="margin">
                <wp:posOffset>2619375</wp:posOffset>
              </wp:positionH>
              <wp:positionV relativeFrom="paragraph">
                <wp:posOffset>-635</wp:posOffset>
              </wp:positionV>
              <wp:extent cx="171450" cy="1828800"/>
              <wp:effectExtent l="0" t="0" r="0" b="14605"/>
              <wp:wrapNone/>
              <wp:docPr id="55" name="文本框 2"/>
              <wp:cNvGraphicFramePr/>
              <a:graphic xmlns:a="http://schemas.openxmlformats.org/drawingml/2006/main">
                <a:graphicData uri="http://schemas.microsoft.com/office/word/2010/wordprocessingShape">
                  <wps:wsp>
                    <wps:cNvSpPr txBox="1"/>
                    <wps:spPr>
                      <a:xfrm>
                        <a:off x="0" y="0"/>
                        <a:ext cx="171450" cy="1828800"/>
                      </a:xfrm>
                      <a:prstGeom prst="rect">
                        <a:avLst/>
                      </a:prstGeom>
                      <a:noFill/>
                      <a:ln w="6350">
                        <a:noFill/>
                      </a:ln>
                      <a:effectLst/>
                    </wps:spPr>
                    <wps:txbx>
                      <w:txbxContent>
                        <w:p w14:paraId="1E0A3F74">
                          <w:pPr>
                            <w:tabs>
                              <w:tab w:val="center" w:pos="4153"/>
                              <w:tab w:val="right" w:pos="8306"/>
                            </w:tabs>
                            <w:jc w:val="center"/>
                          </w:pPr>
                          <w:r>
                            <w:fldChar w:fldCharType="begin"/>
                          </w:r>
                          <w:r>
                            <w:instrText xml:space="preserve">PAGE   \* MERGEFORMAT</w:instrText>
                          </w:r>
                          <w:r>
                            <w:fldChar w:fldCharType="separate"/>
                          </w:r>
                          <w:r>
                            <w:rPr>
                              <w:lang w:val="zh-CN"/>
                            </w:rPr>
                            <w:t>47</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left:206.25pt;margin-top:-0.05pt;height:144pt;width:13.5pt;mso-position-horizontal-relative:margin;z-index:251661312;mso-width-relative:page;mso-height-relative:page;" filled="f" stroked="f" coordsize="21600,21600" o:gfxdata="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ztMcvYAAAACQEAAA8AAAAAAAAAAQAgAAAAIgAAAGRycy9kb3du&#10;cmV2LnhtbFBLAQIUABQAAAAIAIdO4kAXMpJzOAIAAGUEAAAOAAAAAAAAAAEAIAAAACcBAABkcnMv&#10;ZTJvRG9jLnhtbFBLBQYAAAAABgAGAFkBAADRBQAAAAA=&#10;">
              <v:fill on="f" focussize="0,0"/>
              <v:stroke on="f" weight="0.5pt"/>
              <v:imagedata o:title=""/>
              <o:lock v:ext="edit" aspectratio="f"/>
              <v:textbox inset="0mm,0mm,0mm,0mm" style="mso-fit-shape-to-text:t;">
                <w:txbxContent>
                  <w:p w14:paraId="1E0A3F74">
                    <w:pPr>
                      <w:tabs>
                        <w:tab w:val="center" w:pos="4153"/>
                        <w:tab w:val="right" w:pos="8306"/>
                      </w:tabs>
                      <w:jc w:val="center"/>
                    </w:pPr>
                    <w:r>
                      <w:fldChar w:fldCharType="begin"/>
                    </w:r>
                    <w:r>
                      <w:instrText xml:space="preserve">PAGE   \* MERGEFORMAT</w:instrText>
                    </w:r>
                    <w:r>
                      <w:fldChar w:fldCharType="separate"/>
                    </w:r>
                    <w:r>
                      <w:rPr>
                        <w:lang w:val="zh-CN"/>
                      </w:rPr>
                      <w:t>47</w:t>
                    </w:r>
                    <w:r>
                      <w:fldChar w:fldCharType="end"/>
                    </w:r>
                  </w:p>
                </w:txbxContent>
              </v:textbox>
            </v:shape>
          </w:pict>
        </mc:Fallback>
      </mc:AlternateContent>
    </w:r>
    <w:r>
      <w:rPr>
        <w:rFonts w:hint="eastAsia"/>
      </w:rPr>
      <w:tab/>
    </w:r>
    <w:r>
      <w:rPr>
        <w:rFonts w:hint="eastAsia"/>
      </w:rPr>
      <w:tab/>
    </w:r>
  </w:p>
  <w:p w14:paraId="413B5DFE">
    <w:pPr>
      <w:tabs>
        <w:tab w:val="center" w:pos="4536"/>
        <w:tab w:val="right" w:pos="8306"/>
      </w:tabs>
      <w:jc w:val="right"/>
      <w:rPr>
        <w:sz w:val="21"/>
        <w:szCs w:val="21"/>
      </w:rPr>
    </w:pPr>
    <w:r>
      <w:rPr>
        <w:rFonts w:hint="eastAsia"/>
        <w:sz w:val="21"/>
        <w:szCs w:val="21"/>
      </w:rPr>
      <w:t>乌鲁木齐天之宇环保科技有限公司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ABF2C">
    <w:pPr>
      <w:tabs>
        <w:tab w:val="center" w:pos="4536"/>
        <w:tab w:val="right" w:pos="8306"/>
      </w:tabs>
      <w:jc w:val="right"/>
      <w:rPr>
        <w:sz w:val="21"/>
        <w:szCs w:val="21"/>
      </w:rPr>
    </w:pPr>
    <w:r>
      <mc:AlternateContent>
        <mc:Choice Requires="wps">
          <w:drawing>
            <wp:anchor distT="0" distB="0" distL="114300" distR="114300" simplePos="0" relativeHeight="251662336" behindDoc="0" locked="0" layoutInCell="1" allowOverlap="1">
              <wp:simplePos x="0" y="0"/>
              <wp:positionH relativeFrom="margin">
                <wp:posOffset>2398395</wp:posOffset>
              </wp:positionH>
              <wp:positionV relativeFrom="paragraph">
                <wp:posOffset>58420</wp:posOffset>
              </wp:positionV>
              <wp:extent cx="505460" cy="144780"/>
              <wp:effectExtent l="0" t="0" r="8890" b="11430"/>
              <wp:wrapNone/>
              <wp:docPr id="56" name="文本框 31"/>
              <wp:cNvGraphicFramePr/>
              <a:graphic xmlns:a="http://schemas.openxmlformats.org/drawingml/2006/main">
                <a:graphicData uri="http://schemas.microsoft.com/office/word/2010/wordprocessingShape">
                  <wps:wsp>
                    <wps:cNvSpPr txBox="1"/>
                    <wps:spPr>
                      <a:xfrm>
                        <a:off x="0" y="0"/>
                        <a:ext cx="505460" cy="144780"/>
                      </a:xfrm>
                      <a:prstGeom prst="rect">
                        <a:avLst/>
                      </a:prstGeom>
                      <a:noFill/>
                      <a:ln w="6350">
                        <a:noFill/>
                      </a:ln>
                    </wps:spPr>
                    <wps:txbx>
                      <w:txbxContent>
                        <w:p w14:paraId="15F4DD99">
                          <w:pPr>
                            <w:tabs>
                              <w:tab w:val="center" w:pos="4153"/>
                              <w:tab w:val="right" w:pos="8306"/>
                            </w:tabs>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rFonts w:hint="eastAsia"/>
                              <w:sz w:val="21"/>
                              <w:szCs w:val="21"/>
                            </w:rPr>
                            <w:t>IV</w:t>
                          </w:r>
                          <w:r>
                            <w:rPr>
                              <w:rFonts w:hint="eastAsia"/>
                              <w:sz w:val="21"/>
                              <w:szCs w:val="21"/>
                            </w:rPr>
                            <w:fldChar w:fldCharType="end"/>
                          </w:r>
                        </w:p>
                      </w:txbxContent>
                    </wps:txbx>
                    <wps:bodyPr wrap="square" lIns="0" tIns="0" rIns="0" bIns="0">
                      <a:spAutoFit/>
                    </wps:bodyPr>
                  </wps:wsp>
                </a:graphicData>
              </a:graphic>
            </wp:anchor>
          </w:drawing>
        </mc:Choice>
        <mc:Fallback>
          <w:pict>
            <v:shape id="文本框 31" o:spid="_x0000_s1026" o:spt="202" type="#_x0000_t202" style="position:absolute;left:0pt;margin-left:188.85pt;margin-top:4.6pt;height:11.4pt;width:39.8pt;mso-position-horizontal-relative:margin;z-index:251662336;mso-width-relative:page;mso-height-relative:page;" filled="f" stroked="f" coordsize="21600,21600" o:gfxdata="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0KJWNYAAAAIAQAADwAAAAAAAAABACAAAAAi&#10;AAAAZHJzL2Rvd25yZXYueG1sUEsBAhQAFAAAAAgAh07iQGRudVbTAQAAmAMAAA4AAAAAAAAAAQAg&#10;AAAAJQEAAGRycy9lMm9Eb2MueG1sUEsFBgAAAAAGAAYAWQEAAGoFAAAAAA==&#10;">
              <v:fill on="f" focussize="0,0"/>
              <v:stroke on="f" weight="0.5pt"/>
              <v:imagedata o:title=""/>
              <o:lock v:ext="edit" aspectratio="f"/>
              <v:textbox inset="0mm,0mm,0mm,0mm" style="mso-fit-shape-to-text:t;">
                <w:txbxContent>
                  <w:p w14:paraId="15F4DD99">
                    <w:pPr>
                      <w:tabs>
                        <w:tab w:val="center" w:pos="4153"/>
                        <w:tab w:val="right" w:pos="8306"/>
                      </w:tabs>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rFonts w:hint="eastAsia"/>
                        <w:sz w:val="21"/>
                        <w:szCs w:val="21"/>
                      </w:rPr>
                      <w:t>IV</w:t>
                    </w:r>
                    <w:r>
                      <w:rPr>
                        <w:rFonts w:hint="eastAsia"/>
                        <w:sz w:val="21"/>
                        <w:szCs w:val="21"/>
                      </w:rPr>
                      <w:fldChar w:fldCharType="end"/>
                    </w:r>
                  </w:p>
                </w:txbxContent>
              </v:textbox>
            </v:shape>
          </w:pict>
        </mc:Fallback>
      </mc:AlternateContent>
    </w:r>
  </w:p>
  <w:p w14:paraId="4C64EB74">
    <w:pPr>
      <w:tabs>
        <w:tab w:val="center" w:pos="4536"/>
        <w:tab w:val="right" w:pos="8306"/>
      </w:tabs>
      <w:jc w:val="right"/>
      <w:rPr>
        <w:sz w:val="21"/>
        <w:szCs w:val="21"/>
      </w:rPr>
    </w:pPr>
    <w:r>
      <w:rPr>
        <w:rFonts w:hint="eastAsia"/>
        <w:sz w:val="21"/>
        <w:szCs w:val="21"/>
      </w:rPr>
      <w:t>乌鲁木齐天之宇环保科技有限公司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359D8">
    <w:pPr>
      <w:pBdr>
        <w:bottom w:val="none" w:color="auto" w:sz="0" w:space="1"/>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181E7">
    <w:pPr>
      <w:pBdr>
        <w:bottom w:val="single" w:color="auto" w:sz="6" w:space="1"/>
      </w:pBdr>
      <w:tabs>
        <w:tab w:val="center" w:pos="4153"/>
        <w:tab w:val="right" w:pos="8306"/>
      </w:tabs>
      <w:snapToGrid w:val="0"/>
      <w:spacing w:line="240" w:lineRule="auto"/>
      <w:jc w:val="center"/>
      <w:rPr>
        <w:rFonts w:hint="eastAsia" w:ascii="宋体" w:hAnsi="宋体" w:cs="宋体"/>
        <w:sz w:val="21"/>
        <w:szCs w:val="21"/>
      </w:rPr>
    </w:pPr>
    <w:bookmarkStart w:id="323" w:name="_Hlk204179014"/>
    <w:r>
      <w:rPr>
        <w:rFonts w:hint="eastAsia" w:ascii="宋体" w:hAnsi="宋体" w:cs="宋体"/>
        <w:sz w:val="21"/>
        <w:szCs w:val="21"/>
      </w:rPr>
      <w:t>新疆艾斯米尔锰合金有限公司特种合金冶炼及烧结车间技改项目</w:t>
    </w:r>
    <w:bookmarkEnd w:id="323"/>
    <w:r>
      <w:rPr>
        <w:rFonts w:hint="eastAsia" w:ascii="宋体" w:hAnsi="宋体" w:cs="宋体"/>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456A8"/>
    <w:multiLevelType w:val="singleLevel"/>
    <w:tmpl w:val="8AE456A8"/>
    <w:lvl w:ilvl="0" w:tentative="0">
      <w:start w:val="1"/>
      <w:numFmt w:val="decimal"/>
      <w:lvlText w:val="(%1)"/>
      <w:lvlJc w:val="left"/>
      <w:pPr>
        <w:ind w:left="4395" w:hanging="425"/>
      </w:pPr>
      <w:rPr>
        <w:rFonts w:hint="default"/>
      </w:rPr>
    </w:lvl>
  </w:abstractNum>
  <w:abstractNum w:abstractNumId="1">
    <w:nsid w:val="8D69D2A6"/>
    <w:multiLevelType w:val="singleLevel"/>
    <w:tmpl w:val="8D69D2A6"/>
    <w:lvl w:ilvl="0" w:tentative="0">
      <w:start w:val="1"/>
      <w:numFmt w:val="decimal"/>
      <w:lvlText w:val="(%1)"/>
      <w:lvlJc w:val="left"/>
      <w:pPr>
        <w:ind w:left="425" w:hanging="425"/>
      </w:pPr>
      <w:rPr>
        <w:rFonts w:hint="default"/>
      </w:rPr>
    </w:lvl>
  </w:abstractNum>
  <w:abstractNum w:abstractNumId="2">
    <w:nsid w:val="B0A5E0FE"/>
    <w:multiLevelType w:val="singleLevel"/>
    <w:tmpl w:val="B0A5E0FE"/>
    <w:lvl w:ilvl="0" w:tentative="0">
      <w:start w:val="1"/>
      <w:numFmt w:val="decimal"/>
      <w:lvlText w:val="(%1)"/>
      <w:lvlJc w:val="left"/>
      <w:pPr>
        <w:ind w:left="425" w:hanging="425"/>
      </w:pPr>
      <w:rPr>
        <w:rFonts w:hint="default"/>
      </w:rPr>
    </w:lvl>
  </w:abstractNum>
  <w:abstractNum w:abstractNumId="3">
    <w:nsid w:val="FFFFFFFB"/>
    <w:multiLevelType w:val="multilevel"/>
    <w:tmpl w:val="FFFFFFFB"/>
    <w:lvl w:ilvl="0" w:tentative="0">
      <w:start w:val="1"/>
      <w:numFmt w:val="upperRoman"/>
      <w:lvlText w:val="%1."/>
      <w:legacy w:legacy="1" w:legacySpace="0" w:legacyIndent="425"/>
      <w:lvlJc w:val="left"/>
      <w:pPr>
        <w:ind w:left="425" w:hanging="425"/>
      </w:pPr>
    </w:lvl>
    <w:lvl w:ilvl="1" w:tentative="0">
      <w:start w:val="1"/>
      <w:numFmt w:val="upperLetter"/>
      <w:lvlText w:val="%2."/>
      <w:legacy w:legacy="1" w:legacySpace="0" w:legacyIndent="425"/>
      <w:lvlJc w:val="left"/>
      <w:pPr>
        <w:ind w:left="850" w:hanging="425"/>
      </w:pPr>
    </w:lvl>
    <w:lvl w:ilvl="2" w:tentative="0">
      <w:start w:val="1"/>
      <w:numFmt w:val="decimal"/>
      <w:lvlText w:val="%3."/>
      <w:legacy w:legacy="1" w:legacySpace="0" w:legacyIndent="425"/>
      <w:lvlJc w:val="left"/>
      <w:pPr>
        <w:ind w:left="1275" w:hanging="425"/>
      </w:pPr>
    </w:lvl>
    <w:lvl w:ilvl="3" w:tentative="0">
      <w:start w:val="1"/>
      <w:numFmt w:val="lowerLetter"/>
      <w:lvlText w:val="%4)"/>
      <w:legacy w:legacy="1" w:legacySpace="0" w:legacyIndent="425"/>
      <w:lvlJc w:val="left"/>
      <w:pPr>
        <w:ind w:left="1700" w:hanging="425"/>
      </w:pPr>
    </w:lvl>
    <w:lvl w:ilvl="4" w:tentative="0">
      <w:start w:val="1"/>
      <w:numFmt w:val="decimal"/>
      <w:lvlText w:val="(%5)"/>
      <w:legacy w:legacy="1" w:legacySpace="0" w:legacyIndent="425"/>
      <w:lvlJc w:val="left"/>
      <w:pPr>
        <w:ind w:left="2125" w:hanging="425"/>
      </w:pPr>
    </w:lvl>
    <w:lvl w:ilvl="5" w:tentative="0">
      <w:start w:val="1"/>
      <w:numFmt w:val="lowerLetter"/>
      <w:lvlText w:val="(%6)"/>
      <w:legacy w:legacy="1" w:legacySpace="0" w:legacyIndent="425"/>
      <w:lvlJc w:val="left"/>
      <w:pPr>
        <w:ind w:left="2550" w:hanging="425"/>
      </w:pPr>
    </w:lvl>
    <w:lvl w:ilvl="6" w:tentative="0">
      <w:start w:val="1"/>
      <w:numFmt w:val="lowerRoman"/>
      <w:lvlText w:val="(%7)"/>
      <w:legacy w:legacy="1" w:legacySpace="0" w:legacyIndent="425"/>
      <w:lvlJc w:val="left"/>
      <w:pPr>
        <w:ind w:left="2975" w:hanging="425"/>
      </w:pPr>
    </w:lvl>
    <w:lvl w:ilvl="7" w:tentative="0">
      <w:start w:val="1"/>
      <w:numFmt w:val="lowerLetter"/>
      <w:lvlText w:val="(%8)"/>
      <w:legacy w:legacy="1" w:legacySpace="0" w:legacyIndent="425"/>
      <w:lvlJc w:val="left"/>
      <w:pPr>
        <w:ind w:left="3400" w:hanging="425"/>
      </w:pPr>
    </w:lvl>
    <w:lvl w:ilvl="8" w:tentative="0">
      <w:start w:val="1"/>
      <w:numFmt w:val="lowerRoman"/>
      <w:pStyle w:val="11"/>
      <w:lvlText w:val="(%9)"/>
      <w:legacy w:legacy="1" w:legacySpace="0" w:legacyIndent="425"/>
      <w:lvlJc w:val="left"/>
      <w:pPr>
        <w:ind w:left="3825" w:hanging="425"/>
      </w:pPr>
    </w:lvl>
  </w:abstractNum>
  <w:abstractNum w:abstractNumId="4">
    <w:nsid w:val="4DF502DF"/>
    <w:multiLevelType w:val="singleLevel"/>
    <w:tmpl w:val="4DF502DF"/>
    <w:lvl w:ilvl="0" w:tentative="0">
      <w:start w:val="1"/>
      <w:numFmt w:val="decimal"/>
      <w:lvlText w:val="(%1)"/>
      <w:lvlJc w:val="left"/>
      <w:pPr>
        <w:ind w:left="425" w:hanging="425"/>
      </w:pPr>
      <w:rPr>
        <w:rFonts w:hint="default"/>
      </w:rPr>
    </w:lvl>
  </w:abstractNum>
  <w:abstractNum w:abstractNumId="5">
    <w:nsid w:val="4F5B6DC6"/>
    <w:multiLevelType w:val="singleLevel"/>
    <w:tmpl w:val="4F5B6DC6"/>
    <w:lvl w:ilvl="0" w:tentative="0">
      <w:start w:val="1"/>
      <w:numFmt w:val="upperLetter"/>
      <w:suff w:val="nothing"/>
      <w:lvlText w:val="%1、"/>
      <w:lvlJc w:val="left"/>
    </w:lvl>
  </w:abstractNum>
  <w:abstractNum w:abstractNumId="6">
    <w:nsid w:val="576167E7"/>
    <w:multiLevelType w:val="multilevel"/>
    <w:tmpl w:val="576167E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sz w:val="30"/>
        <w:szCs w:val="30"/>
      </w:rPr>
    </w:lvl>
    <w:lvl w:ilvl="3" w:tentative="0">
      <w:start w:val="1"/>
      <w:numFmt w:val="decimal"/>
      <w:pStyle w:val="6"/>
      <w:lvlText w:val="%1.%2.%3.%4"/>
      <w:lvlJc w:val="left"/>
      <w:pPr>
        <w:tabs>
          <w:tab w:val="left" w:pos="3275"/>
        </w:tabs>
        <w:ind w:left="3275" w:hanging="864"/>
      </w:pPr>
      <w:rPr>
        <w:rFonts w:hint="eastAsia"/>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7E3BF4A4"/>
    <w:multiLevelType w:val="singleLevel"/>
    <w:tmpl w:val="7E3BF4A4"/>
    <w:lvl w:ilvl="0" w:tentative="0">
      <w:start w:val="1"/>
      <w:numFmt w:val="decimal"/>
      <w:lvlText w:val="(%1)"/>
      <w:lvlJc w:val="left"/>
      <w:pPr>
        <w:ind w:left="425" w:hanging="425"/>
      </w:pPr>
      <w:rPr>
        <w:rFonts w:hint="default"/>
      </w:rPr>
    </w:lvl>
  </w:abstractNum>
  <w:num w:numId="1">
    <w:abstractNumId w:val="6"/>
  </w:num>
  <w:num w:numId="2">
    <w:abstractNumId w:val="3"/>
  </w:num>
  <w:num w:numId="3">
    <w:abstractNumId w:val="7"/>
  </w:num>
  <w:num w:numId="4">
    <w:abstractNumId w:val="0"/>
  </w:num>
  <w:num w:numId="5">
    <w:abstractNumId w:val="4"/>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E0ZGEyNmU3YTNlMjMyMGZkMDQ2N2QwOTBhNDc2MWUifQ=="/>
  </w:docVars>
  <w:rsids>
    <w:rsidRoot w:val="00172A27"/>
    <w:rsid w:val="00000ABA"/>
    <w:rsid w:val="000027CE"/>
    <w:rsid w:val="000033E2"/>
    <w:rsid w:val="00004E6F"/>
    <w:rsid w:val="00007046"/>
    <w:rsid w:val="000074AF"/>
    <w:rsid w:val="000102C2"/>
    <w:rsid w:val="00011B48"/>
    <w:rsid w:val="00011DB7"/>
    <w:rsid w:val="00012E2E"/>
    <w:rsid w:val="00012E80"/>
    <w:rsid w:val="00014831"/>
    <w:rsid w:val="00015575"/>
    <w:rsid w:val="0001568C"/>
    <w:rsid w:val="00015C7D"/>
    <w:rsid w:val="00016319"/>
    <w:rsid w:val="00016E45"/>
    <w:rsid w:val="000171F7"/>
    <w:rsid w:val="0002165B"/>
    <w:rsid w:val="00021CAB"/>
    <w:rsid w:val="00022476"/>
    <w:rsid w:val="00022B30"/>
    <w:rsid w:val="00023D37"/>
    <w:rsid w:val="00023DE1"/>
    <w:rsid w:val="000242B2"/>
    <w:rsid w:val="00026927"/>
    <w:rsid w:val="00026DBD"/>
    <w:rsid w:val="000306D9"/>
    <w:rsid w:val="00032180"/>
    <w:rsid w:val="0003282B"/>
    <w:rsid w:val="00034134"/>
    <w:rsid w:val="000343D6"/>
    <w:rsid w:val="0003445D"/>
    <w:rsid w:val="00037F8B"/>
    <w:rsid w:val="000405E4"/>
    <w:rsid w:val="000429F6"/>
    <w:rsid w:val="000446A3"/>
    <w:rsid w:val="000448C7"/>
    <w:rsid w:val="000450CD"/>
    <w:rsid w:val="00045563"/>
    <w:rsid w:val="0004616B"/>
    <w:rsid w:val="0004666B"/>
    <w:rsid w:val="00047F41"/>
    <w:rsid w:val="00051039"/>
    <w:rsid w:val="000513FB"/>
    <w:rsid w:val="00053728"/>
    <w:rsid w:val="0005487C"/>
    <w:rsid w:val="0005711B"/>
    <w:rsid w:val="00057ACC"/>
    <w:rsid w:val="00057B7F"/>
    <w:rsid w:val="00057CAD"/>
    <w:rsid w:val="00061116"/>
    <w:rsid w:val="00064732"/>
    <w:rsid w:val="0007082D"/>
    <w:rsid w:val="000719CE"/>
    <w:rsid w:val="00072C50"/>
    <w:rsid w:val="00073510"/>
    <w:rsid w:val="00074B42"/>
    <w:rsid w:val="00075426"/>
    <w:rsid w:val="00075F22"/>
    <w:rsid w:val="0007673D"/>
    <w:rsid w:val="00076FB5"/>
    <w:rsid w:val="00077A1C"/>
    <w:rsid w:val="00081DB3"/>
    <w:rsid w:val="00082CE3"/>
    <w:rsid w:val="00084D3A"/>
    <w:rsid w:val="00085E65"/>
    <w:rsid w:val="000861AF"/>
    <w:rsid w:val="00086AC9"/>
    <w:rsid w:val="000919C1"/>
    <w:rsid w:val="00092A50"/>
    <w:rsid w:val="00092E26"/>
    <w:rsid w:val="0009483D"/>
    <w:rsid w:val="00095FC6"/>
    <w:rsid w:val="00096B82"/>
    <w:rsid w:val="000A12A3"/>
    <w:rsid w:val="000A188A"/>
    <w:rsid w:val="000A34E4"/>
    <w:rsid w:val="000A3F56"/>
    <w:rsid w:val="000A4A30"/>
    <w:rsid w:val="000A5333"/>
    <w:rsid w:val="000A6A01"/>
    <w:rsid w:val="000A7494"/>
    <w:rsid w:val="000A7922"/>
    <w:rsid w:val="000B08A9"/>
    <w:rsid w:val="000B3361"/>
    <w:rsid w:val="000B36A1"/>
    <w:rsid w:val="000B799C"/>
    <w:rsid w:val="000C00C3"/>
    <w:rsid w:val="000C0270"/>
    <w:rsid w:val="000C337E"/>
    <w:rsid w:val="000C3560"/>
    <w:rsid w:val="000C48AF"/>
    <w:rsid w:val="000C52BD"/>
    <w:rsid w:val="000C53B3"/>
    <w:rsid w:val="000D0966"/>
    <w:rsid w:val="000D1257"/>
    <w:rsid w:val="000D3067"/>
    <w:rsid w:val="000D4F32"/>
    <w:rsid w:val="000D50FD"/>
    <w:rsid w:val="000D5A84"/>
    <w:rsid w:val="000D7AB9"/>
    <w:rsid w:val="000E07D7"/>
    <w:rsid w:val="000E09A3"/>
    <w:rsid w:val="000E1F3B"/>
    <w:rsid w:val="000E2819"/>
    <w:rsid w:val="000E38DA"/>
    <w:rsid w:val="000F0364"/>
    <w:rsid w:val="000F145B"/>
    <w:rsid w:val="000F14AE"/>
    <w:rsid w:val="000F221F"/>
    <w:rsid w:val="000F2FA0"/>
    <w:rsid w:val="000F363A"/>
    <w:rsid w:val="000F36D3"/>
    <w:rsid w:val="000F43EA"/>
    <w:rsid w:val="000F6BB0"/>
    <w:rsid w:val="00106B64"/>
    <w:rsid w:val="00107E7D"/>
    <w:rsid w:val="00111EA7"/>
    <w:rsid w:val="00111EB5"/>
    <w:rsid w:val="001132C2"/>
    <w:rsid w:val="0011361A"/>
    <w:rsid w:val="0011415E"/>
    <w:rsid w:val="00115627"/>
    <w:rsid w:val="0011629D"/>
    <w:rsid w:val="001175FF"/>
    <w:rsid w:val="001201D7"/>
    <w:rsid w:val="00122A05"/>
    <w:rsid w:val="0012620F"/>
    <w:rsid w:val="00126837"/>
    <w:rsid w:val="00127291"/>
    <w:rsid w:val="00127FEE"/>
    <w:rsid w:val="00130889"/>
    <w:rsid w:val="00131533"/>
    <w:rsid w:val="00132F9D"/>
    <w:rsid w:val="00133272"/>
    <w:rsid w:val="00133AE8"/>
    <w:rsid w:val="00140D25"/>
    <w:rsid w:val="00141E6E"/>
    <w:rsid w:val="00141FA5"/>
    <w:rsid w:val="00142B37"/>
    <w:rsid w:val="00143F45"/>
    <w:rsid w:val="0014608E"/>
    <w:rsid w:val="0014682B"/>
    <w:rsid w:val="00150016"/>
    <w:rsid w:val="001521A6"/>
    <w:rsid w:val="00153E11"/>
    <w:rsid w:val="00155337"/>
    <w:rsid w:val="00155D1D"/>
    <w:rsid w:val="00157BC9"/>
    <w:rsid w:val="00161D53"/>
    <w:rsid w:val="00162A34"/>
    <w:rsid w:val="00162A45"/>
    <w:rsid w:val="00163F9D"/>
    <w:rsid w:val="00164A9C"/>
    <w:rsid w:val="001656C8"/>
    <w:rsid w:val="00165E20"/>
    <w:rsid w:val="00166ABB"/>
    <w:rsid w:val="00167EAB"/>
    <w:rsid w:val="00170318"/>
    <w:rsid w:val="00170CEC"/>
    <w:rsid w:val="001712EF"/>
    <w:rsid w:val="00172A27"/>
    <w:rsid w:val="0017579D"/>
    <w:rsid w:val="00176545"/>
    <w:rsid w:val="00177526"/>
    <w:rsid w:val="00177B59"/>
    <w:rsid w:val="001809D8"/>
    <w:rsid w:val="001814B1"/>
    <w:rsid w:val="001824CA"/>
    <w:rsid w:val="001834EB"/>
    <w:rsid w:val="001878EC"/>
    <w:rsid w:val="0019514C"/>
    <w:rsid w:val="00195C03"/>
    <w:rsid w:val="00196703"/>
    <w:rsid w:val="001967E8"/>
    <w:rsid w:val="00197220"/>
    <w:rsid w:val="001A001C"/>
    <w:rsid w:val="001A0D5C"/>
    <w:rsid w:val="001A15DF"/>
    <w:rsid w:val="001A2686"/>
    <w:rsid w:val="001A3C4C"/>
    <w:rsid w:val="001A3DEF"/>
    <w:rsid w:val="001A3F64"/>
    <w:rsid w:val="001A4CCF"/>
    <w:rsid w:val="001A6007"/>
    <w:rsid w:val="001A6B95"/>
    <w:rsid w:val="001A6F8E"/>
    <w:rsid w:val="001A70F5"/>
    <w:rsid w:val="001B1B67"/>
    <w:rsid w:val="001B1D53"/>
    <w:rsid w:val="001B27FD"/>
    <w:rsid w:val="001B2B30"/>
    <w:rsid w:val="001B4E33"/>
    <w:rsid w:val="001B5A65"/>
    <w:rsid w:val="001B5C57"/>
    <w:rsid w:val="001B5D32"/>
    <w:rsid w:val="001B64C6"/>
    <w:rsid w:val="001B6F85"/>
    <w:rsid w:val="001B72B9"/>
    <w:rsid w:val="001B7AF0"/>
    <w:rsid w:val="001B7FBA"/>
    <w:rsid w:val="001C0D46"/>
    <w:rsid w:val="001C1A89"/>
    <w:rsid w:val="001C1E40"/>
    <w:rsid w:val="001C2D33"/>
    <w:rsid w:val="001C3071"/>
    <w:rsid w:val="001C3699"/>
    <w:rsid w:val="001C41BA"/>
    <w:rsid w:val="001C6B29"/>
    <w:rsid w:val="001C7247"/>
    <w:rsid w:val="001D0804"/>
    <w:rsid w:val="001D0E5E"/>
    <w:rsid w:val="001D1420"/>
    <w:rsid w:val="001D3C0F"/>
    <w:rsid w:val="001D4837"/>
    <w:rsid w:val="001D5DB9"/>
    <w:rsid w:val="001D6336"/>
    <w:rsid w:val="001D6EFE"/>
    <w:rsid w:val="001D6F15"/>
    <w:rsid w:val="001D7656"/>
    <w:rsid w:val="001D783D"/>
    <w:rsid w:val="001E0496"/>
    <w:rsid w:val="001E3154"/>
    <w:rsid w:val="001E46D8"/>
    <w:rsid w:val="001E6090"/>
    <w:rsid w:val="001E69FF"/>
    <w:rsid w:val="001F263A"/>
    <w:rsid w:val="001F361F"/>
    <w:rsid w:val="001F667F"/>
    <w:rsid w:val="001F68DB"/>
    <w:rsid w:val="001F7EC3"/>
    <w:rsid w:val="00201F0C"/>
    <w:rsid w:val="002024B3"/>
    <w:rsid w:val="00202E12"/>
    <w:rsid w:val="0020379E"/>
    <w:rsid w:val="0020434A"/>
    <w:rsid w:val="00206326"/>
    <w:rsid w:val="00211180"/>
    <w:rsid w:val="002112EC"/>
    <w:rsid w:val="00211A49"/>
    <w:rsid w:val="002128C3"/>
    <w:rsid w:val="00212A44"/>
    <w:rsid w:val="00212A99"/>
    <w:rsid w:val="00212D98"/>
    <w:rsid w:val="00213474"/>
    <w:rsid w:val="00215443"/>
    <w:rsid w:val="0021564E"/>
    <w:rsid w:val="0021565B"/>
    <w:rsid w:val="00216386"/>
    <w:rsid w:val="002165F0"/>
    <w:rsid w:val="00220AD9"/>
    <w:rsid w:val="00223084"/>
    <w:rsid w:val="00224301"/>
    <w:rsid w:val="00224868"/>
    <w:rsid w:val="00224A69"/>
    <w:rsid w:val="002265BE"/>
    <w:rsid w:val="00227255"/>
    <w:rsid w:val="00227B2E"/>
    <w:rsid w:val="00231AB8"/>
    <w:rsid w:val="00231DBD"/>
    <w:rsid w:val="00231E2A"/>
    <w:rsid w:val="0023285C"/>
    <w:rsid w:val="002335A1"/>
    <w:rsid w:val="00233AB1"/>
    <w:rsid w:val="002341AB"/>
    <w:rsid w:val="00234234"/>
    <w:rsid w:val="0023704D"/>
    <w:rsid w:val="002370FC"/>
    <w:rsid w:val="00237551"/>
    <w:rsid w:val="00237968"/>
    <w:rsid w:val="00241C80"/>
    <w:rsid w:val="002434AD"/>
    <w:rsid w:val="00245466"/>
    <w:rsid w:val="00245E9B"/>
    <w:rsid w:val="00246063"/>
    <w:rsid w:val="00246391"/>
    <w:rsid w:val="00246539"/>
    <w:rsid w:val="0024761F"/>
    <w:rsid w:val="00251DA8"/>
    <w:rsid w:val="00252513"/>
    <w:rsid w:val="0025568A"/>
    <w:rsid w:val="002558D5"/>
    <w:rsid w:val="002561E6"/>
    <w:rsid w:val="00256F21"/>
    <w:rsid w:val="00261862"/>
    <w:rsid w:val="00265277"/>
    <w:rsid w:val="0026540D"/>
    <w:rsid w:val="00265AA3"/>
    <w:rsid w:val="00266AF3"/>
    <w:rsid w:val="0026721E"/>
    <w:rsid w:val="00267B18"/>
    <w:rsid w:val="00270DBB"/>
    <w:rsid w:val="002714C0"/>
    <w:rsid w:val="00271D8A"/>
    <w:rsid w:val="002743F4"/>
    <w:rsid w:val="002749D9"/>
    <w:rsid w:val="002759F0"/>
    <w:rsid w:val="00277B4D"/>
    <w:rsid w:val="00277FFE"/>
    <w:rsid w:val="00280026"/>
    <w:rsid w:val="0028236E"/>
    <w:rsid w:val="00287D9B"/>
    <w:rsid w:val="00290C06"/>
    <w:rsid w:val="00294D82"/>
    <w:rsid w:val="002957E4"/>
    <w:rsid w:val="0029584A"/>
    <w:rsid w:val="00295B2C"/>
    <w:rsid w:val="00295EAB"/>
    <w:rsid w:val="002976E5"/>
    <w:rsid w:val="00297EE5"/>
    <w:rsid w:val="002A3714"/>
    <w:rsid w:val="002A5B68"/>
    <w:rsid w:val="002A5C72"/>
    <w:rsid w:val="002A6A1F"/>
    <w:rsid w:val="002B1133"/>
    <w:rsid w:val="002B23F0"/>
    <w:rsid w:val="002B2BAB"/>
    <w:rsid w:val="002B5057"/>
    <w:rsid w:val="002B777E"/>
    <w:rsid w:val="002B7B2F"/>
    <w:rsid w:val="002C03A4"/>
    <w:rsid w:val="002C08ED"/>
    <w:rsid w:val="002C0F8D"/>
    <w:rsid w:val="002C2079"/>
    <w:rsid w:val="002C263F"/>
    <w:rsid w:val="002C5D4D"/>
    <w:rsid w:val="002C6C9E"/>
    <w:rsid w:val="002D0578"/>
    <w:rsid w:val="002D088E"/>
    <w:rsid w:val="002D0A25"/>
    <w:rsid w:val="002D1C7A"/>
    <w:rsid w:val="002D244B"/>
    <w:rsid w:val="002D2F65"/>
    <w:rsid w:val="002D3077"/>
    <w:rsid w:val="002D35BF"/>
    <w:rsid w:val="002D461C"/>
    <w:rsid w:val="002D7BE0"/>
    <w:rsid w:val="002D7EAB"/>
    <w:rsid w:val="002E0E8B"/>
    <w:rsid w:val="002E138B"/>
    <w:rsid w:val="002E318B"/>
    <w:rsid w:val="002E3B36"/>
    <w:rsid w:val="002E3BDC"/>
    <w:rsid w:val="002E5C0A"/>
    <w:rsid w:val="002E6C38"/>
    <w:rsid w:val="002E7FE9"/>
    <w:rsid w:val="002F1E71"/>
    <w:rsid w:val="002F30D7"/>
    <w:rsid w:val="002F38EA"/>
    <w:rsid w:val="002F5190"/>
    <w:rsid w:val="002F53B3"/>
    <w:rsid w:val="002F5BE6"/>
    <w:rsid w:val="00300788"/>
    <w:rsid w:val="00301504"/>
    <w:rsid w:val="003041F7"/>
    <w:rsid w:val="00304AC4"/>
    <w:rsid w:val="003065F5"/>
    <w:rsid w:val="00307B2B"/>
    <w:rsid w:val="00310FB1"/>
    <w:rsid w:val="0031283B"/>
    <w:rsid w:val="0031330C"/>
    <w:rsid w:val="00313982"/>
    <w:rsid w:val="0031555B"/>
    <w:rsid w:val="00321B5E"/>
    <w:rsid w:val="00321E9E"/>
    <w:rsid w:val="0032206A"/>
    <w:rsid w:val="0032269E"/>
    <w:rsid w:val="00322B66"/>
    <w:rsid w:val="00323F60"/>
    <w:rsid w:val="003246DC"/>
    <w:rsid w:val="00325274"/>
    <w:rsid w:val="00325587"/>
    <w:rsid w:val="003267D7"/>
    <w:rsid w:val="00327E23"/>
    <w:rsid w:val="003313FB"/>
    <w:rsid w:val="00331504"/>
    <w:rsid w:val="00333106"/>
    <w:rsid w:val="0033392A"/>
    <w:rsid w:val="00335DB2"/>
    <w:rsid w:val="00336A87"/>
    <w:rsid w:val="00336F2E"/>
    <w:rsid w:val="00337479"/>
    <w:rsid w:val="00340678"/>
    <w:rsid w:val="00342C4B"/>
    <w:rsid w:val="00346066"/>
    <w:rsid w:val="0034610F"/>
    <w:rsid w:val="00350DEA"/>
    <w:rsid w:val="003518EB"/>
    <w:rsid w:val="0035214E"/>
    <w:rsid w:val="003526D6"/>
    <w:rsid w:val="00354939"/>
    <w:rsid w:val="00355CD0"/>
    <w:rsid w:val="00356E91"/>
    <w:rsid w:val="00361D85"/>
    <w:rsid w:val="003626B2"/>
    <w:rsid w:val="00362DA7"/>
    <w:rsid w:val="00370CED"/>
    <w:rsid w:val="00370D59"/>
    <w:rsid w:val="00371012"/>
    <w:rsid w:val="0037199E"/>
    <w:rsid w:val="00373B11"/>
    <w:rsid w:val="003740E2"/>
    <w:rsid w:val="00375AF2"/>
    <w:rsid w:val="003766F3"/>
    <w:rsid w:val="00381AA3"/>
    <w:rsid w:val="00381B1B"/>
    <w:rsid w:val="0038271B"/>
    <w:rsid w:val="00382B66"/>
    <w:rsid w:val="003847F1"/>
    <w:rsid w:val="00384E65"/>
    <w:rsid w:val="00385727"/>
    <w:rsid w:val="00385971"/>
    <w:rsid w:val="0038687D"/>
    <w:rsid w:val="00386EEF"/>
    <w:rsid w:val="0038723F"/>
    <w:rsid w:val="00390145"/>
    <w:rsid w:val="0039083D"/>
    <w:rsid w:val="00390CC4"/>
    <w:rsid w:val="00390EBD"/>
    <w:rsid w:val="0039149A"/>
    <w:rsid w:val="00391E0F"/>
    <w:rsid w:val="00394326"/>
    <w:rsid w:val="003A0463"/>
    <w:rsid w:val="003A0C33"/>
    <w:rsid w:val="003A1EA2"/>
    <w:rsid w:val="003A1FCD"/>
    <w:rsid w:val="003A210B"/>
    <w:rsid w:val="003A2931"/>
    <w:rsid w:val="003A3B35"/>
    <w:rsid w:val="003A4338"/>
    <w:rsid w:val="003A4DCF"/>
    <w:rsid w:val="003A5F5B"/>
    <w:rsid w:val="003A643B"/>
    <w:rsid w:val="003A7E6E"/>
    <w:rsid w:val="003B1872"/>
    <w:rsid w:val="003B2CD7"/>
    <w:rsid w:val="003B3EB7"/>
    <w:rsid w:val="003B4025"/>
    <w:rsid w:val="003B498E"/>
    <w:rsid w:val="003B7FB0"/>
    <w:rsid w:val="003C1A91"/>
    <w:rsid w:val="003C2968"/>
    <w:rsid w:val="003C2BE2"/>
    <w:rsid w:val="003C3D60"/>
    <w:rsid w:val="003C5740"/>
    <w:rsid w:val="003D69FA"/>
    <w:rsid w:val="003E1D03"/>
    <w:rsid w:val="003E30BC"/>
    <w:rsid w:val="003E3280"/>
    <w:rsid w:val="003E3FDD"/>
    <w:rsid w:val="003E5022"/>
    <w:rsid w:val="003E56E2"/>
    <w:rsid w:val="003E5BC1"/>
    <w:rsid w:val="003E694F"/>
    <w:rsid w:val="003E732E"/>
    <w:rsid w:val="003E762C"/>
    <w:rsid w:val="003F0A97"/>
    <w:rsid w:val="003F1557"/>
    <w:rsid w:val="003F1FA5"/>
    <w:rsid w:val="003F41B0"/>
    <w:rsid w:val="003F5585"/>
    <w:rsid w:val="003F76FA"/>
    <w:rsid w:val="00400867"/>
    <w:rsid w:val="00401422"/>
    <w:rsid w:val="00402C59"/>
    <w:rsid w:val="00403F9A"/>
    <w:rsid w:val="0040459D"/>
    <w:rsid w:val="00405603"/>
    <w:rsid w:val="004059DF"/>
    <w:rsid w:val="00406D41"/>
    <w:rsid w:val="004103C4"/>
    <w:rsid w:val="00413808"/>
    <w:rsid w:val="0041438C"/>
    <w:rsid w:val="004153A7"/>
    <w:rsid w:val="00416064"/>
    <w:rsid w:val="0041617E"/>
    <w:rsid w:val="004170D1"/>
    <w:rsid w:val="00422290"/>
    <w:rsid w:val="0042238F"/>
    <w:rsid w:val="00422531"/>
    <w:rsid w:val="004242E0"/>
    <w:rsid w:val="00424DED"/>
    <w:rsid w:val="00427294"/>
    <w:rsid w:val="00427727"/>
    <w:rsid w:val="00427A29"/>
    <w:rsid w:val="00431D17"/>
    <w:rsid w:val="0043364D"/>
    <w:rsid w:val="00433B80"/>
    <w:rsid w:val="00433C53"/>
    <w:rsid w:val="004341DC"/>
    <w:rsid w:val="00434307"/>
    <w:rsid w:val="00434FA5"/>
    <w:rsid w:val="00435BA0"/>
    <w:rsid w:val="004365B2"/>
    <w:rsid w:val="00436E80"/>
    <w:rsid w:val="00437250"/>
    <w:rsid w:val="00440515"/>
    <w:rsid w:val="0044247A"/>
    <w:rsid w:val="00442A99"/>
    <w:rsid w:val="00445658"/>
    <w:rsid w:val="00445E10"/>
    <w:rsid w:val="00451599"/>
    <w:rsid w:val="0045159F"/>
    <w:rsid w:val="00451D39"/>
    <w:rsid w:val="004530CA"/>
    <w:rsid w:val="00453355"/>
    <w:rsid w:val="00454D75"/>
    <w:rsid w:val="00457B0A"/>
    <w:rsid w:val="00457EB5"/>
    <w:rsid w:val="004626E6"/>
    <w:rsid w:val="00463061"/>
    <w:rsid w:val="00463432"/>
    <w:rsid w:val="004634D0"/>
    <w:rsid w:val="00464CC1"/>
    <w:rsid w:val="0046602A"/>
    <w:rsid w:val="00470339"/>
    <w:rsid w:val="00470881"/>
    <w:rsid w:val="00470E84"/>
    <w:rsid w:val="004716DA"/>
    <w:rsid w:val="00472550"/>
    <w:rsid w:val="0047388E"/>
    <w:rsid w:val="0047561F"/>
    <w:rsid w:val="00476885"/>
    <w:rsid w:val="00477330"/>
    <w:rsid w:val="00481D4B"/>
    <w:rsid w:val="004824C7"/>
    <w:rsid w:val="00482A7C"/>
    <w:rsid w:val="004832C6"/>
    <w:rsid w:val="0048576F"/>
    <w:rsid w:val="0048602C"/>
    <w:rsid w:val="00486A3F"/>
    <w:rsid w:val="00487E90"/>
    <w:rsid w:val="00490A61"/>
    <w:rsid w:val="0049177C"/>
    <w:rsid w:val="00491C91"/>
    <w:rsid w:val="004933C9"/>
    <w:rsid w:val="00493BE9"/>
    <w:rsid w:val="00493D22"/>
    <w:rsid w:val="004948A7"/>
    <w:rsid w:val="0049547B"/>
    <w:rsid w:val="00496DC6"/>
    <w:rsid w:val="004A0321"/>
    <w:rsid w:val="004A1618"/>
    <w:rsid w:val="004A1975"/>
    <w:rsid w:val="004A2DA1"/>
    <w:rsid w:val="004A375D"/>
    <w:rsid w:val="004A5A36"/>
    <w:rsid w:val="004A5D05"/>
    <w:rsid w:val="004A738A"/>
    <w:rsid w:val="004B00FA"/>
    <w:rsid w:val="004B20A4"/>
    <w:rsid w:val="004B22CD"/>
    <w:rsid w:val="004B2C2C"/>
    <w:rsid w:val="004B33B8"/>
    <w:rsid w:val="004B3A09"/>
    <w:rsid w:val="004B4779"/>
    <w:rsid w:val="004C00DD"/>
    <w:rsid w:val="004C07A5"/>
    <w:rsid w:val="004C0ECE"/>
    <w:rsid w:val="004C1FA2"/>
    <w:rsid w:val="004C663A"/>
    <w:rsid w:val="004C7793"/>
    <w:rsid w:val="004C78BF"/>
    <w:rsid w:val="004C7BDC"/>
    <w:rsid w:val="004D09B5"/>
    <w:rsid w:val="004D338D"/>
    <w:rsid w:val="004D4809"/>
    <w:rsid w:val="004D49B5"/>
    <w:rsid w:val="004D5055"/>
    <w:rsid w:val="004D717C"/>
    <w:rsid w:val="004E0FA9"/>
    <w:rsid w:val="004E0FBA"/>
    <w:rsid w:val="004E14CB"/>
    <w:rsid w:val="004E2DD4"/>
    <w:rsid w:val="004E310E"/>
    <w:rsid w:val="004E3495"/>
    <w:rsid w:val="004E3B06"/>
    <w:rsid w:val="004E3F15"/>
    <w:rsid w:val="004E3F39"/>
    <w:rsid w:val="004E4DDE"/>
    <w:rsid w:val="004E4F20"/>
    <w:rsid w:val="004E591E"/>
    <w:rsid w:val="004E5FB8"/>
    <w:rsid w:val="004E632E"/>
    <w:rsid w:val="004E6FEB"/>
    <w:rsid w:val="004E7B88"/>
    <w:rsid w:val="004F08DD"/>
    <w:rsid w:val="004F2205"/>
    <w:rsid w:val="004F24E9"/>
    <w:rsid w:val="004F2BBB"/>
    <w:rsid w:val="004F3A08"/>
    <w:rsid w:val="004F4010"/>
    <w:rsid w:val="004F4AE4"/>
    <w:rsid w:val="004F50AE"/>
    <w:rsid w:val="004F63FD"/>
    <w:rsid w:val="004F7736"/>
    <w:rsid w:val="00503E82"/>
    <w:rsid w:val="00505A98"/>
    <w:rsid w:val="00505D11"/>
    <w:rsid w:val="005062AE"/>
    <w:rsid w:val="00507380"/>
    <w:rsid w:val="00507804"/>
    <w:rsid w:val="005079DA"/>
    <w:rsid w:val="005107B5"/>
    <w:rsid w:val="0051212E"/>
    <w:rsid w:val="00512A7B"/>
    <w:rsid w:val="00512FE7"/>
    <w:rsid w:val="00514866"/>
    <w:rsid w:val="005155D0"/>
    <w:rsid w:val="00520CAA"/>
    <w:rsid w:val="0052185B"/>
    <w:rsid w:val="00523454"/>
    <w:rsid w:val="00523AA1"/>
    <w:rsid w:val="00524096"/>
    <w:rsid w:val="005242A5"/>
    <w:rsid w:val="00526513"/>
    <w:rsid w:val="005265B9"/>
    <w:rsid w:val="005271FC"/>
    <w:rsid w:val="00531F46"/>
    <w:rsid w:val="005324EE"/>
    <w:rsid w:val="00534476"/>
    <w:rsid w:val="00534DB8"/>
    <w:rsid w:val="00535D43"/>
    <w:rsid w:val="005370D8"/>
    <w:rsid w:val="00537653"/>
    <w:rsid w:val="005378DF"/>
    <w:rsid w:val="005408D5"/>
    <w:rsid w:val="00543110"/>
    <w:rsid w:val="0054341B"/>
    <w:rsid w:val="005437D9"/>
    <w:rsid w:val="005441EC"/>
    <w:rsid w:val="005453B3"/>
    <w:rsid w:val="00545B64"/>
    <w:rsid w:val="0054625B"/>
    <w:rsid w:val="00546C72"/>
    <w:rsid w:val="0054732A"/>
    <w:rsid w:val="0055062F"/>
    <w:rsid w:val="00550D9C"/>
    <w:rsid w:val="00551373"/>
    <w:rsid w:val="00551424"/>
    <w:rsid w:val="0055387F"/>
    <w:rsid w:val="00553F7A"/>
    <w:rsid w:val="005559E6"/>
    <w:rsid w:val="00555D17"/>
    <w:rsid w:val="00555FC2"/>
    <w:rsid w:val="005606A5"/>
    <w:rsid w:val="005606C2"/>
    <w:rsid w:val="00560826"/>
    <w:rsid w:val="0056703C"/>
    <w:rsid w:val="00567D36"/>
    <w:rsid w:val="005760B9"/>
    <w:rsid w:val="005763FB"/>
    <w:rsid w:val="00577747"/>
    <w:rsid w:val="00581E30"/>
    <w:rsid w:val="00581F33"/>
    <w:rsid w:val="00583955"/>
    <w:rsid w:val="00583C4E"/>
    <w:rsid w:val="005863B8"/>
    <w:rsid w:val="00586556"/>
    <w:rsid w:val="00587148"/>
    <w:rsid w:val="00595D25"/>
    <w:rsid w:val="00596E09"/>
    <w:rsid w:val="005A378B"/>
    <w:rsid w:val="005A37F1"/>
    <w:rsid w:val="005A491F"/>
    <w:rsid w:val="005A65D8"/>
    <w:rsid w:val="005A6769"/>
    <w:rsid w:val="005A6D29"/>
    <w:rsid w:val="005B1A25"/>
    <w:rsid w:val="005B3A0F"/>
    <w:rsid w:val="005B42C0"/>
    <w:rsid w:val="005B529E"/>
    <w:rsid w:val="005B6297"/>
    <w:rsid w:val="005C06AB"/>
    <w:rsid w:val="005C5AD7"/>
    <w:rsid w:val="005C6BC0"/>
    <w:rsid w:val="005C762E"/>
    <w:rsid w:val="005C7A32"/>
    <w:rsid w:val="005D0A04"/>
    <w:rsid w:val="005D15EB"/>
    <w:rsid w:val="005D1FE1"/>
    <w:rsid w:val="005D2327"/>
    <w:rsid w:val="005D2C72"/>
    <w:rsid w:val="005D2E67"/>
    <w:rsid w:val="005D4552"/>
    <w:rsid w:val="005D4694"/>
    <w:rsid w:val="005D5656"/>
    <w:rsid w:val="005D57BA"/>
    <w:rsid w:val="005D5F79"/>
    <w:rsid w:val="005D77F8"/>
    <w:rsid w:val="005E061D"/>
    <w:rsid w:val="005E09FF"/>
    <w:rsid w:val="005E101B"/>
    <w:rsid w:val="005E11D9"/>
    <w:rsid w:val="005E2A9A"/>
    <w:rsid w:val="005E3F5C"/>
    <w:rsid w:val="005E4813"/>
    <w:rsid w:val="005E7C9F"/>
    <w:rsid w:val="005F00B9"/>
    <w:rsid w:val="005F0BEE"/>
    <w:rsid w:val="005F0CFE"/>
    <w:rsid w:val="005F10B5"/>
    <w:rsid w:val="005F1365"/>
    <w:rsid w:val="005F3851"/>
    <w:rsid w:val="005F3F89"/>
    <w:rsid w:val="005F44B5"/>
    <w:rsid w:val="005F5792"/>
    <w:rsid w:val="005F724F"/>
    <w:rsid w:val="005F73C6"/>
    <w:rsid w:val="00600C41"/>
    <w:rsid w:val="0060613B"/>
    <w:rsid w:val="006063EE"/>
    <w:rsid w:val="006066E9"/>
    <w:rsid w:val="00606BFA"/>
    <w:rsid w:val="00610260"/>
    <w:rsid w:val="006129CB"/>
    <w:rsid w:val="006133F8"/>
    <w:rsid w:val="006143F1"/>
    <w:rsid w:val="006147E3"/>
    <w:rsid w:val="00615D59"/>
    <w:rsid w:val="0061600F"/>
    <w:rsid w:val="006206A8"/>
    <w:rsid w:val="00621FEE"/>
    <w:rsid w:val="00622C9B"/>
    <w:rsid w:val="0062345F"/>
    <w:rsid w:val="006235AB"/>
    <w:rsid w:val="00626A86"/>
    <w:rsid w:val="00626AC8"/>
    <w:rsid w:val="006317F7"/>
    <w:rsid w:val="00632AC8"/>
    <w:rsid w:val="00633666"/>
    <w:rsid w:val="006336D8"/>
    <w:rsid w:val="006345AA"/>
    <w:rsid w:val="00636ED7"/>
    <w:rsid w:val="0063740A"/>
    <w:rsid w:val="00637E84"/>
    <w:rsid w:val="0064288A"/>
    <w:rsid w:val="00643F58"/>
    <w:rsid w:val="00644544"/>
    <w:rsid w:val="0064502A"/>
    <w:rsid w:val="00646A0D"/>
    <w:rsid w:val="00646C59"/>
    <w:rsid w:val="00646DA7"/>
    <w:rsid w:val="0064737F"/>
    <w:rsid w:val="00647E9E"/>
    <w:rsid w:val="00650843"/>
    <w:rsid w:val="0065442E"/>
    <w:rsid w:val="00654668"/>
    <w:rsid w:val="0066418C"/>
    <w:rsid w:val="00664C69"/>
    <w:rsid w:val="006659E5"/>
    <w:rsid w:val="00665C96"/>
    <w:rsid w:val="00666AAE"/>
    <w:rsid w:val="0067143F"/>
    <w:rsid w:val="00671D81"/>
    <w:rsid w:val="006724C0"/>
    <w:rsid w:val="0067253A"/>
    <w:rsid w:val="0067319D"/>
    <w:rsid w:val="00673667"/>
    <w:rsid w:val="00674E06"/>
    <w:rsid w:val="00675305"/>
    <w:rsid w:val="006761C9"/>
    <w:rsid w:val="00676548"/>
    <w:rsid w:val="00676C16"/>
    <w:rsid w:val="00680024"/>
    <w:rsid w:val="006809CD"/>
    <w:rsid w:val="0068364D"/>
    <w:rsid w:val="00684FB5"/>
    <w:rsid w:val="006865BA"/>
    <w:rsid w:val="00686D03"/>
    <w:rsid w:val="006870C2"/>
    <w:rsid w:val="00691455"/>
    <w:rsid w:val="006938E8"/>
    <w:rsid w:val="00694D73"/>
    <w:rsid w:val="00694E68"/>
    <w:rsid w:val="00695371"/>
    <w:rsid w:val="00695845"/>
    <w:rsid w:val="006958D9"/>
    <w:rsid w:val="00697B48"/>
    <w:rsid w:val="006A065D"/>
    <w:rsid w:val="006A0BE0"/>
    <w:rsid w:val="006A110B"/>
    <w:rsid w:val="006A111B"/>
    <w:rsid w:val="006A264C"/>
    <w:rsid w:val="006A53EA"/>
    <w:rsid w:val="006A6CB9"/>
    <w:rsid w:val="006B0AA9"/>
    <w:rsid w:val="006B23E2"/>
    <w:rsid w:val="006B30E0"/>
    <w:rsid w:val="006B34B7"/>
    <w:rsid w:val="006B36B0"/>
    <w:rsid w:val="006B45F5"/>
    <w:rsid w:val="006B4819"/>
    <w:rsid w:val="006B4A9B"/>
    <w:rsid w:val="006B70BA"/>
    <w:rsid w:val="006C0142"/>
    <w:rsid w:val="006C29F8"/>
    <w:rsid w:val="006C2D7A"/>
    <w:rsid w:val="006C4288"/>
    <w:rsid w:val="006C437B"/>
    <w:rsid w:val="006C44DD"/>
    <w:rsid w:val="006C4DF0"/>
    <w:rsid w:val="006C503E"/>
    <w:rsid w:val="006C51B2"/>
    <w:rsid w:val="006C6404"/>
    <w:rsid w:val="006C6DEB"/>
    <w:rsid w:val="006C75C2"/>
    <w:rsid w:val="006C7BF5"/>
    <w:rsid w:val="006C7CDF"/>
    <w:rsid w:val="006D1148"/>
    <w:rsid w:val="006D14DF"/>
    <w:rsid w:val="006D224C"/>
    <w:rsid w:val="006D34AA"/>
    <w:rsid w:val="006D52E9"/>
    <w:rsid w:val="006D5F12"/>
    <w:rsid w:val="006E30CC"/>
    <w:rsid w:val="006E319F"/>
    <w:rsid w:val="006E3E38"/>
    <w:rsid w:val="006E5869"/>
    <w:rsid w:val="006F0E24"/>
    <w:rsid w:val="006F1D97"/>
    <w:rsid w:val="006F2B29"/>
    <w:rsid w:val="006F43A9"/>
    <w:rsid w:val="006F45A5"/>
    <w:rsid w:val="006F5AC0"/>
    <w:rsid w:val="006F690D"/>
    <w:rsid w:val="006F741A"/>
    <w:rsid w:val="006F784A"/>
    <w:rsid w:val="006F7FAE"/>
    <w:rsid w:val="0070046C"/>
    <w:rsid w:val="007044C9"/>
    <w:rsid w:val="007057CB"/>
    <w:rsid w:val="0070659C"/>
    <w:rsid w:val="00706763"/>
    <w:rsid w:val="00706EF8"/>
    <w:rsid w:val="00711A21"/>
    <w:rsid w:val="007128BB"/>
    <w:rsid w:val="0071340B"/>
    <w:rsid w:val="007134BD"/>
    <w:rsid w:val="00715C0D"/>
    <w:rsid w:val="007175CB"/>
    <w:rsid w:val="00720FC7"/>
    <w:rsid w:val="00722CEC"/>
    <w:rsid w:val="00722D7A"/>
    <w:rsid w:val="007236AB"/>
    <w:rsid w:val="00723A11"/>
    <w:rsid w:val="00724F63"/>
    <w:rsid w:val="00726930"/>
    <w:rsid w:val="0072703D"/>
    <w:rsid w:val="00730684"/>
    <w:rsid w:val="00734515"/>
    <w:rsid w:val="007349BF"/>
    <w:rsid w:val="007357BE"/>
    <w:rsid w:val="00737954"/>
    <w:rsid w:val="007404E5"/>
    <w:rsid w:val="00742642"/>
    <w:rsid w:val="007427E5"/>
    <w:rsid w:val="00744EB5"/>
    <w:rsid w:val="0074623A"/>
    <w:rsid w:val="00746641"/>
    <w:rsid w:val="00746DD2"/>
    <w:rsid w:val="00750E70"/>
    <w:rsid w:val="00751E9B"/>
    <w:rsid w:val="00755E1F"/>
    <w:rsid w:val="0075790A"/>
    <w:rsid w:val="007604AE"/>
    <w:rsid w:val="00762CDD"/>
    <w:rsid w:val="00762DD6"/>
    <w:rsid w:val="00763242"/>
    <w:rsid w:val="00767319"/>
    <w:rsid w:val="00767B9B"/>
    <w:rsid w:val="00770FAC"/>
    <w:rsid w:val="00771421"/>
    <w:rsid w:val="007764D7"/>
    <w:rsid w:val="00776B9C"/>
    <w:rsid w:val="0077710D"/>
    <w:rsid w:val="007808AF"/>
    <w:rsid w:val="007808DD"/>
    <w:rsid w:val="00780BD0"/>
    <w:rsid w:val="00780BF8"/>
    <w:rsid w:val="00782A26"/>
    <w:rsid w:val="00782E8F"/>
    <w:rsid w:val="007830D8"/>
    <w:rsid w:val="007841EE"/>
    <w:rsid w:val="00786859"/>
    <w:rsid w:val="00786905"/>
    <w:rsid w:val="00786B94"/>
    <w:rsid w:val="007870A5"/>
    <w:rsid w:val="00787DCB"/>
    <w:rsid w:val="007926DA"/>
    <w:rsid w:val="0079405D"/>
    <w:rsid w:val="0079479B"/>
    <w:rsid w:val="00794BDE"/>
    <w:rsid w:val="007978E3"/>
    <w:rsid w:val="007A0B91"/>
    <w:rsid w:val="007A2FA5"/>
    <w:rsid w:val="007A32F3"/>
    <w:rsid w:val="007A33BC"/>
    <w:rsid w:val="007A3961"/>
    <w:rsid w:val="007A6562"/>
    <w:rsid w:val="007A6B63"/>
    <w:rsid w:val="007B0460"/>
    <w:rsid w:val="007B1A15"/>
    <w:rsid w:val="007B295F"/>
    <w:rsid w:val="007B3143"/>
    <w:rsid w:val="007B4756"/>
    <w:rsid w:val="007B7FE3"/>
    <w:rsid w:val="007C2743"/>
    <w:rsid w:val="007C31B7"/>
    <w:rsid w:val="007C5E5A"/>
    <w:rsid w:val="007D06DA"/>
    <w:rsid w:val="007D19E1"/>
    <w:rsid w:val="007D2C86"/>
    <w:rsid w:val="007D2CFB"/>
    <w:rsid w:val="007D4399"/>
    <w:rsid w:val="007D6007"/>
    <w:rsid w:val="007E0723"/>
    <w:rsid w:val="007E0960"/>
    <w:rsid w:val="007E167F"/>
    <w:rsid w:val="007E3F1D"/>
    <w:rsid w:val="007E4275"/>
    <w:rsid w:val="007E43E5"/>
    <w:rsid w:val="007E446A"/>
    <w:rsid w:val="007E49C3"/>
    <w:rsid w:val="007E58C7"/>
    <w:rsid w:val="007E63F3"/>
    <w:rsid w:val="007E731C"/>
    <w:rsid w:val="007E7915"/>
    <w:rsid w:val="007E7C39"/>
    <w:rsid w:val="007F070A"/>
    <w:rsid w:val="007F241C"/>
    <w:rsid w:val="007F5E11"/>
    <w:rsid w:val="00800054"/>
    <w:rsid w:val="00800407"/>
    <w:rsid w:val="00801C24"/>
    <w:rsid w:val="00802AB3"/>
    <w:rsid w:val="0080398E"/>
    <w:rsid w:val="008048CC"/>
    <w:rsid w:val="00804CB6"/>
    <w:rsid w:val="00804EE7"/>
    <w:rsid w:val="00805038"/>
    <w:rsid w:val="0080635D"/>
    <w:rsid w:val="00807613"/>
    <w:rsid w:val="008100EC"/>
    <w:rsid w:val="0081152B"/>
    <w:rsid w:val="00811686"/>
    <w:rsid w:val="00811695"/>
    <w:rsid w:val="00811DCC"/>
    <w:rsid w:val="00812378"/>
    <w:rsid w:val="00814ABD"/>
    <w:rsid w:val="008169E9"/>
    <w:rsid w:val="00822E1C"/>
    <w:rsid w:val="0082379D"/>
    <w:rsid w:val="008238A7"/>
    <w:rsid w:val="0082446C"/>
    <w:rsid w:val="00824C8E"/>
    <w:rsid w:val="00824EEF"/>
    <w:rsid w:val="00830410"/>
    <w:rsid w:val="00830782"/>
    <w:rsid w:val="00832136"/>
    <w:rsid w:val="00832473"/>
    <w:rsid w:val="00832DB4"/>
    <w:rsid w:val="008344F2"/>
    <w:rsid w:val="00834F2B"/>
    <w:rsid w:val="00835011"/>
    <w:rsid w:val="00835C8A"/>
    <w:rsid w:val="00836D03"/>
    <w:rsid w:val="0083739B"/>
    <w:rsid w:val="008405A4"/>
    <w:rsid w:val="0084233D"/>
    <w:rsid w:val="0084747A"/>
    <w:rsid w:val="00847A70"/>
    <w:rsid w:val="00850FF2"/>
    <w:rsid w:val="00851CE3"/>
    <w:rsid w:val="00853524"/>
    <w:rsid w:val="008557B4"/>
    <w:rsid w:val="00855E8A"/>
    <w:rsid w:val="0085677A"/>
    <w:rsid w:val="00856D31"/>
    <w:rsid w:val="0085740D"/>
    <w:rsid w:val="00857965"/>
    <w:rsid w:val="00860513"/>
    <w:rsid w:val="0086261F"/>
    <w:rsid w:val="00862C83"/>
    <w:rsid w:val="0086348D"/>
    <w:rsid w:val="00863C7B"/>
    <w:rsid w:val="00864BF7"/>
    <w:rsid w:val="008662B1"/>
    <w:rsid w:val="008662F9"/>
    <w:rsid w:val="0086683B"/>
    <w:rsid w:val="00866875"/>
    <w:rsid w:val="00866B20"/>
    <w:rsid w:val="00867CDE"/>
    <w:rsid w:val="00867CFD"/>
    <w:rsid w:val="00870690"/>
    <w:rsid w:val="00871BF5"/>
    <w:rsid w:val="00871F72"/>
    <w:rsid w:val="0087294A"/>
    <w:rsid w:val="0087439E"/>
    <w:rsid w:val="0087461A"/>
    <w:rsid w:val="00874EF4"/>
    <w:rsid w:val="00876273"/>
    <w:rsid w:val="00876983"/>
    <w:rsid w:val="00877AFB"/>
    <w:rsid w:val="00881727"/>
    <w:rsid w:val="00884ED9"/>
    <w:rsid w:val="0088507D"/>
    <w:rsid w:val="00885860"/>
    <w:rsid w:val="00885C3C"/>
    <w:rsid w:val="008863E6"/>
    <w:rsid w:val="00887378"/>
    <w:rsid w:val="00887C42"/>
    <w:rsid w:val="008911BA"/>
    <w:rsid w:val="0089176A"/>
    <w:rsid w:val="00891D86"/>
    <w:rsid w:val="00893366"/>
    <w:rsid w:val="00895C22"/>
    <w:rsid w:val="00896EC8"/>
    <w:rsid w:val="008971BA"/>
    <w:rsid w:val="00897325"/>
    <w:rsid w:val="00897442"/>
    <w:rsid w:val="008A0AA3"/>
    <w:rsid w:val="008A12BB"/>
    <w:rsid w:val="008A248C"/>
    <w:rsid w:val="008A2FB0"/>
    <w:rsid w:val="008A410B"/>
    <w:rsid w:val="008A514F"/>
    <w:rsid w:val="008A61CE"/>
    <w:rsid w:val="008A621B"/>
    <w:rsid w:val="008A70B2"/>
    <w:rsid w:val="008A7805"/>
    <w:rsid w:val="008B0586"/>
    <w:rsid w:val="008B1189"/>
    <w:rsid w:val="008B2D68"/>
    <w:rsid w:val="008B4B7A"/>
    <w:rsid w:val="008B7B3E"/>
    <w:rsid w:val="008B7E6E"/>
    <w:rsid w:val="008C112E"/>
    <w:rsid w:val="008C1349"/>
    <w:rsid w:val="008C16C4"/>
    <w:rsid w:val="008C16C9"/>
    <w:rsid w:val="008C29C1"/>
    <w:rsid w:val="008C3F75"/>
    <w:rsid w:val="008C4AA3"/>
    <w:rsid w:val="008C5DB2"/>
    <w:rsid w:val="008C6943"/>
    <w:rsid w:val="008C6B27"/>
    <w:rsid w:val="008C75DE"/>
    <w:rsid w:val="008D070A"/>
    <w:rsid w:val="008D22C2"/>
    <w:rsid w:val="008D36E2"/>
    <w:rsid w:val="008D4723"/>
    <w:rsid w:val="008D558D"/>
    <w:rsid w:val="008D581C"/>
    <w:rsid w:val="008D5922"/>
    <w:rsid w:val="008D668D"/>
    <w:rsid w:val="008D6D54"/>
    <w:rsid w:val="008D7A45"/>
    <w:rsid w:val="008E12DF"/>
    <w:rsid w:val="008E1651"/>
    <w:rsid w:val="008E3606"/>
    <w:rsid w:val="008E46B1"/>
    <w:rsid w:val="008E4E61"/>
    <w:rsid w:val="008E50E2"/>
    <w:rsid w:val="008E7AAF"/>
    <w:rsid w:val="008E7E30"/>
    <w:rsid w:val="008E7FEA"/>
    <w:rsid w:val="008F0612"/>
    <w:rsid w:val="008F0686"/>
    <w:rsid w:val="008F18BD"/>
    <w:rsid w:val="008F2FBE"/>
    <w:rsid w:val="008F31AB"/>
    <w:rsid w:val="008F3503"/>
    <w:rsid w:val="008F4D2D"/>
    <w:rsid w:val="008F4EFE"/>
    <w:rsid w:val="008F5CE8"/>
    <w:rsid w:val="008F5D59"/>
    <w:rsid w:val="008F6CAA"/>
    <w:rsid w:val="008F6E5C"/>
    <w:rsid w:val="008F7B2B"/>
    <w:rsid w:val="00900261"/>
    <w:rsid w:val="009004DB"/>
    <w:rsid w:val="00901DF1"/>
    <w:rsid w:val="0090349D"/>
    <w:rsid w:val="00903B2B"/>
    <w:rsid w:val="00904248"/>
    <w:rsid w:val="009046CC"/>
    <w:rsid w:val="009062C9"/>
    <w:rsid w:val="00906AAD"/>
    <w:rsid w:val="0091048D"/>
    <w:rsid w:val="009113AD"/>
    <w:rsid w:val="00911BE1"/>
    <w:rsid w:val="009122A0"/>
    <w:rsid w:val="00916B1E"/>
    <w:rsid w:val="009179ED"/>
    <w:rsid w:val="009219C5"/>
    <w:rsid w:val="00923756"/>
    <w:rsid w:val="00925C85"/>
    <w:rsid w:val="0092745D"/>
    <w:rsid w:val="009323CC"/>
    <w:rsid w:val="00932837"/>
    <w:rsid w:val="0093357B"/>
    <w:rsid w:val="00933C68"/>
    <w:rsid w:val="00936592"/>
    <w:rsid w:val="00937805"/>
    <w:rsid w:val="00937B9B"/>
    <w:rsid w:val="0094077A"/>
    <w:rsid w:val="00941B15"/>
    <w:rsid w:val="00942583"/>
    <w:rsid w:val="00943209"/>
    <w:rsid w:val="009433A8"/>
    <w:rsid w:val="009434E7"/>
    <w:rsid w:val="00943FD1"/>
    <w:rsid w:val="0094511E"/>
    <w:rsid w:val="009466EA"/>
    <w:rsid w:val="009475F9"/>
    <w:rsid w:val="009479C1"/>
    <w:rsid w:val="00950695"/>
    <w:rsid w:val="009509A5"/>
    <w:rsid w:val="00950FBE"/>
    <w:rsid w:val="0095179A"/>
    <w:rsid w:val="00952CE6"/>
    <w:rsid w:val="00953B1D"/>
    <w:rsid w:val="00953D5D"/>
    <w:rsid w:val="00954C2C"/>
    <w:rsid w:val="00955DAC"/>
    <w:rsid w:val="00956EE1"/>
    <w:rsid w:val="00960B80"/>
    <w:rsid w:val="00963885"/>
    <w:rsid w:val="00963E8A"/>
    <w:rsid w:val="009651C4"/>
    <w:rsid w:val="00965E70"/>
    <w:rsid w:val="0096620D"/>
    <w:rsid w:val="00966AAA"/>
    <w:rsid w:val="00967AB7"/>
    <w:rsid w:val="009701A8"/>
    <w:rsid w:val="009702FB"/>
    <w:rsid w:val="00970373"/>
    <w:rsid w:val="00970E13"/>
    <w:rsid w:val="00971B35"/>
    <w:rsid w:val="00974D95"/>
    <w:rsid w:val="00975467"/>
    <w:rsid w:val="0097720A"/>
    <w:rsid w:val="009801DD"/>
    <w:rsid w:val="0098123D"/>
    <w:rsid w:val="0098329D"/>
    <w:rsid w:val="009834E2"/>
    <w:rsid w:val="00983D20"/>
    <w:rsid w:val="009846CB"/>
    <w:rsid w:val="009853F4"/>
    <w:rsid w:val="00986852"/>
    <w:rsid w:val="0098719B"/>
    <w:rsid w:val="009878EF"/>
    <w:rsid w:val="00990D75"/>
    <w:rsid w:val="009952F3"/>
    <w:rsid w:val="00995BF5"/>
    <w:rsid w:val="00996217"/>
    <w:rsid w:val="00996B8F"/>
    <w:rsid w:val="009979DA"/>
    <w:rsid w:val="009A0D33"/>
    <w:rsid w:val="009A0E71"/>
    <w:rsid w:val="009A151D"/>
    <w:rsid w:val="009A19BB"/>
    <w:rsid w:val="009A35C5"/>
    <w:rsid w:val="009A47F4"/>
    <w:rsid w:val="009A77E0"/>
    <w:rsid w:val="009B0E64"/>
    <w:rsid w:val="009B1A4F"/>
    <w:rsid w:val="009B2253"/>
    <w:rsid w:val="009B2973"/>
    <w:rsid w:val="009B4F17"/>
    <w:rsid w:val="009B599B"/>
    <w:rsid w:val="009C2709"/>
    <w:rsid w:val="009C52EC"/>
    <w:rsid w:val="009C650F"/>
    <w:rsid w:val="009C7579"/>
    <w:rsid w:val="009C7A86"/>
    <w:rsid w:val="009D075F"/>
    <w:rsid w:val="009D0F0B"/>
    <w:rsid w:val="009D214E"/>
    <w:rsid w:val="009D24D1"/>
    <w:rsid w:val="009D5196"/>
    <w:rsid w:val="009E1596"/>
    <w:rsid w:val="009E1C42"/>
    <w:rsid w:val="009E2076"/>
    <w:rsid w:val="009E215D"/>
    <w:rsid w:val="009E26D8"/>
    <w:rsid w:val="009E4056"/>
    <w:rsid w:val="009E4580"/>
    <w:rsid w:val="009E4834"/>
    <w:rsid w:val="009E5126"/>
    <w:rsid w:val="009E561A"/>
    <w:rsid w:val="009E562E"/>
    <w:rsid w:val="009E600B"/>
    <w:rsid w:val="009F0E3C"/>
    <w:rsid w:val="009F2FBB"/>
    <w:rsid w:val="009F4EE8"/>
    <w:rsid w:val="009F5290"/>
    <w:rsid w:val="00A00811"/>
    <w:rsid w:val="00A02BED"/>
    <w:rsid w:val="00A067A4"/>
    <w:rsid w:val="00A06D40"/>
    <w:rsid w:val="00A11A51"/>
    <w:rsid w:val="00A11DDE"/>
    <w:rsid w:val="00A12703"/>
    <w:rsid w:val="00A15F39"/>
    <w:rsid w:val="00A17685"/>
    <w:rsid w:val="00A206BC"/>
    <w:rsid w:val="00A24EEB"/>
    <w:rsid w:val="00A2794C"/>
    <w:rsid w:val="00A3304B"/>
    <w:rsid w:val="00A332AD"/>
    <w:rsid w:val="00A3387D"/>
    <w:rsid w:val="00A34D0E"/>
    <w:rsid w:val="00A35F27"/>
    <w:rsid w:val="00A36518"/>
    <w:rsid w:val="00A36D76"/>
    <w:rsid w:val="00A3795D"/>
    <w:rsid w:val="00A40FCB"/>
    <w:rsid w:val="00A41290"/>
    <w:rsid w:val="00A421CC"/>
    <w:rsid w:val="00A421CD"/>
    <w:rsid w:val="00A468F9"/>
    <w:rsid w:val="00A50CB7"/>
    <w:rsid w:val="00A50E62"/>
    <w:rsid w:val="00A514F8"/>
    <w:rsid w:val="00A525A4"/>
    <w:rsid w:val="00A52BAA"/>
    <w:rsid w:val="00A537EE"/>
    <w:rsid w:val="00A543C5"/>
    <w:rsid w:val="00A54A6D"/>
    <w:rsid w:val="00A55339"/>
    <w:rsid w:val="00A57504"/>
    <w:rsid w:val="00A60395"/>
    <w:rsid w:val="00A6053D"/>
    <w:rsid w:val="00A62745"/>
    <w:rsid w:val="00A62839"/>
    <w:rsid w:val="00A62901"/>
    <w:rsid w:val="00A63C55"/>
    <w:rsid w:val="00A640BB"/>
    <w:rsid w:val="00A64676"/>
    <w:rsid w:val="00A65028"/>
    <w:rsid w:val="00A65980"/>
    <w:rsid w:val="00A65B27"/>
    <w:rsid w:val="00A65EAF"/>
    <w:rsid w:val="00A65ED2"/>
    <w:rsid w:val="00A70A9F"/>
    <w:rsid w:val="00A7166A"/>
    <w:rsid w:val="00A73052"/>
    <w:rsid w:val="00A73511"/>
    <w:rsid w:val="00A7474D"/>
    <w:rsid w:val="00A74E08"/>
    <w:rsid w:val="00A77852"/>
    <w:rsid w:val="00A84C48"/>
    <w:rsid w:val="00A858DA"/>
    <w:rsid w:val="00A86531"/>
    <w:rsid w:val="00A86793"/>
    <w:rsid w:val="00A872CB"/>
    <w:rsid w:val="00A8799E"/>
    <w:rsid w:val="00A87CD6"/>
    <w:rsid w:val="00A91056"/>
    <w:rsid w:val="00A91792"/>
    <w:rsid w:val="00A91940"/>
    <w:rsid w:val="00A92E36"/>
    <w:rsid w:val="00A936E3"/>
    <w:rsid w:val="00A975DA"/>
    <w:rsid w:val="00A97E70"/>
    <w:rsid w:val="00AA084E"/>
    <w:rsid w:val="00AA3489"/>
    <w:rsid w:val="00AA63ED"/>
    <w:rsid w:val="00AA7313"/>
    <w:rsid w:val="00AA73DE"/>
    <w:rsid w:val="00AA75A6"/>
    <w:rsid w:val="00AA7CCC"/>
    <w:rsid w:val="00AB14FE"/>
    <w:rsid w:val="00AB15E6"/>
    <w:rsid w:val="00AB2F00"/>
    <w:rsid w:val="00AB59B3"/>
    <w:rsid w:val="00AB5E0B"/>
    <w:rsid w:val="00AC16DF"/>
    <w:rsid w:val="00AC4F00"/>
    <w:rsid w:val="00AC564C"/>
    <w:rsid w:val="00AC5A73"/>
    <w:rsid w:val="00AC7199"/>
    <w:rsid w:val="00AC75E2"/>
    <w:rsid w:val="00AD0CB1"/>
    <w:rsid w:val="00AD238A"/>
    <w:rsid w:val="00AD3B9C"/>
    <w:rsid w:val="00AD3D81"/>
    <w:rsid w:val="00AD4B1A"/>
    <w:rsid w:val="00AD4B65"/>
    <w:rsid w:val="00AD76FD"/>
    <w:rsid w:val="00AE0DFE"/>
    <w:rsid w:val="00AE10C6"/>
    <w:rsid w:val="00AE1D43"/>
    <w:rsid w:val="00AE311F"/>
    <w:rsid w:val="00AE47DD"/>
    <w:rsid w:val="00AE5547"/>
    <w:rsid w:val="00AE630D"/>
    <w:rsid w:val="00AE696D"/>
    <w:rsid w:val="00AE78FC"/>
    <w:rsid w:val="00AE7942"/>
    <w:rsid w:val="00AF0551"/>
    <w:rsid w:val="00AF05E6"/>
    <w:rsid w:val="00AF1786"/>
    <w:rsid w:val="00AF20C5"/>
    <w:rsid w:val="00AF68E0"/>
    <w:rsid w:val="00AF773F"/>
    <w:rsid w:val="00B00B0E"/>
    <w:rsid w:val="00B027D1"/>
    <w:rsid w:val="00B02DA3"/>
    <w:rsid w:val="00B038FC"/>
    <w:rsid w:val="00B04CF3"/>
    <w:rsid w:val="00B10FA3"/>
    <w:rsid w:val="00B141D7"/>
    <w:rsid w:val="00B15550"/>
    <w:rsid w:val="00B17FD0"/>
    <w:rsid w:val="00B20F4B"/>
    <w:rsid w:val="00B211E0"/>
    <w:rsid w:val="00B223E6"/>
    <w:rsid w:val="00B229E3"/>
    <w:rsid w:val="00B230BC"/>
    <w:rsid w:val="00B23831"/>
    <w:rsid w:val="00B24754"/>
    <w:rsid w:val="00B30939"/>
    <w:rsid w:val="00B31EAC"/>
    <w:rsid w:val="00B3208A"/>
    <w:rsid w:val="00B33C76"/>
    <w:rsid w:val="00B3442C"/>
    <w:rsid w:val="00B37E0E"/>
    <w:rsid w:val="00B40938"/>
    <w:rsid w:val="00B40B99"/>
    <w:rsid w:val="00B42367"/>
    <w:rsid w:val="00B42581"/>
    <w:rsid w:val="00B42B23"/>
    <w:rsid w:val="00B44524"/>
    <w:rsid w:val="00B458BE"/>
    <w:rsid w:val="00B47265"/>
    <w:rsid w:val="00B47C4A"/>
    <w:rsid w:val="00B5082D"/>
    <w:rsid w:val="00B51133"/>
    <w:rsid w:val="00B52F39"/>
    <w:rsid w:val="00B5309A"/>
    <w:rsid w:val="00B53A5E"/>
    <w:rsid w:val="00B553CB"/>
    <w:rsid w:val="00B559BD"/>
    <w:rsid w:val="00B605BA"/>
    <w:rsid w:val="00B605E7"/>
    <w:rsid w:val="00B60D02"/>
    <w:rsid w:val="00B62680"/>
    <w:rsid w:val="00B64A51"/>
    <w:rsid w:val="00B64CBA"/>
    <w:rsid w:val="00B6546D"/>
    <w:rsid w:val="00B71364"/>
    <w:rsid w:val="00B7258C"/>
    <w:rsid w:val="00B72A72"/>
    <w:rsid w:val="00B74BF0"/>
    <w:rsid w:val="00B74DC4"/>
    <w:rsid w:val="00B75022"/>
    <w:rsid w:val="00B76C40"/>
    <w:rsid w:val="00B77B9A"/>
    <w:rsid w:val="00B809A2"/>
    <w:rsid w:val="00B8204D"/>
    <w:rsid w:val="00B841C3"/>
    <w:rsid w:val="00B845AA"/>
    <w:rsid w:val="00B91E91"/>
    <w:rsid w:val="00B9406A"/>
    <w:rsid w:val="00B943EC"/>
    <w:rsid w:val="00BA37A0"/>
    <w:rsid w:val="00BB1018"/>
    <w:rsid w:val="00BB1CC1"/>
    <w:rsid w:val="00BB1D54"/>
    <w:rsid w:val="00BB2B72"/>
    <w:rsid w:val="00BB5A5A"/>
    <w:rsid w:val="00BC0410"/>
    <w:rsid w:val="00BC0488"/>
    <w:rsid w:val="00BC2643"/>
    <w:rsid w:val="00BC57FE"/>
    <w:rsid w:val="00BC5F82"/>
    <w:rsid w:val="00BD0BF3"/>
    <w:rsid w:val="00BD2084"/>
    <w:rsid w:val="00BD2C20"/>
    <w:rsid w:val="00BD4A15"/>
    <w:rsid w:val="00BD5B18"/>
    <w:rsid w:val="00BD69EE"/>
    <w:rsid w:val="00BD7973"/>
    <w:rsid w:val="00BE233C"/>
    <w:rsid w:val="00BE2CBF"/>
    <w:rsid w:val="00BE2D19"/>
    <w:rsid w:val="00BE2E68"/>
    <w:rsid w:val="00BE3709"/>
    <w:rsid w:val="00BE554C"/>
    <w:rsid w:val="00BE59B0"/>
    <w:rsid w:val="00BE5CE4"/>
    <w:rsid w:val="00BE616A"/>
    <w:rsid w:val="00BE61A1"/>
    <w:rsid w:val="00BE733D"/>
    <w:rsid w:val="00BF226D"/>
    <w:rsid w:val="00BF2338"/>
    <w:rsid w:val="00BF3EE9"/>
    <w:rsid w:val="00BF4235"/>
    <w:rsid w:val="00BF446F"/>
    <w:rsid w:val="00C019DB"/>
    <w:rsid w:val="00C019DC"/>
    <w:rsid w:val="00C02D04"/>
    <w:rsid w:val="00C03343"/>
    <w:rsid w:val="00C03CD7"/>
    <w:rsid w:val="00C05568"/>
    <w:rsid w:val="00C055EF"/>
    <w:rsid w:val="00C06D1A"/>
    <w:rsid w:val="00C079FC"/>
    <w:rsid w:val="00C07D8A"/>
    <w:rsid w:val="00C1025C"/>
    <w:rsid w:val="00C137B9"/>
    <w:rsid w:val="00C141B0"/>
    <w:rsid w:val="00C1448D"/>
    <w:rsid w:val="00C14C8C"/>
    <w:rsid w:val="00C14DCE"/>
    <w:rsid w:val="00C15A0C"/>
    <w:rsid w:val="00C164DC"/>
    <w:rsid w:val="00C16557"/>
    <w:rsid w:val="00C174C5"/>
    <w:rsid w:val="00C17DAD"/>
    <w:rsid w:val="00C20683"/>
    <w:rsid w:val="00C20895"/>
    <w:rsid w:val="00C21F68"/>
    <w:rsid w:val="00C22282"/>
    <w:rsid w:val="00C2337B"/>
    <w:rsid w:val="00C23F2F"/>
    <w:rsid w:val="00C25029"/>
    <w:rsid w:val="00C3023F"/>
    <w:rsid w:val="00C30712"/>
    <w:rsid w:val="00C30C57"/>
    <w:rsid w:val="00C31E58"/>
    <w:rsid w:val="00C339CB"/>
    <w:rsid w:val="00C340A7"/>
    <w:rsid w:val="00C3549B"/>
    <w:rsid w:val="00C3686A"/>
    <w:rsid w:val="00C40679"/>
    <w:rsid w:val="00C437B8"/>
    <w:rsid w:val="00C438A5"/>
    <w:rsid w:val="00C4407D"/>
    <w:rsid w:val="00C5008F"/>
    <w:rsid w:val="00C5107E"/>
    <w:rsid w:val="00C5110D"/>
    <w:rsid w:val="00C51780"/>
    <w:rsid w:val="00C52091"/>
    <w:rsid w:val="00C5382A"/>
    <w:rsid w:val="00C55071"/>
    <w:rsid w:val="00C562B9"/>
    <w:rsid w:val="00C56E5E"/>
    <w:rsid w:val="00C5700E"/>
    <w:rsid w:val="00C5740C"/>
    <w:rsid w:val="00C611E7"/>
    <w:rsid w:val="00C61309"/>
    <w:rsid w:val="00C64368"/>
    <w:rsid w:val="00C6465E"/>
    <w:rsid w:val="00C650AC"/>
    <w:rsid w:val="00C652D8"/>
    <w:rsid w:val="00C658D1"/>
    <w:rsid w:val="00C67C60"/>
    <w:rsid w:val="00C70596"/>
    <w:rsid w:val="00C714EE"/>
    <w:rsid w:val="00C71C48"/>
    <w:rsid w:val="00C73E22"/>
    <w:rsid w:val="00C75C4C"/>
    <w:rsid w:val="00C77351"/>
    <w:rsid w:val="00C80E59"/>
    <w:rsid w:val="00C84758"/>
    <w:rsid w:val="00C84810"/>
    <w:rsid w:val="00C85668"/>
    <w:rsid w:val="00C870DB"/>
    <w:rsid w:val="00C872E0"/>
    <w:rsid w:val="00C87F9F"/>
    <w:rsid w:val="00C922DC"/>
    <w:rsid w:val="00C931B4"/>
    <w:rsid w:val="00C93D77"/>
    <w:rsid w:val="00C949F7"/>
    <w:rsid w:val="00C94C14"/>
    <w:rsid w:val="00C95B9C"/>
    <w:rsid w:val="00C95EE4"/>
    <w:rsid w:val="00C96823"/>
    <w:rsid w:val="00C96E8F"/>
    <w:rsid w:val="00C97098"/>
    <w:rsid w:val="00C97F11"/>
    <w:rsid w:val="00CA002A"/>
    <w:rsid w:val="00CA32F5"/>
    <w:rsid w:val="00CA40B7"/>
    <w:rsid w:val="00CA61AF"/>
    <w:rsid w:val="00CA7A0C"/>
    <w:rsid w:val="00CB0E75"/>
    <w:rsid w:val="00CB119F"/>
    <w:rsid w:val="00CB186B"/>
    <w:rsid w:val="00CB1CE8"/>
    <w:rsid w:val="00CB595F"/>
    <w:rsid w:val="00CC06A4"/>
    <w:rsid w:val="00CC14BD"/>
    <w:rsid w:val="00CC15A1"/>
    <w:rsid w:val="00CC1963"/>
    <w:rsid w:val="00CC3EC8"/>
    <w:rsid w:val="00CC49A9"/>
    <w:rsid w:val="00CC680F"/>
    <w:rsid w:val="00CC6A17"/>
    <w:rsid w:val="00CC6F7D"/>
    <w:rsid w:val="00CC71E4"/>
    <w:rsid w:val="00CD3056"/>
    <w:rsid w:val="00CD30DB"/>
    <w:rsid w:val="00CD5D3C"/>
    <w:rsid w:val="00CD70E1"/>
    <w:rsid w:val="00CE04B2"/>
    <w:rsid w:val="00CE0AB9"/>
    <w:rsid w:val="00CE0FC0"/>
    <w:rsid w:val="00CE2D8C"/>
    <w:rsid w:val="00CE3140"/>
    <w:rsid w:val="00CE37DE"/>
    <w:rsid w:val="00CE68F1"/>
    <w:rsid w:val="00CE7BFC"/>
    <w:rsid w:val="00CF053B"/>
    <w:rsid w:val="00CF1162"/>
    <w:rsid w:val="00CF3CD5"/>
    <w:rsid w:val="00CF3D81"/>
    <w:rsid w:val="00CF47CD"/>
    <w:rsid w:val="00CF62C9"/>
    <w:rsid w:val="00D0236D"/>
    <w:rsid w:val="00D035F3"/>
    <w:rsid w:val="00D03E64"/>
    <w:rsid w:val="00D07F88"/>
    <w:rsid w:val="00D1070C"/>
    <w:rsid w:val="00D10CB5"/>
    <w:rsid w:val="00D12345"/>
    <w:rsid w:val="00D15EEA"/>
    <w:rsid w:val="00D17DBF"/>
    <w:rsid w:val="00D204C7"/>
    <w:rsid w:val="00D211B2"/>
    <w:rsid w:val="00D22006"/>
    <w:rsid w:val="00D2274F"/>
    <w:rsid w:val="00D22B5D"/>
    <w:rsid w:val="00D23AF9"/>
    <w:rsid w:val="00D2405F"/>
    <w:rsid w:val="00D25C41"/>
    <w:rsid w:val="00D2665C"/>
    <w:rsid w:val="00D31A97"/>
    <w:rsid w:val="00D3381B"/>
    <w:rsid w:val="00D35775"/>
    <w:rsid w:val="00D35913"/>
    <w:rsid w:val="00D43003"/>
    <w:rsid w:val="00D43C7C"/>
    <w:rsid w:val="00D46076"/>
    <w:rsid w:val="00D4751F"/>
    <w:rsid w:val="00D50473"/>
    <w:rsid w:val="00D513ED"/>
    <w:rsid w:val="00D521C2"/>
    <w:rsid w:val="00D53906"/>
    <w:rsid w:val="00D564CF"/>
    <w:rsid w:val="00D61CD7"/>
    <w:rsid w:val="00D62839"/>
    <w:rsid w:val="00D64910"/>
    <w:rsid w:val="00D65027"/>
    <w:rsid w:val="00D653F0"/>
    <w:rsid w:val="00D66BAD"/>
    <w:rsid w:val="00D67FBE"/>
    <w:rsid w:val="00D715A6"/>
    <w:rsid w:val="00D73F83"/>
    <w:rsid w:val="00D7552F"/>
    <w:rsid w:val="00D75D39"/>
    <w:rsid w:val="00D7629A"/>
    <w:rsid w:val="00D80E35"/>
    <w:rsid w:val="00D81412"/>
    <w:rsid w:val="00D82934"/>
    <w:rsid w:val="00D840AC"/>
    <w:rsid w:val="00D8469C"/>
    <w:rsid w:val="00D91339"/>
    <w:rsid w:val="00D91A2F"/>
    <w:rsid w:val="00D9461A"/>
    <w:rsid w:val="00D94C5F"/>
    <w:rsid w:val="00D960BC"/>
    <w:rsid w:val="00D967E7"/>
    <w:rsid w:val="00D97DFD"/>
    <w:rsid w:val="00DA30AB"/>
    <w:rsid w:val="00DA356D"/>
    <w:rsid w:val="00DA3B6D"/>
    <w:rsid w:val="00DA4395"/>
    <w:rsid w:val="00DA5556"/>
    <w:rsid w:val="00DA59E9"/>
    <w:rsid w:val="00DA63ED"/>
    <w:rsid w:val="00DB369B"/>
    <w:rsid w:val="00DB4225"/>
    <w:rsid w:val="00DB5206"/>
    <w:rsid w:val="00DB5647"/>
    <w:rsid w:val="00DB6044"/>
    <w:rsid w:val="00DB6529"/>
    <w:rsid w:val="00DB7225"/>
    <w:rsid w:val="00DB79AE"/>
    <w:rsid w:val="00DC06BE"/>
    <w:rsid w:val="00DC244A"/>
    <w:rsid w:val="00DC2C5D"/>
    <w:rsid w:val="00DC3857"/>
    <w:rsid w:val="00DC56C2"/>
    <w:rsid w:val="00DC5A9A"/>
    <w:rsid w:val="00DC5F50"/>
    <w:rsid w:val="00DC7C0D"/>
    <w:rsid w:val="00DD09EA"/>
    <w:rsid w:val="00DD2EBB"/>
    <w:rsid w:val="00DD2F4A"/>
    <w:rsid w:val="00DD30CC"/>
    <w:rsid w:val="00DD3BE6"/>
    <w:rsid w:val="00DD5588"/>
    <w:rsid w:val="00DD582C"/>
    <w:rsid w:val="00DD5D51"/>
    <w:rsid w:val="00DE12D3"/>
    <w:rsid w:val="00DE1864"/>
    <w:rsid w:val="00DE2EF0"/>
    <w:rsid w:val="00DE2F84"/>
    <w:rsid w:val="00DE4ADE"/>
    <w:rsid w:val="00DE4EE4"/>
    <w:rsid w:val="00DE53D2"/>
    <w:rsid w:val="00DE70C9"/>
    <w:rsid w:val="00DF06C7"/>
    <w:rsid w:val="00DF072D"/>
    <w:rsid w:val="00DF10B1"/>
    <w:rsid w:val="00DF249F"/>
    <w:rsid w:val="00DF2774"/>
    <w:rsid w:val="00DF3866"/>
    <w:rsid w:val="00DF64C2"/>
    <w:rsid w:val="00DF66D4"/>
    <w:rsid w:val="00DF796F"/>
    <w:rsid w:val="00DF7BA2"/>
    <w:rsid w:val="00E00301"/>
    <w:rsid w:val="00E00895"/>
    <w:rsid w:val="00E00ABD"/>
    <w:rsid w:val="00E0225D"/>
    <w:rsid w:val="00E029DC"/>
    <w:rsid w:val="00E04602"/>
    <w:rsid w:val="00E04C94"/>
    <w:rsid w:val="00E04D1D"/>
    <w:rsid w:val="00E04FBF"/>
    <w:rsid w:val="00E06295"/>
    <w:rsid w:val="00E0663D"/>
    <w:rsid w:val="00E07785"/>
    <w:rsid w:val="00E103EE"/>
    <w:rsid w:val="00E113E6"/>
    <w:rsid w:val="00E11526"/>
    <w:rsid w:val="00E124D0"/>
    <w:rsid w:val="00E13BB5"/>
    <w:rsid w:val="00E22299"/>
    <w:rsid w:val="00E2353C"/>
    <w:rsid w:val="00E23EBD"/>
    <w:rsid w:val="00E262A3"/>
    <w:rsid w:val="00E26AD2"/>
    <w:rsid w:val="00E32709"/>
    <w:rsid w:val="00E32DE1"/>
    <w:rsid w:val="00E33C96"/>
    <w:rsid w:val="00E36586"/>
    <w:rsid w:val="00E40CBD"/>
    <w:rsid w:val="00E4117A"/>
    <w:rsid w:val="00E41EBE"/>
    <w:rsid w:val="00E42CEA"/>
    <w:rsid w:val="00E43C81"/>
    <w:rsid w:val="00E43EF0"/>
    <w:rsid w:val="00E44AFB"/>
    <w:rsid w:val="00E453B3"/>
    <w:rsid w:val="00E4600D"/>
    <w:rsid w:val="00E47018"/>
    <w:rsid w:val="00E511E3"/>
    <w:rsid w:val="00E517BA"/>
    <w:rsid w:val="00E51A6A"/>
    <w:rsid w:val="00E5284A"/>
    <w:rsid w:val="00E529C8"/>
    <w:rsid w:val="00E52B31"/>
    <w:rsid w:val="00E5409B"/>
    <w:rsid w:val="00E57BB7"/>
    <w:rsid w:val="00E6150D"/>
    <w:rsid w:val="00E61795"/>
    <w:rsid w:val="00E62231"/>
    <w:rsid w:val="00E62BF2"/>
    <w:rsid w:val="00E62E85"/>
    <w:rsid w:val="00E649D6"/>
    <w:rsid w:val="00E64D01"/>
    <w:rsid w:val="00E65ECA"/>
    <w:rsid w:val="00E663F9"/>
    <w:rsid w:val="00E66440"/>
    <w:rsid w:val="00E6644D"/>
    <w:rsid w:val="00E67247"/>
    <w:rsid w:val="00E72299"/>
    <w:rsid w:val="00E7287A"/>
    <w:rsid w:val="00E72C63"/>
    <w:rsid w:val="00E7360E"/>
    <w:rsid w:val="00E75318"/>
    <w:rsid w:val="00E75A81"/>
    <w:rsid w:val="00E76F1C"/>
    <w:rsid w:val="00E772F0"/>
    <w:rsid w:val="00E801C4"/>
    <w:rsid w:val="00E81A4D"/>
    <w:rsid w:val="00E8548C"/>
    <w:rsid w:val="00E9019A"/>
    <w:rsid w:val="00E92B14"/>
    <w:rsid w:val="00E92E32"/>
    <w:rsid w:val="00E936A0"/>
    <w:rsid w:val="00E9637D"/>
    <w:rsid w:val="00E96A8C"/>
    <w:rsid w:val="00E96BFD"/>
    <w:rsid w:val="00EA1169"/>
    <w:rsid w:val="00EA2C4C"/>
    <w:rsid w:val="00EA2EE7"/>
    <w:rsid w:val="00EA2F5F"/>
    <w:rsid w:val="00EA5D62"/>
    <w:rsid w:val="00EA7401"/>
    <w:rsid w:val="00EB3215"/>
    <w:rsid w:val="00EB69E9"/>
    <w:rsid w:val="00EB7B0C"/>
    <w:rsid w:val="00EB7C21"/>
    <w:rsid w:val="00EC0124"/>
    <w:rsid w:val="00EC083F"/>
    <w:rsid w:val="00EC0AAF"/>
    <w:rsid w:val="00EC5330"/>
    <w:rsid w:val="00EC689F"/>
    <w:rsid w:val="00ED13A1"/>
    <w:rsid w:val="00ED146E"/>
    <w:rsid w:val="00ED2041"/>
    <w:rsid w:val="00ED226A"/>
    <w:rsid w:val="00ED266C"/>
    <w:rsid w:val="00ED3BB4"/>
    <w:rsid w:val="00ED4267"/>
    <w:rsid w:val="00ED44B9"/>
    <w:rsid w:val="00ED4B92"/>
    <w:rsid w:val="00ED52C2"/>
    <w:rsid w:val="00EE031B"/>
    <w:rsid w:val="00EE119F"/>
    <w:rsid w:val="00EE18B0"/>
    <w:rsid w:val="00EE42B1"/>
    <w:rsid w:val="00EF07F5"/>
    <w:rsid w:val="00EF12DF"/>
    <w:rsid w:val="00EF1563"/>
    <w:rsid w:val="00EF17F2"/>
    <w:rsid w:val="00EF2605"/>
    <w:rsid w:val="00EF3415"/>
    <w:rsid w:val="00EF40CD"/>
    <w:rsid w:val="00EF459A"/>
    <w:rsid w:val="00EF7042"/>
    <w:rsid w:val="00F013A8"/>
    <w:rsid w:val="00F014BC"/>
    <w:rsid w:val="00F034FE"/>
    <w:rsid w:val="00F0496C"/>
    <w:rsid w:val="00F04E07"/>
    <w:rsid w:val="00F04F14"/>
    <w:rsid w:val="00F0636C"/>
    <w:rsid w:val="00F06EA7"/>
    <w:rsid w:val="00F103C3"/>
    <w:rsid w:val="00F13E8B"/>
    <w:rsid w:val="00F14D71"/>
    <w:rsid w:val="00F160AE"/>
    <w:rsid w:val="00F17540"/>
    <w:rsid w:val="00F215C4"/>
    <w:rsid w:val="00F23C4D"/>
    <w:rsid w:val="00F25BAD"/>
    <w:rsid w:val="00F27DCE"/>
    <w:rsid w:val="00F27F88"/>
    <w:rsid w:val="00F30FA4"/>
    <w:rsid w:val="00F31033"/>
    <w:rsid w:val="00F317F9"/>
    <w:rsid w:val="00F33B1C"/>
    <w:rsid w:val="00F33E3E"/>
    <w:rsid w:val="00F34674"/>
    <w:rsid w:val="00F354C2"/>
    <w:rsid w:val="00F357F9"/>
    <w:rsid w:val="00F360CD"/>
    <w:rsid w:val="00F37A08"/>
    <w:rsid w:val="00F41168"/>
    <w:rsid w:val="00F41EF9"/>
    <w:rsid w:val="00F4296D"/>
    <w:rsid w:val="00F42CF7"/>
    <w:rsid w:val="00F45D64"/>
    <w:rsid w:val="00F5008B"/>
    <w:rsid w:val="00F51642"/>
    <w:rsid w:val="00F52183"/>
    <w:rsid w:val="00F52A2F"/>
    <w:rsid w:val="00F53748"/>
    <w:rsid w:val="00F53EAD"/>
    <w:rsid w:val="00F54407"/>
    <w:rsid w:val="00F57ED1"/>
    <w:rsid w:val="00F6287C"/>
    <w:rsid w:val="00F62D6D"/>
    <w:rsid w:val="00F633F4"/>
    <w:rsid w:val="00F63884"/>
    <w:rsid w:val="00F64684"/>
    <w:rsid w:val="00F6558B"/>
    <w:rsid w:val="00F6704F"/>
    <w:rsid w:val="00F672AB"/>
    <w:rsid w:val="00F67E37"/>
    <w:rsid w:val="00F7142A"/>
    <w:rsid w:val="00F71A20"/>
    <w:rsid w:val="00F722EE"/>
    <w:rsid w:val="00F73508"/>
    <w:rsid w:val="00F74B76"/>
    <w:rsid w:val="00F75946"/>
    <w:rsid w:val="00F75C78"/>
    <w:rsid w:val="00F76D6D"/>
    <w:rsid w:val="00F76F74"/>
    <w:rsid w:val="00F77E0C"/>
    <w:rsid w:val="00F801A4"/>
    <w:rsid w:val="00F80AA6"/>
    <w:rsid w:val="00F82CCE"/>
    <w:rsid w:val="00F83F2A"/>
    <w:rsid w:val="00F84A89"/>
    <w:rsid w:val="00F859A2"/>
    <w:rsid w:val="00F87003"/>
    <w:rsid w:val="00F871B4"/>
    <w:rsid w:val="00F90969"/>
    <w:rsid w:val="00F9144D"/>
    <w:rsid w:val="00F91D1A"/>
    <w:rsid w:val="00F94828"/>
    <w:rsid w:val="00F949DC"/>
    <w:rsid w:val="00F972D0"/>
    <w:rsid w:val="00F9732F"/>
    <w:rsid w:val="00F9767A"/>
    <w:rsid w:val="00FA00CE"/>
    <w:rsid w:val="00FA03C6"/>
    <w:rsid w:val="00FA24D0"/>
    <w:rsid w:val="00FA2622"/>
    <w:rsid w:val="00FA2F47"/>
    <w:rsid w:val="00FA3035"/>
    <w:rsid w:val="00FA588F"/>
    <w:rsid w:val="00FA59A6"/>
    <w:rsid w:val="00FA7F66"/>
    <w:rsid w:val="00FB0B40"/>
    <w:rsid w:val="00FB2A69"/>
    <w:rsid w:val="00FB40CB"/>
    <w:rsid w:val="00FC2868"/>
    <w:rsid w:val="00FC2B75"/>
    <w:rsid w:val="00FC2E08"/>
    <w:rsid w:val="00FC59BE"/>
    <w:rsid w:val="00FD061E"/>
    <w:rsid w:val="00FD1C92"/>
    <w:rsid w:val="00FD207F"/>
    <w:rsid w:val="00FD24BD"/>
    <w:rsid w:val="00FD2881"/>
    <w:rsid w:val="00FD4224"/>
    <w:rsid w:val="00FD4865"/>
    <w:rsid w:val="00FD6A6F"/>
    <w:rsid w:val="00FE0A41"/>
    <w:rsid w:val="00FE0CB0"/>
    <w:rsid w:val="00FE27D7"/>
    <w:rsid w:val="00FE303D"/>
    <w:rsid w:val="00FE5B06"/>
    <w:rsid w:val="00FE7A22"/>
    <w:rsid w:val="00FF0F7A"/>
    <w:rsid w:val="00FF1111"/>
    <w:rsid w:val="00FF1320"/>
    <w:rsid w:val="00FF31BA"/>
    <w:rsid w:val="00FF4DC4"/>
    <w:rsid w:val="00FF519A"/>
    <w:rsid w:val="00FF59BE"/>
    <w:rsid w:val="00FF68BD"/>
    <w:rsid w:val="0101763A"/>
    <w:rsid w:val="01116F40"/>
    <w:rsid w:val="013465B1"/>
    <w:rsid w:val="013C6B15"/>
    <w:rsid w:val="014902DA"/>
    <w:rsid w:val="014B08FF"/>
    <w:rsid w:val="014C380F"/>
    <w:rsid w:val="01573EEE"/>
    <w:rsid w:val="018E4C16"/>
    <w:rsid w:val="01BE4A70"/>
    <w:rsid w:val="01C57DAC"/>
    <w:rsid w:val="020C2518"/>
    <w:rsid w:val="021C4E4D"/>
    <w:rsid w:val="023F642D"/>
    <w:rsid w:val="025F7F71"/>
    <w:rsid w:val="028C09C8"/>
    <w:rsid w:val="02B66B04"/>
    <w:rsid w:val="02E132C9"/>
    <w:rsid w:val="02E30D64"/>
    <w:rsid w:val="030229EB"/>
    <w:rsid w:val="031511C4"/>
    <w:rsid w:val="031D71B2"/>
    <w:rsid w:val="033A361A"/>
    <w:rsid w:val="034944E0"/>
    <w:rsid w:val="035D753C"/>
    <w:rsid w:val="03791BE3"/>
    <w:rsid w:val="037A7A0E"/>
    <w:rsid w:val="03BD3CFC"/>
    <w:rsid w:val="03CD4BEA"/>
    <w:rsid w:val="03D0393C"/>
    <w:rsid w:val="042B5889"/>
    <w:rsid w:val="042B5956"/>
    <w:rsid w:val="044836B3"/>
    <w:rsid w:val="04591522"/>
    <w:rsid w:val="0464753C"/>
    <w:rsid w:val="046D2019"/>
    <w:rsid w:val="048457C3"/>
    <w:rsid w:val="048728F1"/>
    <w:rsid w:val="049F49E3"/>
    <w:rsid w:val="04D47D6C"/>
    <w:rsid w:val="05161259"/>
    <w:rsid w:val="053F57C8"/>
    <w:rsid w:val="054F0B1D"/>
    <w:rsid w:val="055644F7"/>
    <w:rsid w:val="055D0081"/>
    <w:rsid w:val="055F3E86"/>
    <w:rsid w:val="05606717"/>
    <w:rsid w:val="05811A0F"/>
    <w:rsid w:val="05B8669C"/>
    <w:rsid w:val="05D1769D"/>
    <w:rsid w:val="05E17F2E"/>
    <w:rsid w:val="063413A1"/>
    <w:rsid w:val="06824346"/>
    <w:rsid w:val="06CD3B06"/>
    <w:rsid w:val="07043A2A"/>
    <w:rsid w:val="07472CE9"/>
    <w:rsid w:val="07521910"/>
    <w:rsid w:val="07582889"/>
    <w:rsid w:val="075B4661"/>
    <w:rsid w:val="077C1A05"/>
    <w:rsid w:val="07906A6D"/>
    <w:rsid w:val="07A01576"/>
    <w:rsid w:val="07A438EC"/>
    <w:rsid w:val="07F26EC4"/>
    <w:rsid w:val="08016684"/>
    <w:rsid w:val="080E4297"/>
    <w:rsid w:val="083D5207"/>
    <w:rsid w:val="086D7BF2"/>
    <w:rsid w:val="087175BE"/>
    <w:rsid w:val="08756850"/>
    <w:rsid w:val="08A54E52"/>
    <w:rsid w:val="08B06C38"/>
    <w:rsid w:val="08BD2A6F"/>
    <w:rsid w:val="08E6530E"/>
    <w:rsid w:val="08EB1A56"/>
    <w:rsid w:val="090C309B"/>
    <w:rsid w:val="093D4232"/>
    <w:rsid w:val="09576043"/>
    <w:rsid w:val="09613690"/>
    <w:rsid w:val="096145F0"/>
    <w:rsid w:val="09650482"/>
    <w:rsid w:val="098E5AB1"/>
    <w:rsid w:val="099077F7"/>
    <w:rsid w:val="09925D4B"/>
    <w:rsid w:val="09B00B9B"/>
    <w:rsid w:val="09BE149C"/>
    <w:rsid w:val="09FA2749"/>
    <w:rsid w:val="0A0035B7"/>
    <w:rsid w:val="0A110894"/>
    <w:rsid w:val="0A15745D"/>
    <w:rsid w:val="0A1914A2"/>
    <w:rsid w:val="0A504F27"/>
    <w:rsid w:val="0A6D30BC"/>
    <w:rsid w:val="0A8E70B7"/>
    <w:rsid w:val="0ABF49F3"/>
    <w:rsid w:val="0AC20042"/>
    <w:rsid w:val="0AD217CE"/>
    <w:rsid w:val="0AE4648E"/>
    <w:rsid w:val="0AE53A3C"/>
    <w:rsid w:val="0AF02669"/>
    <w:rsid w:val="0B15140F"/>
    <w:rsid w:val="0B376E43"/>
    <w:rsid w:val="0B394787"/>
    <w:rsid w:val="0B9D3633"/>
    <w:rsid w:val="0BB63C0A"/>
    <w:rsid w:val="0BB95560"/>
    <w:rsid w:val="0BC0584D"/>
    <w:rsid w:val="0BCE6EA2"/>
    <w:rsid w:val="0BD12E72"/>
    <w:rsid w:val="0C122A82"/>
    <w:rsid w:val="0C16341B"/>
    <w:rsid w:val="0C1E182E"/>
    <w:rsid w:val="0C88659A"/>
    <w:rsid w:val="0CA015D2"/>
    <w:rsid w:val="0CD130B1"/>
    <w:rsid w:val="0CD33BF6"/>
    <w:rsid w:val="0CF54711"/>
    <w:rsid w:val="0D184574"/>
    <w:rsid w:val="0D4263A4"/>
    <w:rsid w:val="0D6C4822"/>
    <w:rsid w:val="0D7F084F"/>
    <w:rsid w:val="0D9718CC"/>
    <w:rsid w:val="0DA158D2"/>
    <w:rsid w:val="0DDA60BE"/>
    <w:rsid w:val="0E432F08"/>
    <w:rsid w:val="0E4E5428"/>
    <w:rsid w:val="0E8941A7"/>
    <w:rsid w:val="0E922272"/>
    <w:rsid w:val="0EA9101C"/>
    <w:rsid w:val="0EB91002"/>
    <w:rsid w:val="0EDD0348"/>
    <w:rsid w:val="0EED0814"/>
    <w:rsid w:val="0F2F3F0C"/>
    <w:rsid w:val="0F6E05DA"/>
    <w:rsid w:val="0FC83D42"/>
    <w:rsid w:val="0FD8127D"/>
    <w:rsid w:val="0FE01EBE"/>
    <w:rsid w:val="100E6048"/>
    <w:rsid w:val="102A12A6"/>
    <w:rsid w:val="10A81E2F"/>
    <w:rsid w:val="10B3543E"/>
    <w:rsid w:val="10C60ECA"/>
    <w:rsid w:val="10CC0355"/>
    <w:rsid w:val="10E86135"/>
    <w:rsid w:val="11176501"/>
    <w:rsid w:val="11397B6C"/>
    <w:rsid w:val="115E0E93"/>
    <w:rsid w:val="116E5D8F"/>
    <w:rsid w:val="119A3CF0"/>
    <w:rsid w:val="11A11040"/>
    <w:rsid w:val="11A77CE4"/>
    <w:rsid w:val="11B3452A"/>
    <w:rsid w:val="11F86158"/>
    <w:rsid w:val="11F960FF"/>
    <w:rsid w:val="11FD7399"/>
    <w:rsid w:val="121B1E10"/>
    <w:rsid w:val="12220C73"/>
    <w:rsid w:val="126120A0"/>
    <w:rsid w:val="12763C9B"/>
    <w:rsid w:val="1295491E"/>
    <w:rsid w:val="12A9327E"/>
    <w:rsid w:val="12E244F8"/>
    <w:rsid w:val="12F654D6"/>
    <w:rsid w:val="131E0B1A"/>
    <w:rsid w:val="13250334"/>
    <w:rsid w:val="132E6915"/>
    <w:rsid w:val="13340AFE"/>
    <w:rsid w:val="13377C5C"/>
    <w:rsid w:val="13407E33"/>
    <w:rsid w:val="134514C7"/>
    <w:rsid w:val="136A5E03"/>
    <w:rsid w:val="13933A4F"/>
    <w:rsid w:val="13A714A6"/>
    <w:rsid w:val="13BC494E"/>
    <w:rsid w:val="13ED73C4"/>
    <w:rsid w:val="13FB130E"/>
    <w:rsid w:val="14020A79"/>
    <w:rsid w:val="1402287C"/>
    <w:rsid w:val="14357F1D"/>
    <w:rsid w:val="143B0E31"/>
    <w:rsid w:val="14734729"/>
    <w:rsid w:val="147676A4"/>
    <w:rsid w:val="14A971FD"/>
    <w:rsid w:val="14E07153"/>
    <w:rsid w:val="14E859E1"/>
    <w:rsid w:val="1545770C"/>
    <w:rsid w:val="15492531"/>
    <w:rsid w:val="15522F0A"/>
    <w:rsid w:val="157675E9"/>
    <w:rsid w:val="1594620D"/>
    <w:rsid w:val="15C97533"/>
    <w:rsid w:val="161317C9"/>
    <w:rsid w:val="1614118A"/>
    <w:rsid w:val="164B5C8C"/>
    <w:rsid w:val="16594A82"/>
    <w:rsid w:val="168648D8"/>
    <w:rsid w:val="16A13043"/>
    <w:rsid w:val="16A56257"/>
    <w:rsid w:val="16BB5223"/>
    <w:rsid w:val="16E416E9"/>
    <w:rsid w:val="170F5209"/>
    <w:rsid w:val="171E7FAE"/>
    <w:rsid w:val="17633132"/>
    <w:rsid w:val="17A14E99"/>
    <w:rsid w:val="17AE48B0"/>
    <w:rsid w:val="17D549B7"/>
    <w:rsid w:val="17D60490"/>
    <w:rsid w:val="180A1E79"/>
    <w:rsid w:val="185E5DCF"/>
    <w:rsid w:val="186C5310"/>
    <w:rsid w:val="1876288A"/>
    <w:rsid w:val="18870223"/>
    <w:rsid w:val="18DD34D3"/>
    <w:rsid w:val="18FB3EB3"/>
    <w:rsid w:val="19240501"/>
    <w:rsid w:val="194E51A0"/>
    <w:rsid w:val="197F252A"/>
    <w:rsid w:val="19FB69DE"/>
    <w:rsid w:val="1A3E0F10"/>
    <w:rsid w:val="1A41349A"/>
    <w:rsid w:val="1A4153C7"/>
    <w:rsid w:val="1A735911"/>
    <w:rsid w:val="1A796943"/>
    <w:rsid w:val="1AC4118D"/>
    <w:rsid w:val="1ADA7ADA"/>
    <w:rsid w:val="1B3605F2"/>
    <w:rsid w:val="1B540DA7"/>
    <w:rsid w:val="1B71414D"/>
    <w:rsid w:val="1BA31B75"/>
    <w:rsid w:val="1BB76AD8"/>
    <w:rsid w:val="1BCA1227"/>
    <w:rsid w:val="1BE11707"/>
    <w:rsid w:val="1BE638C5"/>
    <w:rsid w:val="1BEC41BE"/>
    <w:rsid w:val="1BF73BE0"/>
    <w:rsid w:val="1BFC174F"/>
    <w:rsid w:val="1C087712"/>
    <w:rsid w:val="1C263BE8"/>
    <w:rsid w:val="1C5F7A24"/>
    <w:rsid w:val="1C75447C"/>
    <w:rsid w:val="1C7F0AD0"/>
    <w:rsid w:val="1C842723"/>
    <w:rsid w:val="1C927C88"/>
    <w:rsid w:val="1CAA7BAD"/>
    <w:rsid w:val="1CDF65AE"/>
    <w:rsid w:val="1CE10CCF"/>
    <w:rsid w:val="1CE3325C"/>
    <w:rsid w:val="1D271AB6"/>
    <w:rsid w:val="1D3C1D9B"/>
    <w:rsid w:val="1D593397"/>
    <w:rsid w:val="1D63034B"/>
    <w:rsid w:val="1D781EDE"/>
    <w:rsid w:val="1D7E361F"/>
    <w:rsid w:val="1D8A41A8"/>
    <w:rsid w:val="1DA67E54"/>
    <w:rsid w:val="1DEE363C"/>
    <w:rsid w:val="1E060461"/>
    <w:rsid w:val="1E485B55"/>
    <w:rsid w:val="1E497F59"/>
    <w:rsid w:val="1E6F2B85"/>
    <w:rsid w:val="1E704096"/>
    <w:rsid w:val="1E7334F8"/>
    <w:rsid w:val="1EC32A56"/>
    <w:rsid w:val="1EEC4EAA"/>
    <w:rsid w:val="1F2557DC"/>
    <w:rsid w:val="1F3B3921"/>
    <w:rsid w:val="1F4C1722"/>
    <w:rsid w:val="1F513F10"/>
    <w:rsid w:val="1F6B1CB8"/>
    <w:rsid w:val="1FB83065"/>
    <w:rsid w:val="1FC451AF"/>
    <w:rsid w:val="1FF3538F"/>
    <w:rsid w:val="20194370"/>
    <w:rsid w:val="204C5F9F"/>
    <w:rsid w:val="20630CE8"/>
    <w:rsid w:val="20705CA1"/>
    <w:rsid w:val="207C3068"/>
    <w:rsid w:val="20A55CF9"/>
    <w:rsid w:val="20FD0780"/>
    <w:rsid w:val="21190CF7"/>
    <w:rsid w:val="21B6691C"/>
    <w:rsid w:val="21B90224"/>
    <w:rsid w:val="21CD3F58"/>
    <w:rsid w:val="21ED1C85"/>
    <w:rsid w:val="21F459C5"/>
    <w:rsid w:val="2219659D"/>
    <w:rsid w:val="22226ABD"/>
    <w:rsid w:val="224F543A"/>
    <w:rsid w:val="225A3BD9"/>
    <w:rsid w:val="22874A95"/>
    <w:rsid w:val="229D0DDD"/>
    <w:rsid w:val="22D55052"/>
    <w:rsid w:val="22FC7FD9"/>
    <w:rsid w:val="232A706C"/>
    <w:rsid w:val="233A6EF1"/>
    <w:rsid w:val="2373632A"/>
    <w:rsid w:val="237B6159"/>
    <w:rsid w:val="237E0897"/>
    <w:rsid w:val="238F3987"/>
    <w:rsid w:val="23A76E1B"/>
    <w:rsid w:val="23CE182C"/>
    <w:rsid w:val="2413757D"/>
    <w:rsid w:val="243840E4"/>
    <w:rsid w:val="24642DD5"/>
    <w:rsid w:val="246D3E77"/>
    <w:rsid w:val="24C87371"/>
    <w:rsid w:val="24D57EC2"/>
    <w:rsid w:val="24F07108"/>
    <w:rsid w:val="24F132E3"/>
    <w:rsid w:val="24FA0231"/>
    <w:rsid w:val="252C0ACB"/>
    <w:rsid w:val="252E54C9"/>
    <w:rsid w:val="253501EB"/>
    <w:rsid w:val="25394F03"/>
    <w:rsid w:val="254F69C5"/>
    <w:rsid w:val="255A76C2"/>
    <w:rsid w:val="25641485"/>
    <w:rsid w:val="258D1AA0"/>
    <w:rsid w:val="259A2321"/>
    <w:rsid w:val="25B20DC9"/>
    <w:rsid w:val="25D96FE1"/>
    <w:rsid w:val="2644187A"/>
    <w:rsid w:val="26746BF7"/>
    <w:rsid w:val="2675736F"/>
    <w:rsid w:val="268044BB"/>
    <w:rsid w:val="26844151"/>
    <w:rsid w:val="26BD7696"/>
    <w:rsid w:val="26D309FE"/>
    <w:rsid w:val="26FD1565"/>
    <w:rsid w:val="27071552"/>
    <w:rsid w:val="27106F8C"/>
    <w:rsid w:val="27213991"/>
    <w:rsid w:val="2776149A"/>
    <w:rsid w:val="27A84E92"/>
    <w:rsid w:val="27B605AA"/>
    <w:rsid w:val="27B84691"/>
    <w:rsid w:val="27C84B71"/>
    <w:rsid w:val="27CD7F37"/>
    <w:rsid w:val="27D54CBE"/>
    <w:rsid w:val="28193F78"/>
    <w:rsid w:val="282C1757"/>
    <w:rsid w:val="284A4D60"/>
    <w:rsid w:val="284E0F47"/>
    <w:rsid w:val="287E4F92"/>
    <w:rsid w:val="288934B7"/>
    <w:rsid w:val="289119BC"/>
    <w:rsid w:val="289D7E73"/>
    <w:rsid w:val="28B01D97"/>
    <w:rsid w:val="28D15AC7"/>
    <w:rsid w:val="28E5715B"/>
    <w:rsid w:val="290046FB"/>
    <w:rsid w:val="29253E04"/>
    <w:rsid w:val="292B4A98"/>
    <w:rsid w:val="296C3F6F"/>
    <w:rsid w:val="29993746"/>
    <w:rsid w:val="29A475D3"/>
    <w:rsid w:val="29E53218"/>
    <w:rsid w:val="29EC3757"/>
    <w:rsid w:val="29F814C8"/>
    <w:rsid w:val="2A250465"/>
    <w:rsid w:val="2A6B0AC8"/>
    <w:rsid w:val="2A9D1AC2"/>
    <w:rsid w:val="2AAD0797"/>
    <w:rsid w:val="2AD53F48"/>
    <w:rsid w:val="2B365FF8"/>
    <w:rsid w:val="2B45587B"/>
    <w:rsid w:val="2B57136F"/>
    <w:rsid w:val="2B5A0412"/>
    <w:rsid w:val="2BB636DB"/>
    <w:rsid w:val="2BC12FC2"/>
    <w:rsid w:val="2C302494"/>
    <w:rsid w:val="2C471A4E"/>
    <w:rsid w:val="2C544E9E"/>
    <w:rsid w:val="2C9F663B"/>
    <w:rsid w:val="2CD2506A"/>
    <w:rsid w:val="2D103524"/>
    <w:rsid w:val="2D556FD5"/>
    <w:rsid w:val="2D7C0298"/>
    <w:rsid w:val="2DB73310"/>
    <w:rsid w:val="2DEE1C88"/>
    <w:rsid w:val="2DFA3186"/>
    <w:rsid w:val="2E01199A"/>
    <w:rsid w:val="2E051342"/>
    <w:rsid w:val="2E0F4096"/>
    <w:rsid w:val="2E144D3C"/>
    <w:rsid w:val="2E564087"/>
    <w:rsid w:val="2E6A2EC1"/>
    <w:rsid w:val="2E7177C7"/>
    <w:rsid w:val="2EA86A4F"/>
    <w:rsid w:val="2EBE469D"/>
    <w:rsid w:val="2EBE59D4"/>
    <w:rsid w:val="2ED00CA9"/>
    <w:rsid w:val="2F1F43E1"/>
    <w:rsid w:val="2F79521C"/>
    <w:rsid w:val="2F7D08A6"/>
    <w:rsid w:val="2F9212F9"/>
    <w:rsid w:val="2F950D83"/>
    <w:rsid w:val="2FB957A8"/>
    <w:rsid w:val="2FBA70F5"/>
    <w:rsid w:val="2FE32280"/>
    <w:rsid w:val="30001FF1"/>
    <w:rsid w:val="300500AB"/>
    <w:rsid w:val="30234063"/>
    <w:rsid w:val="30405251"/>
    <w:rsid w:val="30BD2DB7"/>
    <w:rsid w:val="31121E78"/>
    <w:rsid w:val="31315899"/>
    <w:rsid w:val="31523788"/>
    <w:rsid w:val="3170046B"/>
    <w:rsid w:val="31C064EC"/>
    <w:rsid w:val="31F71559"/>
    <w:rsid w:val="32175693"/>
    <w:rsid w:val="322F1346"/>
    <w:rsid w:val="324242A7"/>
    <w:rsid w:val="324C2A19"/>
    <w:rsid w:val="326B3B27"/>
    <w:rsid w:val="326E1847"/>
    <w:rsid w:val="32970AE8"/>
    <w:rsid w:val="32982C23"/>
    <w:rsid w:val="32A63199"/>
    <w:rsid w:val="32D06FC2"/>
    <w:rsid w:val="32DC4A27"/>
    <w:rsid w:val="32F43FF7"/>
    <w:rsid w:val="332D23A7"/>
    <w:rsid w:val="33732AC2"/>
    <w:rsid w:val="33944B44"/>
    <w:rsid w:val="339723E7"/>
    <w:rsid w:val="33E72F43"/>
    <w:rsid w:val="34145320"/>
    <w:rsid w:val="34170942"/>
    <w:rsid w:val="34214EAF"/>
    <w:rsid w:val="3428461E"/>
    <w:rsid w:val="346F2096"/>
    <w:rsid w:val="34A64A8D"/>
    <w:rsid w:val="34AF4882"/>
    <w:rsid w:val="34C77047"/>
    <w:rsid w:val="35167608"/>
    <w:rsid w:val="35372A97"/>
    <w:rsid w:val="357434AE"/>
    <w:rsid w:val="358F65A5"/>
    <w:rsid w:val="359F331D"/>
    <w:rsid w:val="35F0099E"/>
    <w:rsid w:val="35F07657"/>
    <w:rsid w:val="363E54AF"/>
    <w:rsid w:val="36461C9A"/>
    <w:rsid w:val="366E4A68"/>
    <w:rsid w:val="367403FB"/>
    <w:rsid w:val="367D1965"/>
    <w:rsid w:val="368D7A38"/>
    <w:rsid w:val="36932BC7"/>
    <w:rsid w:val="36983EE9"/>
    <w:rsid w:val="36B46DAA"/>
    <w:rsid w:val="36C04EF0"/>
    <w:rsid w:val="36D472F0"/>
    <w:rsid w:val="36DD74C7"/>
    <w:rsid w:val="36E7510B"/>
    <w:rsid w:val="37090D99"/>
    <w:rsid w:val="370C2305"/>
    <w:rsid w:val="371B3634"/>
    <w:rsid w:val="37312FB4"/>
    <w:rsid w:val="373E5822"/>
    <w:rsid w:val="374630EA"/>
    <w:rsid w:val="375F745C"/>
    <w:rsid w:val="37612F54"/>
    <w:rsid w:val="377F0E8B"/>
    <w:rsid w:val="378B3DD8"/>
    <w:rsid w:val="37933791"/>
    <w:rsid w:val="37B42118"/>
    <w:rsid w:val="37CA7269"/>
    <w:rsid w:val="37D9529A"/>
    <w:rsid w:val="37E87504"/>
    <w:rsid w:val="38060C27"/>
    <w:rsid w:val="381627EC"/>
    <w:rsid w:val="384E68C7"/>
    <w:rsid w:val="38533BE8"/>
    <w:rsid w:val="38781C12"/>
    <w:rsid w:val="387C11EF"/>
    <w:rsid w:val="38833EE0"/>
    <w:rsid w:val="38923628"/>
    <w:rsid w:val="38AB60B9"/>
    <w:rsid w:val="38E07ABB"/>
    <w:rsid w:val="38F66773"/>
    <w:rsid w:val="392216BA"/>
    <w:rsid w:val="393357E7"/>
    <w:rsid w:val="396525A7"/>
    <w:rsid w:val="396774FF"/>
    <w:rsid w:val="396B2D26"/>
    <w:rsid w:val="398B00F2"/>
    <w:rsid w:val="398B288C"/>
    <w:rsid w:val="39906359"/>
    <w:rsid w:val="399F314B"/>
    <w:rsid w:val="39BC2B19"/>
    <w:rsid w:val="3A034CAB"/>
    <w:rsid w:val="3A0546DD"/>
    <w:rsid w:val="3A2D436F"/>
    <w:rsid w:val="3A72580F"/>
    <w:rsid w:val="3A8A2FE2"/>
    <w:rsid w:val="3AE94AC3"/>
    <w:rsid w:val="3AF5776E"/>
    <w:rsid w:val="3B1D1309"/>
    <w:rsid w:val="3B2D5846"/>
    <w:rsid w:val="3B352705"/>
    <w:rsid w:val="3B7F29E2"/>
    <w:rsid w:val="3B975174"/>
    <w:rsid w:val="3B996A24"/>
    <w:rsid w:val="3BB8149F"/>
    <w:rsid w:val="3BE8325F"/>
    <w:rsid w:val="3C1B788B"/>
    <w:rsid w:val="3C3B3BC7"/>
    <w:rsid w:val="3C5071BC"/>
    <w:rsid w:val="3C5B1799"/>
    <w:rsid w:val="3C7E4852"/>
    <w:rsid w:val="3C8A2AAC"/>
    <w:rsid w:val="3CCE3616"/>
    <w:rsid w:val="3CD34BB6"/>
    <w:rsid w:val="3CF913D8"/>
    <w:rsid w:val="3CFA6393"/>
    <w:rsid w:val="3D2D6C4A"/>
    <w:rsid w:val="3D342758"/>
    <w:rsid w:val="3D575BBB"/>
    <w:rsid w:val="3D9451E8"/>
    <w:rsid w:val="3DD36B7E"/>
    <w:rsid w:val="3E122D1E"/>
    <w:rsid w:val="3E190559"/>
    <w:rsid w:val="3E2A351E"/>
    <w:rsid w:val="3E2E05BF"/>
    <w:rsid w:val="3E4B01AA"/>
    <w:rsid w:val="3E7F0782"/>
    <w:rsid w:val="3EED0986"/>
    <w:rsid w:val="3EEF4F5D"/>
    <w:rsid w:val="3EFC0070"/>
    <w:rsid w:val="3F0925DB"/>
    <w:rsid w:val="3F6525DD"/>
    <w:rsid w:val="3FD54401"/>
    <w:rsid w:val="40140B53"/>
    <w:rsid w:val="401E504F"/>
    <w:rsid w:val="403E1741"/>
    <w:rsid w:val="404E476A"/>
    <w:rsid w:val="40A40EB8"/>
    <w:rsid w:val="40B45D58"/>
    <w:rsid w:val="40F67EA4"/>
    <w:rsid w:val="40F92841"/>
    <w:rsid w:val="41021565"/>
    <w:rsid w:val="410358BE"/>
    <w:rsid w:val="41071277"/>
    <w:rsid w:val="411E6B48"/>
    <w:rsid w:val="412D1C26"/>
    <w:rsid w:val="4139110E"/>
    <w:rsid w:val="414170F2"/>
    <w:rsid w:val="41712EFA"/>
    <w:rsid w:val="41726D47"/>
    <w:rsid w:val="417B4D92"/>
    <w:rsid w:val="419A2D70"/>
    <w:rsid w:val="41A306C8"/>
    <w:rsid w:val="41AF6F1E"/>
    <w:rsid w:val="41B265BD"/>
    <w:rsid w:val="41B36AC7"/>
    <w:rsid w:val="41D802F3"/>
    <w:rsid w:val="41D915F1"/>
    <w:rsid w:val="41E50347"/>
    <w:rsid w:val="41EA6167"/>
    <w:rsid w:val="41F11B9A"/>
    <w:rsid w:val="42160E73"/>
    <w:rsid w:val="426E2A84"/>
    <w:rsid w:val="428F7D5A"/>
    <w:rsid w:val="429C7BDE"/>
    <w:rsid w:val="42A862BA"/>
    <w:rsid w:val="42A925E4"/>
    <w:rsid w:val="42EB5B9A"/>
    <w:rsid w:val="433745FB"/>
    <w:rsid w:val="43376DC3"/>
    <w:rsid w:val="436440F6"/>
    <w:rsid w:val="43C13167"/>
    <w:rsid w:val="441E5C8F"/>
    <w:rsid w:val="44402F97"/>
    <w:rsid w:val="44453E66"/>
    <w:rsid w:val="44713A13"/>
    <w:rsid w:val="447B62DE"/>
    <w:rsid w:val="449947FE"/>
    <w:rsid w:val="44AA53D3"/>
    <w:rsid w:val="44E57FEF"/>
    <w:rsid w:val="44F336B8"/>
    <w:rsid w:val="45082649"/>
    <w:rsid w:val="45356036"/>
    <w:rsid w:val="457C33FD"/>
    <w:rsid w:val="45BB5DCA"/>
    <w:rsid w:val="45C21E72"/>
    <w:rsid w:val="45C62188"/>
    <w:rsid w:val="45D27640"/>
    <w:rsid w:val="45F96148"/>
    <w:rsid w:val="461E4C25"/>
    <w:rsid w:val="463539EB"/>
    <w:rsid w:val="46A61E9E"/>
    <w:rsid w:val="46FE4FEC"/>
    <w:rsid w:val="477622C3"/>
    <w:rsid w:val="47881144"/>
    <w:rsid w:val="47C7661A"/>
    <w:rsid w:val="48083C42"/>
    <w:rsid w:val="480E3A89"/>
    <w:rsid w:val="481422B5"/>
    <w:rsid w:val="483C7D33"/>
    <w:rsid w:val="48493380"/>
    <w:rsid w:val="48691474"/>
    <w:rsid w:val="48FA11D0"/>
    <w:rsid w:val="49035B0F"/>
    <w:rsid w:val="49094AB9"/>
    <w:rsid w:val="492F5305"/>
    <w:rsid w:val="493B1C4B"/>
    <w:rsid w:val="494232E7"/>
    <w:rsid w:val="497E4F8A"/>
    <w:rsid w:val="49800734"/>
    <w:rsid w:val="49A91F7E"/>
    <w:rsid w:val="49B86D66"/>
    <w:rsid w:val="49E5537E"/>
    <w:rsid w:val="49F054E8"/>
    <w:rsid w:val="4A9F48CC"/>
    <w:rsid w:val="4AB81A56"/>
    <w:rsid w:val="4AD34503"/>
    <w:rsid w:val="4AD418A8"/>
    <w:rsid w:val="4AE0109C"/>
    <w:rsid w:val="4AFC6902"/>
    <w:rsid w:val="4B6B399D"/>
    <w:rsid w:val="4B883848"/>
    <w:rsid w:val="4B946E2D"/>
    <w:rsid w:val="4B9D3E35"/>
    <w:rsid w:val="4BB86908"/>
    <w:rsid w:val="4BEE48EE"/>
    <w:rsid w:val="4C1A7DE1"/>
    <w:rsid w:val="4C2B51DC"/>
    <w:rsid w:val="4C3712E5"/>
    <w:rsid w:val="4C3E13F2"/>
    <w:rsid w:val="4C6E040A"/>
    <w:rsid w:val="4C972946"/>
    <w:rsid w:val="4CEE33E1"/>
    <w:rsid w:val="4D2B3608"/>
    <w:rsid w:val="4D5239E1"/>
    <w:rsid w:val="4D645C22"/>
    <w:rsid w:val="4D727E20"/>
    <w:rsid w:val="4D8B4357"/>
    <w:rsid w:val="4D912018"/>
    <w:rsid w:val="4DF5607D"/>
    <w:rsid w:val="4E2832EF"/>
    <w:rsid w:val="4E5A78FD"/>
    <w:rsid w:val="4EAB49BE"/>
    <w:rsid w:val="4EAD4B5F"/>
    <w:rsid w:val="4EC941D0"/>
    <w:rsid w:val="4EFD5345"/>
    <w:rsid w:val="4F0E43E9"/>
    <w:rsid w:val="4F98636F"/>
    <w:rsid w:val="4F993E7A"/>
    <w:rsid w:val="4F9D6421"/>
    <w:rsid w:val="4FB92243"/>
    <w:rsid w:val="4FF64115"/>
    <w:rsid w:val="501470F0"/>
    <w:rsid w:val="50187AFD"/>
    <w:rsid w:val="505C337A"/>
    <w:rsid w:val="506B7FF9"/>
    <w:rsid w:val="50850653"/>
    <w:rsid w:val="508A6532"/>
    <w:rsid w:val="509E3857"/>
    <w:rsid w:val="50FC4E54"/>
    <w:rsid w:val="514F5D02"/>
    <w:rsid w:val="516A369B"/>
    <w:rsid w:val="51926811"/>
    <w:rsid w:val="51955885"/>
    <w:rsid w:val="522062B7"/>
    <w:rsid w:val="52450FE9"/>
    <w:rsid w:val="525C1F28"/>
    <w:rsid w:val="526959D7"/>
    <w:rsid w:val="528D54AF"/>
    <w:rsid w:val="52A14636"/>
    <w:rsid w:val="52AD14C5"/>
    <w:rsid w:val="52C53840"/>
    <w:rsid w:val="52F42646"/>
    <w:rsid w:val="530A5A64"/>
    <w:rsid w:val="53234AB4"/>
    <w:rsid w:val="53451BE3"/>
    <w:rsid w:val="534B3F7F"/>
    <w:rsid w:val="53590704"/>
    <w:rsid w:val="53795C68"/>
    <w:rsid w:val="538D5FA2"/>
    <w:rsid w:val="539A4562"/>
    <w:rsid w:val="53A321B3"/>
    <w:rsid w:val="53A524C5"/>
    <w:rsid w:val="53AB4309"/>
    <w:rsid w:val="53B159B9"/>
    <w:rsid w:val="53CD42C9"/>
    <w:rsid w:val="54031754"/>
    <w:rsid w:val="54206975"/>
    <w:rsid w:val="544610CA"/>
    <w:rsid w:val="54A175AA"/>
    <w:rsid w:val="54E36C7D"/>
    <w:rsid w:val="54E96986"/>
    <w:rsid w:val="54F149EE"/>
    <w:rsid w:val="54FB456C"/>
    <w:rsid w:val="54FE4394"/>
    <w:rsid w:val="550465DD"/>
    <w:rsid w:val="550D48C8"/>
    <w:rsid w:val="550E70BA"/>
    <w:rsid w:val="552A3081"/>
    <w:rsid w:val="55372DCE"/>
    <w:rsid w:val="55677160"/>
    <w:rsid w:val="556E7BB8"/>
    <w:rsid w:val="55861462"/>
    <w:rsid w:val="55B342DE"/>
    <w:rsid w:val="55DC27B6"/>
    <w:rsid w:val="560222D1"/>
    <w:rsid w:val="560E18A9"/>
    <w:rsid w:val="561B5368"/>
    <w:rsid w:val="561C3A12"/>
    <w:rsid w:val="5641134B"/>
    <w:rsid w:val="56497DF0"/>
    <w:rsid w:val="5652499A"/>
    <w:rsid w:val="56827C34"/>
    <w:rsid w:val="569D5AD6"/>
    <w:rsid w:val="56BA0207"/>
    <w:rsid w:val="56C6393A"/>
    <w:rsid w:val="570B2466"/>
    <w:rsid w:val="57141D7B"/>
    <w:rsid w:val="57377ECA"/>
    <w:rsid w:val="578A5832"/>
    <w:rsid w:val="57936D18"/>
    <w:rsid w:val="579A3632"/>
    <w:rsid w:val="57C82B15"/>
    <w:rsid w:val="57F37D46"/>
    <w:rsid w:val="57FA3ADB"/>
    <w:rsid w:val="57FD5B12"/>
    <w:rsid w:val="58012DFB"/>
    <w:rsid w:val="580D1CF2"/>
    <w:rsid w:val="582B382A"/>
    <w:rsid w:val="584726DE"/>
    <w:rsid w:val="586364E4"/>
    <w:rsid w:val="589C3D13"/>
    <w:rsid w:val="589F5301"/>
    <w:rsid w:val="58C2649B"/>
    <w:rsid w:val="58DF0826"/>
    <w:rsid w:val="58FC5C8E"/>
    <w:rsid w:val="5906411B"/>
    <w:rsid w:val="594563C0"/>
    <w:rsid w:val="59774729"/>
    <w:rsid w:val="599D39E2"/>
    <w:rsid w:val="59E51F94"/>
    <w:rsid w:val="59F8330E"/>
    <w:rsid w:val="5A067ADE"/>
    <w:rsid w:val="5A1F2B8A"/>
    <w:rsid w:val="5A4B5C95"/>
    <w:rsid w:val="5A566DDC"/>
    <w:rsid w:val="5A700098"/>
    <w:rsid w:val="5A7560DD"/>
    <w:rsid w:val="5A7D6053"/>
    <w:rsid w:val="5AC05827"/>
    <w:rsid w:val="5AFA2F92"/>
    <w:rsid w:val="5B2800C3"/>
    <w:rsid w:val="5B47295A"/>
    <w:rsid w:val="5B5228CD"/>
    <w:rsid w:val="5BB12AED"/>
    <w:rsid w:val="5BB9105C"/>
    <w:rsid w:val="5C023D67"/>
    <w:rsid w:val="5C1D63F1"/>
    <w:rsid w:val="5C36180A"/>
    <w:rsid w:val="5C3A74BE"/>
    <w:rsid w:val="5C3B7942"/>
    <w:rsid w:val="5C696F3B"/>
    <w:rsid w:val="5CBC3D94"/>
    <w:rsid w:val="5D0F6679"/>
    <w:rsid w:val="5D1061CE"/>
    <w:rsid w:val="5D2C0633"/>
    <w:rsid w:val="5D2C3326"/>
    <w:rsid w:val="5D31367B"/>
    <w:rsid w:val="5D3E3A21"/>
    <w:rsid w:val="5D5C47C6"/>
    <w:rsid w:val="5D5E1888"/>
    <w:rsid w:val="5D686ED8"/>
    <w:rsid w:val="5D8439A1"/>
    <w:rsid w:val="5D8C4C3C"/>
    <w:rsid w:val="5D9D6BDE"/>
    <w:rsid w:val="5DB40C32"/>
    <w:rsid w:val="5DCC3B95"/>
    <w:rsid w:val="5E043EAD"/>
    <w:rsid w:val="5E1F4C30"/>
    <w:rsid w:val="5E2C301C"/>
    <w:rsid w:val="5E7D1FB1"/>
    <w:rsid w:val="5E8C4097"/>
    <w:rsid w:val="5E8D68E5"/>
    <w:rsid w:val="5F171F07"/>
    <w:rsid w:val="5F2074FD"/>
    <w:rsid w:val="5F397162"/>
    <w:rsid w:val="5F556807"/>
    <w:rsid w:val="5F7D398A"/>
    <w:rsid w:val="5FB80EAC"/>
    <w:rsid w:val="5FDF6E18"/>
    <w:rsid w:val="5FF34BFF"/>
    <w:rsid w:val="601847AB"/>
    <w:rsid w:val="604167F5"/>
    <w:rsid w:val="605D7ED6"/>
    <w:rsid w:val="609803A3"/>
    <w:rsid w:val="60C35C0D"/>
    <w:rsid w:val="61017368"/>
    <w:rsid w:val="610E2531"/>
    <w:rsid w:val="611C2C06"/>
    <w:rsid w:val="61356358"/>
    <w:rsid w:val="613F332E"/>
    <w:rsid w:val="616017C1"/>
    <w:rsid w:val="616B4C48"/>
    <w:rsid w:val="617F4DA7"/>
    <w:rsid w:val="619C715D"/>
    <w:rsid w:val="61AC469B"/>
    <w:rsid w:val="61BB53B1"/>
    <w:rsid w:val="622D6EB7"/>
    <w:rsid w:val="62385F7D"/>
    <w:rsid w:val="629112B6"/>
    <w:rsid w:val="62BA6218"/>
    <w:rsid w:val="62BC7BC5"/>
    <w:rsid w:val="62EA4894"/>
    <w:rsid w:val="631E12C0"/>
    <w:rsid w:val="63257A6E"/>
    <w:rsid w:val="632979D6"/>
    <w:rsid w:val="63314C78"/>
    <w:rsid w:val="636926F5"/>
    <w:rsid w:val="638A56B7"/>
    <w:rsid w:val="63BB1EF8"/>
    <w:rsid w:val="640D3279"/>
    <w:rsid w:val="64302B14"/>
    <w:rsid w:val="6434615B"/>
    <w:rsid w:val="644248A2"/>
    <w:rsid w:val="64776726"/>
    <w:rsid w:val="64963AA6"/>
    <w:rsid w:val="64A253D7"/>
    <w:rsid w:val="650C3B9D"/>
    <w:rsid w:val="651F258D"/>
    <w:rsid w:val="65477BDB"/>
    <w:rsid w:val="65671554"/>
    <w:rsid w:val="65995723"/>
    <w:rsid w:val="65BB1861"/>
    <w:rsid w:val="65FA6D1C"/>
    <w:rsid w:val="660C523E"/>
    <w:rsid w:val="6622666F"/>
    <w:rsid w:val="66252A25"/>
    <w:rsid w:val="66256646"/>
    <w:rsid w:val="6659645E"/>
    <w:rsid w:val="66BC32E1"/>
    <w:rsid w:val="66D528CC"/>
    <w:rsid w:val="66F84618"/>
    <w:rsid w:val="6705537A"/>
    <w:rsid w:val="670D1B52"/>
    <w:rsid w:val="672B192F"/>
    <w:rsid w:val="67894393"/>
    <w:rsid w:val="67AC6C37"/>
    <w:rsid w:val="67BB3D4C"/>
    <w:rsid w:val="67C4205B"/>
    <w:rsid w:val="67DA1B5F"/>
    <w:rsid w:val="67FF72AE"/>
    <w:rsid w:val="681355E4"/>
    <w:rsid w:val="68584651"/>
    <w:rsid w:val="688277E9"/>
    <w:rsid w:val="68F608CE"/>
    <w:rsid w:val="691C7C04"/>
    <w:rsid w:val="69581DC3"/>
    <w:rsid w:val="69667E17"/>
    <w:rsid w:val="6977360B"/>
    <w:rsid w:val="69957EDE"/>
    <w:rsid w:val="69B47C47"/>
    <w:rsid w:val="69CD3729"/>
    <w:rsid w:val="69D2500F"/>
    <w:rsid w:val="69FF6FDA"/>
    <w:rsid w:val="6A3058F1"/>
    <w:rsid w:val="6A5B0AE4"/>
    <w:rsid w:val="6A7925A2"/>
    <w:rsid w:val="6A856331"/>
    <w:rsid w:val="6A875023"/>
    <w:rsid w:val="6A93647E"/>
    <w:rsid w:val="6AD42A4E"/>
    <w:rsid w:val="6AE30A1D"/>
    <w:rsid w:val="6B241C11"/>
    <w:rsid w:val="6B781A33"/>
    <w:rsid w:val="6B8D278E"/>
    <w:rsid w:val="6B954686"/>
    <w:rsid w:val="6B9A3228"/>
    <w:rsid w:val="6BA958C5"/>
    <w:rsid w:val="6BC745EA"/>
    <w:rsid w:val="6BE02190"/>
    <w:rsid w:val="6BFC0521"/>
    <w:rsid w:val="6C2D2EA8"/>
    <w:rsid w:val="6C4B2C0C"/>
    <w:rsid w:val="6C7B7AC3"/>
    <w:rsid w:val="6C813F9E"/>
    <w:rsid w:val="6C847E17"/>
    <w:rsid w:val="6CB57F68"/>
    <w:rsid w:val="6CF43C67"/>
    <w:rsid w:val="6D0E46B5"/>
    <w:rsid w:val="6D3D7D46"/>
    <w:rsid w:val="6D4B2456"/>
    <w:rsid w:val="6D5673DD"/>
    <w:rsid w:val="6D6717EA"/>
    <w:rsid w:val="6DA37471"/>
    <w:rsid w:val="6DD40FF4"/>
    <w:rsid w:val="6DF945A9"/>
    <w:rsid w:val="6DFD2F6C"/>
    <w:rsid w:val="6E430BB2"/>
    <w:rsid w:val="6E48574E"/>
    <w:rsid w:val="6E551B18"/>
    <w:rsid w:val="6E881731"/>
    <w:rsid w:val="6EBC60EA"/>
    <w:rsid w:val="6EC86A4D"/>
    <w:rsid w:val="6ECE302C"/>
    <w:rsid w:val="6F576F2B"/>
    <w:rsid w:val="6F6F25F2"/>
    <w:rsid w:val="6F7121C9"/>
    <w:rsid w:val="6F790C8D"/>
    <w:rsid w:val="6F8B6DBD"/>
    <w:rsid w:val="6FC06131"/>
    <w:rsid w:val="6FD64E39"/>
    <w:rsid w:val="7033041B"/>
    <w:rsid w:val="70431141"/>
    <w:rsid w:val="70502F44"/>
    <w:rsid w:val="705157D8"/>
    <w:rsid w:val="70834E44"/>
    <w:rsid w:val="70917D78"/>
    <w:rsid w:val="70B2355F"/>
    <w:rsid w:val="70FA4594"/>
    <w:rsid w:val="712555C0"/>
    <w:rsid w:val="713B0C05"/>
    <w:rsid w:val="71471338"/>
    <w:rsid w:val="714A46FC"/>
    <w:rsid w:val="71602F39"/>
    <w:rsid w:val="718F50E7"/>
    <w:rsid w:val="71A04E57"/>
    <w:rsid w:val="71AB66F4"/>
    <w:rsid w:val="71CB60B6"/>
    <w:rsid w:val="7208534C"/>
    <w:rsid w:val="720D3510"/>
    <w:rsid w:val="722D3987"/>
    <w:rsid w:val="723124B3"/>
    <w:rsid w:val="72806146"/>
    <w:rsid w:val="728C14B2"/>
    <w:rsid w:val="728C5442"/>
    <w:rsid w:val="72AD3414"/>
    <w:rsid w:val="72C650EE"/>
    <w:rsid w:val="7331000D"/>
    <w:rsid w:val="73314D9E"/>
    <w:rsid w:val="7334463D"/>
    <w:rsid w:val="73534FF6"/>
    <w:rsid w:val="73586963"/>
    <w:rsid w:val="737A5AC2"/>
    <w:rsid w:val="7381256D"/>
    <w:rsid w:val="738F42FF"/>
    <w:rsid w:val="73A976B8"/>
    <w:rsid w:val="73C56151"/>
    <w:rsid w:val="73CC3296"/>
    <w:rsid w:val="73D04B00"/>
    <w:rsid w:val="73FF6B6D"/>
    <w:rsid w:val="74010F1E"/>
    <w:rsid w:val="740559E4"/>
    <w:rsid w:val="741B7593"/>
    <w:rsid w:val="7425038E"/>
    <w:rsid w:val="742E5E0B"/>
    <w:rsid w:val="74C40110"/>
    <w:rsid w:val="74C57078"/>
    <w:rsid w:val="750A4A47"/>
    <w:rsid w:val="750B0A0F"/>
    <w:rsid w:val="7536036D"/>
    <w:rsid w:val="754524FA"/>
    <w:rsid w:val="756C2B6E"/>
    <w:rsid w:val="75AB5E09"/>
    <w:rsid w:val="75E411D0"/>
    <w:rsid w:val="75E477E7"/>
    <w:rsid w:val="761224C9"/>
    <w:rsid w:val="762703E8"/>
    <w:rsid w:val="769812EB"/>
    <w:rsid w:val="76AC0D29"/>
    <w:rsid w:val="76B42F3E"/>
    <w:rsid w:val="76D87F9A"/>
    <w:rsid w:val="76E90A27"/>
    <w:rsid w:val="76EC6A1A"/>
    <w:rsid w:val="76F617DC"/>
    <w:rsid w:val="774B67E7"/>
    <w:rsid w:val="7766119C"/>
    <w:rsid w:val="779A5FCF"/>
    <w:rsid w:val="7817231D"/>
    <w:rsid w:val="783C7F9E"/>
    <w:rsid w:val="78582395"/>
    <w:rsid w:val="788D4B84"/>
    <w:rsid w:val="78C2698E"/>
    <w:rsid w:val="78EF1A1F"/>
    <w:rsid w:val="78F44C7C"/>
    <w:rsid w:val="78FD1D09"/>
    <w:rsid w:val="79067C55"/>
    <w:rsid w:val="796127C7"/>
    <w:rsid w:val="797B4CC5"/>
    <w:rsid w:val="79E349D3"/>
    <w:rsid w:val="79E7062C"/>
    <w:rsid w:val="7A0E28B4"/>
    <w:rsid w:val="7A1538D2"/>
    <w:rsid w:val="7A2B2CA6"/>
    <w:rsid w:val="7A2D46EC"/>
    <w:rsid w:val="7A80574F"/>
    <w:rsid w:val="7AA9566D"/>
    <w:rsid w:val="7AAA39A3"/>
    <w:rsid w:val="7AAA43C5"/>
    <w:rsid w:val="7AAF27F8"/>
    <w:rsid w:val="7ACB1F34"/>
    <w:rsid w:val="7ADE16C9"/>
    <w:rsid w:val="7AE174AD"/>
    <w:rsid w:val="7AE74B22"/>
    <w:rsid w:val="7AF75D6E"/>
    <w:rsid w:val="7B4E0064"/>
    <w:rsid w:val="7B5A161F"/>
    <w:rsid w:val="7BB82D29"/>
    <w:rsid w:val="7BEA5DD5"/>
    <w:rsid w:val="7BFD5845"/>
    <w:rsid w:val="7C132511"/>
    <w:rsid w:val="7C157737"/>
    <w:rsid w:val="7C772E2D"/>
    <w:rsid w:val="7C926444"/>
    <w:rsid w:val="7CBD603E"/>
    <w:rsid w:val="7CC753F1"/>
    <w:rsid w:val="7D025B84"/>
    <w:rsid w:val="7D4B52B2"/>
    <w:rsid w:val="7D7F5EF6"/>
    <w:rsid w:val="7DC343D0"/>
    <w:rsid w:val="7DDC04FC"/>
    <w:rsid w:val="7DE2143A"/>
    <w:rsid w:val="7DE94750"/>
    <w:rsid w:val="7E23102D"/>
    <w:rsid w:val="7E257DD4"/>
    <w:rsid w:val="7E4E17FB"/>
    <w:rsid w:val="7E4F6260"/>
    <w:rsid w:val="7E4F6889"/>
    <w:rsid w:val="7E584F70"/>
    <w:rsid w:val="7E6E30F9"/>
    <w:rsid w:val="7E731BED"/>
    <w:rsid w:val="7E7768F9"/>
    <w:rsid w:val="7E7E5729"/>
    <w:rsid w:val="7E8502C2"/>
    <w:rsid w:val="7EA5630F"/>
    <w:rsid w:val="7EAE1417"/>
    <w:rsid w:val="7EE40CA9"/>
    <w:rsid w:val="7F0852C5"/>
    <w:rsid w:val="7F1579B8"/>
    <w:rsid w:val="7F1A7450"/>
    <w:rsid w:val="7F2024F2"/>
    <w:rsid w:val="7F4827CC"/>
    <w:rsid w:val="7F9A5627"/>
    <w:rsid w:val="7FE75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3"/>
    <w:link w:val="53"/>
    <w:autoRedefine/>
    <w:qFormat/>
    <w:uiPriority w:val="0"/>
    <w:pPr>
      <w:keepNext/>
      <w:keepLines/>
      <w:pageBreakBefore/>
      <w:numPr>
        <w:ilvl w:val="0"/>
        <w:numId w:val="1"/>
      </w:numPr>
      <w:adjustRightInd w:val="0"/>
      <w:spacing w:before="100" w:beforeAutospacing="1" w:after="100" w:afterAutospacing="1"/>
      <w:ind w:left="431" w:hanging="431"/>
      <w:jc w:val="center"/>
      <w:outlineLvl w:val="0"/>
    </w:pPr>
    <w:rPr>
      <w:b/>
      <w:bCs/>
      <w:kern w:val="44"/>
      <w:sz w:val="32"/>
      <w:szCs w:val="32"/>
    </w:rPr>
  </w:style>
  <w:style w:type="paragraph" w:styleId="4">
    <w:name w:val="heading 2"/>
    <w:basedOn w:val="1"/>
    <w:next w:val="3"/>
    <w:link w:val="38"/>
    <w:qFormat/>
    <w:uiPriority w:val="0"/>
    <w:pPr>
      <w:keepNext/>
      <w:keepLines/>
      <w:numPr>
        <w:ilvl w:val="1"/>
        <w:numId w:val="1"/>
      </w:numPr>
      <w:tabs>
        <w:tab w:val="left" w:pos="432"/>
      </w:tabs>
      <w:jc w:val="left"/>
      <w:outlineLvl w:val="1"/>
    </w:pPr>
    <w:rPr>
      <w:b/>
      <w:bCs/>
      <w:sz w:val="30"/>
      <w:szCs w:val="30"/>
    </w:rPr>
  </w:style>
  <w:style w:type="paragraph" w:styleId="5">
    <w:name w:val="heading 3"/>
    <w:basedOn w:val="4"/>
    <w:next w:val="3"/>
    <w:link w:val="85"/>
    <w:qFormat/>
    <w:uiPriority w:val="0"/>
    <w:pPr>
      <w:numPr>
        <w:ilvl w:val="2"/>
      </w:numPr>
      <w:tabs>
        <w:tab w:val="clear" w:pos="576"/>
      </w:tabs>
      <w:spacing w:before="50" w:beforeLines="50"/>
      <w:outlineLvl w:val="2"/>
    </w:pPr>
    <w:rPr>
      <w:szCs w:val="24"/>
    </w:rPr>
  </w:style>
  <w:style w:type="paragraph" w:styleId="6">
    <w:name w:val="heading 4"/>
    <w:basedOn w:val="1"/>
    <w:next w:val="3"/>
    <w:link w:val="39"/>
    <w:qFormat/>
    <w:uiPriority w:val="0"/>
    <w:pPr>
      <w:keepNext/>
      <w:keepLines/>
      <w:numPr>
        <w:ilvl w:val="3"/>
        <w:numId w:val="1"/>
      </w:numPr>
      <w:pBdr>
        <w:top w:val="none" w:color="auto" w:sz="0" w:space="4"/>
        <w:left w:val="none" w:color="auto" w:sz="0" w:space="4"/>
        <w:bottom w:val="none" w:color="auto" w:sz="0" w:space="1"/>
        <w:right w:val="none" w:color="auto" w:sz="0" w:space="4"/>
      </w:pBdr>
      <w:tabs>
        <w:tab w:val="left" w:pos="864"/>
        <w:tab w:val="left" w:pos="2708"/>
        <w:tab w:val="left" w:pos="3984"/>
        <w:tab w:val="clear" w:pos="3275"/>
      </w:tabs>
      <w:adjustRightInd w:val="0"/>
      <w:snapToGrid w:val="0"/>
      <w:spacing w:before="156" w:beforeLines="50" w:after="156" w:afterLines="50" w:line="240" w:lineRule="auto"/>
      <w:ind w:left="0" w:firstLine="0"/>
      <w:textAlignment w:val="top"/>
      <w:outlineLvl w:val="3"/>
    </w:pPr>
    <w:rPr>
      <w:b/>
    </w:rPr>
  </w:style>
  <w:style w:type="paragraph" w:styleId="7">
    <w:name w:val="heading 5"/>
    <w:basedOn w:val="1"/>
    <w:next w:val="1"/>
    <w:link w:val="73"/>
    <w:unhideWhenUsed/>
    <w:qFormat/>
    <w:uiPriority w:val="0"/>
    <w:pPr>
      <w:keepNext/>
      <w:keepLines/>
      <w:tabs>
        <w:tab w:val="left" w:pos="1008"/>
      </w:tabs>
      <w:spacing w:before="280" w:after="290" w:line="372" w:lineRule="auto"/>
      <w:ind w:left="1008" w:hanging="1008"/>
      <w:outlineLvl w:val="4"/>
    </w:pPr>
    <w:rPr>
      <w:b/>
      <w:kern w:val="0"/>
      <w:szCs w:val="20"/>
    </w:rPr>
  </w:style>
  <w:style w:type="paragraph" w:styleId="8">
    <w:name w:val="heading 6"/>
    <w:basedOn w:val="1"/>
    <w:next w:val="1"/>
    <w:link w:val="74"/>
    <w:unhideWhenUsed/>
    <w:qFormat/>
    <w:uiPriority w:val="0"/>
    <w:pPr>
      <w:keepNext/>
      <w:keepLines/>
      <w:tabs>
        <w:tab w:val="left" w:pos="1152"/>
      </w:tabs>
      <w:spacing w:before="240" w:after="64" w:line="317" w:lineRule="auto"/>
      <w:ind w:left="1152" w:hanging="1152"/>
      <w:outlineLvl w:val="5"/>
    </w:pPr>
    <w:rPr>
      <w:rFonts w:ascii="Arial" w:hAnsi="Arial" w:eastAsia="黑体"/>
      <w:b/>
      <w:kern w:val="0"/>
      <w:szCs w:val="20"/>
    </w:rPr>
  </w:style>
  <w:style w:type="paragraph" w:styleId="9">
    <w:name w:val="heading 7"/>
    <w:basedOn w:val="1"/>
    <w:next w:val="1"/>
    <w:link w:val="75"/>
    <w:unhideWhenUsed/>
    <w:qFormat/>
    <w:uiPriority w:val="0"/>
    <w:pPr>
      <w:keepNext/>
      <w:keepLines/>
      <w:tabs>
        <w:tab w:val="left" w:pos="1296"/>
      </w:tabs>
      <w:spacing w:before="240" w:after="64" w:line="317" w:lineRule="auto"/>
      <w:ind w:left="1296" w:hanging="1296"/>
      <w:outlineLvl w:val="6"/>
    </w:pPr>
    <w:rPr>
      <w:b/>
      <w:kern w:val="0"/>
      <w:szCs w:val="20"/>
    </w:rPr>
  </w:style>
  <w:style w:type="paragraph" w:styleId="10">
    <w:name w:val="heading 8"/>
    <w:basedOn w:val="1"/>
    <w:next w:val="1"/>
    <w:link w:val="76"/>
    <w:unhideWhenUsed/>
    <w:qFormat/>
    <w:uiPriority w:val="0"/>
    <w:pPr>
      <w:keepNext/>
      <w:keepLines/>
      <w:tabs>
        <w:tab w:val="left" w:pos="1440"/>
      </w:tabs>
      <w:spacing w:before="240" w:after="64" w:line="317" w:lineRule="auto"/>
      <w:ind w:left="1440" w:hanging="1440"/>
      <w:outlineLvl w:val="7"/>
    </w:pPr>
    <w:rPr>
      <w:rFonts w:ascii="Arial" w:hAnsi="Arial" w:eastAsia="黑体"/>
      <w:kern w:val="0"/>
      <w:szCs w:val="20"/>
    </w:rPr>
  </w:style>
  <w:style w:type="paragraph" w:styleId="11">
    <w:name w:val="heading 9"/>
    <w:basedOn w:val="1"/>
    <w:next w:val="1"/>
    <w:link w:val="51"/>
    <w:autoRedefine/>
    <w:qFormat/>
    <w:uiPriority w:val="9"/>
    <w:pPr>
      <w:keepNext/>
      <w:keepLines/>
      <w:widowControl/>
      <w:numPr>
        <w:ilvl w:val="8"/>
        <w:numId w:val="2"/>
      </w:numPr>
      <w:adjustRightInd w:val="0"/>
      <w:spacing w:before="240" w:after="64" w:line="320" w:lineRule="atLeast"/>
      <w:ind w:left="0" w:firstLine="0" w:firstLineChars="200"/>
      <w:jc w:val="left"/>
      <w:textAlignment w:val="baseline"/>
      <w:outlineLvl w:val="8"/>
    </w:pPr>
    <w:rPr>
      <w:rFonts w:ascii="Arial" w:hAnsi="Arial" w:eastAsia="黑体"/>
      <w:color w:val="000000"/>
      <w:kern w:val="0"/>
      <w:szCs w:val="20"/>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customStyle="1" w:styleId="3">
    <w:name w:val="@正文缩进"/>
    <w:basedOn w:val="1"/>
    <w:link w:val="48"/>
    <w:qFormat/>
    <w:uiPriority w:val="0"/>
    <w:pPr>
      <w:ind w:firstLine="200" w:firstLineChars="200"/>
      <w:jc w:val="left"/>
    </w:pPr>
    <w:rPr>
      <w:kern w:val="0"/>
    </w:rPr>
  </w:style>
  <w:style w:type="paragraph" w:styleId="12">
    <w:name w:val="Normal Indent"/>
    <w:basedOn w:val="1"/>
    <w:qFormat/>
    <w:uiPriority w:val="0"/>
    <w:pPr>
      <w:ind w:firstLine="420" w:firstLineChars="200"/>
    </w:pPr>
  </w:style>
  <w:style w:type="paragraph" w:styleId="13">
    <w:name w:val="annotation text"/>
    <w:basedOn w:val="1"/>
    <w:link w:val="81"/>
    <w:qFormat/>
    <w:uiPriority w:val="0"/>
    <w:pPr>
      <w:spacing w:line="240" w:lineRule="auto"/>
      <w:jc w:val="left"/>
    </w:pPr>
    <w:rPr>
      <w:kern w:val="0"/>
    </w:rPr>
  </w:style>
  <w:style w:type="paragraph" w:styleId="14">
    <w:name w:val="Salutation"/>
    <w:basedOn w:val="1"/>
    <w:next w:val="1"/>
    <w:link w:val="82"/>
    <w:autoRedefine/>
    <w:qFormat/>
    <w:uiPriority w:val="0"/>
    <w:pPr>
      <w:ind w:left="431" w:hanging="431" w:firstLineChars="200"/>
    </w:pPr>
    <w:rPr>
      <w:rFonts w:ascii="Calibri" w:hAnsi="Calibri" w:eastAsia="Times New Roman"/>
      <w:kern w:val="0"/>
      <w:sz w:val="20"/>
      <w:szCs w:val="20"/>
    </w:rPr>
  </w:style>
  <w:style w:type="paragraph" w:styleId="15">
    <w:name w:val="Body Text"/>
    <w:basedOn w:val="1"/>
    <w:link w:val="120"/>
    <w:qFormat/>
    <w:uiPriority w:val="0"/>
    <w:pPr>
      <w:spacing w:after="120"/>
    </w:pPr>
  </w:style>
  <w:style w:type="paragraph" w:styleId="16">
    <w:name w:val="Body Text Indent"/>
    <w:basedOn w:val="1"/>
    <w:link w:val="83"/>
    <w:qFormat/>
    <w:uiPriority w:val="0"/>
    <w:pPr>
      <w:spacing w:after="120" w:line="240" w:lineRule="auto"/>
      <w:ind w:left="420" w:leftChars="200"/>
    </w:pPr>
    <w:rPr>
      <w:kern w:val="0"/>
    </w:rPr>
  </w:style>
  <w:style w:type="paragraph" w:styleId="17">
    <w:name w:val="Plain Text"/>
    <w:basedOn w:val="1"/>
    <w:link w:val="117"/>
    <w:qFormat/>
    <w:uiPriority w:val="0"/>
    <w:pPr>
      <w:spacing w:line="240" w:lineRule="auto"/>
    </w:pPr>
    <w:rPr>
      <w:rFonts w:ascii="宋体" w:hAnsi="Courier New"/>
      <w:kern w:val="0"/>
      <w:sz w:val="20"/>
      <w:szCs w:val="20"/>
    </w:rPr>
  </w:style>
  <w:style w:type="paragraph" w:styleId="18">
    <w:name w:val="footer"/>
    <w:basedOn w:val="1"/>
    <w:link w:val="57"/>
    <w:qFormat/>
    <w:uiPriority w:val="99"/>
    <w:pPr>
      <w:tabs>
        <w:tab w:val="center" w:pos="4153"/>
        <w:tab w:val="right" w:pos="8306"/>
      </w:tabs>
      <w:snapToGrid w:val="0"/>
      <w:spacing w:line="240" w:lineRule="auto"/>
      <w:jc w:val="left"/>
    </w:pPr>
    <w:rPr>
      <w:sz w:val="18"/>
      <w:szCs w:val="18"/>
    </w:rPr>
  </w:style>
  <w:style w:type="paragraph" w:styleId="19">
    <w:name w:val="header"/>
    <w:basedOn w:val="1"/>
    <w:link w:val="56"/>
    <w:qFormat/>
    <w:uiPriority w:val="0"/>
    <w:pPr>
      <w:tabs>
        <w:tab w:val="center" w:pos="4153"/>
        <w:tab w:val="right" w:pos="8306"/>
      </w:tabs>
      <w:snapToGrid w:val="0"/>
      <w:spacing w:line="240" w:lineRule="auto"/>
      <w:jc w:val="center"/>
    </w:pPr>
    <w:rPr>
      <w:sz w:val="18"/>
      <w:szCs w:val="18"/>
    </w:rPr>
  </w:style>
  <w:style w:type="paragraph" w:styleId="20">
    <w:name w:val="toc 1"/>
    <w:basedOn w:val="1"/>
    <w:next w:val="1"/>
    <w:qFormat/>
    <w:uiPriority w:val="39"/>
    <w:pPr>
      <w:tabs>
        <w:tab w:val="left" w:pos="480"/>
        <w:tab w:val="right" w:leader="dot" w:pos="9060"/>
      </w:tabs>
    </w:pPr>
    <w:rPr>
      <w:b/>
      <w:bCs/>
    </w:rPr>
  </w:style>
  <w:style w:type="paragraph" w:styleId="21">
    <w:name w:val="toc 4"/>
    <w:basedOn w:val="1"/>
    <w:next w:val="1"/>
    <w:autoRedefine/>
    <w:qFormat/>
    <w:uiPriority w:val="0"/>
    <w:pPr>
      <w:ind w:left="1260" w:leftChars="600"/>
    </w:pPr>
  </w:style>
  <w:style w:type="paragraph" w:styleId="22">
    <w:name w:val="footnote text"/>
    <w:basedOn w:val="1"/>
    <w:link w:val="118"/>
    <w:qFormat/>
    <w:uiPriority w:val="0"/>
    <w:pPr>
      <w:snapToGrid w:val="0"/>
      <w:jc w:val="left"/>
    </w:pPr>
    <w:rPr>
      <w:sz w:val="18"/>
      <w:szCs w:val="18"/>
    </w:rPr>
  </w:style>
  <w:style w:type="paragraph" w:styleId="23">
    <w:name w:val="toc 6"/>
    <w:basedOn w:val="1"/>
    <w:next w:val="1"/>
    <w:autoRedefine/>
    <w:unhideWhenUsed/>
    <w:qFormat/>
    <w:uiPriority w:val="39"/>
    <w:pPr>
      <w:spacing w:line="240" w:lineRule="auto"/>
      <w:ind w:left="2100" w:leftChars="1000"/>
    </w:pPr>
    <w:rPr>
      <w:kern w:val="0"/>
    </w:rPr>
  </w:style>
  <w:style w:type="paragraph" w:styleId="24">
    <w:name w:val="toc 2"/>
    <w:basedOn w:val="1"/>
    <w:next w:val="1"/>
    <w:qFormat/>
    <w:uiPriority w:val="39"/>
    <w:pPr>
      <w:tabs>
        <w:tab w:val="left" w:pos="1050"/>
        <w:tab w:val="right" w:leader="dot" w:pos="9060"/>
      </w:tabs>
      <w:ind w:left="480" w:leftChars="200"/>
    </w:pPr>
  </w:style>
  <w:style w:type="paragraph" w:styleId="25">
    <w:name w:val="Title"/>
    <w:basedOn w:val="1"/>
    <w:link w:val="86"/>
    <w:qFormat/>
    <w:uiPriority w:val="0"/>
    <w:pPr>
      <w:spacing w:before="240" w:after="60"/>
      <w:jc w:val="center"/>
      <w:outlineLvl w:val="0"/>
    </w:pPr>
    <w:rPr>
      <w:rFonts w:cs="Arial"/>
      <w:b/>
      <w:bCs/>
      <w:sz w:val="32"/>
      <w:szCs w:val="32"/>
    </w:rPr>
  </w:style>
  <w:style w:type="paragraph" w:styleId="26">
    <w:name w:val="annotation subject"/>
    <w:basedOn w:val="13"/>
    <w:next w:val="13"/>
    <w:link w:val="122"/>
    <w:qFormat/>
    <w:uiPriority w:val="0"/>
    <w:pPr>
      <w:spacing w:line="360" w:lineRule="auto"/>
    </w:pPr>
    <w:rPr>
      <w:b/>
      <w:bCs/>
      <w:kern w:val="2"/>
    </w:rPr>
  </w:style>
  <w:style w:type="paragraph" w:styleId="27">
    <w:name w:val="Body Text First Indent 2"/>
    <w:basedOn w:val="16"/>
    <w:next w:val="1"/>
    <w:link w:val="84"/>
    <w:autoRedefine/>
    <w:unhideWhenUsed/>
    <w:qFormat/>
    <w:uiPriority w:val="0"/>
    <w:pPr>
      <w:spacing w:line="360" w:lineRule="auto"/>
      <w:ind w:firstLine="420" w:firstLineChars="200"/>
    </w:pPr>
    <w:rPr>
      <w:kern w:val="2"/>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qFormat/>
    <w:uiPriority w:val="99"/>
    <w:rPr>
      <w:color w:val="000000"/>
      <w:u w:val="none"/>
    </w:rPr>
  </w:style>
  <w:style w:type="character" w:styleId="33">
    <w:name w:val="annotation reference"/>
    <w:basedOn w:val="30"/>
    <w:qFormat/>
    <w:uiPriority w:val="0"/>
    <w:rPr>
      <w:sz w:val="21"/>
      <w:szCs w:val="21"/>
    </w:rPr>
  </w:style>
  <w:style w:type="paragraph" w:customStyle="1" w:styleId="34">
    <w:name w:val="表格内容5.21"/>
    <w:basedOn w:val="1"/>
    <w:link w:val="35"/>
    <w:qFormat/>
    <w:uiPriority w:val="0"/>
    <w:pPr>
      <w:widowControl/>
      <w:snapToGrid w:val="0"/>
      <w:spacing w:line="240" w:lineRule="auto"/>
      <w:jc w:val="center"/>
    </w:pPr>
    <w:rPr>
      <w:snapToGrid w:val="0"/>
      <w:kern w:val="0"/>
      <w:sz w:val="21"/>
      <w:szCs w:val="21"/>
    </w:rPr>
  </w:style>
  <w:style w:type="character" w:customStyle="1" w:styleId="35">
    <w:name w:val="表格内容5.21 字符"/>
    <w:link w:val="34"/>
    <w:autoRedefine/>
    <w:qFormat/>
    <w:uiPriority w:val="0"/>
    <w:rPr>
      <w:snapToGrid w:val="0"/>
      <w:sz w:val="21"/>
      <w:szCs w:val="21"/>
    </w:rPr>
  </w:style>
  <w:style w:type="paragraph" w:customStyle="1" w:styleId="36">
    <w:name w:val="表中文字"/>
    <w:basedOn w:val="1"/>
    <w:autoRedefine/>
    <w:qFormat/>
    <w:uiPriority w:val="0"/>
    <w:pPr>
      <w:spacing w:line="240" w:lineRule="auto"/>
      <w:jc w:val="center"/>
    </w:pPr>
    <w:rPr>
      <w:sz w:val="21"/>
      <w:szCs w:val="21"/>
    </w:rPr>
  </w:style>
  <w:style w:type="paragraph" w:customStyle="1" w:styleId="37">
    <w:name w:val="表图头"/>
    <w:basedOn w:val="1"/>
    <w:qFormat/>
    <w:uiPriority w:val="0"/>
    <w:pPr>
      <w:widowControl/>
      <w:snapToGrid w:val="0"/>
      <w:spacing w:before="100" w:beforeAutospacing="1" w:after="100" w:afterAutospacing="1" w:line="240" w:lineRule="auto"/>
      <w:jc w:val="center"/>
    </w:pPr>
    <w:rPr>
      <w:b/>
      <w:bCs/>
      <w:kern w:val="0"/>
    </w:rPr>
  </w:style>
  <w:style w:type="character" w:customStyle="1" w:styleId="38">
    <w:name w:val="标题 2 字符"/>
    <w:link w:val="4"/>
    <w:qFormat/>
    <w:uiPriority w:val="0"/>
    <w:rPr>
      <w:b/>
      <w:bCs/>
      <w:kern w:val="2"/>
      <w:sz w:val="30"/>
      <w:szCs w:val="30"/>
    </w:rPr>
  </w:style>
  <w:style w:type="character" w:customStyle="1" w:styleId="39">
    <w:name w:val="标题 4 字符"/>
    <w:link w:val="6"/>
    <w:qFormat/>
    <w:uiPriority w:val="0"/>
    <w:rPr>
      <w:b/>
      <w:kern w:val="2"/>
      <w:sz w:val="24"/>
      <w:szCs w:val="24"/>
    </w:rPr>
  </w:style>
  <w:style w:type="paragraph" w:customStyle="1" w:styleId="40">
    <w:name w:val="表格标题"/>
    <w:basedOn w:val="3"/>
    <w:next w:val="3"/>
    <w:qFormat/>
    <w:uiPriority w:val="0"/>
    <w:pPr>
      <w:keepNext/>
      <w:widowControl/>
      <w:spacing w:before="50" w:beforeLines="50" w:line="240" w:lineRule="auto"/>
      <w:ind w:firstLine="0" w:firstLineChars="0"/>
      <w:jc w:val="center"/>
    </w:pPr>
    <w:rPr>
      <w:rFonts w:eastAsia="黑体"/>
    </w:rPr>
  </w:style>
  <w:style w:type="paragraph" w:customStyle="1" w:styleId="41">
    <w:name w:val="表格内容"/>
    <w:basedOn w:val="1"/>
    <w:link w:val="80"/>
    <w:qFormat/>
    <w:uiPriority w:val="0"/>
    <w:pPr>
      <w:spacing w:line="240" w:lineRule="auto"/>
      <w:jc w:val="center"/>
    </w:pPr>
    <w:rPr>
      <w:sz w:val="21"/>
      <w:szCs w:val="21"/>
    </w:rPr>
  </w:style>
  <w:style w:type="paragraph" w:customStyle="1" w:styleId="42">
    <w:name w:val="图标题5.21"/>
    <w:basedOn w:val="1"/>
    <w:link w:val="43"/>
    <w:qFormat/>
    <w:uiPriority w:val="0"/>
    <w:pPr>
      <w:snapToGrid w:val="0"/>
      <w:jc w:val="center"/>
    </w:pPr>
    <w:rPr>
      <w:b/>
      <w:bCs/>
    </w:rPr>
  </w:style>
  <w:style w:type="character" w:customStyle="1" w:styleId="43">
    <w:name w:val="图标题5.21 字符"/>
    <w:link w:val="42"/>
    <w:qFormat/>
    <w:uiPriority w:val="0"/>
    <w:rPr>
      <w:b/>
      <w:bCs/>
      <w:kern w:val="2"/>
      <w:sz w:val="24"/>
      <w:szCs w:val="24"/>
    </w:rPr>
  </w:style>
  <w:style w:type="table" w:customStyle="1" w:styleId="44">
    <w:name w:val="jstri表格"/>
    <w:basedOn w:val="28"/>
    <w:autoRedefine/>
    <w:qFormat/>
    <w:uiPriority w:val="0"/>
    <w:pPr>
      <w:jc w:val="both"/>
    </w:pPr>
    <w:rPr>
      <w:rFonts w:ascii="Calibri" w:hAnsi="Calibri"/>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5">
    <w:name w:val="表格样式5.21"/>
    <w:basedOn w:val="28"/>
    <w:autoRedefine/>
    <w:qFormat/>
    <w:uiPriority w:val="0"/>
    <w:pPr>
      <w:adjustRightInd w:val="0"/>
      <w:snapToGrid w:val="0"/>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6">
    <w:name w:val="网格型1"/>
    <w:basedOn w:val="28"/>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Table Normal"/>
    <w:basedOn w:val="28"/>
    <w:qFormat/>
    <w:uiPriority w:val="0"/>
    <w:rPr>
      <w:rFonts w:eastAsia="Times New Roman"/>
    </w:rPr>
    <w:tblPr>
      <w:tblCellMar>
        <w:left w:w="0" w:type="dxa"/>
        <w:right w:w="0" w:type="dxa"/>
      </w:tblCellMar>
    </w:tblPr>
  </w:style>
  <w:style w:type="character" w:customStyle="1" w:styleId="48">
    <w:name w:val="@正文缩进 Char"/>
    <w:link w:val="3"/>
    <w:qFormat/>
    <w:uiPriority w:val="0"/>
    <w:rPr>
      <w:sz w:val="24"/>
      <w:szCs w:val="24"/>
    </w:rPr>
  </w:style>
  <w:style w:type="paragraph" w:customStyle="1" w:styleId="49">
    <w:name w:val="正文1.5"/>
    <w:basedOn w:val="1"/>
    <w:qFormat/>
    <w:uiPriority w:val="0"/>
    <w:pPr>
      <w:adjustRightInd w:val="0"/>
      <w:ind w:firstLine="480" w:firstLineChars="200"/>
      <w:textAlignment w:val="baseline"/>
    </w:pPr>
    <w:rPr>
      <w:snapToGrid w:val="0"/>
      <w:szCs w:val="20"/>
    </w:rPr>
  </w:style>
  <w:style w:type="table" w:customStyle="1" w:styleId="50">
    <w:name w:val="网格型8"/>
    <w:basedOn w:val="28"/>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1">
    <w:name w:val="标题 9 字符"/>
    <w:basedOn w:val="30"/>
    <w:link w:val="11"/>
    <w:qFormat/>
    <w:uiPriority w:val="0"/>
    <w:rPr>
      <w:rFonts w:ascii="Arial" w:hAnsi="Arial" w:eastAsia="黑体"/>
      <w:color w:val="000000"/>
      <w:sz w:val="24"/>
    </w:rPr>
  </w:style>
  <w:style w:type="paragraph" w:styleId="52">
    <w:name w:val="List Paragraph"/>
    <w:basedOn w:val="1"/>
    <w:unhideWhenUsed/>
    <w:qFormat/>
    <w:uiPriority w:val="99"/>
    <w:pPr>
      <w:ind w:firstLine="420" w:firstLineChars="200"/>
    </w:pPr>
  </w:style>
  <w:style w:type="character" w:customStyle="1" w:styleId="53">
    <w:name w:val="标题 1 字符"/>
    <w:link w:val="2"/>
    <w:qFormat/>
    <w:uiPriority w:val="0"/>
    <w:rPr>
      <w:b/>
      <w:bCs/>
      <w:kern w:val="44"/>
      <w:sz w:val="32"/>
      <w:szCs w:val="32"/>
    </w:rPr>
  </w:style>
  <w:style w:type="paragraph" w:customStyle="1" w:styleId="54">
    <w:name w:val="d正文"/>
    <w:basedOn w:val="1"/>
    <w:qFormat/>
    <w:uiPriority w:val="0"/>
    <w:pPr>
      <w:autoSpaceDE w:val="0"/>
      <w:autoSpaceDN w:val="0"/>
      <w:adjustRightInd w:val="0"/>
      <w:snapToGrid w:val="0"/>
      <w:spacing w:line="520" w:lineRule="exact"/>
      <w:ind w:firstLine="480" w:firstLineChars="200"/>
    </w:pPr>
    <w:rPr>
      <w:rFonts w:hint="eastAsia"/>
      <w:kern w:val="0"/>
      <w:szCs w:val="21"/>
    </w:rPr>
  </w:style>
  <w:style w:type="paragraph" w:customStyle="1" w:styleId="55">
    <w:name w:val="表格"/>
    <w:basedOn w:val="12"/>
    <w:next w:val="1"/>
    <w:qFormat/>
    <w:uiPriority w:val="0"/>
    <w:pPr>
      <w:spacing w:after="120" w:line="240" w:lineRule="auto"/>
      <w:ind w:firstLine="0" w:firstLineChars="0"/>
      <w:jc w:val="center"/>
      <w:textAlignment w:val="center"/>
    </w:pPr>
    <w:rPr>
      <w:kern w:val="0"/>
      <w:sz w:val="21"/>
      <w:szCs w:val="21"/>
    </w:rPr>
  </w:style>
  <w:style w:type="character" w:customStyle="1" w:styleId="56">
    <w:name w:val="页眉 字符"/>
    <w:basedOn w:val="30"/>
    <w:link w:val="19"/>
    <w:qFormat/>
    <w:uiPriority w:val="0"/>
    <w:rPr>
      <w:kern w:val="2"/>
      <w:sz w:val="18"/>
      <w:szCs w:val="18"/>
    </w:rPr>
  </w:style>
  <w:style w:type="character" w:customStyle="1" w:styleId="57">
    <w:name w:val="页脚 字符"/>
    <w:basedOn w:val="30"/>
    <w:link w:val="18"/>
    <w:qFormat/>
    <w:uiPriority w:val="99"/>
    <w:rPr>
      <w:kern w:val="2"/>
      <w:sz w:val="18"/>
      <w:szCs w:val="18"/>
    </w:rPr>
  </w:style>
  <w:style w:type="paragraph" w:customStyle="1" w:styleId="58">
    <w:name w:val="正文26-5.21"/>
    <w:basedOn w:val="1"/>
    <w:link w:val="79"/>
    <w:qFormat/>
    <w:uiPriority w:val="0"/>
    <w:pPr>
      <w:adjustRightInd w:val="0"/>
      <w:snapToGrid w:val="0"/>
      <w:spacing w:line="520" w:lineRule="exact"/>
      <w:ind w:firstLine="200" w:firstLineChars="200"/>
      <w:textAlignment w:val="baseline"/>
    </w:pPr>
    <w:rPr>
      <w:rFonts w:cs="宋体"/>
    </w:rPr>
  </w:style>
  <w:style w:type="paragraph" w:customStyle="1" w:styleId="59">
    <w:name w:val="表格标题7.11"/>
    <w:basedOn w:val="1"/>
    <w:qFormat/>
    <w:uiPriority w:val="0"/>
    <w:pPr>
      <w:keepNext/>
      <w:widowControl/>
      <w:spacing w:before="60" w:after="100" w:afterAutospacing="1" w:line="460" w:lineRule="exact"/>
      <w:jc w:val="center"/>
    </w:pPr>
    <w:rPr>
      <w:rFonts w:eastAsia="黑体"/>
    </w:rPr>
  </w:style>
  <w:style w:type="paragraph" w:customStyle="1" w:styleId="60">
    <w:name w:val="@表内文字居中"/>
    <w:basedOn w:val="1"/>
    <w:qFormat/>
    <w:uiPriority w:val="0"/>
    <w:pPr>
      <w:keepLines/>
      <w:adjustRightInd w:val="0"/>
      <w:spacing w:line="240" w:lineRule="auto"/>
      <w:jc w:val="center"/>
    </w:pPr>
    <w:rPr>
      <w:kern w:val="0"/>
      <w:sz w:val="21"/>
      <w:szCs w:val="21"/>
    </w:rPr>
  </w:style>
  <w:style w:type="paragraph" w:customStyle="1" w:styleId="61">
    <w:name w:val="表内文字"/>
    <w:basedOn w:val="1"/>
    <w:link w:val="116"/>
    <w:qFormat/>
    <w:uiPriority w:val="0"/>
    <w:pPr>
      <w:widowControl/>
      <w:spacing w:line="240" w:lineRule="auto"/>
      <w:jc w:val="center"/>
    </w:pPr>
    <w:rPr>
      <w:sz w:val="21"/>
      <w:szCs w:val="21"/>
    </w:rPr>
  </w:style>
  <w:style w:type="paragraph" w:customStyle="1" w:styleId="62">
    <w:name w:val="正文1"/>
    <w:qFormat/>
    <w:uiPriority w:val="0"/>
    <w:pPr>
      <w:jc w:val="both"/>
    </w:pPr>
    <w:rPr>
      <w:rFonts w:ascii="Times New Roman" w:hAnsi="Times New Roman" w:eastAsia="宋体" w:cs="Times New Roman"/>
      <w:kern w:val="2"/>
      <w:sz w:val="21"/>
      <w:szCs w:val="21"/>
      <w:lang w:val="en-US" w:eastAsia="zh-CN" w:bidi="ar-SA"/>
    </w:rPr>
  </w:style>
  <w:style w:type="table" w:customStyle="1" w:styleId="63">
    <w:name w:val="Table Normal1"/>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64">
    <w:name w:val="Table Normal2"/>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65">
    <w:name w:val="Table Normal3"/>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66">
    <w:name w:val="Table Normal4"/>
    <w:semiHidden/>
    <w:unhideWhenUsed/>
    <w:qFormat/>
    <w:uiPriority w:val="0"/>
    <w:pPr>
      <w:spacing w:after="160" w:line="278" w:lineRule="auto"/>
    </w:pPr>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67">
    <w:name w:val="Table Text"/>
    <w:basedOn w:val="1"/>
    <w:semiHidden/>
    <w:qFormat/>
    <w:uiPriority w:val="0"/>
    <w:pPr>
      <w:widowControl/>
      <w:kinsoku w:val="0"/>
      <w:autoSpaceDE w:val="0"/>
      <w:autoSpaceDN w:val="0"/>
      <w:adjustRightInd w:val="0"/>
      <w:snapToGrid w:val="0"/>
      <w:spacing w:after="160" w:line="240" w:lineRule="auto"/>
      <w:jc w:val="left"/>
      <w:textAlignment w:val="baseline"/>
    </w:pPr>
    <w:rPr>
      <w:rFonts w:ascii="宋体" w:hAnsi="宋体" w:cs="宋体"/>
      <w:snapToGrid w:val="0"/>
      <w:color w:val="000000"/>
      <w:kern w:val="0"/>
      <w:sz w:val="21"/>
      <w:szCs w:val="21"/>
      <w:lang w:eastAsia="en-US"/>
    </w:rPr>
  </w:style>
  <w:style w:type="table" w:customStyle="1" w:styleId="68">
    <w:name w:val="Table Normal5"/>
    <w:semiHidden/>
    <w:unhideWhenUsed/>
    <w:qFormat/>
    <w:uiPriority w:val="0"/>
    <w:pPr>
      <w:spacing w:after="160" w:line="278" w:lineRule="auto"/>
    </w:pPr>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table" w:customStyle="1" w:styleId="69">
    <w:name w:val="Table Normal6"/>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70">
    <w:name w:val="Table Normal7"/>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71">
    <w:name w:val="Table Normal8"/>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table" w:customStyle="1" w:styleId="72">
    <w:name w:val="Table Normal9"/>
    <w:semiHidden/>
    <w:unhideWhenUsed/>
    <w:qFormat/>
    <w:uiPriority w:val="0"/>
    <w:pPr>
      <w:spacing w:after="160" w:line="278" w:lineRule="auto"/>
    </w:pPr>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character" w:customStyle="1" w:styleId="73">
    <w:name w:val="标题 5 字符"/>
    <w:basedOn w:val="30"/>
    <w:link w:val="7"/>
    <w:qFormat/>
    <w:uiPriority w:val="0"/>
    <w:rPr>
      <w:b/>
      <w:sz w:val="24"/>
    </w:rPr>
  </w:style>
  <w:style w:type="character" w:customStyle="1" w:styleId="74">
    <w:name w:val="标题 6 字符"/>
    <w:basedOn w:val="30"/>
    <w:link w:val="8"/>
    <w:qFormat/>
    <w:uiPriority w:val="0"/>
    <w:rPr>
      <w:rFonts w:ascii="Arial" w:hAnsi="Arial" w:eastAsia="黑体"/>
      <w:b/>
      <w:sz w:val="24"/>
    </w:rPr>
  </w:style>
  <w:style w:type="character" w:customStyle="1" w:styleId="75">
    <w:name w:val="标题 7 字符"/>
    <w:basedOn w:val="30"/>
    <w:link w:val="9"/>
    <w:qFormat/>
    <w:uiPriority w:val="0"/>
    <w:rPr>
      <w:b/>
      <w:sz w:val="24"/>
    </w:rPr>
  </w:style>
  <w:style w:type="character" w:customStyle="1" w:styleId="76">
    <w:name w:val="标题 8 字符"/>
    <w:basedOn w:val="30"/>
    <w:link w:val="10"/>
    <w:qFormat/>
    <w:uiPriority w:val="0"/>
    <w:rPr>
      <w:rFonts w:ascii="Arial" w:hAnsi="Arial" w:eastAsia="黑体"/>
      <w:sz w:val="24"/>
    </w:rPr>
  </w:style>
  <w:style w:type="paragraph" w:customStyle="1" w:styleId="77">
    <w:name w:val="正文2"/>
    <w:qFormat/>
    <w:uiPriority w:val="0"/>
    <w:pPr>
      <w:jc w:val="both"/>
    </w:pPr>
    <w:rPr>
      <w:rFonts w:ascii="宋体" w:hAnsi="宋体" w:eastAsia="宋体" w:cs="宋体"/>
      <w:kern w:val="2"/>
      <w:sz w:val="21"/>
      <w:szCs w:val="21"/>
      <w:lang w:val="en-US" w:eastAsia="zh-CN" w:bidi="ar-SA"/>
    </w:rPr>
  </w:style>
  <w:style w:type="paragraph" w:customStyle="1" w:styleId="78">
    <w:name w:val="表格正文"/>
    <w:basedOn w:val="1"/>
    <w:qFormat/>
    <w:uiPriority w:val="0"/>
    <w:pPr>
      <w:spacing w:line="240" w:lineRule="auto"/>
      <w:jc w:val="center"/>
    </w:pPr>
    <w:rPr>
      <w:sz w:val="21"/>
      <w:szCs w:val="21"/>
    </w:rPr>
  </w:style>
  <w:style w:type="character" w:customStyle="1" w:styleId="79">
    <w:name w:val="正文26-5.21 字符"/>
    <w:link w:val="58"/>
    <w:qFormat/>
    <w:uiPriority w:val="0"/>
    <w:rPr>
      <w:rFonts w:cs="宋体"/>
      <w:kern w:val="2"/>
      <w:sz w:val="24"/>
      <w:szCs w:val="24"/>
    </w:rPr>
  </w:style>
  <w:style w:type="character" w:customStyle="1" w:styleId="80">
    <w:name w:val="表格内容 Char"/>
    <w:link w:val="41"/>
    <w:qFormat/>
    <w:uiPriority w:val="0"/>
    <w:rPr>
      <w:kern w:val="2"/>
      <w:sz w:val="21"/>
      <w:szCs w:val="21"/>
    </w:rPr>
  </w:style>
  <w:style w:type="character" w:customStyle="1" w:styleId="81">
    <w:name w:val="批注文字 字符"/>
    <w:basedOn w:val="30"/>
    <w:link w:val="13"/>
    <w:qFormat/>
    <w:uiPriority w:val="0"/>
    <w:rPr>
      <w:sz w:val="24"/>
      <w:szCs w:val="24"/>
    </w:rPr>
  </w:style>
  <w:style w:type="character" w:customStyle="1" w:styleId="82">
    <w:name w:val="称呼 字符"/>
    <w:basedOn w:val="30"/>
    <w:link w:val="14"/>
    <w:qFormat/>
    <w:uiPriority w:val="0"/>
    <w:rPr>
      <w:rFonts w:ascii="Calibri" w:hAnsi="Calibri" w:eastAsia="Times New Roman"/>
    </w:rPr>
  </w:style>
  <w:style w:type="character" w:customStyle="1" w:styleId="83">
    <w:name w:val="正文文本缩进 字符"/>
    <w:basedOn w:val="30"/>
    <w:link w:val="16"/>
    <w:qFormat/>
    <w:uiPriority w:val="0"/>
    <w:rPr>
      <w:sz w:val="24"/>
      <w:szCs w:val="24"/>
    </w:rPr>
  </w:style>
  <w:style w:type="character" w:customStyle="1" w:styleId="84">
    <w:name w:val="正文文本首行缩进 2 字符"/>
    <w:basedOn w:val="83"/>
    <w:link w:val="27"/>
    <w:qFormat/>
    <w:uiPriority w:val="0"/>
    <w:rPr>
      <w:kern w:val="2"/>
      <w:sz w:val="24"/>
      <w:szCs w:val="24"/>
    </w:rPr>
  </w:style>
  <w:style w:type="character" w:customStyle="1" w:styleId="85">
    <w:name w:val="标题 3 字符"/>
    <w:link w:val="5"/>
    <w:qFormat/>
    <w:uiPriority w:val="0"/>
    <w:rPr>
      <w:b/>
      <w:bCs/>
      <w:kern w:val="2"/>
      <w:sz w:val="30"/>
      <w:szCs w:val="24"/>
    </w:rPr>
  </w:style>
  <w:style w:type="character" w:customStyle="1" w:styleId="86">
    <w:name w:val="标题 字符"/>
    <w:basedOn w:val="30"/>
    <w:link w:val="25"/>
    <w:qFormat/>
    <w:uiPriority w:val="0"/>
    <w:rPr>
      <w:rFonts w:cs="Arial"/>
      <w:b/>
      <w:bCs/>
      <w:kern w:val="2"/>
      <w:sz w:val="32"/>
      <w:szCs w:val="32"/>
    </w:rPr>
  </w:style>
  <w:style w:type="character" w:customStyle="1" w:styleId="87">
    <w:name w:val="表格标题5.21 字符"/>
    <w:link w:val="88"/>
    <w:qFormat/>
    <w:uiPriority w:val="0"/>
    <w:rPr>
      <w:rFonts w:ascii="黑体" w:hAnsi="黑体" w:eastAsia="黑体" w:cs="宋体"/>
      <w:snapToGrid w:val="0"/>
      <w:sz w:val="24"/>
      <w:szCs w:val="24"/>
    </w:rPr>
  </w:style>
  <w:style w:type="paragraph" w:customStyle="1" w:styleId="88">
    <w:name w:val="表格标题5.21"/>
    <w:basedOn w:val="1"/>
    <w:link w:val="87"/>
    <w:qFormat/>
    <w:uiPriority w:val="0"/>
    <w:pPr>
      <w:adjustRightInd w:val="0"/>
      <w:snapToGrid w:val="0"/>
      <w:spacing w:line="520" w:lineRule="exact"/>
      <w:jc w:val="center"/>
      <w:textAlignment w:val="baseline"/>
    </w:pPr>
    <w:rPr>
      <w:rFonts w:ascii="黑体" w:hAnsi="黑体" w:eastAsia="黑体" w:cs="宋体"/>
      <w:snapToGrid w:val="0"/>
      <w:kern w:val="0"/>
    </w:rPr>
  </w:style>
  <w:style w:type="paragraph" w:customStyle="1" w:styleId="89">
    <w:name w:val="修订1"/>
    <w:hidden/>
    <w:semiHidden/>
    <w:qFormat/>
    <w:uiPriority w:val="99"/>
    <w:rPr>
      <w:rFonts w:ascii="Times New Roman" w:hAnsi="Times New Roman" w:eastAsia="宋体" w:cs="Times New Roman"/>
      <w:sz w:val="24"/>
      <w:szCs w:val="24"/>
      <w:lang w:val="en-US" w:eastAsia="zh-CN" w:bidi="ar-SA"/>
    </w:rPr>
  </w:style>
  <w:style w:type="paragraph" w:customStyle="1" w:styleId="90">
    <w:name w:val="表格标题-报告书"/>
    <w:basedOn w:val="1"/>
    <w:link w:val="91"/>
    <w:qFormat/>
    <w:uiPriority w:val="0"/>
    <w:pPr>
      <w:keepNext/>
      <w:adjustRightInd w:val="0"/>
      <w:snapToGrid w:val="0"/>
      <w:spacing w:line="520" w:lineRule="exact"/>
      <w:jc w:val="center"/>
      <w:textAlignment w:val="baseline"/>
    </w:pPr>
    <w:rPr>
      <w:rFonts w:eastAsia="黑体" w:cs="宋体"/>
      <w:snapToGrid w:val="0"/>
      <w:kern w:val="0"/>
      <w:szCs w:val="22"/>
    </w:rPr>
  </w:style>
  <w:style w:type="character" w:customStyle="1" w:styleId="91">
    <w:name w:val="表格标题-报告书 字符"/>
    <w:link w:val="90"/>
    <w:qFormat/>
    <w:uiPriority w:val="0"/>
    <w:rPr>
      <w:rFonts w:eastAsia="黑体" w:cs="宋体"/>
      <w:snapToGrid w:val="0"/>
      <w:sz w:val="24"/>
      <w:szCs w:val="22"/>
    </w:rPr>
  </w:style>
  <w:style w:type="paragraph" w:customStyle="1" w:styleId="92">
    <w:name w:val="修订2"/>
    <w:hidden/>
    <w:semiHidden/>
    <w:qFormat/>
    <w:uiPriority w:val="99"/>
    <w:rPr>
      <w:rFonts w:ascii="Times New Roman" w:hAnsi="Times New Roman" w:eastAsia="宋体" w:cs="Times New Roman"/>
      <w:sz w:val="24"/>
      <w:szCs w:val="24"/>
      <w:lang w:val="en-US" w:eastAsia="zh-CN" w:bidi="ar-SA"/>
    </w:rPr>
  </w:style>
  <w:style w:type="paragraph" w:customStyle="1" w:styleId="93">
    <w:name w:val="修订3"/>
    <w:hidden/>
    <w:semiHidden/>
    <w:qFormat/>
    <w:uiPriority w:val="99"/>
    <w:rPr>
      <w:rFonts w:ascii="Times New Roman" w:hAnsi="Times New Roman" w:eastAsia="宋体" w:cs="Times New Roman"/>
      <w:sz w:val="24"/>
      <w:szCs w:val="24"/>
      <w:lang w:val="en-US" w:eastAsia="zh-CN" w:bidi="ar-SA"/>
    </w:rPr>
  </w:style>
  <w:style w:type="paragraph" w:customStyle="1" w:styleId="94">
    <w:name w:val="修订4"/>
    <w:hidden/>
    <w:semiHidden/>
    <w:qFormat/>
    <w:uiPriority w:val="99"/>
    <w:rPr>
      <w:rFonts w:ascii="Times New Roman" w:hAnsi="Times New Roman" w:eastAsia="宋体" w:cs="Times New Roman"/>
      <w:sz w:val="24"/>
      <w:szCs w:val="24"/>
      <w:lang w:val="en-US" w:eastAsia="zh-CN" w:bidi="ar-SA"/>
    </w:rPr>
  </w:style>
  <w:style w:type="character" w:customStyle="1" w:styleId="95">
    <w:name w:val="表格内容7.11 字符"/>
    <w:link w:val="96"/>
    <w:qFormat/>
    <w:uiPriority w:val="0"/>
    <w:rPr>
      <w:sz w:val="21"/>
      <w:szCs w:val="21"/>
    </w:rPr>
  </w:style>
  <w:style w:type="paragraph" w:customStyle="1" w:styleId="96">
    <w:name w:val="表格内容7.11"/>
    <w:basedOn w:val="1"/>
    <w:link w:val="95"/>
    <w:qFormat/>
    <w:uiPriority w:val="0"/>
    <w:pPr>
      <w:widowControl/>
      <w:spacing w:line="240" w:lineRule="auto"/>
      <w:jc w:val="center"/>
    </w:pPr>
    <w:rPr>
      <w:kern w:val="0"/>
      <w:sz w:val="21"/>
      <w:szCs w:val="21"/>
    </w:rPr>
  </w:style>
  <w:style w:type="paragraph" w:customStyle="1" w:styleId="97">
    <w:name w:val="修订5"/>
    <w:hidden/>
    <w:unhideWhenUsed/>
    <w:qFormat/>
    <w:uiPriority w:val="99"/>
    <w:rPr>
      <w:rFonts w:ascii="Times New Roman" w:hAnsi="Times New Roman" w:eastAsia="宋体" w:cs="Times New Roman"/>
      <w:sz w:val="24"/>
      <w:szCs w:val="24"/>
      <w:lang w:val="en-US" w:eastAsia="zh-CN" w:bidi="ar-SA"/>
    </w:rPr>
  </w:style>
  <w:style w:type="paragraph" w:customStyle="1" w:styleId="98">
    <w:name w:val="修订6"/>
    <w:hidden/>
    <w:unhideWhenUsed/>
    <w:qFormat/>
    <w:uiPriority w:val="99"/>
    <w:rPr>
      <w:rFonts w:ascii="Times New Roman" w:hAnsi="Times New Roman" w:eastAsia="宋体" w:cs="Times New Roman"/>
      <w:sz w:val="24"/>
      <w:szCs w:val="24"/>
      <w:lang w:val="en-US" w:eastAsia="zh-CN" w:bidi="ar-SA"/>
    </w:rPr>
  </w:style>
  <w:style w:type="paragraph" w:customStyle="1" w:styleId="99">
    <w:name w:val="目录3"/>
    <w:basedOn w:val="1"/>
    <w:next w:val="1"/>
    <w:qFormat/>
    <w:uiPriority w:val="0"/>
    <w:pPr>
      <w:widowControl/>
      <w:tabs>
        <w:tab w:val="left" w:leader="dot" w:pos="8503"/>
      </w:tabs>
      <w:spacing w:line="317" w:lineRule="atLeast"/>
      <w:ind w:left="419" w:firstLine="419" w:firstLineChars="200"/>
      <w:textAlignment w:val="baseline"/>
    </w:pPr>
    <w:rPr>
      <w:color w:val="000000"/>
      <w:kern w:val="0"/>
      <w:u w:color="000000"/>
    </w:rPr>
  </w:style>
  <w:style w:type="paragraph" w:customStyle="1" w:styleId="100">
    <w:name w:val="目录4"/>
    <w:basedOn w:val="1"/>
    <w:next w:val="1"/>
    <w:qFormat/>
    <w:uiPriority w:val="0"/>
    <w:pPr>
      <w:widowControl/>
      <w:tabs>
        <w:tab w:val="left" w:leader="dot" w:pos="8503"/>
      </w:tabs>
      <w:spacing w:line="317" w:lineRule="atLeast"/>
      <w:ind w:left="419" w:firstLine="629" w:firstLineChars="200"/>
      <w:textAlignment w:val="baseline"/>
    </w:pPr>
    <w:rPr>
      <w:color w:val="000000"/>
      <w:kern w:val="0"/>
      <w:u w:color="000000"/>
    </w:rPr>
  </w:style>
  <w:style w:type="paragraph" w:customStyle="1" w:styleId="101">
    <w:name w:val="报告书表格"/>
    <w:basedOn w:val="1"/>
    <w:qFormat/>
    <w:uiPriority w:val="0"/>
    <w:pPr>
      <w:adjustRightInd w:val="0"/>
      <w:spacing w:before="60" w:after="60" w:line="240" w:lineRule="atLeast"/>
      <w:ind w:firstLine="200" w:firstLineChars="200"/>
      <w:jc w:val="center"/>
      <w:textAlignment w:val="baseline"/>
    </w:pPr>
    <w:rPr>
      <w:kern w:val="0"/>
    </w:rPr>
  </w:style>
  <w:style w:type="paragraph" w:customStyle="1" w:styleId="102">
    <w:name w:val="目录2"/>
    <w:basedOn w:val="1"/>
    <w:next w:val="1"/>
    <w:qFormat/>
    <w:uiPriority w:val="0"/>
    <w:pPr>
      <w:widowControl/>
      <w:tabs>
        <w:tab w:val="left" w:leader="dot" w:pos="8503"/>
      </w:tabs>
      <w:spacing w:line="317" w:lineRule="atLeast"/>
      <w:ind w:left="419" w:firstLine="419" w:firstLineChars="200"/>
      <w:textAlignment w:val="baseline"/>
    </w:pPr>
    <w:rPr>
      <w:color w:val="000000"/>
      <w:kern w:val="0"/>
      <w:u w:color="000000"/>
    </w:rPr>
  </w:style>
  <w:style w:type="paragraph" w:customStyle="1" w:styleId="103">
    <w:name w:val="目录1"/>
    <w:basedOn w:val="1"/>
    <w:next w:val="1"/>
    <w:qFormat/>
    <w:uiPriority w:val="0"/>
    <w:pPr>
      <w:widowControl/>
      <w:tabs>
        <w:tab w:val="left" w:leader="dot" w:pos="8503"/>
      </w:tabs>
      <w:spacing w:after="102" w:line="215" w:lineRule="atLeast"/>
      <w:ind w:firstLine="419" w:firstLineChars="200"/>
      <w:jc w:val="left"/>
      <w:textAlignment w:val="baseline"/>
    </w:pPr>
    <w:rPr>
      <w:color w:val="000000"/>
      <w:kern w:val="0"/>
      <w:u w:color="000000"/>
    </w:rPr>
  </w:style>
  <w:style w:type="paragraph" w:customStyle="1" w:styleId="104">
    <w:name w:val="表图标题"/>
    <w:basedOn w:val="1"/>
    <w:qFormat/>
    <w:uiPriority w:val="0"/>
    <w:pPr>
      <w:spacing w:line="240" w:lineRule="exact"/>
      <w:ind w:firstLine="200" w:firstLineChars="200"/>
      <w:jc w:val="center"/>
    </w:pPr>
    <w:rPr>
      <w:sz w:val="18"/>
      <w:szCs w:val="18"/>
    </w:rPr>
  </w:style>
  <w:style w:type="paragraph" w:customStyle="1" w:styleId="105">
    <w:name w:val="报告表正文"/>
    <w:basedOn w:val="1"/>
    <w:link w:val="106"/>
    <w:qFormat/>
    <w:uiPriority w:val="0"/>
    <w:pPr>
      <w:adjustRightInd w:val="0"/>
      <w:spacing w:line="312" w:lineRule="auto"/>
      <w:ind w:left="113" w:right="113" w:firstLine="482" w:firstLineChars="200"/>
      <w:jc w:val="left"/>
      <w:textAlignment w:val="baseline"/>
    </w:pPr>
    <w:rPr>
      <w:kern w:val="0"/>
    </w:rPr>
  </w:style>
  <w:style w:type="character" w:customStyle="1" w:styleId="106">
    <w:name w:val="报告表正文 Char Char"/>
    <w:link w:val="105"/>
    <w:qFormat/>
    <w:uiPriority w:val="0"/>
    <w:rPr>
      <w:sz w:val="24"/>
      <w:szCs w:val="24"/>
    </w:rPr>
  </w:style>
  <w:style w:type="paragraph" w:customStyle="1" w:styleId="107">
    <w:name w:val="报告书正文"/>
    <w:basedOn w:val="1"/>
    <w:link w:val="108"/>
    <w:qFormat/>
    <w:uiPriority w:val="0"/>
    <w:pPr>
      <w:spacing w:line="240" w:lineRule="exact"/>
      <w:ind w:firstLine="420" w:firstLineChars="200"/>
    </w:pPr>
    <w:rPr>
      <w:sz w:val="21"/>
      <w:szCs w:val="21"/>
    </w:rPr>
  </w:style>
  <w:style w:type="character" w:customStyle="1" w:styleId="108">
    <w:name w:val="报告书正文 Char"/>
    <w:link w:val="107"/>
    <w:qFormat/>
    <w:locked/>
    <w:uiPriority w:val="0"/>
    <w:rPr>
      <w:kern w:val="2"/>
      <w:sz w:val="21"/>
      <w:szCs w:val="21"/>
    </w:rPr>
  </w:style>
  <w:style w:type="paragraph" w:customStyle="1" w:styleId="109">
    <w:name w:val="标题  2"/>
    <w:basedOn w:val="4"/>
    <w:link w:val="110"/>
    <w:qFormat/>
    <w:uiPriority w:val="0"/>
    <w:pPr>
      <w:keepLines w:val="0"/>
      <w:widowControl/>
      <w:numPr>
        <w:ilvl w:val="0"/>
        <w:numId w:val="0"/>
      </w:numPr>
      <w:tabs>
        <w:tab w:val="clear" w:pos="432"/>
        <w:tab w:val="clear" w:pos="576"/>
      </w:tabs>
      <w:spacing w:before="120" w:after="120"/>
    </w:pPr>
    <w:rPr>
      <w:rFonts w:ascii="宋体" w:hAnsi="宋体"/>
      <w:b w:val="0"/>
      <w:bCs w:val="0"/>
      <w:kern w:val="0"/>
      <w:sz w:val="24"/>
      <w:szCs w:val="20"/>
    </w:rPr>
  </w:style>
  <w:style w:type="character" w:customStyle="1" w:styleId="110">
    <w:name w:val="标题  2 Char"/>
    <w:link w:val="109"/>
    <w:qFormat/>
    <w:locked/>
    <w:uiPriority w:val="0"/>
    <w:rPr>
      <w:rFonts w:ascii="宋体" w:hAnsi="宋体"/>
      <w:sz w:val="24"/>
    </w:rPr>
  </w:style>
  <w:style w:type="paragraph" w:customStyle="1" w:styleId="111">
    <w:name w:val="自正文1"/>
    <w:basedOn w:val="1"/>
    <w:qFormat/>
    <w:uiPriority w:val="0"/>
    <w:pPr>
      <w:keepNext/>
      <w:tabs>
        <w:tab w:val="left" w:pos="5670"/>
      </w:tabs>
      <w:ind w:firstLine="200" w:firstLineChars="200"/>
      <w:jc w:val="center"/>
      <w:textAlignment w:val="baseline"/>
    </w:pPr>
    <w:rPr>
      <w:rFonts w:ascii="宋体" w:hAnsi="宋体"/>
      <w:kern w:val="24"/>
    </w:rPr>
  </w:style>
  <w:style w:type="paragraph" w:customStyle="1" w:styleId="112">
    <w:name w:val="自定义正文"/>
    <w:basedOn w:val="1"/>
    <w:qFormat/>
    <w:uiPriority w:val="0"/>
    <w:pPr>
      <w:adjustRightInd w:val="0"/>
      <w:snapToGrid w:val="0"/>
      <w:ind w:firstLine="560" w:firstLineChars="200"/>
      <w:textAlignment w:val="baseline"/>
    </w:pPr>
    <w:rPr>
      <w:rFonts w:ascii="宋体" w:hAnsi="宋体"/>
      <w:kern w:val="0"/>
    </w:rPr>
  </w:style>
  <w:style w:type="character" w:customStyle="1" w:styleId="113">
    <w:name w:val="15"/>
    <w:qFormat/>
    <w:uiPriority w:val="0"/>
    <w:rPr>
      <w:rFonts w:hint="eastAsia" w:ascii="Times New Roman" w:eastAsia="Times New Roman"/>
      <w:color w:val="000000"/>
      <w:spacing w:val="20"/>
      <w:sz w:val="24"/>
      <w:szCs w:val="24"/>
    </w:rPr>
  </w:style>
  <w:style w:type="paragraph" w:customStyle="1" w:styleId="114">
    <w:name w:val="目标题 1)1"/>
    <w:basedOn w:val="1"/>
    <w:next w:val="1"/>
    <w:autoRedefine/>
    <w:qFormat/>
    <w:uiPriority w:val="0"/>
    <w:pPr>
      <w:keepNext/>
      <w:keepLines/>
      <w:widowControl/>
      <w:adjustRightInd w:val="0"/>
      <w:spacing w:line="520" w:lineRule="exact"/>
      <w:ind w:firstLine="200" w:firstLineChars="200"/>
      <w:jc w:val="left"/>
      <w:textAlignment w:val="baseline"/>
      <w:outlineLvl w:val="7"/>
    </w:pPr>
    <w:rPr>
      <w:rFonts w:ascii="Arial" w:hAnsi="Arial"/>
      <w:color w:val="000000"/>
      <w:kern w:val="0"/>
      <w:szCs w:val="20"/>
    </w:rPr>
  </w:style>
  <w:style w:type="paragraph" w:customStyle="1" w:styleId="115">
    <w:name w:val="图表头"/>
    <w:basedOn w:val="1"/>
    <w:autoRedefine/>
    <w:qFormat/>
    <w:uiPriority w:val="0"/>
    <w:pPr>
      <w:spacing w:line="240" w:lineRule="auto"/>
      <w:jc w:val="center"/>
    </w:pPr>
    <w:rPr>
      <w:b/>
    </w:rPr>
  </w:style>
  <w:style w:type="character" w:customStyle="1" w:styleId="116">
    <w:name w:val="表内文字 字符"/>
    <w:link w:val="61"/>
    <w:qFormat/>
    <w:uiPriority w:val="0"/>
    <w:rPr>
      <w:kern w:val="2"/>
      <w:sz w:val="21"/>
      <w:szCs w:val="21"/>
    </w:rPr>
  </w:style>
  <w:style w:type="character" w:customStyle="1" w:styleId="117">
    <w:name w:val="纯文本 字符"/>
    <w:basedOn w:val="30"/>
    <w:link w:val="17"/>
    <w:qFormat/>
    <w:uiPriority w:val="99"/>
    <w:rPr>
      <w:rFonts w:ascii="宋体" w:hAnsi="Courier New"/>
    </w:rPr>
  </w:style>
  <w:style w:type="character" w:customStyle="1" w:styleId="118">
    <w:name w:val="脚注文本 字符"/>
    <w:basedOn w:val="30"/>
    <w:link w:val="22"/>
    <w:qFormat/>
    <w:uiPriority w:val="0"/>
    <w:rPr>
      <w:kern w:val="2"/>
      <w:sz w:val="18"/>
      <w:szCs w:val="18"/>
    </w:rPr>
  </w:style>
  <w:style w:type="table" w:customStyle="1" w:styleId="119">
    <w:name w:val="表格样式5.211"/>
    <w:basedOn w:val="28"/>
    <w:qFormat/>
    <w:uiPriority w:val="0"/>
    <w:pPr>
      <w:adjustRightInd w:val="0"/>
      <w:snapToGrid w:val="0"/>
      <w:jc w:val="center"/>
    </w:pPr>
    <w:rPr>
      <w:rFonts w:eastAsia="Times New Roman"/>
      <w:sz w:val="21"/>
      <w:szCs w:val="21"/>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120">
    <w:name w:val="正文文本 字符"/>
    <w:basedOn w:val="30"/>
    <w:link w:val="15"/>
    <w:qFormat/>
    <w:uiPriority w:val="0"/>
    <w:rPr>
      <w:kern w:val="2"/>
      <w:sz w:val="24"/>
      <w:szCs w:val="24"/>
    </w:rPr>
  </w:style>
  <w:style w:type="paragraph" w:customStyle="1" w:styleId="121">
    <w:name w:val="修订7"/>
    <w:hidden/>
    <w:unhideWhenUsed/>
    <w:qFormat/>
    <w:uiPriority w:val="99"/>
    <w:rPr>
      <w:rFonts w:ascii="Times New Roman" w:hAnsi="Times New Roman" w:eastAsia="宋体" w:cs="Times New Roman"/>
      <w:kern w:val="2"/>
      <w:sz w:val="24"/>
      <w:szCs w:val="24"/>
      <w:lang w:val="en-US" w:eastAsia="zh-CN" w:bidi="ar-SA"/>
    </w:rPr>
  </w:style>
  <w:style w:type="character" w:customStyle="1" w:styleId="122">
    <w:name w:val="批注主题 字符"/>
    <w:basedOn w:val="81"/>
    <w:link w:val="26"/>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7.png"/><Relationship Id="rId35" Type="http://schemas.openxmlformats.org/officeDocument/2006/relationships/oleObject" Target="embeddings/oleObject9.bin"/><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8.bin"/><Relationship Id="rId27" Type="http://schemas.openxmlformats.org/officeDocument/2006/relationships/image" Target="media/image10.png"/><Relationship Id="rId26" Type="http://schemas.openxmlformats.org/officeDocument/2006/relationships/image" Target="media/image9.wmf"/><Relationship Id="rId25" Type="http://schemas.openxmlformats.org/officeDocument/2006/relationships/oleObject" Target="embeddings/oleObject7.bin"/><Relationship Id="rId24" Type="http://schemas.openxmlformats.org/officeDocument/2006/relationships/image" Target="media/image8.wmf"/><Relationship Id="rId23" Type="http://schemas.openxmlformats.org/officeDocument/2006/relationships/oleObject" Target="embeddings/oleObject6.bin"/><Relationship Id="rId22" Type="http://schemas.openxmlformats.org/officeDocument/2006/relationships/image" Target="media/image7.wmf"/><Relationship Id="rId21" Type="http://schemas.openxmlformats.org/officeDocument/2006/relationships/oleObject" Target="embeddings/oleObject5.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wmf"/><Relationship Id="rId17" Type="http://schemas.openxmlformats.org/officeDocument/2006/relationships/oleObject" Target="embeddings/oleObject3.bin"/><Relationship Id="rId16" Type="http://schemas.openxmlformats.org/officeDocument/2006/relationships/image" Target="media/image4.wmf"/><Relationship Id="rId15" Type="http://schemas.openxmlformats.org/officeDocument/2006/relationships/oleObject" Target="embeddings/oleObject2.bin"/><Relationship Id="rId14" Type="http://schemas.openxmlformats.org/officeDocument/2006/relationships/image" Target="media/image3.w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41ABB3-F5AD-42E1-89B9-A71BACB4EDE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179</Pages>
  <Words>25570</Words>
  <Characters>26798</Characters>
  <Lines>1003</Lines>
  <Paragraphs>282</Paragraphs>
  <TotalTime>17</TotalTime>
  <ScaleCrop>false</ScaleCrop>
  <LinksUpToDate>false</LinksUpToDate>
  <CharactersWithSpaces>26986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2025-08-27T09:15:00Z</dcterms:created>
  <dc:creator>JC</dc:creator>
  <cp:lastModifiedBy>LinKang</cp:lastModifiedBy>
  <cp:lastPrinted>2024-03-19T04:03:00Z</cp:lastPrinted>
  <dcterms:modified xsi:type="dcterms:W3CDTF">2025-09-04T05:18:57Z</dcterms:modified>
  <dc:title>艾斯米尔</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A129917841304D118367AF89C4D56DA7_13</vt:lpwstr>
  </property>
  <property fmtid="{D5CDD505-2E9C-101B-9397-08002B2CF9AE}" pid="4" name="KSOTemplateDocerSaveRecord">
    <vt:lpwstr>eyJoZGlkIjoiNWFlMmM2NDk4NmQ2NGZkNDg0YTI4NTAyMzE0YmExNzMiLCJ1c2VySWQiOiIxMDQzNDQ3MjQ0In0=</vt:lpwstr>
  </property>
</Properties>
</file>