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7CE632">
      <w:pPr>
        <w:pStyle w:val="31"/>
        <w:tabs>
          <w:tab w:val="right" w:leader="dot" w:pos="8312"/>
        </w:tabs>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 w:val="31"/>
          <w:szCs w:val="31"/>
          <w:highlight w:val="none"/>
          <w14:textFill>
            <w14:solidFill>
              <w14:schemeClr w14:val="tx1"/>
            </w14:solidFill>
          </w14:textFill>
        </w:rPr>
        <w:t>目</w:t>
      </w:r>
      <w:r>
        <w:rPr>
          <w:rFonts w:hint="default" w:ascii="Times New Roman" w:hAnsi="Times New Roman" w:eastAsia="黑体" w:cs="Times New Roman"/>
          <w:color w:val="000000" w:themeColor="text1"/>
          <w:spacing w:val="31"/>
          <w:sz w:val="31"/>
          <w:szCs w:val="31"/>
          <w:highlight w:val="none"/>
          <w14:textFill>
            <w14:solidFill>
              <w14:schemeClr w14:val="tx1"/>
            </w14:solidFill>
          </w14:textFill>
        </w:rPr>
        <w:t xml:space="preserve">  </w:t>
      </w:r>
      <w:r>
        <w:rPr>
          <w:rFonts w:hint="default" w:ascii="Times New Roman" w:hAnsi="Times New Roman" w:eastAsia="黑体" w:cs="Times New Roman"/>
          <w:color w:val="000000" w:themeColor="text1"/>
          <w:spacing w:val="-22"/>
          <w:sz w:val="31"/>
          <w:szCs w:val="31"/>
          <w:highlight w:val="none"/>
          <w14:textFill>
            <w14:solidFill>
              <w14:schemeClr w14:val="tx1"/>
            </w14:solidFill>
          </w14:textFill>
        </w:rPr>
        <w:t>录</w:t>
      </w:r>
    </w:p>
    <w:sdt>
      <w:sdtPr>
        <w:rPr>
          <w:rFonts w:hint="default" w:ascii="Times New Roman" w:hAnsi="Times New Roman" w:eastAsia="宋体" w:cs="Times New Roman"/>
          <w:color w:val="000000" w:themeColor="text1"/>
          <w:sz w:val="21"/>
          <w:szCs w:val="24"/>
          <w:highlight w:val="none"/>
          <w:lang w:val="en-US" w:eastAsia="zh-CN" w:bidi="ar-SA"/>
          <w14:textFill>
            <w14:solidFill>
              <w14:schemeClr w14:val="tx1"/>
            </w14:solidFill>
          </w14:textFill>
        </w:rPr>
        <w:id w:val="147460534"/>
        <w15:color w:val="DBDBDB"/>
        <w:docPartObj>
          <w:docPartGallery w:val="Table of Contents"/>
          <w:docPartUnique/>
        </w:docPartObj>
      </w:sdtPr>
      <w:sdtEndPr>
        <w:rPr>
          <w:rFonts w:hint="default" w:ascii="Times New Roman" w:hAnsi="Times New Roman" w:eastAsia="黑体" w:cs="Times New Roman"/>
          <w:b/>
          <w:snapToGrid w:val="0"/>
          <w:color w:val="000000" w:themeColor="text1"/>
          <w:spacing w:val="-22"/>
          <w:kern w:val="0"/>
          <w:sz w:val="30"/>
          <w:szCs w:val="31"/>
          <w:highlight w:val="none"/>
          <w:lang w:val="en-US" w:eastAsia="en-US" w:bidi="ar-SA"/>
          <w14:textFill>
            <w14:solidFill>
              <w14:schemeClr w14:val="tx1"/>
            </w14:solidFill>
          </w14:textFill>
        </w:rPr>
      </w:sdtEndPr>
      <w:sdtContent>
        <w:p w14:paraId="2758D327">
          <w:pPr>
            <w:pStyle w:val="57"/>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黑体" w:cs="Times New Roman"/>
              <w:b/>
              <w:snapToGrid w:val="0"/>
              <w:color w:val="000000" w:themeColor="text1"/>
              <w:spacing w:val="-22"/>
              <w:kern w:val="0"/>
              <w:sz w:val="30"/>
              <w:szCs w:val="31"/>
              <w:highlight w:val="none"/>
              <w:lang w:val="en-US" w:eastAsia="en-US" w:bidi="ar-SA"/>
              <w14:textFill>
                <w14:solidFill>
                  <w14:schemeClr w14:val="tx1"/>
                </w14:solidFill>
              </w14:textFill>
            </w:rPr>
          </w:pPr>
          <w:r>
            <w:rPr>
              <w:rFonts w:hint="default" w:ascii="Times New Roman" w:hAnsi="Times New Roman" w:eastAsia="黑体" w:cs="Times New Roman"/>
              <w:color w:val="000000" w:themeColor="text1"/>
              <w:spacing w:val="-22"/>
              <w:sz w:val="31"/>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 w:val="31"/>
              <w:szCs w:val="31"/>
              <w:highlight w:val="none"/>
              <w14:textFill>
                <w14:solidFill>
                  <w14:schemeClr w14:val="tx1"/>
                </w14:solidFill>
              </w14:textFill>
            </w:rPr>
            <w:instrText xml:space="preserve">TOC \o "1-2" \h \u </w:instrText>
          </w:r>
          <w:r>
            <w:rPr>
              <w:rFonts w:hint="default" w:ascii="Times New Roman" w:hAnsi="Times New Roman" w:eastAsia="黑体" w:cs="Times New Roman"/>
              <w:color w:val="000000" w:themeColor="text1"/>
              <w:spacing w:val="-22"/>
              <w:sz w:val="31"/>
              <w:szCs w:val="31"/>
              <w:highlight w:val="none"/>
              <w14:textFill>
                <w14:solidFill>
                  <w14:schemeClr w14:val="tx1"/>
                </w14:solidFill>
              </w14:textFill>
            </w:rPr>
            <w:fldChar w:fldCharType="separate"/>
          </w:r>
        </w:p>
        <w:p w14:paraId="1073C772">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_Toc15514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szCs w:val="36"/>
              <w:highlight w:val="none"/>
              <w14:textFill>
                <w14:solidFill>
                  <w14:schemeClr w14:val="tx1"/>
                </w14:solidFill>
              </w14:textFill>
            </w:rPr>
            <w:t>1概述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79CFB91">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_Toc22073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1.1建设项目特点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_Toc22073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53B3DAB">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_Toc28839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1.2环境影响评价的工作过程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EC39AB3">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_Toc29740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1.3分析判定相关情况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14326AC">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_Toc5916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1.4关注的主要环境问题及环境影响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E5999D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_Toc29700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1.5环境影响评价的主要结论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39D3EB3">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_Toc24983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szCs w:val="36"/>
              <w:highlight w:val="none"/>
              <w14:textFill>
                <w14:solidFill>
                  <w14:schemeClr w14:val="tx1"/>
                </w14:solidFill>
              </w14:textFill>
            </w:rPr>
            <w:t>2总则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55D855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_Toc19370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编制依据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_Toc19370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CD486F2">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_Toc30207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评价目的和评价原则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_Toc30207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B2B16E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_Toc31367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2.3环境影响因素和评价因子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_Toc31367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1714E9A">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_Toc27337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2.4环境功能区划及评价标准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E746725">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_Toc18213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评价工作等级和评价范围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0C05676">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_Toc30362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环境保护目标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04997F1">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_Toc30415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2.7评价内容和评价重点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_Toc30415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31BE1B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_Toc30179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评价时段和评价方法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54F3C58">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_Toc14139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szCs w:val="36"/>
              <w:highlight w:val="none"/>
              <w14:textFill>
                <w14:solidFill>
                  <w14:schemeClr w14:val="tx1"/>
                </w14:solidFill>
              </w14:textFill>
            </w:rPr>
            <w:t>3</w:t>
          </w:r>
          <w:r>
            <w:rPr>
              <w:rFonts w:hint="eastAsia" w:ascii="Times New Roman" w:hAnsi="Times New Roman" w:cs="Times New Roman"/>
              <w:color w:val="000000" w:themeColor="text1"/>
              <w:szCs w:val="36"/>
              <w:highlight w:val="none"/>
              <w:lang w:val="en-US" w:eastAsia="zh-CN"/>
              <w14:textFill>
                <w14:solidFill>
                  <w14:schemeClr w14:val="tx1"/>
                </w14:solidFill>
              </w14:textFill>
            </w:rPr>
            <w:t>建设项目工程概况和工程分析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_Toc14139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9E8BCEA">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_Toc15972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现有工程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_Toc15972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8056F76">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_Toc29319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lang w:val="en-US" w:eastAsia="en-US"/>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2拟建工程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_Toc29319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3D2E2C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_Toc14264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bCs/>
              <w:color w:val="000000" w:themeColor="text1"/>
              <w:szCs w:val="30"/>
              <w:highlight w:val="none"/>
              <w14:textFill>
                <w14:solidFill>
                  <w14:schemeClr w14:val="tx1"/>
                </w14:solidFill>
              </w14:textFill>
            </w:rPr>
            <w:t>3.</w:t>
          </w:r>
          <w:r>
            <w:rPr>
              <w:rFonts w:hint="eastAsia" w:ascii="Times New Roman" w:hAnsi="Times New Roman" w:cs="Times New Roman"/>
              <w:bCs/>
              <w:color w:val="000000" w:themeColor="text1"/>
              <w:szCs w:val="30"/>
              <w:highlight w:val="none"/>
              <w:lang w:val="en-US" w:eastAsia="zh-CN"/>
              <w14:textFill>
                <w14:solidFill>
                  <w14:schemeClr w14:val="tx1"/>
                </w14:solidFill>
              </w14:textFill>
            </w:rPr>
            <w:t>3</w:t>
          </w:r>
          <w:r>
            <w:rPr>
              <w:rFonts w:hint="default" w:ascii="Times New Roman" w:hAnsi="Times New Roman" w:cs="Times New Roman"/>
              <w:bCs/>
              <w:color w:val="000000" w:themeColor="text1"/>
              <w:szCs w:val="30"/>
              <w:highlight w:val="none"/>
              <w14:textFill>
                <w14:solidFill>
                  <w14:schemeClr w14:val="tx1"/>
                </w14:solidFill>
              </w14:textFill>
            </w:rPr>
            <w:t>工程分析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92C2722">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_Toc18441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相关政策法规、规划符合性分析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_Toc18441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B6CC363">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_Toc10586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选址选线合理性分析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5499962">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_Toc30921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szCs w:val="36"/>
              <w:highlight w:val="none"/>
              <w14:textFill>
                <w14:solidFill>
                  <w14:schemeClr w14:val="tx1"/>
                </w14:solidFill>
              </w14:textFill>
            </w:rPr>
            <w:t>4</w:t>
          </w:r>
          <w:r>
            <w:rPr>
              <w:rFonts w:hint="default" w:ascii="Times New Roman" w:hAnsi="Times New Roman" w:cs="Times New Roman"/>
              <w:color w:val="000000" w:themeColor="text1"/>
              <w:szCs w:val="36"/>
              <w:highlight w:val="none"/>
              <w:lang w:val="en-US" w:eastAsia="zh-CN"/>
              <w14:textFill>
                <w14:solidFill>
                  <w14:schemeClr w14:val="tx1"/>
                </w14:solidFill>
              </w14:textFill>
            </w:rPr>
            <w:t>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_Toc30921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D77F4E0">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_Toc29127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4.1自然环境概况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_Toc29127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C97C268">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_Toc19612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生态环境现状调查与评价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_Toc19612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D3EEEC4">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_Toc14241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地下水环境现状调查与评价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D55AEFF">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_Toc23860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4地表水环境现状调查与评价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E94D16C">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_Toc27908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土壤环境现状调查与评价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2B45897">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_Toc24232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大气环境现状调查与评价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464DE40">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_Toc32365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声环境现状调查与评价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_Toc32365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15AD300">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_Toc31039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_Toc31039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374FB2F">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_Toc4572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5.1生态影响评价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00FFB21">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_Toc9853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地下水环境影响评价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_Toc9853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C4FDBFB">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_Toc8225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地表水环境影响评价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_Toc8225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F3158DB">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_Toc21452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5.4土壤环境影响评价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8961FE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_Toc16755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5.5大气环境影响评价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_Toc16755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AFA724B">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_Toc24374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5.6声环境影响评价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_Toc24374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3155DDF">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_Toc4024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5.7固体废物影响分析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_Toc4024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EDDE95C">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_Toc26369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cs="Times New Roman"/>
              <w:snapToGrid w:val="0"/>
              <w:color w:val="000000" w:themeColor="text1"/>
              <w:kern w:val="0"/>
              <w:szCs w:val="21"/>
              <w:highlight w:val="none"/>
              <w:lang w:val="en-US" w:eastAsia="zh-CN" w:bidi="ar-SA"/>
              <w14:textFill>
                <w14:solidFill>
                  <w14:schemeClr w14:val="tx1"/>
                </w14:solidFill>
              </w14:textFill>
            </w:rPr>
            <w:t>5.8</w:t>
          </w:r>
          <w:r>
            <w:rPr>
              <w:rFonts w:hint="default"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环境风险评价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_Toc26369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D2BDA92">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_Toc21552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Cs w:val="36"/>
              <w:highlight w:val="none"/>
              <w:lang w:eastAsia="zh-CN"/>
              <w14:textFill>
                <w14:solidFill>
                  <w14:schemeClr w14:val="tx1"/>
                </w14:solidFill>
              </w14:textFill>
            </w:rPr>
            <w:t>6环境保护措施可行性论证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E4089F4">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_Toc27444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6.</w:t>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1</w:t>
          </w:r>
          <w:r>
            <w:rPr>
              <w:rFonts w:hint="eastAsia"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 xml:space="preserve"> 生态保护措施可行性论证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_Toc27444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3432E47">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_Toc9059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 xml:space="preserve">6.2 </w:t>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地下水环境保护</w:t>
          </w:r>
          <w:r>
            <w:rPr>
              <w:rFonts w:hint="eastAsia"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_Toc9059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99DA14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_Toc30803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6.3地表水环境保护</w:t>
          </w:r>
          <w:r>
            <w:rPr>
              <w:rFonts w:hint="eastAsia" w:ascii="Times New Roman" w:hAnsi="Times New Roman" w:eastAsia="宋体" w:cs="Times New Roman"/>
              <w:snapToGrid w:val="0"/>
              <w:color w:val="000000" w:themeColor="text1"/>
              <w:kern w:val="0"/>
              <w:szCs w:val="21"/>
              <w:highlight w:val="none"/>
              <w:lang w:val="en-US" w:eastAsia="en-US" w:bidi="ar-SA"/>
              <w14:textFill>
                <w14:solidFill>
                  <w14:schemeClr w14:val="tx1"/>
                </w14:solidFill>
              </w14:textFill>
            </w:rPr>
            <w:t>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_Toc30803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43F4D6B">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_Toc24955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6.4土壤环境保护措施可行性论证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CBCC02A">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_Toc3275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6.5大气环境保护措施可行性论证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E19301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_Toc14963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6.6声环境保护措施可行性论证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207</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59270F4">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_Toc14051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Cs w:val="21"/>
              <w:highlight w:val="none"/>
              <w:lang w:val="en-US" w:eastAsia="zh-CN" w:bidi="ar-SA"/>
              <w14:textFill>
                <w14:solidFill>
                  <w14:schemeClr w14:val="tx1"/>
                </w14:solidFill>
              </w14:textFill>
            </w:rPr>
            <w:t>6.7固体废物处理措施可行性论证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_Toc14051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261FCF7">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_Toc13509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bCs/>
              <w:color w:val="000000" w:themeColor="text1"/>
              <w:szCs w:val="36"/>
              <w:highlight w:val="none"/>
              <w:lang w:val="en-US" w:eastAsia="en-US"/>
              <w14:textFill>
                <w14:solidFill>
                  <w14:schemeClr w14:val="tx1"/>
                </w14:solidFill>
              </w14:textFill>
            </w:rPr>
            <w:t>7</w:t>
          </w:r>
          <w:r>
            <w:rPr>
              <w:rFonts w:hint="eastAsia" w:ascii="Times New Roman" w:hAnsi="Times New Roman" w:eastAsia="宋体" w:cs="Times New Roman"/>
              <w:bCs/>
              <w:color w:val="000000" w:themeColor="text1"/>
              <w:szCs w:val="36"/>
              <w:highlight w:val="none"/>
              <w:lang w:val="en-US" w:eastAsia="zh-CN"/>
              <w14:textFill>
                <w14:solidFill>
                  <w14:schemeClr w14:val="tx1"/>
                </w14:solidFill>
              </w14:textFill>
            </w:rPr>
            <w:t>温室气体</w:t>
          </w:r>
          <w:r>
            <w:rPr>
              <w:rFonts w:hint="eastAsia" w:ascii="Times New Roman" w:hAnsi="Times New Roman" w:eastAsia="宋体" w:cs="Times New Roman"/>
              <w:bCs/>
              <w:color w:val="000000" w:themeColor="text1"/>
              <w:szCs w:val="36"/>
              <w:highlight w:val="none"/>
              <w:lang w:val="en-US" w:eastAsia="en-US"/>
              <w14:textFill>
                <w14:solidFill>
                  <w14:schemeClr w14:val="tx1"/>
                </w14:solidFill>
              </w14:textFill>
            </w:rPr>
            <w:t>排放影响评价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4108226">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_Toc5946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38C8048">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_Toc31354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7.2减污降碳措施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_Toc31354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548660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_Toc5134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排放评价结论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_Toc5134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23B7930">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_Toc5065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bCs/>
              <w:color w:val="000000" w:themeColor="text1"/>
              <w:szCs w:val="36"/>
              <w:highlight w:val="none"/>
              <w:lang w:val="en-US" w:eastAsia="en-US"/>
              <w14:textFill>
                <w14:solidFill>
                  <w14:schemeClr w14:val="tx1"/>
                </w14:solidFill>
              </w14:textFill>
            </w:rPr>
            <w:t>8环境影响经济损益分析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_Toc5065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74D18EE">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_Toc11233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效益分析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_Toc11233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222</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C1A114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_Toc26541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8.2社会效益分析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_Toc26541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28849225">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_Toc2623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8.3综合效益分析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B990CA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_Toc14866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8.4环境经济损益分析结论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225</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B1CED4A">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_Toc22446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bCs/>
              <w:color w:val="000000" w:themeColor="text1"/>
              <w:szCs w:val="36"/>
              <w:highlight w:val="none"/>
              <w:lang w:val="en-US" w:eastAsia="en-US"/>
              <w14:textFill>
                <w14:solidFill>
                  <w14:schemeClr w14:val="tx1"/>
                </w14:solidFill>
              </w14:textFill>
            </w:rPr>
            <w:t>9环境管理与监测计划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226</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B5CD8C6">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_Toc23693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9.1环境管理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_Toc23693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226</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DEBE9F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_Toc17928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9.2 企业环境信息披露</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_Toc17928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230</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48775CC">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_Toc11710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9.3污染物排放清单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5D388C7">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_Toc9433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监测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_Toc9433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231</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D6EBD24">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_Toc9415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9.5 环保设施“三同时”验收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_Toc9415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234</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5A46410F">
          <w:pPr>
            <w:pStyle w:val="25"/>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_Toc25970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bCs/>
              <w:color w:val="000000" w:themeColor="text1"/>
              <w:szCs w:val="36"/>
              <w:highlight w:val="none"/>
              <w:lang w:val="en-US" w:eastAsia="en-US"/>
              <w14:textFill>
                <w14:solidFill>
                  <w14:schemeClr w14:val="tx1"/>
                </w14:solidFill>
              </w14:textFill>
            </w:rPr>
            <w:t>10结论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6CC1ADE">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_Toc20865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10.1建设项目情况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76FEC93D">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_Toc29905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10.2</w:t>
          </w:r>
          <w:r>
            <w:rPr>
              <w:rFonts w:hint="eastAsia" w:ascii="Times New Roman" w:hAnsi="Times New Roman" w:eastAsia="宋体" w:cs="Times New Roman"/>
              <w:color w:val="000000" w:themeColor="text1"/>
              <w:highlight w:val="none"/>
              <w:lang w:val="en-US" w:eastAsia="en-US"/>
              <w14:textFill>
                <w14:solidFill>
                  <w14:schemeClr w14:val="tx1"/>
                </w14:solidFill>
              </w14:textFill>
            </w:rPr>
            <w:t>产业政策</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、选址</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符合性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09B2E98">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_Toc16216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质量</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现状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238</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FE83A53">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_Toc16785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10.4</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污染物排放情况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_Toc16785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0D6795A9">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_Toc22509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主要</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环境影响</w:t>
          </w:r>
          <w:r>
            <w:rPr>
              <w:rFonts w:hint="eastAsia" w:ascii="Times New Roman" w:hAnsi="Times New Roman" w:cs="Times New Roman"/>
              <w:color w:val="000000" w:themeColor="text1"/>
              <w:highlight w:val="none"/>
              <w:lang w:val="en-US" w:eastAsia="zh-CN"/>
              <w14:textFill>
                <w14:solidFill>
                  <w14:schemeClr w14:val="tx1"/>
                </w14:solidFill>
              </w14:textFill>
            </w:rPr>
            <w:t>及保护措施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_Toc22509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239</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8C2021A">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_Toc13942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lang w:val="en-US" w:eastAsia="en-US"/>
              <w14:textFill>
                <w14:solidFill>
                  <w14:schemeClr w14:val="tx1"/>
                </w14:solidFill>
              </w14:textFill>
            </w:rPr>
            <w:t>公众意见采纳情况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1BC0425C">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_Toc3060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环境影响经济损益分析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4F8A3B5E">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_Toc30299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环境管理与监测计划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_Toc30299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6CC2EFA7">
          <w:pPr>
            <w:pStyle w:val="31"/>
            <w:keepNext w:val="0"/>
            <w:keepLines w:val="0"/>
            <w:pageBreakBefore w:val="0"/>
            <w:widowControl/>
            <w:tabs>
              <w:tab w:val="right" w:leader="dot" w:pos="8313"/>
            </w:tabs>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begin"/>
          </w:r>
          <w:r>
            <w:rPr>
              <w:rFonts w:hint="default" w:ascii="Times New Roman" w:hAnsi="Times New Roman" w:eastAsia="黑体" w:cs="Times New Roman"/>
              <w:color w:val="000000" w:themeColor="text1"/>
              <w:spacing w:val="-22"/>
              <w:szCs w:val="31"/>
              <w:highlight w:val="none"/>
              <w14:textFill>
                <w14:solidFill>
                  <w14:schemeClr w14:val="tx1"/>
                </w14:solidFill>
              </w14:textFill>
            </w:rPr>
            <w:instrText xml:space="preserve"> HYPERLINK \l _Toc31728 </w:instrText>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highlight w:val="none"/>
              <w:lang w:val="en-US" w:eastAsia="en-US"/>
              <w14:textFill>
                <w14:solidFill>
                  <w14:schemeClr w14:val="tx1"/>
                </w14:solidFill>
              </w14:textFill>
            </w:rPr>
            <w:t>项目可行性结论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rFonts w:hint="default" w:ascii="Times New Roman" w:hAnsi="Times New Roman" w:eastAsia="黑体" w:cs="Times New Roman"/>
              <w:color w:val="000000" w:themeColor="text1"/>
              <w:spacing w:val="-22"/>
              <w:szCs w:val="31"/>
              <w:highlight w:val="none"/>
              <w14:textFill>
                <w14:solidFill>
                  <w14:schemeClr w14:val="tx1"/>
                </w14:solidFill>
              </w14:textFill>
            </w:rPr>
            <w:fldChar w:fldCharType="end"/>
          </w:r>
        </w:p>
        <w:p w14:paraId="3ADD18D3">
          <w:pPr>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黑体" w:cs="Times New Roman"/>
              <w:b/>
              <w:snapToGrid w:val="0"/>
              <w:color w:val="000000" w:themeColor="text1"/>
              <w:spacing w:val="-22"/>
              <w:kern w:val="0"/>
              <w:sz w:val="30"/>
              <w:szCs w:val="31"/>
              <w:highlight w:val="none"/>
              <w:lang w:val="en-US" w:eastAsia="en-US" w:bidi="ar-SA"/>
              <w14:textFill>
                <w14:solidFill>
                  <w14:schemeClr w14:val="tx1"/>
                </w14:solidFill>
              </w14:textFill>
            </w:rPr>
            <w:sectPr>
              <w:footerReference r:id="rId3" w:type="default"/>
              <w:pgSz w:w="11907" w:h="16840"/>
              <w:pgMar w:top="1440" w:right="1797" w:bottom="1440" w:left="1797" w:header="0" w:footer="0" w:gutter="0"/>
              <w:pgBorders>
                <w:top w:val="none" w:sz="0" w:space="0"/>
                <w:left w:val="none" w:sz="0" w:space="0"/>
                <w:bottom w:val="none" w:sz="0" w:space="0"/>
                <w:right w:val="none" w:sz="0" w:space="0"/>
              </w:pgBorders>
              <w:cols w:space="720" w:num="1"/>
            </w:sectPr>
          </w:pPr>
          <w:r>
            <w:rPr>
              <w:rFonts w:hint="default" w:ascii="Times New Roman" w:hAnsi="Times New Roman" w:eastAsia="黑体" w:cs="Times New Roman"/>
              <w:b/>
              <w:color w:val="000000" w:themeColor="text1"/>
              <w:spacing w:val="-22"/>
              <w:szCs w:val="31"/>
              <w:highlight w:val="none"/>
              <w14:textFill>
                <w14:solidFill>
                  <w14:schemeClr w14:val="tx1"/>
                </w14:solidFill>
              </w14:textFill>
            </w:rPr>
            <w:fldChar w:fldCharType="end"/>
          </w:r>
        </w:p>
      </w:sdtContent>
    </w:sdt>
    <w:p w14:paraId="37422184">
      <w:pPr>
        <w:pStyle w:val="2"/>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36"/>
          <w:szCs w:val="36"/>
          <w:highlight w:val="none"/>
          <w14:textFill>
            <w14:solidFill>
              <w14:schemeClr w14:val="tx1"/>
            </w14:solidFill>
          </w14:textFill>
        </w:rPr>
      </w:pPr>
      <w:bookmarkStart w:id="0" w:name="_Toc4040"/>
      <w:bookmarkStart w:id="1" w:name="_Toc15514"/>
      <w:r>
        <w:rPr>
          <w:rFonts w:hint="default" w:ascii="Times New Roman" w:hAnsi="Times New Roman" w:cs="Times New Roman"/>
          <w:color w:val="000000" w:themeColor="text1"/>
          <w:sz w:val="36"/>
          <w:szCs w:val="36"/>
          <w:highlight w:val="none"/>
          <w14:textFill>
            <w14:solidFill>
              <w14:schemeClr w14:val="tx1"/>
            </w14:solidFill>
          </w14:textFill>
        </w:rPr>
        <w:t>1概述</w:t>
      </w:r>
      <w:bookmarkEnd w:id="0"/>
      <w:bookmarkEnd w:id="1"/>
    </w:p>
    <w:p w14:paraId="724A4142">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2" w:name="_Toc26180"/>
      <w:bookmarkStart w:id="3" w:name="_Toc75438870"/>
      <w:bookmarkStart w:id="4" w:name="_Toc508291867"/>
      <w:bookmarkStart w:id="5" w:name="_Toc42981087"/>
      <w:bookmarkStart w:id="6" w:name="_Toc22073"/>
      <w:r>
        <w:rPr>
          <w:rFonts w:hint="default" w:ascii="Times New Roman" w:hAnsi="Times New Roman" w:cs="Times New Roman"/>
          <w:color w:val="000000" w:themeColor="text1"/>
          <w:highlight w:val="none"/>
          <w14:textFill>
            <w14:solidFill>
              <w14:schemeClr w14:val="tx1"/>
            </w14:solidFill>
          </w14:textFill>
        </w:rPr>
        <w:t>1.1</w:t>
      </w:r>
      <w:bookmarkEnd w:id="2"/>
      <w:bookmarkEnd w:id="3"/>
      <w:bookmarkEnd w:id="4"/>
      <w:bookmarkEnd w:id="5"/>
      <w:r>
        <w:rPr>
          <w:rFonts w:hint="default" w:ascii="Times New Roman" w:hAnsi="Times New Roman" w:cs="Times New Roman"/>
          <w:color w:val="000000" w:themeColor="text1"/>
          <w:highlight w:val="none"/>
          <w14:textFill>
            <w14:solidFill>
              <w14:schemeClr w14:val="tx1"/>
            </w14:solidFill>
          </w14:textFill>
        </w:rPr>
        <w:t>建设项目特点</w:t>
      </w:r>
      <w:bookmarkEnd w:id="6"/>
    </w:p>
    <w:p w14:paraId="15EA0A31">
      <w:pPr>
        <w:pStyle w:val="6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中国石油化工股份有限公司西北油田分公司</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以下简称</w:t>
      </w:r>
      <w:bookmarkStart w:id="7" w:name="OLE_LINK8"/>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西北油田分公司</w:t>
      </w:r>
      <w:r>
        <w:rPr>
          <w:rFonts w:hint="eastAsia" w:ascii="Times New Roman" w:hAnsi="Times New Roman" w:cs="Times New Roman"/>
          <w:color w:val="000000" w:themeColor="text1"/>
          <w:highlight w:val="none"/>
          <w:lang w:eastAsia="zh-CN"/>
          <w14:textFill>
            <w14:solidFill>
              <w14:schemeClr w14:val="tx1"/>
            </w14:solidFill>
          </w14:textFill>
        </w:rPr>
        <w:t>”</w:t>
      </w:r>
      <w:bookmarkEnd w:id="7"/>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是中国石化上游第二大原油生产企业，油田主体位于新疆维吾尔自治区阿克苏地区、巴音郭楞蒙古自治州境内，部分分布在和田地区境内。总部设在自治区首府乌鲁木齐市，并在巴音郭楞蒙古自治州轮台县建立了前线指挥基地。西北油田分公司塔河油田位于新疆塔里木盆地北部，是中国第一个古生界海相亿吨级大油田，也是塔里木盆地主要石油天然气资源蕴藏区之一，资源量约30亿吨。根据《关于</w:t>
      </w:r>
      <w:bookmarkStart w:id="8" w:name="OLE_LINK1229"/>
      <w:r>
        <w:rPr>
          <w:rFonts w:hint="eastAsia" w:ascii="Times New Roman" w:hAnsi="Times New Roman" w:cs="Times New Roman"/>
          <w:color w:val="000000" w:themeColor="text1"/>
          <w:highlight w:val="none"/>
          <w:lang w:eastAsia="zh-CN"/>
          <w14:textFill>
            <w14:solidFill>
              <w14:schemeClr w14:val="tx1"/>
            </w14:solidFill>
          </w14:textFill>
        </w:rPr>
        <w:t>〈</w:t>
      </w:r>
      <w:bookmarkEnd w:id="8"/>
      <w:r>
        <w:rPr>
          <w:rFonts w:hint="eastAsia"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国石油化工股份有限公司西北油田分公司“十四五”规划环境影响报告书</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审查意见》（新环审〔2022〕147号），中国石油化工股份有限公司西北油田分公司“十四五”规划期间实施23个探矿权，面积约为7.825万平方千米；12个采矿权，面积约为0.565万平方千米。规划实施三维地震勘探1.05万平方千米，新增探井</w:t>
      </w:r>
      <w:r>
        <w:rPr>
          <w:rFonts w:hint="default" w:ascii="Times New Roman" w:hAnsi="Times New Roman" w:cs="Times New Roman"/>
          <w:color w:val="000000" w:themeColor="text1"/>
          <w:sz w:val="24"/>
          <w:szCs w:val="24"/>
          <w:highlight w:val="none"/>
          <w14:textFill>
            <w14:solidFill>
              <w14:schemeClr w14:val="tx1"/>
            </w14:solidFill>
          </w14:textFill>
        </w:rPr>
        <w:t>275口、开发井1216口，到2025年建成年产1500万吨油当量油气田</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3D0B1552">
      <w:pPr>
        <w:pStyle w:val="6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为</w:t>
      </w:r>
      <w:bookmarkStart w:id="9" w:name="OLE_LINK10"/>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进一步探明</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星火</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区块</w:t>
      </w:r>
      <w:bookmarkEnd w:id="9"/>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油藏地质规模</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以及区块</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产能，实现该区块开发，</w:t>
      </w:r>
      <w:r>
        <w:rPr>
          <w:rFonts w:hint="default" w:ascii="Times New Roman" w:hAnsi="Times New Roman" w:cs="Times New Roman"/>
          <w:color w:val="000000" w:themeColor="text1"/>
          <w:highlight w:val="none"/>
          <w14:textFill>
            <w14:solidFill>
              <w14:schemeClr w14:val="tx1"/>
            </w14:solidFill>
          </w14:textFill>
        </w:rPr>
        <w:t>西北油田分公司</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拟在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新疆维吾尔自治区</w:t>
      </w:r>
      <w:r>
        <w:rPr>
          <w:rFonts w:hint="default" w:ascii="Times New Roman" w:hAnsi="Times New Roman" w:eastAsia="宋体" w:cs="Times New Roman"/>
          <w:color w:val="000000" w:themeColor="text1"/>
          <w:sz w:val="24"/>
          <w:szCs w:val="24"/>
          <w:highlight w:val="none"/>
          <w14:textFill>
            <w14:solidFill>
              <w14:schemeClr w14:val="tx1"/>
            </w14:solidFill>
          </w14:textFill>
        </w:rPr>
        <w:t>阿克苏地区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新和</w:t>
      </w:r>
      <w:r>
        <w:rPr>
          <w:rFonts w:hint="default" w:ascii="Times New Roman" w:hAnsi="Times New Roman" w:eastAsia="宋体" w:cs="Times New Roman"/>
          <w:color w:val="000000" w:themeColor="text1"/>
          <w:sz w:val="24"/>
          <w:szCs w:val="24"/>
          <w:highlight w:val="none"/>
          <w14:textFill>
            <w14:solidFill>
              <w14:schemeClr w14:val="tx1"/>
            </w14:solidFill>
          </w14:textFill>
        </w:rPr>
        <w:t>县</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星火</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区块实施</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星火7井区2025年产能建设项目</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24"/>
          <w:sz w:val="24"/>
          <w:szCs w:val="24"/>
          <w:highlight w:val="none"/>
          <w14:textFill>
            <w14:solidFill>
              <w14:schemeClr w14:val="tx1"/>
            </w14:solidFill>
          </w14:textFill>
        </w:rPr>
        <w:t>（以下简称“</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。本工程不涉及中央及自治区生态环境保护督察整改问题。</w:t>
      </w:r>
    </w:p>
    <w:p w14:paraId="0F7C7604">
      <w:pPr>
        <w:pStyle w:val="6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lang w:eastAsia="zh-CN"/>
          <w14:textFill>
            <w14:solidFill>
              <w14:schemeClr w14:val="tx1"/>
            </w14:solidFill>
          </w14:textFill>
        </w:rPr>
        <w:t>主要建设内容包括：</w:t>
      </w:r>
      <w:bookmarkStart w:id="10" w:name="OLE_LINK528"/>
      <w:r>
        <w:rPr>
          <w:rFonts w:hint="default" w:ascii="Times New Roman" w:hAnsi="Times New Roman" w:cs="Times New Roman"/>
          <w:color w:val="000000" w:themeColor="text1"/>
          <w:sz w:val="24"/>
          <w:szCs w:val="24"/>
          <w:highlight w:val="none"/>
          <w:lang w:eastAsia="zh-CN"/>
          <w14:textFill>
            <w14:solidFill>
              <w14:schemeClr w14:val="tx1"/>
            </w14:solidFill>
          </w14:textFill>
        </w:rPr>
        <w:t>①</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和XH7-2X</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三口井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共用一个井场，均在星火7斜井井场内</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XH7-2X</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建设拉油流程1座</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新建电磁加热器1台、计量分离器</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多功能储集器4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台，配套火炬及装车实现原油装车外运，天然气经油气计量分离器分离后，湿气销售至第三方公司，由第三方公司处理后装车外销。</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④</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凝析油</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外输：油气分离后</w:t>
      </w:r>
      <w:bookmarkStart w:id="11" w:name="OLE_LINK646"/>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凝析油装车外运至雅克拉集气处理站处理</w:t>
      </w:r>
      <w:bookmarkEnd w:id="11"/>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4"/>
          <w:szCs w:val="24"/>
          <w:highlight w:val="none"/>
          <w14:textFill>
            <w14:solidFill>
              <w14:schemeClr w14:val="tx1"/>
            </w14:solidFill>
          </w14:textFill>
        </w:rPr>
        <w:t>建设电力、自控、</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构、通信、消防等公辅工程。</w:t>
      </w:r>
      <w:bookmarkEnd w:id="10"/>
    </w:p>
    <w:p w14:paraId="11092B14">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2" w:name="_Toc508291868"/>
      <w:bookmarkStart w:id="13" w:name="_Toc75438871"/>
      <w:bookmarkStart w:id="14" w:name="_Toc42981088"/>
      <w:bookmarkStart w:id="15" w:name="_Toc6893"/>
      <w:bookmarkStart w:id="16" w:name="_Toc28839"/>
      <w:r>
        <w:rPr>
          <w:rFonts w:hint="default" w:ascii="Times New Roman" w:hAnsi="Times New Roman" w:cs="Times New Roman"/>
          <w:color w:val="000000" w:themeColor="text1"/>
          <w:highlight w:val="none"/>
          <w14:textFill>
            <w14:solidFill>
              <w14:schemeClr w14:val="tx1"/>
            </w14:solidFill>
          </w14:textFill>
        </w:rPr>
        <w:t>1.2</w:t>
      </w:r>
      <w:bookmarkEnd w:id="12"/>
      <w:bookmarkEnd w:id="13"/>
      <w:bookmarkEnd w:id="14"/>
      <w:bookmarkEnd w:id="15"/>
      <w:r>
        <w:rPr>
          <w:rFonts w:hint="default" w:ascii="Times New Roman" w:hAnsi="Times New Roman" w:cs="Times New Roman"/>
          <w:color w:val="000000" w:themeColor="text1"/>
          <w:highlight w:val="none"/>
          <w14:textFill>
            <w14:solidFill>
              <w14:schemeClr w14:val="tx1"/>
            </w14:solidFill>
          </w14:textFill>
        </w:rPr>
        <w:t>环境影响评价的工作过程</w:t>
      </w:r>
      <w:bookmarkEnd w:id="16"/>
    </w:p>
    <w:p w14:paraId="20BE58C2">
      <w:pPr>
        <w:pageBreakBefore w:val="0"/>
        <w:kinsoku/>
        <w:wordWrap/>
        <w:overflowPunct/>
        <w:topLinePunct w:val="0"/>
        <w:autoSpaceDE/>
        <w:autoSpaceDN/>
        <w:bidi w:val="0"/>
        <w:adjustRightInd w:val="0"/>
        <w:snapToGrid w:val="0"/>
        <w:spacing w:line="360" w:lineRule="auto"/>
        <w:ind w:left="24"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lang w:eastAsia="zh-CN"/>
          <w14:textFill>
            <w14:solidFill>
              <w14:schemeClr w14:val="tx1"/>
            </w14:solidFill>
          </w14:textFill>
        </w:rPr>
        <w:t>本</w:t>
      </w:r>
      <w:r>
        <w:rPr>
          <w:rFonts w:hint="default" w:ascii="Times New Roman" w:hAnsi="Times New Roman" w:cs="Times New Roman"/>
          <w:bCs/>
          <w:color w:val="000000" w:themeColor="text1"/>
          <w:highlight w:val="none"/>
          <w:lang w:val="en-US" w:eastAsia="zh-CN"/>
          <w14:textFill>
            <w14:solidFill>
              <w14:schemeClr w14:val="tx1"/>
            </w14:solidFill>
          </w14:textFill>
        </w:rPr>
        <w:t>工程</w:t>
      </w:r>
      <w:r>
        <w:rPr>
          <w:rFonts w:hint="default" w:ascii="Times New Roman" w:hAnsi="Times New Roman" w:cs="Times New Roman"/>
          <w:bCs/>
          <w:color w:val="000000" w:themeColor="text1"/>
          <w:highlight w:val="none"/>
          <w14:textFill>
            <w14:solidFill>
              <w14:schemeClr w14:val="tx1"/>
            </w14:solidFill>
          </w14:textFill>
        </w:rPr>
        <w:t>为</w:t>
      </w:r>
      <w:bookmarkStart w:id="17" w:name="OLE_LINK13"/>
      <w:bookmarkStart w:id="18" w:name="OLE_LINK23"/>
      <w:r>
        <w:rPr>
          <w:rFonts w:hint="default" w:ascii="Times New Roman" w:hAnsi="Times New Roman" w:cs="Times New Roman"/>
          <w:bCs/>
          <w:color w:val="000000" w:themeColor="text1"/>
          <w:highlight w:val="none"/>
          <w14:textFill>
            <w14:solidFill>
              <w14:schemeClr w14:val="tx1"/>
            </w14:solidFill>
          </w14:textFill>
        </w:rPr>
        <w:t>天然气开采</w:t>
      </w:r>
      <w:bookmarkEnd w:id="17"/>
      <w:r>
        <w:rPr>
          <w:rFonts w:hint="default" w:ascii="Times New Roman" w:hAnsi="Times New Roman" w:cs="Times New Roman"/>
          <w:bCs/>
          <w:color w:val="000000" w:themeColor="text1"/>
          <w:highlight w:val="none"/>
          <w14:textFill>
            <w14:solidFill>
              <w14:schemeClr w14:val="tx1"/>
            </w14:solidFill>
          </w14:textFill>
        </w:rPr>
        <w:t>项目</w:t>
      </w:r>
      <w:bookmarkEnd w:id="18"/>
      <w:r>
        <w:rPr>
          <w:rFonts w:hint="default" w:ascii="Times New Roman" w:hAnsi="Times New Roman" w:cs="Times New Roman"/>
          <w:bCs/>
          <w:color w:val="000000" w:themeColor="text1"/>
          <w:highlight w:val="none"/>
          <w14:textFill>
            <w14:solidFill>
              <w14:schemeClr w14:val="tx1"/>
            </w14:solidFill>
          </w14:textFill>
        </w:rPr>
        <w:t>，位于阿克苏地区新和县</w:t>
      </w:r>
      <w:r>
        <w:rPr>
          <w:rFonts w:hint="default" w:ascii="Times New Roman" w:hAnsi="Times New Roman" w:cs="Times New Roman"/>
          <w:bCs/>
          <w:color w:val="000000" w:themeColor="text1"/>
          <w:highlight w:val="none"/>
          <w:lang w:val="en-US" w:eastAsia="zh-CN"/>
          <w14:textFill>
            <w14:solidFill>
              <w14:schemeClr w14:val="tx1"/>
            </w14:solidFill>
          </w14:textFill>
        </w:rPr>
        <w:t>境内</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根据</w:t>
      </w:r>
      <w:r>
        <w:rPr>
          <w:rFonts w:hint="default" w:ascii="Times New Roman" w:hAnsi="Times New Roman" w:cs="Times New Roman"/>
          <w:bCs/>
          <w:color w:val="000000" w:themeColor="text1"/>
          <w:highlight w:val="none"/>
          <w:lang w:eastAsia="zh-CN"/>
          <w14:textFill>
            <w14:solidFill>
              <w14:schemeClr w14:val="tx1"/>
            </w14:solidFill>
          </w14:textFill>
        </w:rPr>
        <w:t>《</w:t>
      </w:r>
      <w:bookmarkStart w:id="19" w:name="OLE_LINK7"/>
      <w:r>
        <w:rPr>
          <w:rFonts w:hint="default" w:ascii="Times New Roman" w:hAnsi="Times New Roman" w:cs="Times New Roman"/>
          <w:bCs/>
          <w:color w:val="000000" w:themeColor="text1"/>
          <w:highlight w:val="none"/>
          <w14:textFill>
            <w14:solidFill>
              <w14:schemeClr w14:val="tx1"/>
            </w14:solidFill>
          </w14:textFill>
        </w:rPr>
        <w:t>关于印发新疆维吾尔自治区水土流失重点预防区和重点治理区复核划分成果的通知</w:t>
      </w:r>
      <w:bookmarkEnd w:id="19"/>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新水水保〔2019〕4号</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，项目所在地阿克苏地区新和县属于塔里木河流域水土流失重点治理区</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根据《中华人民共和国环境影响评价法》《</w:t>
      </w:r>
      <w:bookmarkStart w:id="20" w:name="OLE_LINK9"/>
      <w:r>
        <w:rPr>
          <w:rFonts w:hint="default" w:ascii="Times New Roman" w:hAnsi="Times New Roman" w:cs="Times New Roman"/>
          <w:color w:val="000000" w:themeColor="text1"/>
          <w:highlight w:val="none"/>
          <w14:textFill>
            <w14:solidFill>
              <w14:schemeClr w14:val="tx1"/>
            </w14:solidFill>
          </w14:textFill>
        </w:rPr>
        <w:t>建设项目环境影响评价分类管理名录</w:t>
      </w:r>
      <w:bookmarkEnd w:id="20"/>
      <w:bookmarkStart w:id="21" w:name="OLE_LINK14"/>
      <w:bookmarkStart w:id="22" w:name="OLE_LINK15"/>
      <w:r>
        <w:rPr>
          <w:rFonts w:hint="default" w:ascii="Times New Roman" w:hAnsi="Times New Roman" w:cs="Times New Roman"/>
          <w:color w:val="000000" w:themeColor="text1"/>
          <w:highlight w:val="none"/>
          <w14:textFill>
            <w14:solidFill>
              <w14:schemeClr w14:val="tx1"/>
            </w14:solidFill>
          </w14:textFill>
        </w:rPr>
        <w:t>（2021年版）</w:t>
      </w:r>
      <w:bookmarkEnd w:id="21"/>
      <w:r>
        <w:rPr>
          <w:rFonts w:hint="default" w:ascii="Times New Roman" w:hAnsi="Times New Roman" w:cs="Times New Roman"/>
          <w:color w:val="000000" w:themeColor="text1"/>
          <w:highlight w:val="none"/>
          <w14:textFill>
            <w14:solidFill>
              <w14:schemeClr w14:val="tx1"/>
            </w14:solidFill>
          </w14:textFill>
        </w:rPr>
        <w:t>》（生态环境部令第16号）</w:t>
      </w:r>
      <w:bookmarkEnd w:id="22"/>
      <w:r>
        <w:rPr>
          <w:rFonts w:hint="eastAsia" w:cs="Times New Roman"/>
          <w:color w:val="000000" w:themeColor="text1"/>
          <w:highlight w:val="none"/>
          <w:lang w:eastAsia="zh-CN"/>
          <w14:textFill>
            <w14:solidFill>
              <w14:schemeClr w14:val="tx1"/>
            </w14:solidFill>
          </w14:textFill>
        </w:rPr>
        <w:t>，</w:t>
      </w:r>
      <w:bookmarkStart w:id="23" w:name="OLE_LINK12"/>
      <w:r>
        <w:rPr>
          <w:rFonts w:hint="default" w:ascii="Times New Roman" w:hAnsi="Times New Roman" w:cs="Times New Roman"/>
          <w:bCs/>
          <w:snapToGrid w:val="0"/>
          <w:color w:val="000000" w:themeColor="text1"/>
          <w:szCs w:val="20"/>
          <w:highlight w:val="none"/>
          <w14:textFill>
            <w14:solidFill>
              <w14:schemeClr w14:val="tx1"/>
            </w14:solidFill>
          </w14:textFill>
        </w:rPr>
        <w:t>本工程属于</w:t>
      </w:r>
      <w:bookmarkEnd w:id="23"/>
      <w:r>
        <w:rPr>
          <w:rFonts w:hint="eastAsia" w:cs="Times New Roman"/>
          <w:bCs/>
          <w:snapToGrid w:val="0"/>
          <w:color w:val="000000" w:themeColor="text1"/>
          <w:szCs w:val="20"/>
          <w:highlight w:val="none"/>
          <w:lang w:eastAsia="zh-CN"/>
          <w14:textFill>
            <w14:solidFill>
              <w14:schemeClr w14:val="tx1"/>
            </w14:solidFill>
          </w14:textFill>
        </w:rPr>
        <w:t>“</w:t>
      </w:r>
      <w:r>
        <w:rPr>
          <w:rFonts w:hint="default" w:ascii="Times New Roman" w:hAnsi="Times New Roman" w:cs="Times New Roman"/>
          <w:bCs/>
          <w:snapToGrid w:val="0"/>
          <w:color w:val="000000" w:themeColor="text1"/>
          <w:szCs w:val="20"/>
          <w:highlight w:val="none"/>
          <w14:textFill>
            <w14:solidFill>
              <w14:schemeClr w14:val="tx1"/>
            </w14:solidFill>
          </w14:textFill>
        </w:rPr>
        <w:t>五</w:t>
      </w:r>
      <w:r>
        <w:rPr>
          <w:rFonts w:hint="eastAsia" w:ascii="Times New Roman" w:hAnsi="Times New Roman" w:cs="Times New Roman"/>
          <w:bCs/>
          <w:snapToGrid w:val="0"/>
          <w:color w:val="000000" w:themeColor="text1"/>
          <w:szCs w:val="20"/>
          <w:highlight w:val="none"/>
          <w:lang w:eastAsia="zh-CN"/>
          <w14:textFill>
            <w14:solidFill>
              <w14:schemeClr w14:val="tx1"/>
            </w14:solidFill>
          </w14:textFill>
        </w:rPr>
        <w:t>、</w:t>
      </w:r>
      <w:r>
        <w:rPr>
          <w:rFonts w:hint="default" w:ascii="Times New Roman" w:hAnsi="Times New Roman" w:cs="Times New Roman"/>
          <w:bCs/>
          <w:snapToGrid w:val="0"/>
          <w:color w:val="000000" w:themeColor="text1"/>
          <w:szCs w:val="20"/>
          <w:highlight w:val="none"/>
          <w14:textFill>
            <w14:solidFill>
              <w14:schemeClr w14:val="tx1"/>
            </w14:solidFill>
          </w14:textFill>
        </w:rPr>
        <w:t>石油和天然气开采业</w:t>
      </w:r>
      <w:r>
        <w:rPr>
          <w:rFonts w:hint="eastAsia" w:ascii="Times New Roman" w:hAnsi="Times New Roman" w:cs="Times New Roman"/>
          <w:bCs/>
          <w:snapToGrid w:val="0"/>
          <w:color w:val="000000" w:themeColor="text1"/>
          <w:szCs w:val="20"/>
          <w:highlight w:val="none"/>
          <w:lang w:val="en-US" w:eastAsia="zh-CN"/>
          <w14:textFill>
            <w14:solidFill>
              <w14:schemeClr w14:val="tx1"/>
            </w14:solidFill>
          </w14:textFill>
        </w:rPr>
        <w:t>07”</w:t>
      </w:r>
      <w:r>
        <w:rPr>
          <w:rFonts w:hint="eastAsia" w:cs="Times New Roman"/>
          <w:bCs/>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第</w:t>
      </w:r>
      <w:r>
        <w:rPr>
          <w:rFonts w:hint="default" w:ascii="Times New Roman" w:hAnsi="Times New Roman" w:eastAsia="宋体" w:cs="Times New Roman"/>
          <w:color w:val="000000" w:themeColor="text1"/>
          <w:spacing w:val="-51"/>
          <w:sz w:val="24"/>
          <w:szCs w:val="24"/>
          <w:highlight w:val="none"/>
          <w14:textFill>
            <w14:solidFill>
              <w14:schemeClr w14:val="tx1"/>
            </w14:solidFill>
          </w14:textFill>
        </w:rPr>
        <w:t xml:space="preserve"> </w:t>
      </w:r>
      <w:r>
        <w:rPr>
          <w:rFonts w:hint="eastAsia" w:eastAsia="宋体" w:cs="Times New Roman"/>
          <w:color w:val="000000" w:themeColor="text1"/>
          <w:spacing w:val="-4"/>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项</w:t>
      </w:r>
      <w:r>
        <w:rPr>
          <w:rFonts w:hint="eastAsia" w:cs="Times New Roman"/>
          <w:color w:val="000000" w:themeColor="text1"/>
          <w:spacing w:val="-4"/>
          <w:sz w:val="24"/>
          <w:szCs w:val="24"/>
          <w:highlight w:val="none"/>
          <w:lang w:eastAsia="zh-CN"/>
          <w14:textFill>
            <w14:solidFill>
              <w14:schemeClr w14:val="tx1"/>
            </w14:solidFill>
          </w14:textFill>
        </w:rPr>
        <w:t>“</w:t>
      </w:r>
      <w:bookmarkStart w:id="24" w:name="OLE_LINK985"/>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陆地</w:t>
      </w:r>
      <w:r>
        <w:rPr>
          <w:rFonts w:hint="eastAsia" w:cs="Times New Roman"/>
          <w:color w:val="000000" w:themeColor="text1"/>
          <w:spacing w:val="-4"/>
          <w:sz w:val="24"/>
          <w:szCs w:val="24"/>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开采07</w:t>
      </w:r>
      <w:r>
        <w:rPr>
          <w:rFonts w:hint="eastAsia" w:cs="Times New Roman"/>
          <w:color w:val="000000" w:themeColor="text1"/>
          <w:spacing w:val="-4"/>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1</w:t>
      </w:r>
      <w:bookmarkEnd w:id="24"/>
      <w:r>
        <w:rPr>
          <w:rFonts w:hint="eastAsia" w:cs="Times New Roman"/>
          <w:color w:val="000000" w:themeColor="text1"/>
          <w:spacing w:val="-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中</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的</w:t>
      </w:r>
      <w:r>
        <w:rPr>
          <w:rFonts w:hint="eastAsia" w:cs="Times New Roman"/>
          <w:color w:val="000000" w:themeColor="text1"/>
          <w:spacing w:val="-4"/>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涉及环境敏感区的（含内部集输管线</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建设）</w:t>
      </w:r>
      <w:r>
        <w:rPr>
          <w:rFonts w:hint="eastAsia" w:cs="Times New Roman"/>
          <w:color w:val="000000" w:themeColor="text1"/>
          <w:spacing w:val="-4"/>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bookmarkStart w:id="25" w:name="OLE_LINK1401"/>
      <w:r>
        <w:rPr>
          <w:rFonts w:hint="eastAsia" w:cs="Times New Roman"/>
          <w:color w:val="000000" w:themeColor="text1"/>
          <w:spacing w:val="-4"/>
          <w:sz w:val="24"/>
          <w:szCs w:val="24"/>
          <w:highlight w:val="none"/>
          <w:lang w:val="en-US" w:eastAsia="zh-CN"/>
          <w14:textFill>
            <w14:solidFill>
              <w14:schemeClr w14:val="tx1"/>
            </w14:solidFill>
          </w14:textFill>
        </w:rPr>
        <w:t>本工程</w:t>
      </w:r>
      <w:r>
        <w:rPr>
          <w:rFonts w:hint="eastAsia" w:cs="Times New Roman"/>
          <w:color w:val="000000" w:themeColor="text1"/>
          <w:highlight w:val="none"/>
          <w:lang w:val="en-US" w:eastAsia="zh-CN"/>
          <w14:textFill>
            <w14:solidFill>
              <w14:schemeClr w14:val="tx1"/>
            </w14:solidFill>
          </w14:textFill>
        </w:rPr>
        <w:t>不占用永久基本农田，</w:t>
      </w:r>
      <w:r>
        <w:rPr>
          <w:rFonts w:hint="eastAsia" w:cs="Times New Roman"/>
          <w:color w:val="000000" w:themeColor="text1"/>
          <w:spacing w:val="-4"/>
          <w:sz w:val="24"/>
          <w:szCs w:val="24"/>
          <w:highlight w:val="none"/>
          <w:lang w:val="en-US" w:eastAsia="zh-CN"/>
          <w14:textFill>
            <w14:solidFill>
              <w14:schemeClr w14:val="tx1"/>
            </w14:solidFill>
          </w14:textFill>
        </w:rPr>
        <w:t>评价范围涉及永久基本农田，</w:t>
      </w:r>
      <w:bookmarkEnd w:id="25"/>
      <w:r>
        <w:rPr>
          <w:rFonts w:hint="default" w:ascii="Times New Roman" w:hAnsi="Times New Roman" w:cs="Times New Roman"/>
          <w:bCs/>
          <w:color w:val="000000" w:themeColor="text1"/>
          <w:highlight w:val="none"/>
          <w14:textFill>
            <w14:solidFill>
              <w14:schemeClr w14:val="tx1"/>
            </w14:solidFill>
          </w14:textFill>
        </w:rPr>
        <w:t>应编制环境影响报告书</w:t>
      </w:r>
      <w:r>
        <w:rPr>
          <w:rFonts w:hint="default" w:ascii="Times New Roman" w:hAnsi="Times New Roman" w:cs="Times New Roman"/>
          <w:color w:val="000000" w:themeColor="text1"/>
          <w:szCs w:val="20"/>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根据《新疆维吾尔自治区建设项目环境影响评价文件分级审批目录（2024年本）》，</w:t>
      </w:r>
      <w:r>
        <w:rPr>
          <w:rFonts w:hint="default" w:ascii="Times New Roman" w:hAnsi="Times New Roman" w:cs="Times New Roman"/>
          <w:bCs/>
          <w:snapToGrid w:val="0"/>
          <w:color w:val="000000" w:themeColor="text1"/>
          <w:szCs w:val="20"/>
          <w:highlight w:val="none"/>
          <w14:textFill>
            <w14:solidFill>
              <w14:schemeClr w14:val="tx1"/>
            </w14:solidFill>
          </w14:textFill>
        </w:rPr>
        <w:t>本工程属于</w:t>
      </w:r>
      <w:r>
        <w:rPr>
          <w:rFonts w:hint="default" w:ascii="Times New Roman" w:hAnsi="Times New Roman" w:cs="Times New Roman"/>
          <w:color w:val="000000" w:themeColor="text1"/>
          <w:sz w:val="24"/>
          <w:szCs w:val="24"/>
          <w:highlight w:val="none"/>
          <w14:textFill>
            <w14:solidFill>
              <w14:schemeClr w14:val="tx1"/>
            </w14:solidFill>
          </w14:textFill>
        </w:rPr>
        <w:t>第</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cs="Times New Roman"/>
          <w:color w:val="000000" w:themeColor="text1"/>
          <w:sz w:val="24"/>
          <w:szCs w:val="24"/>
          <w:highlight w:val="none"/>
          <w14:textFill>
            <w14:solidFill>
              <w14:schemeClr w14:val="tx1"/>
            </w14:solidFill>
          </w14:textFill>
        </w:rPr>
        <w:t>项</w:t>
      </w:r>
      <w:r>
        <w:rPr>
          <w:rFonts w:hint="eastAsia" w:ascii="Times New Roman" w:hAnsi="Times New Roman" w:cs="Times New Roman"/>
          <w:color w:val="000000" w:themeColor="text1"/>
          <w:sz w:val="24"/>
          <w:szCs w:val="24"/>
          <w:highlight w:val="none"/>
          <w:lang w:eastAsia="zh-CN"/>
          <w14:textFill>
            <w14:solidFill>
              <w14:schemeClr w14:val="tx1"/>
            </w14:solidFill>
          </w14:textFill>
        </w:rPr>
        <w:t>“石油和天然气开采业”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中的</w:t>
      </w:r>
      <w:r>
        <w:rPr>
          <w:rFonts w:hint="eastAsia" w:cs="Times New Roman"/>
          <w:color w:val="000000" w:themeColor="text1"/>
          <w:spacing w:val="-4"/>
          <w:sz w:val="24"/>
          <w:szCs w:val="24"/>
          <w:highlight w:val="none"/>
          <w:lang w:eastAsia="zh-CN"/>
          <w14:textFill>
            <w14:solidFill>
              <w14:schemeClr w14:val="tx1"/>
            </w14:solidFill>
          </w14:textFill>
        </w:rPr>
        <w:t>“涉及环境敏感区的”</w:t>
      </w:r>
      <w:r>
        <w:rPr>
          <w:rFonts w:hint="default" w:ascii="Times New Roman" w:hAnsi="Times New Roman" w:cs="Times New Roman"/>
          <w:color w:val="000000" w:themeColor="text1"/>
          <w:highlight w:val="none"/>
          <w14:textFill>
            <w14:solidFill>
              <w14:schemeClr w14:val="tx1"/>
            </w14:solidFill>
          </w14:textFill>
        </w:rPr>
        <w:t>，报新疆维吾尔自治区生态环境厅审批。</w:t>
      </w:r>
    </w:p>
    <w:p w14:paraId="5CE7BE19">
      <w:pPr>
        <w:pStyle w:val="7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default" w:ascii="Times New Roman" w:hAnsi="Times New Roman" w:cs="Times New Roman"/>
          <w:color w:val="000000" w:themeColor="text1"/>
          <w:highlight w:val="none"/>
          <w:lang w:eastAsia="zh-CN"/>
          <w14:textFill>
            <w14:solidFill>
              <w14:schemeClr w14:val="tx1"/>
            </w14:solidFill>
          </w14:textFill>
        </w:rPr>
        <w:t>《中华人民共和国环境影响评价法》《国务院关于修改</w:t>
      </w:r>
      <w:r>
        <w:rPr>
          <w:rFonts w:hint="eastAsia" w:cs="Times New Roman"/>
          <w:color w:val="000000" w:themeColor="text1"/>
          <w:highlight w:val="none"/>
          <w:lang w:eastAsia="zh-CN"/>
          <w14:textFill>
            <w14:solidFill>
              <w14:schemeClr w14:val="tx1"/>
            </w14:solidFill>
          </w14:textFill>
        </w:rPr>
        <w:t>〈建</w:t>
      </w:r>
      <w:r>
        <w:rPr>
          <w:rFonts w:hint="eastAsia" w:cs="Times New Roman"/>
          <w:color w:val="000000" w:themeColor="text1"/>
          <w:highlight w:val="none"/>
          <w:lang w:val="en-US" w:eastAsia="zh-CN"/>
          <w14:textFill>
            <w14:solidFill>
              <w14:schemeClr w14:val="tx1"/>
            </w14:solidFill>
          </w14:textFill>
        </w:rPr>
        <w:t>设</w:t>
      </w:r>
      <w:r>
        <w:rPr>
          <w:rFonts w:hint="default" w:ascii="Times New Roman" w:hAnsi="Times New Roman" w:cs="Times New Roman"/>
          <w:color w:val="000000" w:themeColor="text1"/>
          <w:highlight w:val="none"/>
          <w:lang w:eastAsia="zh-CN"/>
          <w14:textFill>
            <w14:solidFill>
              <w14:schemeClr w14:val="tx1"/>
            </w14:solidFill>
          </w14:textFill>
        </w:rPr>
        <w:t>项目环境保护管理条例</w:t>
      </w:r>
      <w:bookmarkStart w:id="26" w:name="OLE_LINK1230"/>
      <w:r>
        <w:rPr>
          <w:rFonts w:hint="eastAsia" w:cs="Times New Roman"/>
          <w:color w:val="000000" w:themeColor="text1"/>
          <w:highlight w:val="none"/>
          <w:lang w:eastAsia="zh-CN"/>
          <w14:textFill>
            <w14:solidFill>
              <w14:schemeClr w14:val="tx1"/>
            </w14:solidFill>
          </w14:textFill>
        </w:rPr>
        <w:t>〉的</w:t>
      </w:r>
      <w:bookmarkEnd w:id="26"/>
      <w:r>
        <w:rPr>
          <w:rFonts w:hint="default" w:ascii="Times New Roman" w:hAnsi="Times New Roman" w:cs="Times New Roman"/>
          <w:color w:val="000000" w:themeColor="text1"/>
          <w:highlight w:val="none"/>
          <w:lang w:eastAsia="zh-CN"/>
          <w14:textFill>
            <w14:solidFill>
              <w14:schemeClr w14:val="tx1"/>
            </w14:solidFill>
          </w14:textFill>
        </w:rPr>
        <w:t>决定》</w:t>
      </w:r>
      <w:r>
        <w:rPr>
          <w:rFonts w:hint="default" w:ascii="Times New Roman" w:hAnsi="Times New Roman"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shd w:val="clear" w:color="auto" w:fill="FFFFFF"/>
          <w14:textFill>
            <w14:solidFill>
              <w14:schemeClr w14:val="tx1"/>
            </w14:solidFill>
          </w14:textFill>
        </w:rPr>
        <w:t>中国石油化工股份有限公司西北油田分公司</w:t>
      </w:r>
      <w:r>
        <w:rPr>
          <w:rFonts w:hint="default" w:ascii="Times New Roman" w:hAnsi="Times New Roman" w:cs="Times New Roman"/>
          <w:color w:val="000000" w:themeColor="text1"/>
          <w:highlight w:val="none"/>
          <w14:textFill>
            <w14:solidFill>
              <w14:schemeClr w14:val="tx1"/>
            </w14:solidFill>
          </w14:textFill>
        </w:rPr>
        <w:t>委托</w:t>
      </w:r>
      <w:r>
        <w:rPr>
          <w:rFonts w:hint="default" w:ascii="Times New Roman" w:hAnsi="Times New Roman" w:cs="Times New Roman"/>
          <w:color w:val="000000" w:themeColor="text1"/>
          <w:sz w:val="24"/>
          <w:szCs w:val="24"/>
          <w:highlight w:val="none"/>
          <w14:textFill>
            <w14:solidFill>
              <w14:schemeClr w14:val="tx1"/>
            </w14:solidFill>
          </w14:textFill>
        </w:rPr>
        <w:t>新疆威泽环保科技有限责任公司</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以下简称“</w:t>
      </w:r>
      <w:r>
        <w:rPr>
          <w:rFonts w:hint="eastAsia" w:cs="Times New Roman"/>
          <w:color w:val="000000" w:themeColor="text1"/>
          <w:highlight w:val="none"/>
          <w:lang w:val="en-US" w:eastAsia="zh-CN"/>
          <w14:textFill>
            <w14:solidFill>
              <w14:schemeClr w14:val="tx1"/>
            </w14:solidFill>
          </w14:textFill>
        </w:rPr>
        <w:t>威泽</w:t>
      </w:r>
      <w:r>
        <w:rPr>
          <w:rFonts w:hint="default" w:ascii="Times New Roman" w:hAnsi="Times New Roman" w:cs="Times New Roman"/>
          <w:color w:val="000000" w:themeColor="text1"/>
          <w:highlight w:val="none"/>
          <w14:textFill>
            <w14:solidFill>
              <w14:schemeClr w14:val="tx1"/>
            </w14:solidFill>
          </w14:textFill>
        </w:rPr>
        <w:t>公司”</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承担本工程的环境影响评价工作（委托书见附件1）。</w:t>
      </w:r>
    </w:p>
    <w:p w14:paraId="37330AE4">
      <w:pPr>
        <w:pStyle w:val="65"/>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威泽</w:t>
      </w:r>
      <w:r>
        <w:rPr>
          <w:rFonts w:hint="default" w:ascii="Times New Roman" w:hAnsi="Times New Roman" w:cs="Times New Roman"/>
          <w:color w:val="000000" w:themeColor="text1"/>
          <w:highlight w:val="none"/>
          <w14:textFill>
            <w14:solidFill>
              <w14:schemeClr w14:val="tx1"/>
            </w14:solidFill>
          </w14:textFill>
        </w:rPr>
        <w:t>公司接受环评委托后，在建设单位的协助下，按照环境影响评价的相关技术导则及有关工作程序，组织专业人员，对项目区现场实地踏勘、开展现状调查工作、收集资料及其他支撑性文件资料，对建设项目进行工程分析，根据各环境要素的评价等级对各要素环境影响进行预测和评价，提出环境保护措施并进行经济技术论证。受</w:t>
      </w:r>
      <w:r>
        <w:rPr>
          <w:rFonts w:hint="eastAsia" w:cs="Times New Roman"/>
          <w:color w:val="000000" w:themeColor="text1"/>
          <w:highlight w:val="none"/>
          <w:lang w:val="en-US" w:eastAsia="zh-CN"/>
          <w14:textFill>
            <w14:solidFill>
              <w14:schemeClr w14:val="tx1"/>
            </w14:solidFill>
          </w14:textFill>
        </w:rPr>
        <w:t>威泽</w:t>
      </w:r>
      <w:r>
        <w:rPr>
          <w:rFonts w:hint="default" w:ascii="Times New Roman" w:hAnsi="Times New Roman" w:cs="Times New Roman"/>
          <w:color w:val="000000" w:themeColor="text1"/>
          <w:highlight w:val="none"/>
          <w14:textFill>
            <w14:solidFill>
              <w14:schemeClr w14:val="tx1"/>
            </w14:solidFill>
          </w14:textFill>
        </w:rPr>
        <w:t>公司委托</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巴州康安职业环境检测评价有限公司</w:t>
      </w:r>
      <w:r>
        <w:rPr>
          <w:rFonts w:hint="eastAsia"/>
          <w:color w:val="000000" w:themeColor="text1"/>
          <w:highlight w:val="none"/>
          <w14:textFill>
            <w14:solidFill>
              <w14:schemeClr w14:val="tx1"/>
            </w14:solidFill>
          </w14:textFill>
        </w:rPr>
        <w:t>于202</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14:textFill>
            <w14:solidFill>
              <w14:schemeClr w14:val="tx1"/>
            </w14:solidFill>
          </w14:textFill>
        </w:rPr>
        <w:t>对</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评价区域</w:t>
      </w:r>
      <w:r>
        <w:rPr>
          <w:rFonts w:hint="default" w:ascii="Times New Roman" w:hAnsi="Times New Roman" w:cs="Times New Roman"/>
          <w:color w:val="000000" w:themeColor="text1"/>
          <w:highlight w:val="none"/>
          <w:lang w:val="en-US" w:eastAsia="zh-CN"/>
          <w14:textFill>
            <w14:solidFill>
              <w14:schemeClr w14:val="tx1"/>
            </w14:solidFill>
          </w14:textFill>
        </w:rPr>
        <w:t>大气</w:t>
      </w:r>
      <w:r>
        <w:rPr>
          <w:rFonts w:hint="eastAsia"/>
          <w:color w:val="000000" w:themeColor="text1"/>
          <w:highlight w:val="none"/>
          <w14:textFill>
            <w14:solidFill>
              <w14:schemeClr w14:val="tx1"/>
            </w14:solidFill>
          </w14:textFill>
        </w:rPr>
        <w:t>环境</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土壤</w:t>
      </w:r>
      <w:r>
        <w:rPr>
          <w:rFonts w:hint="eastAsia"/>
          <w:color w:val="000000" w:themeColor="text1"/>
          <w:highlight w:val="none"/>
          <w14:textFill>
            <w14:solidFill>
              <w14:schemeClr w14:val="tx1"/>
            </w14:solidFill>
          </w14:textFill>
        </w:rPr>
        <w:t>环境</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地下水环境、</w:t>
      </w:r>
      <w:r>
        <w:rPr>
          <w:rFonts w:hint="default" w:ascii="Times New Roman" w:hAnsi="Times New Roman" w:cs="Times New Roman"/>
          <w:color w:val="000000" w:themeColor="text1"/>
          <w:highlight w:val="none"/>
          <w14:textFill>
            <w14:solidFill>
              <w14:schemeClr w14:val="tx1"/>
            </w14:solidFill>
          </w14:textFill>
        </w:rPr>
        <w:t>声环境质量现状进行了监测</w:t>
      </w:r>
      <w:r>
        <w:rPr>
          <w:rFonts w:hint="eastAsia" w:cs="Times New Roman"/>
          <w:color w:val="000000" w:themeColor="text1"/>
          <w:highlight w:val="none"/>
          <w:lang w:eastAsia="zh-CN"/>
          <w14:textFill>
            <w14:solidFill>
              <w14:schemeClr w14:val="tx1"/>
            </w14:solidFill>
          </w14:textFill>
        </w:rPr>
        <w:t>。根据监测结果，结合项目组所收集到的相关文件、资料，利用软件预测等手段，对工程施工和运营过程中各环境要素所产生的环境影响进行分析、预测和评价，并提出污染防治、生态保护及风险防控措施，论证环保设施的可行性等。</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在上述工作基础上</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威泽</w:t>
      </w:r>
      <w:r>
        <w:rPr>
          <w:rFonts w:hint="default" w:ascii="Times New Roman" w:hAnsi="Times New Roman" w:cs="Times New Roman"/>
          <w:color w:val="000000" w:themeColor="text1"/>
          <w:highlight w:val="none"/>
          <w14:textFill>
            <w14:solidFill>
              <w14:schemeClr w14:val="tx1"/>
            </w14:solidFill>
          </w14:textFill>
        </w:rPr>
        <w:t>公司编制完成了《星火7井区2025年产能建设项目环境影响报告书》（以下简称</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报告书</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）。环境影响评价的工作程序见图1.2-1。</w:t>
      </w:r>
    </w:p>
    <w:p w14:paraId="41E53F55">
      <w:pPr>
        <w:pStyle w:val="7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环评报告编制期间，</w:t>
      </w:r>
      <w:bookmarkStart w:id="27" w:name="OLE_LINK17"/>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建设单位</w:t>
      </w:r>
      <w:bookmarkEnd w:id="27"/>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于202</w:t>
      </w:r>
      <w:r>
        <w:rPr>
          <w:rFonts w:hint="eastAsia" w:cs="Times New Roman"/>
          <w:color w:val="000000" w:themeColor="text1"/>
          <w:kern w:val="24"/>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年</w:t>
      </w:r>
      <w:r>
        <w:rPr>
          <w:rFonts w:hint="eastAsia" w:cs="Times New Roman"/>
          <w:color w:val="000000" w:themeColor="text1"/>
          <w:kern w:val="24"/>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月</w:t>
      </w:r>
      <w:r>
        <w:rPr>
          <w:rFonts w:hint="eastAsia" w:cs="Times New Roman"/>
          <w:color w:val="000000" w:themeColor="text1"/>
          <w:kern w:val="24"/>
          <w:sz w:val="24"/>
          <w:szCs w:val="24"/>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日在</w:t>
      </w:r>
      <w:bookmarkStart w:id="28" w:name="OLE_LINK18"/>
      <w:r>
        <w:rPr>
          <w:rFonts w:hint="eastAsia" w:cs="Times New Roman"/>
          <w:color w:val="000000" w:themeColor="text1"/>
          <w:kern w:val="24"/>
          <w:sz w:val="24"/>
          <w:szCs w:val="24"/>
          <w:highlight w:val="none"/>
          <w:lang w:val="en-US" w:eastAsia="zh-CN"/>
          <w14:textFill>
            <w14:solidFill>
              <w14:schemeClr w14:val="tx1"/>
            </w14:solidFill>
          </w14:textFill>
        </w:rPr>
        <w:t>生态环境公示网</w:t>
      </w:r>
      <w:bookmarkEnd w:id="28"/>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进行第一次网络信息公示，并开展项目区域环境质量现状监测工作。</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环评</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公司完成环境影响报告书征求意见稿</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后</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，建设单位按照</w:t>
      </w:r>
      <w:bookmarkStart w:id="29" w:name="OLE_LINK21"/>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《环境影响评价公众参与办法》（部令第4号）</w:t>
      </w:r>
      <w:bookmarkEnd w:id="29"/>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要求，于202</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16</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日在</w:t>
      </w:r>
      <w:bookmarkStart w:id="30" w:name="OLE_LINK19"/>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阿克苏新闻网</w:t>
      </w:r>
      <w:bookmarkEnd w:id="30"/>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进行第二次公示，同时在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所在地公示栏张贴了环评信息第二次公示材料。建设单位于202</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23</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日及202</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24</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日</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阿克苏日报</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对</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的环境影响评价信息进行两次</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报纸公示</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。建设单位于202</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年</w:t>
      </w:r>
      <w:r>
        <w:rPr>
          <w:rFonts w:hint="eastAsia" w:cs="Times New Roman"/>
          <w:snapToGrid w:val="0"/>
          <w:color w:val="000000" w:themeColor="text1"/>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月</w:t>
      </w:r>
      <w:r>
        <w:rPr>
          <w:rFonts w:hint="eastAsia"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日在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阿克苏新闻网</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进行环境影响评价报批前公示，公开拟报批的环境影响报告书全文和公众参与说明。载体选择符合《环境影响评价公众参与办法》（部令第4号）要求。根据建设单位提供</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的《</w:t>
      </w:r>
      <w:bookmarkStart w:id="31" w:name="OLE_LINK483"/>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星火7井区2025年产能建设项目公众参与说</w:t>
      </w:r>
      <w:bookmarkEnd w:id="31"/>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明》，公示期间未收到反馈意见</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6338AFE9">
      <w:pPr>
        <w:pStyle w:val="7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报告书经生态环境主管部门批准后，可以作为</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本</w:t>
      </w:r>
      <w:r>
        <w:rPr>
          <w:rFonts w:hint="eastAsia" w:cs="Times New Roman"/>
          <w:color w:val="000000" w:themeColor="text1"/>
          <w:kern w:val="24"/>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施工期、运营期</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、退役期</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的环境保护管理依据。</w:t>
      </w:r>
    </w:p>
    <w:p w14:paraId="07661A5D">
      <w:pPr>
        <w:ind w:firstLine="0"/>
        <w:rPr>
          <w:rFonts w:hint="default" w:ascii="Times New Roman" w:hAnsi="Times New Roman" w:cs="Times New Roman"/>
          <w:color w:val="000000" w:themeColor="text1"/>
          <w:highlight w:val="none"/>
          <w14:textFill>
            <w14:solidFill>
              <w14:schemeClr w14:val="tx1"/>
            </w14:solidFill>
          </w14:textFill>
        </w:rPr>
      </w:pPr>
    </w:p>
    <w:p w14:paraId="4CFB4133">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34" name="矩形 34"/>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1D58FF">
                            <w:pPr>
                              <w:pStyle w:val="73"/>
                              <w:ind w:firstLine="315" w:firstLineChars="150"/>
                              <w:jc w:val="center"/>
                              <w:rPr>
                                <w:rFonts w:hint="eastAsia"/>
                                <w:szCs w:val="21"/>
                                <w:lang w:val="en-US" w:eastAsia="zh-CN"/>
                              </w:rPr>
                            </w:pPr>
                            <w:r>
                              <w:rPr>
                                <w:rFonts w:hint="eastAsia"/>
                                <w:szCs w:val="21"/>
                                <w:lang w:val="en-US" w:eastAsia="zh-CN"/>
                              </w:rPr>
                              <w:t>收集分析工程技术文件</w:t>
                            </w:r>
                          </w:p>
                          <w:p w14:paraId="3CCF9190">
                            <w:pPr>
                              <w:pStyle w:val="73"/>
                              <w:ind w:firstLine="315" w:firstLineChars="150"/>
                              <w:jc w:val="center"/>
                              <w:rPr>
                                <w:rFonts w:hint="default" w:eastAsia="宋体"/>
                                <w:szCs w:val="21"/>
                                <w:lang w:val="en-US" w:eastAsia="zh-CN"/>
                              </w:rPr>
                            </w:pPr>
                            <w:r>
                              <w:rPr>
                                <w:rFonts w:hint="eastAsia"/>
                                <w:szCs w:val="21"/>
                                <w:lang w:val="en-US" w:eastAsia="zh-CN"/>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62336;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oLeX2AAAAAkBAAAPAAAAAAAAAAEAIAAAACIA&#10;AABkcnMvZG93bnJldi54bWxQSwECFAAUAAAACACHTuJAVOZnIgkCAAA5BAAADgAAAAAAAAABACAA&#10;AAAnAQAAZHJzL2Uyb0RvYy54bWxQSwUGAAAAAAYABgBZAQAAogUAAAAA&#10;">
                <v:fill on="t" focussize="0,0"/>
                <v:stroke color="#000000" joinstyle="miter"/>
                <v:imagedata o:title=""/>
                <o:lock v:ext="edit" aspectratio="f"/>
                <v:textbox>
                  <w:txbxContent>
                    <w:p w14:paraId="701D58FF">
                      <w:pPr>
                        <w:pStyle w:val="73"/>
                        <w:ind w:firstLine="315" w:firstLineChars="150"/>
                        <w:jc w:val="center"/>
                        <w:rPr>
                          <w:rFonts w:hint="eastAsia"/>
                          <w:szCs w:val="21"/>
                          <w:lang w:val="en-US" w:eastAsia="zh-CN"/>
                        </w:rPr>
                      </w:pPr>
                      <w:r>
                        <w:rPr>
                          <w:rFonts w:hint="eastAsia"/>
                          <w:szCs w:val="21"/>
                          <w:lang w:val="en-US" w:eastAsia="zh-CN"/>
                        </w:rPr>
                        <w:t>收集分析工程技术文件</w:t>
                      </w:r>
                    </w:p>
                    <w:p w14:paraId="3CCF9190">
                      <w:pPr>
                        <w:pStyle w:val="73"/>
                        <w:ind w:firstLine="315" w:firstLineChars="150"/>
                        <w:jc w:val="center"/>
                        <w:rPr>
                          <w:rFonts w:hint="default" w:eastAsia="宋体"/>
                          <w:szCs w:val="21"/>
                          <w:lang w:val="en-US" w:eastAsia="zh-CN"/>
                        </w:rPr>
                      </w:pPr>
                      <w:r>
                        <w:rPr>
                          <w:rFonts w:hint="eastAsia"/>
                          <w:szCs w:val="21"/>
                          <w:lang w:val="en-US" w:eastAsia="zh-CN"/>
                        </w:rPr>
                        <w:t>以及相关基础资料</w:t>
                      </w:r>
                    </w:p>
                  </w:txbxContent>
                </v:textbox>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50800</wp:posOffset>
                </wp:positionH>
                <wp:positionV relativeFrom="paragraph">
                  <wp:posOffset>-127635</wp:posOffset>
                </wp:positionV>
                <wp:extent cx="5181600" cy="6765290"/>
                <wp:effectExtent l="4445" t="4445" r="14605" b="12065"/>
                <wp:wrapNone/>
                <wp:docPr id="39" name="矩形 39"/>
                <wp:cNvGraphicFramePr/>
                <a:graphic xmlns:a="http://schemas.openxmlformats.org/drawingml/2006/main">
                  <a:graphicData uri="http://schemas.microsoft.com/office/word/2010/wordprocessingShape">
                    <wps:wsp>
                      <wps:cNvSpPr/>
                      <wps:spPr>
                        <a:xfrm>
                          <a:off x="0" y="0"/>
                          <a:ext cx="5181600" cy="676529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4pt;margin-top:-10.05pt;height:532.7pt;width:408pt;z-index:251678720;mso-width-relative:page;mso-height-relative:page;" filled="f" stroked="t" coordsize="21600,21600" o:gfxdata="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C3uyzXAAAACgEAAA8AAAAAAAAAAQAgAAAAIgAAAGRycy9kb3ducmV2Lnht&#10;bFBLAQIUABQAAAAIAIdO4kDhqgYu+gEAAPcDAAAOAAAAAAAAAAEAIAAAACYBAABkcnMvZTJvRG9j&#10;LnhtbFBLBQYAAAAABgAGAFkBAACSBQAAAAA=&#10;">
                <v:fill on="f" focussize="0,0"/>
                <v:stroke color="#000000" joinstyle="miter" dashstyle="dash"/>
                <v:imagedata o:title=""/>
                <o:lock v:ext="edit" aspectratio="f"/>
              </v:rect>
            </w:pict>
          </mc:Fallback>
        </mc:AlternateContent>
      </w:r>
    </w:p>
    <w:p w14:paraId="4D2B8AE3">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1A79A736">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2580640</wp:posOffset>
                </wp:positionH>
                <wp:positionV relativeFrom="paragraph">
                  <wp:posOffset>123825</wp:posOffset>
                </wp:positionV>
                <wp:extent cx="6350" cy="424180"/>
                <wp:effectExtent l="36830" t="0" r="33020" b="13970"/>
                <wp:wrapNone/>
                <wp:docPr id="40" name="直接箭头连接符 40"/>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9.75pt;height:33.4pt;width:0.5pt;z-index:251663360;mso-width-relative:page;mso-height-relative:page;" filled="f" stroked="t" coordsize="21600,21600" o:gfxdata="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8xRT2AAAAAkBAAAPAAAA&#10;AAAAAAEAIAAAACIAAABkcnMvZG93bnJldi54bWxQSwECFAAUAAAACACHTuJA0u7BpBUCAAAMBAAA&#10;DgAAAAAAAAABACAAAAAnAQAAZHJzL2Uyb0RvYy54bWxQSwUGAAAAAAYABgBZAQAArgUAAAAA&#10;">
                <v:fill on="f" focussize="0,0"/>
                <v:stroke color="#000000" joinstyle="round" endarrow="block"/>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45" name="矩形 45"/>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14:paraId="2C8A2E0D">
                            <w:pPr>
                              <w:pStyle w:val="73"/>
                              <w:ind w:firstLine="480"/>
                            </w:pPr>
                            <w:r>
                              <w:rPr>
                                <w:rFonts w:hint="eastAsia"/>
                              </w:rPr>
                              <w:t>第</w:t>
                            </w:r>
                            <w:r>
                              <w:rPr>
                                <w:rFonts w:hint="eastAsia"/>
                                <w:lang w:val="en-US" w:eastAsia="zh-CN"/>
                              </w:rPr>
                              <w:t>第</w:t>
                            </w:r>
                            <w:r>
                              <w:rPr>
                                <w:rFonts w:hint="eastAsia"/>
                              </w:rPr>
                              <w:t>一阶段</w:t>
                            </w:r>
                          </w:p>
                        </w:txbxContent>
                      </wps:txbx>
                      <wps:bodyPr upright="1"/>
                    </wps:wsp>
                  </a:graphicData>
                </a:graphic>
              </wp:anchor>
            </w:drawing>
          </mc:Choice>
          <mc:Fallback>
            <w:pict>
              <v:rect id="_x0000_s1026" o:spid="_x0000_s1026" o:spt="1" style="position:absolute;left:0pt;margin-left:7.9pt;margin-top:12.35pt;height:88.5pt;width:21pt;z-index:251675648;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DXpPaYsgEAAFoDAAAOAAAAAAAAAAEAIAAAACYBAABkcnMvZTJvRG9jLnhtbFBLBQYAAAAABgAG&#10;AFkBAABKBQAAAAA=&#10;">
                <v:fill on="f" focussize="0,0"/>
                <v:stroke on="f"/>
                <v:imagedata o:title=""/>
                <o:lock v:ext="edit" aspectratio="f"/>
                <v:textbox>
                  <w:txbxContent>
                    <w:p w14:paraId="2C8A2E0D">
                      <w:pPr>
                        <w:pStyle w:val="73"/>
                        <w:ind w:firstLine="480"/>
                      </w:pPr>
                      <w:r>
                        <w:rPr>
                          <w:rFonts w:hint="eastAsia"/>
                        </w:rPr>
                        <w:t>第</w:t>
                      </w:r>
                      <w:r>
                        <w:rPr>
                          <w:rFonts w:hint="eastAsia"/>
                          <w:lang w:val="en-US" w:eastAsia="zh-CN"/>
                        </w:rPr>
                        <w:t>第</w:t>
                      </w:r>
                      <w:r>
                        <w:rPr>
                          <w:rFonts w:hint="eastAsia"/>
                        </w:rPr>
                        <w:t>一阶段</w:t>
                      </w:r>
                    </w:p>
                  </w:txbxContent>
                </v:textbox>
              </v:rect>
            </w:pict>
          </mc:Fallback>
        </mc:AlternateContent>
      </w:r>
    </w:p>
    <w:p w14:paraId="5D0EBD9D">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2D93CF3F">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1142365</wp:posOffset>
                </wp:positionH>
                <wp:positionV relativeFrom="paragraph">
                  <wp:posOffset>35560</wp:posOffset>
                </wp:positionV>
                <wp:extent cx="2838450" cy="687705"/>
                <wp:effectExtent l="4445" t="4445" r="14605" b="12700"/>
                <wp:wrapNone/>
                <wp:docPr id="46" name="矩形 46"/>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E6D636">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进行工程分析，识别环境影响</w:t>
                            </w:r>
                          </w:p>
                          <w:p w14:paraId="500444DC">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并筛选评价因子，明确环境影响</w:t>
                            </w:r>
                          </w:p>
                          <w:p w14:paraId="248D0D86">
                            <w:pPr>
                              <w:pStyle w:val="73"/>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评价工作重点和环境保护目标</w:t>
                            </w:r>
                          </w:p>
                        </w:txbxContent>
                      </wps:txbx>
                      <wps:bodyPr upright="1"/>
                    </wps:wsp>
                  </a:graphicData>
                </a:graphic>
              </wp:anchor>
            </w:drawing>
          </mc:Choice>
          <mc:Fallback>
            <w:pict>
              <v:rect id="_x0000_s1026" o:spid="_x0000_s1026" o:spt="1" style="position:absolute;left:0pt;margin-left:89.95pt;margin-top:2.8pt;height:54.15pt;width:223.5pt;z-index:251661312;mso-width-relative:page;mso-height-relative:page;" fillcolor="#FFFFFF" filled="t" stroked="t" coordsize="21600,21600" o:gfxdata="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tQyXWAAAACQEAAA8AAAAAAAAAAQAgAAAAIgAAAGRy&#10;cy9kb3ducmV2LnhtbFBLAQIUABQAAAAIAIdO4kAiSdnOBwIAADkEAAAOAAAAAAAAAAEAIAAAACUB&#10;AABkcnMvZTJvRG9jLnhtbFBLBQYAAAAABgAGAFkBAACeBQAAAAA=&#10;">
                <v:fill on="t" focussize="0,0"/>
                <v:stroke color="#000000" joinstyle="miter"/>
                <v:imagedata o:title=""/>
                <o:lock v:ext="edit" aspectratio="f"/>
                <v:textbox>
                  <w:txbxContent>
                    <w:p w14:paraId="64E6D636">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进行工程分析，识别环境影响</w:t>
                      </w:r>
                    </w:p>
                    <w:p w14:paraId="500444DC">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并筛选评价因子，明确环境影响</w:t>
                      </w:r>
                    </w:p>
                    <w:p w14:paraId="248D0D86">
                      <w:pPr>
                        <w:pStyle w:val="73"/>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评价工作重点和环境保护目标</w:t>
                      </w:r>
                    </w:p>
                  </w:txbxContent>
                </v:textbox>
              </v:rect>
            </w:pict>
          </mc:Fallback>
        </mc:AlternateContent>
      </w:r>
    </w:p>
    <w:p w14:paraId="393D7EFE">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38753247">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2581275</wp:posOffset>
                </wp:positionH>
                <wp:positionV relativeFrom="paragraph">
                  <wp:posOffset>224155</wp:posOffset>
                </wp:positionV>
                <wp:extent cx="4445" cy="352425"/>
                <wp:effectExtent l="36830" t="0" r="34925" b="9525"/>
                <wp:wrapNone/>
                <wp:docPr id="47" name="直接箭头连接符 47"/>
                <wp:cNvGraphicFramePr/>
                <a:graphic xmlns:a="http://schemas.openxmlformats.org/drawingml/2006/main">
                  <a:graphicData uri="http://schemas.microsoft.com/office/word/2010/wordprocessingShape">
                    <wps:wsp>
                      <wps:cNvCnPr>
                        <a:endCxn id="48"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5pt;margin-top:17.65pt;height:27.75pt;width:0.35pt;z-index:251664384;mso-width-relative:page;mso-height-relative:page;" filled="f" stroked="t" coordsize="21600,21600" o:gfxdata="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4j7P2QAAAAkBAAAPAAAAAAAAAAEAIAAAACIAAABkcnMvZG93bnJldi54bWxQSwECFAAUAAAACACH&#10;TuJAUCAXbCMCAAA0BAAADgAAAAAAAAABACAAAAAoAQAAZHJzL2Uyb0RvYy54bWxQSwUGAAAAAAYA&#10;BgBZAQAAvQUAAAAA&#10;">
                <v:fill on="f" focussize="0,0"/>
                <v:stroke color="#000000" joinstyle="round" endarrow="block"/>
                <v:imagedata o:title=""/>
                <o:lock v:ext="edit" aspectratio="f"/>
              </v:shape>
            </w:pict>
          </mc:Fallback>
        </mc:AlternateContent>
      </w:r>
    </w:p>
    <w:p w14:paraId="77540655">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577DF59D">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1467485</wp:posOffset>
                </wp:positionH>
                <wp:positionV relativeFrom="paragraph">
                  <wp:posOffset>68580</wp:posOffset>
                </wp:positionV>
                <wp:extent cx="2226945" cy="504825"/>
                <wp:effectExtent l="5080" t="5080" r="15875" b="4445"/>
                <wp:wrapNone/>
                <wp:docPr id="48" name="矩形 48"/>
                <wp:cNvGraphicFramePr/>
                <a:graphic xmlns:a="http://schemas.openxmlformats.org/drawingml/2006/main">
                  <a:graphicData uri="http://schemas.microsoft.com/office/word/2010/wordprocessingShape">
                    <wps:wsp>
                      <wps:cNvSpPr/>
                      <wps:spPr>
                        <a:xfrm>
                          <a:off x="0" y="0"/>
                          <a:ext cx="222694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0CF6C4">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确定评价工作等级、</w:t>
                            </w:r>
                          </w:p>
                          <w:p w14:paraId="6231BB5B">
                            <w:pPr>
                              <w:pStyle w:val="73"/>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评价范围和评价标准</w:t>
                            </w:r>
                          </w:p>
                        </w:txbxContent>
                      </wps:txbx>
                      <wps:bodyPr upright="1"/>
                    </wps:wsp>
                  </a:graphicData>
                </a:graphic>
              </wp:anchor>
            </w:drawing>
          </mc:Choice>
          <mc:Fallback>
            <w:pict>
              <v:rect id="_x0000_s1026" o:spid="_x0000_s1026" o:spt="1" style="position:absolute;left:0pt;margin-left:115.55pt;margin-top:5.4pt;height:39.75pt;width:175.35pt;z-index:251665408;mso-width-relative:page;mso-height-relative:page;" fillcolor="#FFFFFF" filled="t" stroked="t" coordsize="21600,21600" o:gfxdata="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SbOHXAAAACQEAAA8AAAAAAAAAAQAgAAAAIgAAAGRy&#10;cy9kb3ducmV2LnhtbFBLAQIUABQAAAAIAIdO4kBmxIh3BgIAADkEAAAOAAAAAAAAAAEAIAAAACYB&#10;AABkcnMvZTJvRG9jLnhtbFBLBQYAAAAABgAGAFkBAACeBQAAAAA=&#10;">
                <v:fill on="t" focussize="0,0"/>
                <v:stroke color="#000000" joinstyle="miter"/>
                <v:imagedata o:title=""/>
                <o:lock v:ext="edit" aspectratio="f"/>
                <v:textbox>
                  <w:txbxContent>
                    <w:p w14:paraId="150CF6C4">
                      <w:pPr>
                        <w:pStyle w:val="73"/>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确定评价工作等级、</w:t>
                      </w:r>
                    </w:p>
                    <w:p w14:paraId="6231BB5B">
                      <w:pPr>
                        <w:pStyle w:val="73"/>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评价范围和评价标准</w:t>
                      </w:r>
                    </w:p>
                  </w:txbxContent>
                </v:textbox>
              </v:rect>
            </w:pict>
          </mc:Fallback>
        </mc:AlternateContent>
      </w:r>
    </w:p>
    <w:p w14:paraId="45C9B7DC">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509156DA">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49" name="直接箭头连接符 49"/>
                <wp:cNvGraphicFramePr/>
                <a:graphic xmlns:a="http://schemas.openxmlformats.org/drawingml/2006/main">
                  <a:graphicData uri="http://schemas.microsoft.com/office/word/2010/wordprocessingShape">
                    <wps:wsp>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66432;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CS4dgAAAAJAQAADwAA&#10;AAAAAAABACAAAAAiAAAAZHJzL2Rvd25yZXYueG1sUEsBAhQAFAAAAAgAh07iQMxM2kQWAgAADAQA&#10;AA4AAAAAAAAAAQAgAAAAJwEAAGRycy9lMm9Eb2MueG1sUEsFBgAAAAAGAAYAWQEAAK8FAAAAAA==&#10;">
                <v:fill on="f" focussize="0,0"/>
                <v:stroke color="#000000" joinstyle="round" endarrow="block"/>
                <v:imagedata o:title=""/>
                <o:lock v:ext="edit" aspectratio="f"/>
              </v:shape>
            </w:pict>
          </mc:Fallback>
        </mc:AlternateContent>
      </w:r>
    </w:p>
    <w:p w14:paraId="6ED3B820">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51" name="直接箭头连接符 51"/>
                <wp:cNvGraphicFramePr/>
                <a:graphic xmlns:a="http://schemas.openxmlformats.org/drawingml/2006/main">
                  <a:graphicData uri="http://schemas.microsoft.com/office/word/2010/wordprocessingShape">
                    <wps:wsp>
                      <wps:cNvCnPr/>
                      <wps:spPr>
                        <a:xfrm flipV="1">
                          <a:off x="0" y="0"/>
                          <a:ext cx="5124450" cy="2349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flip:y;margin-left:7.95pt;margin-top:0.1pt;height:1.85pt;width:403.5pt;z-index:251673600;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4o0G0wAAAAUBAAAPAAAAAAAAAAEAIAAAACIAAABkcnMv&#10;ZG93bnJldi54bWxQSwECFAAUAAAACACHTuJAlLk6ywgCAAD7AwAADgAAAAAAAAABACAAAAAiAQAA&#10;ZHJzL2Uyb0RvYy54bWxQSwUGAAAAAAYABgBZAQAAnAUAAAAA&#10;">
                <v:fill on="f" focussize="0,0"/>
                <v:stroke color="#000000" joinstyle="round" dashstyle="dash"/>
                <v:imagedata o:title=""/>
                <o:lock v:ext="edit" aspectratio="f"/>
              </v:shape>
            </w:pict>
          </mc:Fallback>
        </mc:AlternateContent>
      </w:r>
    </w:p>
    <w:p w14:paraId="6739C0FF">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43" name="矩形 43"/>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0A4942">
                            <w:pPr>
                              <w:pStyle w:val="7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79744;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ImdK1gAAAAgBAAAPAAAAAAAAAAEAIAAAACIAAABk&#10;cnMvZG93bnJldi54bWxQSwECFAAUAAAACACHTuJAHh9y6AgCAAA5BAAADgAAAAAAAAABACAAAAAl&#10;AQAAZHJzL2Uyb0RvYy54bWxQSwUGAAAAAAYABgBZAQAAnwUAAAAA&#10;">
                <v:fill on="t" focussize="0,0"/>
                <v:stroke color="#000000" joinstyle="miter"/>
                <v:imagedata o:title=""/>
                <o:lock v:ext="edit" aspectratio="f"/>
                <v:textbox>
                  <w:txbxContent>
                    <w:p w14:paraId="3A0A4942">
                      <w:pPr>
                        <w:pStyle w:val="7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现状监测并进行调查与评价</w:t>
                      </w:r>
                    </w:p>
                  </w:txbxContent>
                </v:textbox>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59" name="矩形 59"/>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14:paraId="6581935D">
                            <w:pPr>
                              <w:pStyle w:val="73"/>
                              <w:ind w:firstLine="480"/>
                            </w:pPr>
                            <w:r>
                              <w:rPr>
                                <w:rFonts w:hint="eastAsia"/>
                              </w:rPr>
                              <w:t>第</w:t>
                            </w:r>
                            <w:r>
                              <w:rPr>
                                <w:rFonts w:hint="eastAsia"/>
                                <w:lang w:val="en-US" w:eastAsia="zh-CN"/>
                              </w:rPr>
                              <w:t>第</w:t>
                            </w:r>
                            <w:r>
                              <w:rPr>
                                <w:rFonts w:hint="eastAsia"/>
                              </w:rPr>
                              <w:t>二阶段</w:t>
                            </w:r>
                          </w:p>
                        </w:txbxContent>
                      </wps:txbx>
                      <wps:bodyPr upright="1"/>
                    </wps:wsp>
                  </a:graphicData>
                </a:graphic>
              </wp:anchor>
            </w:drawing>
          </mc:Choice>
          <mc:Fallback>
            <w:pict>
              <v:rect id="_x0000_s1026" o:spid="_x0000_s1026" o:spt="1" style="position:absolute;left:0pt;margin-left:8.85pt;margin-top:13.55pt;height:86.2pt;width:21pt;z-index:251676672;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b5IgKLIBAABaAwAADgAAAAAAAAABACAAAAAnAQAAZHJzL2Uyb0RvYy54bWxQSwUGAAAAAAYA&#10;BgBZAQAASwUAAAAA&#10;">
                <v:fill on="f" focussize="0,0"/>
                <v:stroke on="f"/>
                <v:imagedata o:title=""/>
                <o:lock v:ext="edit" aspectratio="f"/>
                <v:textbox>
                  <w:txbxContent>
                    <w:p w14:paraId="6581935D">
                      <w:pPr>
                        <w:pStyle w:val="73"/>
                        <w:ind w:firstLine="480"/>
                      </w:pPr>
                      <w:r>
                        <w:rPr>
                          <w:rFonts w:hint="eastAsia"/>
                        </w:rPr>
                        <w:t>第</w:t>
                      </w:r>
                      <w:r>
                        <w:rPr>
                          <w:rFonts w:hint="eastAsia"/>
                          <w:lang w:val="en-US" w:eastAsia="zh-CN"/>
                        </w:rPr>
                        <w:t>第</w:t>
                      </w:r>
                      <w:r>
                        <w:rPr>
                          <w:rFonts w:hint="eastAsia"/>
                        </w:rPr>
                        <w:t>二阶段</w:t>
                      </w:r>
                    </w:p>
                  </w:txbxContent>
                </v:textbox>
              </v:rect>
            </w:pict>
          </mc:Fallback>
        </mc:AlternateContent>
      </w:r>
    </w:p>
    <w:p w14:paraId="2F68B122">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61" name="直接箭头连接符 61"/>
                <wp:cNvGraphicFramePr/>
                <a:graphic xmlns:a="http://schemas.openxmlformats.org/drawingml/2006/main">
                  <a:graphicData uri="http://schemas.microsoft.com/office/word/2010/wordprocessingShape">
                    <wps:wsp>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67456;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649NgAAAAKAQAADwAA&#10;AAAAAAABACAAAAAiAAAAZHJzL2Rvd25yZXYueG1sUEsBAhQAFAAAAAgAh07iQAD0g/cWAgAADAQA&#10;AA4AAAAAAAAAAQAgAAAAJwEAAGRycy9lMm9Eb2MueG1sUEsFBgAAAAAGAAYAWQEAAK8FAAAAAA==&#10;">
                <v:fill on="f" focussize="0,0"/>
                <v:stroke color="#000000" joinstyle="round" endarrow="block"/>
                <v:imagedata o:title=""/>
                <o:lock v:ext="edit" aspectratio="f"/>
              </v:shape>
            </w:pict>
          </mc:Fallback>
        </mc:AlternateContent>
      </w:r>
    </w:p>
    <w:p w14:paraId="6621A3CA">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35C66B7F">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63" name="矩形 63"/>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0BBDF5">
                            <w:pPr>
                              <w:pStyle w:val="7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68480;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AOUjunBwIAADkEAAAOAAAAZHJzL2Uyb0RvYy54bWytU82O&#10;0zAQviPxDpbvNG2Xlm3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q6vKHEMI0d//nl&#10;24/vXwluoDudCyUGPbh7P64CwiS1r71OXxRB+uzo6ewo9JFw3Jy/Xi5XbxaUcDy7uV3NF4tEWvz5&#10;2/kQ34PVJIGKeuxYNpIdP4Q4hP4OScmCVVLspFJ54Zv9W+XJkWF3d/kZ2Z+EKUO6iq4W81QHw5Gt&#10;cVQQaoeyg2lyvid/hEviaX7+RZwK27LQDgVkhhTGSi0j+IxaYOKdESSeHDpr8EbRVIwGQYkCvIAJ&#10;5cjIpLomEr1TJiWBPN6jS6lNQ2MSiv2+R9IE91acsMMH52XTosGzLCSd4ETlTozTn0b2co348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bpqo1wAAAAkBAAAPAAAAAAAAAAEAIAAAACIAAABk&#10;cnMvZG93bnJldi54bWxQSwECFAAUAAAACACHTuJADlI7pwcCAAA5BAAADgAAAAAAAAABACAAAAAm&#10;AQAAZHJzL2Uyb0RvYy54bWxQSwUGAAAAAAYABgBZAQAAnwUAAAAA&#10;">
                <v:fill on="t" focussize="0,0"/>
                <v:stroke color="#000000" joinstyle="miter"/>
                <v:imagedata o:title=""/>
                <o:lock v:ext="edit" aspectratio="f"/>
                <v:textbox>
                  <w:txbxContent>
                    <w:p w14:paraId="370BBDF5">
                      <w:pPr>
                        <w:pStyle w:val="7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各环境要素和专题环境影响预测与评价</w:t>
                      </w:r>
                    </w:p>
                  </w:txbxContent>
                </v:textbox>
              </v:rect>
            </w:pict>
          </mc:Fallback>
        </mc:AlternateContent>
      </w:r>
    </w:p>
    <w:p w14:paraId="3397CAB8">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7B1285C1">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64" name="直接箭头连接符 64"/>
                <wp:cNvGraphicFramePr/>
                <a:graphic xmlns:a="http://schemas.openxmlformats.org/drawingml/2006/main">
                  <a:graphicData uri="http://schemas.microsoft.com/office/word/2010/wordprocessingShape">
                    <wps:wsp>
                      <wps:cNvCnPr>
                        <a:stCxn id="63" idx="2"/>
                        <a:endCxn id="68"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69504;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v3gRtcAAAAIAQAADwAAAAAAAAABACAAAAAiAAAAZHJzL2Rvd25yZXYueG1sUEsB&#10;AhQAFAAAAAgAh07iQEk+ev8vAgAATQQAAA4AAAAAAAAAAQAgAAAAJgEAAGRycy9lMm9Eb2MueG1s&#10;UEsFBgAAAAAGAAYAWQEAAMcFAAAAAA==&#10;">
                <v:fill on="f" focussize="0,0"/>
                <v:stroke color="#000000" joinstyle="round" endarrow="block"/>
                <v:imagedata o:title=""/>
                <o:lock v:ext="edit" aspectratio="f"/>
              </v:shape>
            </w:pict>
          </mc:Fallback>
        </mc:AlternateContent>
      </w:r>
    </w:p>
    <w:p w14:paraId="67D5D13F">
      <w:pPr>
        <w:spacing w:line="400" w:lineRule="atLeast"/>
        <w:ind w:firstLine="480"/>
        <w:rPr>
          <w:rFonts w:hint="default" w:ascii="Times New Roman" w:hAnsi="Times New Roman" w:cs="Times New Roman"/>
          <w:color w:val="000000" w:themeColor="text1"/>
          <w:sz w:val="15"/>
          <w:szCs w:val="15"/>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66" name="直接箭头连接符 66"/>
                <wp:cNvGraphicFramePr/>
                <a:graphic xmlns:a="http://schemas.openxmlformats.org/drawingml/2006/main">
                  <a:graphicData uri="http://schemas.microsoft.com/office/word/2010/wordprocessingShape">
                    <wps:wsp>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74624;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ZrYubVAAAACAEAAA8AAAAAAAAAAQAgAAAA&#10;IgAAAGRycy9kb3ducmV2LnhtbFBLAQIUABQAAAAIAIdO4kBNd5iGDgIAAAgEAAAOAAAAAAAAAAEA&#10;IAAAACQBAABkcnMvZTJvRG9jLnhtbFBLBQYAAAAABgAGAFkBAACkBQAAAAA=&#10;">
                <v:fill on="f" focussize="0,0"/>
                <v:stroke color="#000000" joinstyle="round" dashstyle="dash"/>
                <v:imagedata o:title=""/>
                <o:lock v:ext="edit" aspectratio="f"/>
              </v:shape>
            </w:pict>
          </mc:Fallback>
        </mc:AlternateContent>
      </w:r>
    </w:p>
    <w:p w14:paraId="338FCEA6">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68" name="矩形 68"/>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03868F">
                            <w:pPr>
                              <w:pStyle w:val="73"/>
                              <w:ind w:firstLine="420" w:firstLineChars="20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70528;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XkE9cAAAAKAQAADwAAAAAAAAABACAAAAAiAAAAZHJz&#10;L2Rvd25yZXYueG1sUEsBAhQAFAAAAAgAh07iQHaMBngFAgAAOQQAAA4AAAAAAAAAAQAgAAAAJgEA&#10;AGRycy9lMm9Eb2MueG1sUEsFBgAAAAAGAAYAWQEAAJ0FAAAAAA==&#10;">
                <v:fill on="t" focussize="0,0"/>
                <v:stroke color="#000000" joinstyle="miter"/>
                <v:imagedata o:title=""/>
                <o:lock v:ext="edit" aspectratio="f"/>
                <v:textbox>
                  <w:txbxContent>
                    <w:p w14:paraId="1D03868F">
                      <w:pPr>
                        <w:pStyle w:val="73"/>
                        <w:ind w:firstLine="420" w:firstLineChars="20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70" name="矩形 70"/>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14:paraId="6FDA677F">
                            <w:pPr>
                              <w:pStyle w:val="73"/>
                              <w:ind w:firstLine="480"/>
                            </w:pPr>
                            <w:r>
                              <w:rPr>
                                <w:rFonts w:hint="eastAsia"/>
                              </w:rPr>
                              <w:t>第</w:t>
                            </w:r>
                            <w:r>
                              <w:rPr>
                                <w:rFonts w:hint="eastAsia"/>
                                <w:lang w:val="en-US" w:eastAsia="zh-CN"/>
                              </w:rPr>
                              <w:t>第</w:t>
                            </w:r>
                            <w:r>
                              <w:rPr>
                                <w:rFonts w:hint="eastAsia"/>
                              </w:rPr>
                              <w:t>三阶段</w:t>
                            </w:r>
                          </w:p>
                        </w:txbxContent>
                      </wps:txbx>
                      <wps:bodyPr upright="1"/>
                    </wps:wsp>
                  </a:graphicData>
                </a:graphic>
              </wp:anchor>
            </w:drawing>
          </mc:Choice>
          <mc:Fallback>
            <w:pict>
              <v:rect id="_x0000_s1026" o:spid="_x0000_s1026" o:spt="1" style="position:absolute;left:0pt;margin-left:7.3pt;margin-top:4.7pt;height:99.25pt;width:21pt;z-index:251677696;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8BXX&#10;1wAAAAcBAAAPAAAAAAAAAAEAIAAAACIAAABkcnMvZG93bnJldi54bWxQSwECFAAUAAAACACHTuJA&#10;jiwfqbABAABaAwAADgAAAAAAAAABACAAAAAmAQAAZHJzL2Uyb0RvYy54bWxQSwUGAAAAAAYABgBZ&#10;AQAASAUAAAAA&#10;">
                <v:fill on="f" focussize="0,0"/>
                <v:stroke on="f"/>
                <v:imagedata o:title=""/>
                <o:lock v:ext="edit" aspectratio="f"/>
                <v:textbox>
                  <w:txbxContent>
                    <w:p w14:paraId="6FDA677F">
                      <w:pPr>
                        <w:pStyle w:val="73"/>
                        <w:ind w:firstLine="480"/>
                      </w:pPr>
                      <w:r>
                        <w:rPr>
                          <w:rFonts w:hint="eastAsia"/>
                        </w:rPr>
                        <w:t>第</w:t>
                      </w:r>
                      <w:r>
                        <w:rPr>
                          <w:rFonts w:hint="eastAsia"/>
                          <w:lang w:val="en-US" w:eastAsia="zh-CN"/>
                        </w:rPr>
                        <w:t>第</w:t>
                      </w:r>
                      <w:r>
                        <w:rPr>
                          <w:rFonts w:hint="eastAsia"/>
                        </w:rPr>
                        <w:t>三阶段</w:t>
                      </w:r>
                    </w:p>
                  </w:txbxContent>
                </v:textbox>
              </v:rect>
            </w:pict>
          </mc:Fallback>
        </mc:AlternateContent>
      </w:r>
    </w:p>
    <w:p w14:paraId="562078F0">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33B92D9D">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4969337D">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71" name="直接箭头连接符 71"/>
                <wp:cNvGraphicFramePr/>
                <a:graphic xmlns:a="http://schemas.openxmlformats.org/drawingml/2006/main">
                  <a:graphicData uri="http://schemas.microsoft.com/office/word/2010/wordprocessingShape">
                    <wps:wsp>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71552;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DYrTYAAAACAEAAA8AAAAAAAAAAQAgAAAA&#10;IgAAAGRycy9kb3ducmV2LnhtbFBLAQIUABQAAAAIAIdO4kCqLWOECwIAAAEEAAAOAAAAAAAAAAEA&#10;IAAAACcBAABkcnMvZTJvRG9jLnhtbFBLBQYAAAAABgAGAFkBAACkBQAAAAA=&#10;">
                <v:fill on="f" focussize="0,0"/>
                <v:stroke color="#000000" joinstyle="round" endarrow="block"/>
                <v:imagedata o:title=""/>
                <o:lock v:ext="edit" aspectratio="f"/>
              </v:shape>
            </w:pict>
          </mc:Fallback>
        </mc:AlternateContent>
      </w:r>
    </w:p>
    <w:p w14:paraId="4DCED9ED">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72" name="矩形 72"/>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5F8629">
                            <w:pPr>
                              <w:pStyle w:val="73"/>
                              <w:jc w:val="center"/>
                              <w:rPr>
                                <w:rFonts w:hint="eastAsia"/>
                                <w:szCs w:val="21"/>
                                <w:lang w:val="en-US" w:eastAsia="zh-CN"/>
                              </w:rPr>
                            </w:pPr>
                            <w:r>
                              <w:rPr>
                                <w:rFonts w:hint="eastAsia"/>
                                <w:szCs w:val="21"/>
                                <w:lang w:val="en-US" w:eastAsia="zh-CN"/>
                              </w:rPr>
                              <w:t>从生态环境影响的角度给出</w:t>
                            </w:r>
                          </w:p>
                          <w:p w14:paraId="688E1205">
                            <w:pPr>
                              <w:pStyle w:val="73"/>
                              <w:jc w:val="center"/>
                              <w:rPr>
                                <w:rFonts w:hint="default" w:eastAsia="宋体"/>
                                <w:szCs w:val="21"/>
                                <w:lang w:val="en-US" w:eastAsia="zh-CN"/>
                              </w:rPr>
                            </w:pPr>
                            <w:r>
                              <w:rPr>
                                <w:rFonts w:hint="eastAsia"/>
                                <w:szCs w:val="21"/>
                                <w:lang w:val="en-US" w:eastAsia="zh-CN"/>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72576;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yTdJsQUCAAA5BAAADgAAAAAAAAABACAAAAAlAQAA&#10;ZHJzL2Uyb0RvYy54bWxQSwUGAAAAAAYABgBZAQAAnAUAAAAA&#10;">
                <v:fill on="t" focussize="0,0"/>
                <v:stroke color="#000000" joinstyle="miter"/>
                <v:imagedata o:title=""/>
                <o:lock v:ext="edit" aspectratio="f"/>
                <v:textbox>
                  <w:txbxContent>
                    <w:p w14:paraId="025F8629">
                      <w:pPr>
                        <w:pStyle w:val="73"/>
                        <w:jc w:val="center"/>
                        <w:rPr>
                          <w:rFonts w:hint="eastAsia"/>
                          <w:szCs w:val="21"/>
                          <w:lang w:val="en-US" w:eastAsia="zh-CN"/>
                        </w:rPr>
                      </w:pPr>
                      <w:r>
                        <w:rPr>
                          <w:rFonts w:hint="eastAsia"/>
                          <w:szCs w:val="21"/>
                          <w:lang w:val="en-US" w:eastAsia="zh-CN"/>
                        </w:rPr>
                        <w:t>从生态环境影响的角度给出</w:t>
                      </w:r>
                    </w:p>
                    <w:p w14:paraId="688E1205">
                      <w:pPr>
                        <w:pStyle w:val="73"/>
                        <w:jc w:val="center"/>
                        <w:rPr>
                          <w:rFonts w:hint="default" w:eastAsia="宋体"/>
                          <w:szCs w:val="21"/>
                          <w:lang w:val="en-US" w:eastAsia="zh-CN"/>
                        </w:rPr>
                      </w:pPr>
                      <w:r>
                        <w:rPr>
                          <w:rFonts w:hint="eastAsia"/>
                          <w:szCs w:val="21"/>
                          <w:lang w:val="en-US" w:eastAsia="zh-CN"/>
                        </w:rPr>
                        <w:t>工程建设项目是否可行的结论</w:t>
                      </w:r>
                    </w:p>
                  </w:txbxContent>
                </v:textbox>
              </v:rect>
            </w:pict>
          </mc:Fallback>
        </mc:AlternateContent>
      </w:r>
    </w:p>
    <w:p w14:paraId="38B73452">
      <w:pPr>
        <w:spacing w:line="400" w:lineRule="atLeast"/>
        <w:ind w:firstLine="480"/>
        <w:rPr>
          <w:rFonts w:hint="default" w:ascii="Times New Roman" w:hAnsi="Times New Roman" w:cs="Times New Roman"/>
          <w:color w:val="000000" w:themeColor="text1"/>
          <w:highlight w:val="none"/>
          <w14:textFill>
            <w14:solidFill>
              <w14:schemeClr w14:val="tx1"/>
            </w14:solidFill>
          </w14:textFill>
        </w:rPr>
      </w:pPr>
    </w:p>
    <w:p w14:paraId="0E3971AC">
      <w:pPr>
        <w:ind w:firstLine="480"/>
        <w:rPr>
          <w:rFonts w:hint="default" w:ascii="Times New Roman" w:hAnsi="Times New Roman" w:cs="Times New Roman"/>
          <w:color w:val="000000" w:themeColor="text1"/>
          <w:highlight w:val="none"/>
          <w14:textFill>
            <w14:solidFill>
              <w14:schemeClr w14:val="tx1"/>
            </w14:solidFill>
          </w14:textFill>
        </w:rPr>
      </w:pPr>
    </w:p>
    <w:p w14:paraId="03995BD1">
      <w:pPr>
        <w:spacing w:before="47" w:line="185" w:lineRule="auto"/>
        <w:jc w:val="center"/>
        <w:rPr>
          <w:rFonts w:hint="default" w:ascii="Times New Roman" w:hAnsi="Times New Roman" w:eastAsia="黑体" w:cs="Times New Roman"/>
          <w:b w:val="0"/>
          <w:bCs/>
          <w:color w:val="000000" w:themeColor="text1"/>
          <w:sz w:val="21"/>
          <w:szCs w:val="21"/>
          <w:highlight w:val="none"/>
          <w14:textFill>
            <w14:solidFill>
              <w14:schemeClr w14:val="tx1"/>
            </w14:solidFill>
          </w14:textFill>
        </w:rPr>
      </w:pPr>
    </w:p>
    <w:p w14:paraId="538E2327">
      <w:pPr>
        <w:spacing w:before="47" w:line="185" w:lineRule="auto"/>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图1.2-1</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环境影响评价工作程序图</w:t>
      </w:r>
    </w:p>
    <w:p w14:paraId="521A7836">
      <w:pPr>
        <w:spacing w:before="47" w:line="185" w:lineRule="auto"/>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p>
    <w:p w14:paraId="57EC5447">
      <w:pPr>
        <w:pStyle w:val="3"/>
        <w:keepNext/>
        <w:keepLines/>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32" w:name="_Toc75438872"/>
      <w:bookmarkStart w:id="33" w:name="_Toc201"/>
      <w:bookmarkStart w:id="34" w:name="_Toc29740"/>
      <w:r>
        <w:rPr>
          <w:rFonts w:hint="default" w:ascii="Times New Roman" w:hAnsi="Times New Roman" w:cs="Times New Roman"/>
          <w:color w:val="000000" w:themeColor="text1"/>
          <w:highlight w:val="none"/>
          <w14:textFill>
            <w14:solidFill>
              <w14:schemeClr w14:val="tx1"/>
            </w14:solidFill>
          </w14:textFill>
        </w:rPr>
        <w:t>1.3</w:t>
      </w:r>
      <w:bookmarkEnd w:id="32"/>
      <w:bookmarkEnd w:id="33"/>
      <w:r>
        <w:rPr>
          <w:rFonts w:hint="default" w:ascii="Times New Roman" w:hAnsi="Times New Roman" w:cs="Times New Roman"/>
          <w:color w:val="000000" w:themeColor="text1"/>
          <w:highlight w:val="none"/>
          <w14:textFill>
            <w14:solidFill>
              <w14:schemeClr w14:val="tx1"/>
            </w14:solidFill>
          </w14:textFill>
        </w:rPr>
        <w:t>分析判定相关情况</w:t>
      </w:r>
      <w:bookmarkEnd w:id="34"/>
    </w:p>
    <w:p w14:paraId="1E8865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highlight w:val="none"/>
          <w:lang w:val="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1</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产业政策符合性判定结论</w:t>
      </w:r>
    </w:p>
    <w:p w14:paraId="321B8C00">
      <w:pPr>
        <w:pStyle w:val="70"/>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根据《</w:t>
      </w:r>
      <w:bookmarkStart w:id="35" w:name="OLE_LINK22"/>
      <w:r>
        <w:rPr>
          <w:rFonts w:hint="default" w:ascii="Times New Roman" w:hAnsi="Times New Roman" w:cs="Times New Roman"/>
          <w:color w:val="000000" w:themeColor="text1"/>
          <w:highlight w:val="none"/>
          <w:lang w:val="zh-CN"/>
          <w14:textFill>
            <w14:solidFill>
              <w14:schemeClr w14:val="tx1"/>
            </w14:solidFill>
          </w14:textFill>
        </w:rPr>
        <w:t>产业结构调整指导目录</w:t>
      </w:r>
      <w:bookmarkEnd w:id="35"/>
      <w:r>
        <w:rPr>
          <w:rFonts w:hint="default" w:ascii="Times New Roman" w:hAnsi="Times New Roman" w:cs="Times New Roman"/>
          <w:color w:val="000000" w:themeColor="text1"/>
          <w:highlight w:val="none"/>
          <w:lang w:val="zh-CN"/>
          <w14:textFill>
            <w14:solidFill>
              <w14:schemeClr w14:val="tx1"/>
            </w14:solidFill>
          </w14:textFill>
        </w:rPr>
        <w:t>（20</w:t>
      </w:r>
      <w:r>
        <w:rPr>
          <w:rFonts w:hint="default" w:ascii="Times New Roman" w:hAnsi="Times New Roman" w:cs="Times New Roman"/>
          <w:color w:val="000000" w:themeColor="text1"/>
          <w:highlight w:val="none"/>
          <w:lang w:val="en-US" w:eastAsia="zh-CN"/>
          <w14:textFill>
            <w14:solidFill>
              <w14:schemeClr w14:val="tx1"/>
            </w14:solidFill>
          </w14:textFill>
        </w:rPr>
        <w:t>24</w:t>
      </w:r>
      <w:r>
        <w:rPr>
          <w:rFonts w:hint="default" w:ascii="Times New Roman" w:hAnsi="Times New Roman" w:cs="Times New Roman"/>
          <w:color w:val="000000" w:themeColor="text1"/>
          <w:highlight w:val="none"/>
          <w:lang w:val="zh-CN"/>
          <w14:textFill>
            <w14:solidFill>
              <w14:schemeClr w14:val="tx1"/>
            </w14:solidFill>
          </w14:textFill>
        </w:rPr>
        <w:t>年本）》，</w:t>
      </w: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属于</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第一类 鼓励类</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七、石油天然气</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中的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1.石油天然气开采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zh-CN"/>
          <w14:textFill>
            <w14:solidFill>
              <w14:schemeClr w14:val="tx1"/>
            </w14:solidFill>
          </w14:textFill>
        </w:rPr>
        <w:t>常规石油、天然气勘探与开采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zh-CN"/>
          <w14:textFill>
            <w14:solidFill>
              <w14:schemeClr w14:val="tx1"/>
            </w14:solidFill>
          </w14:textFill>
        </w:rPr>
        <w:t>的建设符合国家</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当前</w:t>
      </w:r>
      <w:r>
        <w:rPr>
          <w:rFonts w:hint="default" w:ascii="Times New Roman" w:hAnsi="Times New Roman" w:cs="Times New Roman"/>
          <w:color w:val="000000" w:themeColor="text1"/>
          <w:highlight w:val="none"/>
          <w:lang w:val="zh-CN"/>
          <w14:textFill>
            <w14:solidFill>
              <w14:schemeClr w14:val="tx1"/>
            </w14:solidFill>
          </w14:textFill>
        </w:rPr>
        <w:t>产业政策</w:t>
      </w:r>
      <w:r>
        <w:rPr>
          <w:rFonts w:hint="eastAsia"/>
          <w:color w:val="000000" w:themeColor="text1"/>
          <w:highlight w:val="none"/>
          <w:lang w:val="zh-CN"/>
          <w14:textFill>
            <w14:solidFill>
              <w14:schemeClr w14:val="tx1"/>
            </w14:solidFill>
          </w14:textFill>
        </w:rPr>
        <w:t>要求</w:t>
      </w:r>
      <w:r>
        <w:rPr>
          <w:rFonts w:hint="default" w:ascii="Times New Roman" w:hAnsi="Times New Roman" w:cs="Times New Roman"/>
          <w:color w:val="000000" w:themeColor="text1"/>
          <w:highlight w:val="none"/>
          <w:lang w:val="zh-CN"/>
          <w14:textFill>
            <w14:solidFill>
              <w14:schemeClr w14:val="tx1"/>
            </w14:solidFill>
          </w14:textFill>
        </w:rPr>
        <w:t>。</w:t>
      </w:r>
    </w:p>
    <w:p w14:paraId="6E52721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政策、法规符合性分析</w:t>
      </w:r>
    </w:p>
    <w:p w14:paraId="4006E830">
      <w:pPr>
        <w:pStyle w:val="70"/>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zh-CN"/>
          <w14:textFill>
            <w14:solidFill>
              <w14:schemeClr w14:val="tx1"/>
            </w14:solidFill>
          </w14:textFill>
        </w:rPr>
        <w:t>属于</w:t>
      </w:r>
      <w:r>
        <w:rPr>
          <w:rFonts w:hint="default" w:ascii="Times New Roman" w:hAnsi="Times New Roman" w:cs="Times New Roman"/>
          <w:bCs/>
          <w:color w:val="000000" w:themeColor="text1"/>
          <w:highlight w:val="none"/>
          <w14:textFill>
            <w14:solidFill>
              <w14:schemeClr w14:val="tx1"/>
            </w14:solidFill>
          </w14:textFill>
        </w:rPr>
        <w:t>天然气开采项目</w:t>
      </w:r>
      <w:r>
        <w:rPr>
          <w:rFonts w:hint="default" w:ascii="Times New Roman" w:hAnsi="Times New Roman" w:cs="Times New Roman"/>
          <w:color w:val="000000" w:themeColor="text1"/>
          <w:highlight w:val="none"/>
          <w:lang w:val="zh-CN"/>
          <w14:textFill>
            <w14:solidFill>
              <w14:schemeClr w14:val="tx1"/>
            </w14:solidFill>
          </w14:textFill>
        </w:rPr>
        <w:t>，工程占地范围内不涉及依法划定的国家公园、自然保护区、世界自然遗产、自然公园、生态保护红线等</w:t>
      </w:r>
      <w:r>
        <w:rPr>
          <w:rFonts w:hint="default" w:ascii="Times New Roman" w:hAnsi="Times New Roman" w:cs="Times New Roman"/>
          <w:color w:val="000000" w:themeColor="text1"/>
          <w:highlight w:val="none"/>
          <w:lang w:val="en-US" w:eastAsia="zh-CN"/>
          <w14:textFill>
            <w14:solidFill>
              <w14:schemeClr w14:val="tx1"/>
            </w14:solidFill>
          </w14:textFill>
        </w:rPr>
        <w:t>重要</w:t>
      </w:r>
      <w:r>
        <w:rPr>
          <w:rFonts w:hint="default" w:ascii="Times New Roman" w:hAnsi="Times New Roman" w:cs="Times New Roman"/>
          <w:color w:val="000000" w:themeColor="text1"/>
          <w:highlight w:val="none"/>
          <w:lang w:val="zh-CN"/>
          <w14:textFill>
            <w14:solidFill>
              <w14:schemeClr w14:val="tx1"/>
            </w14:solidFill>
          </w14:textFill>
        </w:rPr>
        <w:t>生态</w:t>
      </w:r>
      <w:r>
        <w:rPr>
          <w:rFonts w:hint="default" w:ascii="Times New Roman" w:hAnsi="Times New Roman" w:cs="Times New Roman"/>
          <w:color w:val="000000" w:themeColor="text1"/>
          <w:highlight w:val="none"/>
          <w:lang w:val="en-US" w:eastAsia="zh-CN"/>
          <w14:textFill>
            <w14:solidFill>
              <w14:schemeClr w14:val="tx1"/>
            </w14:solidFill>
          </w14:textFill>
        </w:rPr>
        <w:t>敏感</w:t>
      </w:r>
      <w:r>
        <w:rPr>
          <w:rFonts w:hint="default" w:ascii="Times New Roman" w:hAnsi="Times New Roman" w:cs="Times New Roman"/>
          <w:color w:val="000000" w:themeColor="text1"/>
          <w:highlight w:val="none"/>
          <w:lang w:val="zh-CN"/>
          <w14:textFill>
            <w14:solidFill>
              <w14:schemeClr w14:val="tx1"/>
            </w14:solidFill>
          </w14:textFill>
        </w:rPr>
        <w:t>区。符合《石油天然气开采业污染防治技术政策》《新疆维吾尔自治区大气污染防治条例》《关于进一步加强石油天然气行业环境影响评价管理的通知》（环办环评函〔2019〕910号）等相关政策、法律法规相关要求。</w:t>
      </w:r>
    </w:p>
    <w:p w14:paraId="26BC667C">
      <w:pPr>
        <w:pStyle w:val="70"/>
        <w:keepNext w:val="0"/>
        <w:keepLines w:val="0"/>
        <w:pageBreakBefore w:val="0"/>
        <w:widowControl w:val="0"/>
        <w:kinsoku/>
        <w:wordWrap/>
        <w:overflowPunct/>
        <w:bidi w:val="0"/>
        <w:adjustRightInd w:val="0"/>
        <w:snapToGrid w:val="0"/>
        <w:spacing w:line="360" w:lineRule="auto"/>
        <w:ind w:firstLine="482"/>
        <w:textAlignment w:val="auto"/>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lang w:val="zh-CN"/>
          <w14:textFill>
            <w14:solidFill>
              <w14:schemeClr w14:val="tx1"/>
            </w14:solidFill>
          </w14:textFill>
        </w:rPr>
        <w:t>（3）</w:t>
      </w:r>
      <w:r>
        <w:rPr>
          <w:rFonts w:hint="default" w:ascii="Times New Roman" w:hAnsi="Times New Roman" w:cs="Times New Roman"/>
          <w:b w:val="0"/>
          <w:bCs w:val="0"/>
          <w:color w:val="000000" w:themeColor="text1"/>
          <w:highlight w:val="none"/>
          <w14:textFill>
            <w14:solidFill>
              <w14:schemeClr w14:val="tx1"/>
            </w14:solidFill>
          </w14:textFill>
        </w:rPr>
        <w:t>规划符合性判定结论</w:t>
      </w:r>
    </w:p>
    <w:p w14:paraId="1F727FC4">
      <w:pPr>
        <w:pStyle w:val="70"/>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val="0"/>
          <w:bCs w:val="0"/>
          <w:color w:val="000000" w:themeColor="text1"/>
          <w:highlight w:val="none"/>
          <w:lang w:val="zh-CN"/>
          <w14:textFill>
            <w14:solidFill>
              <w14:schemeClr w14:val="tx1"/>
            </w14:solidFill>
          </w14:textFill>
        </w:rPr>
      </w:pPr>
      <w:bookmarkStart w:id="36" w:name="OLE_LINK24"/>
      <w:r>
        <w:rPr>
          <w:rFonts w:hint="default" w:ascii="Times New Roman" w:hAnsi="Times New Roman" w:cs="Times New Roman"/>
          <w:b w:val="0"/>
          <w:bCs w:val="0"/>
          <w:color w:val="000000" w:themeColor="text1"/>
          <w:highlight w:val="none"/>
          <w:lang w:val="zh-CN"/>
          <w14:textFill>
            <w14:solidFill>
              <w14:schemeClr w14:val="tx1"/>
            </w14:solidFill>
          </w14:textFill>
        </w:rPr>
        <w:t>本</w:t>
      </w:r>
      <w:r>
        <w:rPr>
          <w:rFonts w:hint="eastAsia" w:cs="Times New Roman"/>
          <w:b w:val="0"/>
          <w:bCs w:val="0"/>
          <w:color w:val="000000" w:themeColor="text1"/>
          <w:highlight w:val="none"/>
          <w:lang w:val="en-US" w:eastAsia="zh-CN"/>
          <w14:textFill>
            <w14:solidFill>
              <w14:schemeClr w14:val="tx1"/>
            </w14:solidFill>
          </w14:textFill>
        </w:rPr>
        <w:t>工程</w:t>
      </w:r>
      <w:bookmarkEnd w:id="36"/>
      <w:r>
        <w:rPr>
          <w:rFonts w:hint="default" w:ascii="Times New Roman" w:hAnsi="Times New Roman" w:cs="Times New Roman"/>
          <w:b w:val="0"/>
          <w:bCs w:val="0"/>
          <w:color w:val="000000" w:themeColor="text1"/>
          <w:highlight w:val="none"/>
          <w:lang w:val="zh-CN"/>
          <w14:textFill>
            <w14:solidFill>
              <w14:schemeClr w14:val="tx1"/>
            </w14:solidFill>
          </w14:textFill>
        </w:rPr>
        <w:t>属于西北油田分公司开发项目，符合《新疆维吾尔自治区国民经济和社会发展第十四个五年规划和2035年远景目标纲要》《新疆生态环境保护</w:t>
      </w:r>
      <w:r>
        <w:rPr>
          <w:rFonts w:hint="eastAsia" w:cs="Times New Roman"/>
          <w:b w:val="0"/>
          <w:bCs w:val="0"/>
          <w:color w:val="000000" w:themeColor="text1"/>
          <w:highlight w:val="none"/>
          <w:lang w:val="zh-CN"/>
          <w14:textFill>
            <w14:solidFill>
              <w14:schemeClr w14:val="tx1"/>
            </w14:solidFill>
          </w14:textFill>
        </w:rPr>
        <w:t>“</w:t>
      </w:r>
      <w:r>
        <w:rPr>
          <w:rFonts w:hint="default" w:ascii="Times New Roman" w:hAnsi="Times New Roman" w:cs="Times New Roman"/>
          <w:b w:val="0"/>
          <w:bCs w:val="0"/>
          <w:color w:val="000000" w:themeColor="text1"/>
          <w:highlight w:val="none"/>
          <w:lang w:val="zh-CN"/>
          <w14:textFill>
            <w14:solidFill>
              <w14:schemeClr w14:val="tx1"/>
            </w14:solidFill>
          </w14:textFill>
        </w:rPr>
        <w:t>十四五</w:t>
      </w:r>
      <w:r>
        <w:rPr>
          <w:rFonts w:hint="eastAsia" w:cs="Times New Roman"/>
          <w:b w:val="0"/>
          <w:bCs w:val="0"/>
          <w:color w:val="000000" w:themeColor="text1"/>
          <w:highlight w:val="none"/>
          <w:lang w:val="zh-CN"/>
          <w14:textFill>
            <w14:solidFill>
              <w14:schemeClr w14:val="tx1"/>
            </w14:solidFill>
          </w14:textFill>
        </w:rPr>
        <w:t>”</w:t>
      </w:r>
      <w:r>
        <w:rPr>
          <w:rFonts w:hint="default" w:ascii="Times New Roman" w:hAnsi="Times New Roman" w:cs="Times New Roman"/>
          <w:b w:val="0"/>
          <w:bCs w:val="0"/>
          <w:color w:val="000000" w:themeColor="text1"/>
          <w:highlight w:val="none"/>
          <w:lang w:val="zh-CN"/>
          <w14:textFill>
            <w14:solidFill>
              <w14:schemeClr w14:val="tx1"/>
            </w14:solidFill>
          </w14:textFill>
        </w:rPr>
        <w:t>规划》《阿克苏地区生态环境保护</w:t>
      </w:r>
      <w:r>
        <w:rPr>
          <w:rFonts w:hint="eastAsia" w:cs="Times New Roman"/>
          <w:b w:val="0"/>
          <w:bCs w:val="0"/>
          <w:color w:val="000000" w:themeColor="text1"/>
          <w:highlight w:val="none"/>
          <w:lang w:val="zh-CN"/>
          <w14:textFill>
            <w14:solidFill>
              <w14:schemeClr w14:val="tx1"/>
            </w14:solidFill>
          </w14:textFill>
        </w:rPr>
        <w:t>“</w:t>
      </w:r>
      <w:r>
        <w:rPr>
          <w:rFonts w:hint="default" w:ascii="Times New Roman" w:hAnsi="Times New Roman" w:cs="Times New Roman"/>
          <w:b w:val="0"/>
          <w:bCs w:val="0"/>
          <w:color w:val="000000" w:themeColor="text1"/>
          <w:highlight w:val="none"/>
          <w:lang w:val="zh-CN"/>
          <w14:textFill>
            <w14:solidFill>
              <w14:schemeClr w14:val="tx1"/>
            </w14:solidFill>
          </w14:textFill>
        </w:rPr>
        <w:t>十四五</w:t>
      </w:r>
      <w:r>
        <w:rPr>
          <w:rFonts w:hint="eastAsia" w:cs="Times New Roman"/>
          <w:b w:val="0"/>
          <w:bCs w:val="0"/>
          <w:color w:val="000000" w:themeColor="text1"/>
          <w:highlight w:val="none"/>
          <w:lang w:val="zh-CN"/>
          <w14:textFill>
            <w14:solidFill>
              <w14:schemeClr w14:val="tx1"/>
            </w14:solidFill>
          </w14:textFill>
        </w:rPr>
        <w:t>”</w:t>
      </w:r>
      <w:r>
        <w:rPr>
          <w:rFonts w:hint="default" w:ascii="Times New Roman" w:hAnsi="Times New Roman" w:cs="Times New Roman"/>
          <w:b w:val="0"/>
          <w:bCs w:val="0"/>
          <w:color w:val="000000" w:themeColor="text1"/>
          <w:highlight w:val="none"/>
          <w:lang w:val="zh-CN"/>
          <w14:textFill>
            <w14:solidFill>
              <w14:schemeClr w14:val="tx1"/>
            </w14:solidFill>
          </w14:textFill>
        </w:rPr>
        <w:t>规划》</w:t>
      </w:r>
      <w:r>
        <w:rPr>
          <w:rFonts w:hint="default" w:ascii="Times New Roman" w:hAnsi="Times New Roman" w:cs="Times New Roman"/>
          <w:b w:val="0"/>
          <w:bCs w:val="0"/>
          <w:color w:val="000000" w:themeColor="text1"/>
          <w:highlight w:val="none"/>
          <w:lang w:eastAsia="zh-CN" w:bidi="ar"/>
          <w14:textFill>
            <w14:solidFill>
              <w14:schemeClr w14:val="tx1"/>
            </w14:solidFill>
          </w14:textFill>
        </w:rPr>
        <w:t>《</w:t>
      </w:r>
      <w:r>
        <w:rPr>
          <w:rFonts w:hint="default" w:ascii="Times New Roman" w:hAnsi="Times New Roman" w:cs="Times New Roman"/>
          <w:b w:val="0"/>
          <w:bCs w:val="0"/>
          <w:color w:val="000000" w:themeColor="text1"/>
          <w:highlight w:val="none"/>
          <w:lang w:val="en-US" w:eastAsia="zh-CN" w:bidi="ar"/>
          <w14:textFill>
            <w14:solidFill>
              <w14:schemeClr w14:val="tx1"/>
            </w14:solidFill>
          </w14:textFill>
        </w:rPr>
        <w:t>中国石油化工股份有限公司西北油田分公司</w:t>
      </w:r>
      <w:r>
        <w:rPr>
          <w:rFonts w:hint="eastAsia" w:cs="Times New Roman"/>
          <w:b w:val="0"/>
          <w:bCs w:val="0"/>
          <w:color w:val="000000" w:themeColor="text1"/>
          <w:highlight w:val="none"/>
          <w:lang w:eastAsia="zh-CN" w:bidi="ar"/>
          <w14:textFill>
            <w14:solidFill>
              <w14:schemeClr w14:val="tx1"/>
            </w14:solidFill>
          </w14:textFill>
        </w:rPr>
        <w:t>“</w:t>
      </w:r>
      <w:r>
        <w:rPr>
          <w:rFonts w:hint="default" w:ascii="Times New Roman" w:hAnsi="Times New Roman" w:cs="Times New Roman"/>
          <w:b w:val="0"/>
          <w:bCs w:val="0"/>
          <w:color w:val="000000" w:themeColor="text1"/>
          <w:highlight w:val="none"/>
          <w:lang w:bidi="ar"/>
          <w14:textFill>
            <w14:solidFill>
              <w14:schemeClr w14:val="tx1"/>
            </w14:solidFill>
          </w14:textFill>
        </w:rPr>
        <w:t>十四五</w:t>
      </w:r>
      <w:r>
        <w:rPr>
          <w:rFonts w:hint="eastAsia" w:cs="Times New Roman"/>
          <w:b w:val="0"/>
          <w:bCs w:val="0"/>
          <w:color w:val="000000" w:themeColor="text1"/>
          <w:highlight w:val="none"/>
          <w:lang w:eastAsia="zh-CN" w:bidi="ar"/>
          <w14:textFill>
            <w14:solidFill>
              <w14:schemeClr w14:val="tx1"/>
            </w14:solidFill>
          </w14:textFill>
        </w:rPr>
        <w:t>”</w:t>
      </w:r>
      <w:r>
        <w:rPr>
          <w:rFonts w:hint="default" w:ascii="Times New Roman" w:hAnsi="Times New Roman" w:cs="Times New Roman"/>
          <w:b w:val="0"/>
          <w:bCs w:val="0"/>
          <w:color w:val="000000" w:themeColor="text1"/>
          <w:highlight w:val="none"/>
          <w:lang w:bidi="ar"/>
          <w14:textFill>
            <w14:solidFill>
              <w14:schemeClr w14:val="tx1"/>
            </w14:solidFill>
          </w14:textFill>
        </w:rPr>
        <w:t>规划</w:t>
      </w:r>
      <w:r>
        <w:rPr>
          <w:rFonts w:hint="default" w:ascii="Times New Roman" w:hAnsi="Times New Roman" w:cs="Times New Roman"/>
          <w:b w:val="0"/>
          <w:bCs w:val="0"/>
          <w:color w:val="000000" w:themeColor="text1"/>
          <w:highlight w:val="none"/>
          <w:lang w:eastAsia="zh-CN" w:bidi="ar"/>
          <w14:textFill>
            <w14:solidFill>
              <w14:schemeClr w14:val="tx1"/>
            </w14:solidFill>
          </w14:textFill>
        </w:rPr>
        <w:t>》</w:t>
      </w:r>
      <w:r>
        <w:rPr>
          <w:rFonts w:hint="default" w:ascii="Times New Roman" w:hAnsi="Times New Roman" w:cs="Times New Roman"/>
          <w:b w:val="0"/>
          <w:bCs w:val="0"/>
          <w:color w:val="000000" w:themeColor="text1"/>
          <w:highlight w:val="none"/>
          <w:lang w:val="zh-CN"/>
          <w14:textFill>
            <w14:solidFill>
              <w14:schemeClr w14:val="tx1"/>
            </w14:solidFill>
          </w14:textFill>
        </w:rPr>
        <w:t>的相关要求。</w:t>
      </w:r>
    </w:p>
    <w:p w14:paraId="1F6EB55A">
      <w:pPr>
        <w:pStyle w:val="70"/>
        <w:keepNext w:val="0"/>
        <w:keepLines w:val="0"/>
        <w:pageBreakBefore w:val="0"/>
        <w:widowControl w:val="0"/>
        <w:kinsoku/>
        <w:wordWrap/>
        <w:overflowPunct/>
        <w:bidi w:val="0"/>
        <w:adjustRightInd w:val="0"/>
        <w:snapToGrid w:val="0"/>
        <w:spacing w:line="360" w:lineRule="auto"/>
        <w:ind w:firstLine="480"/>
        <w:textAlignment w:val="auto"/>
        <w:rPr>
          <w:rFonts w:hint="default" w:ascii="Times New Roman" w:hAnsi="Times New Roman" w:cs="Times New Roman"/>
          <w:b w:val="0"/>
          <w:bCs w:val="0"/>
          <w:color w:val="000000" w:themeColor="text1"/>
          <w:highlight w:val="none"/>
          <w:lang w:val="zh-CN"/>
          <w14:textFill>
            <w14:solidFill>
              <w14:schemeClr w14:val="tx1"/>
            </w14:solidFill>
          </w14:textFill>
        </w:rPr>
      </w:pPr>
      <w:r>
        <w:rPr>
          <w:rFonts w:hint="default" w:ascii="Times New Roman" w:hAnsi="Times New Roman" w:cs="Times New Roman"/>
          <w:b w:val="0"/>
          <w:bCs w:val="0"/>
          <w:color w:val="000000" w:themeColor="text1"/>
          <w:highlight w:val="none"/>
          <w:lang w:val="zh-CN"/>
          <w14:textFill>
            <w14:solidFill>
              <w14:schemeClr w14:val="tx1"/>
            </w14:solidFill>
          </w14:textFill>
        </w:rPr>
        <w:t>（4）选址合理性分析判定结论</w:t>
      </w:r>
    </w:p>
    <w:p w14:paraId="103EA1B6">
      <w:pPr>
        <w:pStyle w:val="65"/>
        <w:pageBreakBefore w:val="0"/>
        <w:widowControl w:val="0"/>
        <w:kinsoku/>
        <w:wordWrap/>
        <w:overflowPunct/>
        <w:bidi w:val="0"/>
        <w:adjustRightInd w:val="0"/>
        <w:snapToGrid w:val="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lang w:val="zh-CN"/>
          <w14:textFill>
            <w14:solidFill>
              <w14:schemeClr w14:val="tx1"/>
            </w14:solidFill>
          </w14:textFill>
        </w:rPr>
        <w:t>本</w:t>
      </w:r>
      <w:r>
        <w:rPr>
          <w:rFonts w:hint="eastAsia" w:cs="Times New Roman"/>
          <w:b w:val="0"/>
          <w:bCs w:val="0"/>
          <w:color w:val="000000" w:themeColor="text1"/>
          <w:highlight w:val="none"/>
          <w:lang w:val="en-US" w:eastAsia="zh-CN"/>
          <w14:textFill>
            <w14:solidFill>
              <w14:schemeClr w14:val="tx1"/>
            </w14:solidFill>
          </w14:textFill>
        </w:rPr>
        <w:t>工程</w:t>
      </w:r>
      <w:r>
        <w:rPr>
          <w:rFonts w:hint="default" w:ascii="Times New Roman" w:hAnsi="Times New Roman" w:cs="Times New Roman"/>
          <w:b w:val="0"/>
          <w:bCs w:val="0"/>
          <w:color w:val="000000" w:themeColor="text1"/>
          <w:highlight w:val="none"/>
          <w:lang w:eastAsia="zh-CN"/>
          <w14:textFill>
            <w14:solidFill>
              <w14:schemeClr w14:val="tx1"/>
            </w14:solidFill>
          </w14:textFill>
        </w:rPr>
        <w:t>选址符合生态环境分区管控要求，不涉及法律法规明令禁止建设的区域，不在生态保护红线范围内，远离居民集中区、医院、学校等环境敏感区。</w:t>
      </w:r>
      <w:r>
        <w:rPr>
          <w:rFonts w:hint="eastAsia" w:cs="Times New Roman"/>
          <w:b w:val="0"/>
          <w:bCs w:val="0"/>
          <w:color w:val="000000" w:themeColor="text1"/>
          <w:highlight w:val="none"/>
          <w:lang w:val="en-US" w:eastAsia="zh-CN"/>
          <w14:textFill>
            <w14:solidFill>
              <w14:schemeClr w14:val="tx1"/>
            </w14:solidFill>
          </w14:textFill>
        </w:rPr>
        <w:t>本工程</w:t>
      </w:r>
      <w:r>
        <w:rPr>
          <w:rFonts w:hint="default" w:ascii="Times New Roman" w:hAnsi="Times New Roman" w:cs="Times New Roman"/>
          <w:b w:val="0"/>
          <w:bCs w:val="0"/>
          <w:color w:val="000000" w:themeColor="text1"/>
          <w:highlight w:val="none"/>
          <w:lang w:eastAsia="zh-CN"/>
          <w14:textFill>
            <w14:solidFill>
              <w14:schemeClr w14:val="tx1"/>
            </w14:solidFill>
          </w14:textFill>
        </w:rPr>
        <w:t>建成后所在区域的环境功能不会降低，对环境的影响属可接受的范围，选址、选线基本合理</w:t>
      </w:r>
      <w:r>
        <w:rPr>
          <w:rFonts w:hint="default" w:ascii="Times New Roman" w:hAnsi="Times New Roman" w:cs="Times New Roman"/>
          <w:color w:val="000000" w:themeColor="text1"/>
          <w:highlight w:val="none"/>
          <w14:textFill>
            <w14:solidFill>
              <w14:schemeClr w14:val="tx1"/>
            </w14:solidFill>
          </w14:textFill>
        </w:rPr>
        <w:t>。</w:t>
      </w:r>
    </w:p>
    <w:p w14:paraId="6125EB61">
      <w:pPr>
        <w:pStyle w:val="65"/>
        <w:keepNext w:val="0"/>
        <w:keepLines w:val="0"/>
        <w:pageBreakBefore w:val="0"/>
        <w:widowControl w:val="0"/>
        <w:kinsoku/>
        <w:wordWrap/>
        <w:overflowPunct/>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土地利用类型</w:t>
      </w:r>
      <w:r>
        <w:rPr>
          <w:rFonts w:hint="default" w:ascii="Times New Roman" w:hAnsi="Times New Roman" w:cs="Times New Roman"/>
          <w:color w:val="000000" w:themeColor="text1"/>
          <w:highlight w:val="none"/>
          <w:lang w:val="en-US" w:eastAsia="zh-CN"/>
          <w14:textFill>
            <w14:solidFill>
              <w14:schemeClr w14:val="tx1"/>
            </w14:solidFill>
          </w14:textFill>
        </w:rPr>
        <w:t>主要</w:t>
      </w:r>
      <w:r>
        <w:rPr>
          <w:rFonts w:hint="default" w:ascii="Times New Roman" w:hAnsi="Times New Roman" w:cs="Times New Roman"/>
          <w:color w:val="000000" w:themeColor="text1"/>
          <w:highlight w:val="none"/>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果园</w:t>
      </w:r>
      <w:r>
        <w:rPr>
          <w:rFonts w:hint="default" w:ascii="Times New Roman" w:hAnsi="Times New Roman" w:cs="Times New Roman"/>
          <w:color w:val="000000" w:themeColor="text1"/>
          <w:highlight w:val="none"/>
          <w14:textFill>
            <w14:solidFill>
              <w14:schemeClr w14:val="tx1"/>
            </w14:solidFill>
          </w14:textFill>
        </w:rPr>
        <w:t>，</w:t>
      </w:r>
      <w:bookmarkStart w:id="37" w:name="OLE_LINK1400"/>
      <w:bookmarkStart w:id="38" w:name="OLE_LINK26"/>
      <w:r>
        <w:rPr>
          <w:rFonts w:hint="eastAsia" w:cs="Times New Roman"/>
          <w:color w:val="000000" w:themeColor="text1"/>
          <w:highlight w:val="none"/>
          <w:lang w:val="en-US" w:eastAsia="zh-CN"/>
          <w14:textFill>
            <w14:solidFill>
              <w14:schemeClr w14:val="tx1"/>
            </w14:solidFill>
          </w14:textFill>
        </w:rPr>
        <w:t>不占用永久基本农田</w:t>
      </w:r>
      <w:bookmarkEnd w:id="37"/>
      <w:r>
        <w:rPr>
          <w:rFonts w:hint="eastAsia" w:cs="Times New Roman"/>
          <w:color w:val="000000" w:themeColor="text1"/>
          <w:highlight w:val="none"/>
          <w:lang w:val="en-US" w:eastAsia="zh-CN"/>
          <w14:textFill>
            <w14:solidFill>
              <w14:schemeClr w14:val="tx1"/>
            </w14:solidFill>
          </w14:textFill>
        </w:rPr>
        <w:t>，评价范围</w:t>
      </w:r>
      <w:r>
        <w:rPr>
          <w:rFonts w:hint="default" w:ascii="Times New Roman" w:hAnsi="Times New Roman" w:cs="Times New Roman"/>
          <w:color w:val="000000" w:themeColor="text1"/>
          <w:highlight w:val="none"/>
          <w14:textFill>
            <w14:solidFill>
              <w14:schemeClr w14:val="tx1"/>
            </w14:solidFill>
          </w14:textFill>
        </w:rPr>
        <w:t>涉及</w:t>
      </w:r>
      <w:bookmarkEnd w:id="38"/>
      <w:r>
        <w:rPr>
          <w:rFonts w:hint="eastAsia" w:cs="Times New Roman"/>
          <w:color w:val="000000" w:themeColor="text1"/>
          <w:highlight w:val="none"/>
          <w:lang w:val="en-US" w:eastAsia="zh-CN"/>
          <w14:textFill>
            <w14:solidFill>
              <w14:schemeClr w14:val="tx1"/>
            </w14:solidFill>
          </w14:textFill>
        </w:rPr>
        <w:t>永久</w:t>
      </w:r>
      <w:r>
        <w:rPr>
          <w:rFonts w:hint="default" w:ascii="Times New Roman" w:hAnsi="Times New Roman" w:cs="Times New Roman"/>
          <w:color w:val="000000" w:themeColor="text1"/>
          <w:highlight w:val="none"/>
          <w14:textFill>
            <w14:solidFill>
              <w14:schemeClr w14:val="tx1"/>
            </w14:solidFill>
          </w14:textFill>
        </w:rPr>
        <w:t>基本农田。项目区周边无地表水分布。</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属无法避让的石油、天然气勘查，在取得用地手续的情况下，</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是可行的</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运营期废气主要为</w:t>
      </w:r>
      <w:r>
        <w:rPr>
          <w:rFonts w:hint="eastAsia"/>
          <w:color w:val="000000" w:themeColor="text1"/>
          <w:highlight w:val="none"/>
          <w:lang w:val="en-US" w:eastAsia="zh-CN"/>
          <w14:textFill>
            <w14:solidFill>
              <w14:schemeClr w14:val="tx1"/>
            </w14:solidFill>
          </w14:textFill>
        </w:rPr>
        <w:t>油气处理</w:t>
      </w:r>
      <w:r>
        <w:rPr>
          <w:rFonts w:hint="eastAsia"/>
          <w:color w:val="000000" w:themeColor="text1"/>
          <w:highlight w:val="none"/>
          <w14:textFill>
            <w14:solidFill>
              <w14:schemeClr w14:val="tx1"/>
            </w14:solidFill>
          </w14:textFill>
        </w:rPr>
        <w:t>过程中</w:t>
      </w:r>
      <w:r>
        <w:rPr>
          <w:rFonts w:hint="eastAsia"/>
          <w:color w:val="000000" w:themeColor="text1"/>
          <w:highlight w:val="none"/>
          <w:lang w:val="en-US" w:eastAsia="zh-CN"/>
          <w14:textFill>
            <w14:solidFill>
              <w14:schemeClr w14:val="tx1"/>
            </w14:solidFill>
          </w14:textFill>
        </w:rPr>
        <w:t>产生的</w:t>
      </w:r>
      <w:r>
        <w:rPr>
          <w:rFonts w:hint="eastAsia"/>
          <w:color w:val="000000" w:themeColor="text1"/>
          <w:highlight w:val="none"/>
          <w14:textFill>
            <w14:solidFill>
              <w14:schemeClr w14:val="tx1"/>
            </w14:solidFill>
          </w14:textFill>
        </w:rPr>
        <w:t>无组织废气排放</w:t>
      </w:r>
      <w:r>
        <w:rPr>
          <w:rFonts w:hint="default" w:ascii="Times New Roman" w:hAnsi="Times New Roman" w:cs="Times New Roman"/>
          <w:color w:val="000000" w:themeColor="text1"/>
          <w:highlight w:val="none"/>
          <w14:textFill>
            <w14:solidFill>
              <w14:schemeClr w14:val="tx1"/>
            </w14:solidFill>
          </w14:textFill>
        </w:rPr>
        <w:t>，产生的废气为持续的长期影响，但废气污染物均可以得到较好扩散，对大气污染物浓度贡献值小，且项目区地域空旷，项目实施后不会对周围环境产生明显影响；废水</w:t>
      </w:r>
      <w:r>
        <w:rPr>
          <w:rFonts w:hint="default" w:ascii="Times New Roman" w:hAnsi="Times New Roman" w:cs="Times New Roman"/>
          <w:color w:val="000000" w:themeColor="text1"/>
          <w:highlight w:val="none"/>
          <w:lang w:val="en-US" w:eastAsia="zh-CN"/>
          <w14:textFill>
            <w14:solidFill>
              <w14:schemeClr w14:val="tx1"/>
            </w14:solidFill>
          </w14:textFill>
        </w:rPr>
        <w:t>不外排</w:t>
      </w:r>
      <w:r>
        <w:rPr>
          <w:rFonts w:hint="default" w:ascii="Times New Roman" w:hAnsi="Times New Roman" w:cs="Times New Roman"/>
          <w:color w:val="000000" w:themeColor="text1"/>
          <w:highlight w:val="none"/>
          <w14:textFill>
            <w14:solidFill>
              <w14:schemeClr w14:val="tx1"/>
            </w14:solidFill>
          </w14:textFill>
        </w:rPr>
        <w:t>，固体废物能够实现妥善处置，综上所述，</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建成后所在区域的环境功能不会发生改变，对环境的影响属可接受的范围，</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的选址从环保角度认为可行。</w:t>
      </w:r>
    </w:p>
    <w:p w14:paraId="20D54479">
      <w:pPr>
        <w:pStyle w:val="70"/>
        <w:keepNext w:val="0"/>
        <w:keepLines w:val="0"/>
        <w:pageBreakBefore w:val="0"/>
        <w:widowControl w:val="0"/>
        <w:kinsoku/>
        <w:wordWrap/>
        <w:overflowPunct/>
        <w:bidi w:val="0"/>
        <w:adjustRightInd w:val="0"/>
        <w:snapToGrid w:val="0"/>
        <w:spacing w:line="360" w:lineRule="auto"/>
        <w:ind w:firstLine="482"/>
        <w:textAlignment w:val="auto"/>
        <w:rPr>
          <w:rFonts w:hint="default" w:ascii="Times New Roman" w:hAnsi="Times New Roman" w:cs="Times New Roman"/>
          <w:b w:val="0"/>
          <w:bCs/>
          <w:color w:val="000000" w:themeColor="text1"/>
          <w:highlight w:val="none"/>
          <w:lang w:val="zh-CN"/>
          <w14:textFill>
            <w14:solidFill>
              <w14:schemeClr w14:val="tx1"/>
            </w14:solidFill>
          </w14:textFill>
        </w:rPr>
      </w:pPr>
      <w:r>
        <w:rPr>
          <w:rFonts w:hint="default" w:ascii="Times New Roman" w:hAnsi="Times New Roman" w:cs="Times New Roman"/>
          <w:b w:val="0"/>
          <w:bCs/>
          <w:color w:val="000000" w:themeColor="text1"/>
          <w:highlight w:val="none"/>
          <w:lang w:eastAsia="zh-CN"/>
          <w14:textFill>
            <w14:solidFill>
              <w14:schemeClr w14:val="tx1"/>
            </w14:solidFill>
          </w14:textFill>
        </w:rPr>
        <w:t>（</w:t>
      </w:r>
      <w:r>
        <w:rPr>
          <w:rFonts w:hint="default" w:ascii="Times New Roman" w:hAnsi="Times New Roman" w:cs="Times New Roman"/>
          <w:b w:val="0"/>
          <w:bCs/>
          <w:color w:val="000000" w:themeColor="text1"/>
          <w:highlight w:val="none"/>
          <w14:textFill>
            <w14:solidFill>
              <w14:schemeClr w14:val="tx1"/>
            </w14:solidFill>
          </w14:textFill>
        </w:rPr>
        <w:t>5</w:t>
      </w:r>
      <w:r>
        <w:rPr>
          <w:rFonts w:hint="default" w:ascii="Times New Roman" w:hAnsi="Times New Roman" w:cs="Times New Roman"/>
          <w:b w:val="0"/>
          <w:bCs/>
          <w:color w:val="000000" w:themeColor="text1"/>
          <w:highlight w:val="none"/>
          <w:lang w:eastAsia="zh-CN"/>
          <w14:textFill>
            <w14:solidFill>
              <w14:schemeClr w14:val="tx1"/>
            </w14:solidFill>
          </w14:textFill>
        </w:rPr>
        <w:t>）</w:t>
      </w:r>
      <w:bookmarkStart w:id="39" w:name="OLE_LINK27"/>
      <w:r>
        <w:rPr>
          <w:rFonts w:hint="default" w:ascii="Times New Roman" w:hAnsi="Times New Roman" w:cs="Times New Roman"/>
          <w:b w:val="0"/>
          <w:bCs/>
          <w:color w:val="000000" w:themeColor="text1"/>
          <w:highlight w:val="none"/>
          <w14:textFill>
            <w14:solidFill>
              <w14:schemeClr w14:val="tx1"/>
            </w14:solidFill>
          </w14:textFill>
        </w:rPr>
        <w:t>生态环境分区管控</w:t>
      </w:r>
      <w:bookmarkEnd w:id="39"/>
      <w:r>
        <w:rPr>
          <w:rFonts w:hint="default" w:ascii="Times New Roman" w:hAnsi="Times New Roman" w:cs="Times New Roman"/>
          <w:b w:val="0"/>
          <w:bCs/>
          <w:color w:val="000000" w:themeColor="text1"/>
          <w:highlight w:val="none"/>
          <w14:textFill>
            <w14:solidFill>
              <w14:schemeClr w14:val="tx1"/>
            </w14:solidFill>
          </w14:textFill>
        </w:rPr>
        <w:t>符合性判定</w:t>
      </w:r>
    </w:p>
    <w:p w14:paraId="2190FA38">
      <w:pPr>
        <w:pStyle w:val="71"/>
        <w:pageBreakBefore w:val="0"/>
        <w:widowControl w:val="0"/>
        <w:kinsoku/>
        <w:wordWrap/>
        <w:overflowPunct/>
        <w:topLinePunct/>
        <w:autoSpaceDE w:val="0"/>
        <w:bidi w:val="0"/>
        <w:adjustRightInd w:val="0"/>
        <w:snapToGrid w:val="0"/>
        <w:spacing w:line="360" w:lineRule="auto"/>
        <w:ind w:firstLine="480"/>
        <w:jc w:val="both"/>
        <w:textAlignment w:val="auto"/>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根据《关于印发〈新疆维吾尔自治区生态环境分区管控动态更新成果〉的通知》（新环环评发〔2024〕157号）《关于印发</w:t>
      </w:r>
      <w:r>
        <w:rPr>
          <w:rFonts w:hint="eastAsia" w:cs="Times New Roman"/>
          <w:color w:val="000000" w:themeColor="text1"/>
          <w:spacing w:val="8"/>
          <w:kern w:val="24"/>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阿克苏地区生态环境分区管控方案（2023版）</w:t>
      </w:r>
      <w:r>
        <w:rPr>
          <w:rFonts w:hint="eastAsia" w:cs="Times New Roman"/>
          <w:color w:val="000000" w:themeColor="text1"/>
          <w:spacing w:val="8"/>
          <w:kern w:val="24"/>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的通知》（阿地环字〔2024〕32号）</w:t>
      </w:r>
      <w:r>
        <w:rPr>
          <w:rFonts w:hint="eastAsia" w:cs="Times New Roman"/>
          <w:color w:val="000000" w:themeColor="text1"/>
          <w:spacing w:val="8"/>
          <w:kern w:val="24"/>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8"/>
          <w:kern w:val="24"/>
          <w:sz w:val="24"/>
          <w:szCs w:val="24"/>
          <w:highlight w:val="none"/>
          <w:lang w:val="en-US" w:eastAsia="zh-CN"/>
          <w14:textFill>
            <w14:solidFill>
              <w14:schemeClr w14:val="tx1"/>
            </w14:solidFill>
          </w14:textFill>
        </w:rPr>
        <w:t>本</w:t>
      </w:r>
      <w:r>
        <w:rPr>
          <w:rFonts w:hint="eastAsia" w:cs="Times New Roman"/>
          <w:color w:val="000000" w:themeColor="text1"/>
          <w:spacing w:val="8"/>
          <w:kern w:val="24"/>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位于</w:t>
      </w:r>
      <w:r>
        <w:rPr>
          <w:rFonts w:hint="eastAsia" w:cs="Times New Roman"/>
          <w:color w:val="000000" w:themeColor="text1"/>
          <w:spacing w:val="8"/>
          <w:kern w:val="24"/>
          <w:sz w:val="24"/>
          <w:szCs w:val="24"/>
          <w:highlight w:val="none"/>
          <w:lang w:val="en-US" w:eastAsia="zh-CN"/>
          <w14:textFill>
            <w14:solidFill>
              <w14:schemeClr w14:val="tx1"/>
            </w14:solidFill>
          </w14:textFill>
        </w:rPr>
        <w:t>新和县</w:t>
      </w:r>
      <w:bookmarkStart w:id="40" w:name="OLE_LINK31"/>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一般管控单元</w:t>
      </w:r>
      <w:bookmarkEnd w:id="40"/>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（环境管控单元编码：ZH65292530001），不涉及生态保护红线</w:t>
      </w:r>
      <w:r>
        <w:rPr>
          <w:rFonts w:hint="eastAsia" w:cs="Times New Roman"/>
          <w:color w:val="000000" w:themeColor="text1"/>
          <w:spacing w:val="8"/>
          <w:kern w:val="24"/>
          <w:sz w:val="24"/>
          <w:szCs w:val="24"/>
          <w:highlight w:val="none"/>
          <w:lang w:val="en-US" w:eastAsia="zh-CN"/>
          <w14:textFill>
            <w14:solidFill>
              <w14:schemeClr w14:val="tx1"/>
            </w14:solidFill>
          </w14:textFill>
        </w:rPr>
        <w:t>，</w:t>
      </w:r>
      <w:bookmarkStart w:id="41" w:name="OLE_LINK1551"/>
      <w:r>
        <w:rPr>
          <w:rFonts w:hint="eastAsia" w:cs="Times New Roman"/>
          <w:color w:val="000000" w:themeColor="text1"/>
          <w:spacing w:val="8"/>
          <w:kern w:val="24"/>
          <w:sz w:val="24"/>
          <w:szCs w:val="24"/>
          <w:highlight w:val="none"/>
          <w:lang w:val="en-US" w:eastAsia="zh-CN"/>
          <w14:textFill>
            <w14:solidFill>
              <w14:schemeClr w14:val="tx1"/>
            </w14:solidFill>
          </w14:textFill>
        </w:rPr>
        <w:t>距离</w:t>
      </w:r>
      <w:r>
        <w:rPr>
          <w:rFonts w:hint="eastAsia"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塔里木河流域土地沙化防控与生物多样性维护生态保护红线区22.8km</w:t>
      </w:r>
      <w:bookmarkEnd w:id="41"/>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本</w:t>
      </w:r>
      <w:r>
        <w:rPr>
          <w:rFonts w:hint="eastAsia" w:cs="Times New Roman"/>
          <w:color w:val="000000" w:themeColor="text1"/>
          <w:spacing w:val="8"/>
          <w:kern w:val="24"/>
          <w:sz w:val="24"/>
          <w:szCs w:val="24"/>
          <w:highlight w:val="none"/>
          <w:lang w:val="en-US" w:eastAsia="zh-CN"/>
          <w14:textFill>
            <w14:solidFill>
              <w14:schemeClr w14:val="tx1"/>
            </w14:solidFill>
          </w14:textFill>
        </w:rPr>
        <w:t>工程不涉及生态保护红线变化区域。本工程所在区域土壤、噪声环境质量可以达到功能区要求，环境空气质量属于非达标区，超标主要是由于当地气候条件干燥、自然扬尘较多</w:t>
      </w: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8"/>
          <w:kern w:val="24"/>
          <w:sz w:val="24"/>
          <w:szCs w:val="24"/>
          <w:highlight w:val="none"/>
          <w:lang w:val="en-US" w:eastAsia="zh-CN"/>
          <w14:textFill>
            <w14:solidFill>
              <w14:schemeClr w14:val="tx1"/>
            </w14:solidFill>
          </w14:textFill>
        </w:rPr>
        <w:t>本</w:t>
      </w:r>
      <w:r>
        <w:rPr>
          <w:rFonts w:hint="eastAsia" w:cs="Times New Roman"/>
          <w:color w:val="000000" w:themeColor="text1"/>
          <w:spacing w:val="8"/>
          <w:kern w:val="24"/>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t>建设满足区域生态环境准入清单要求和一般管控单元的空间布局约束、污染物排放管控、环境风险防控和资源利用效率的要求，符合生态环境分区管控</w:t>
      </w:r>
      <w:r>
        <w:rPr>
          <w:rFonts w:hint="eastAsia" w:cs="Times New Roman"/>
          <w:color w:val="000000" w:themeColor="text1"/>
          <w:spacing w:val="8"/>
          <w:kern w:val="24"/>
          <w:sz w:val="24"/>
          <w:szCs w:val="24"/>
          <w:highlight w:val="none"/>
          <w:lang w:val="en-US" w:eastAsia="zh-CN"/>
          <w14:textFill>
            <w14:solidFill>
              <w14:schemeClr w14:val="tx1"/>
            </w14:solidFill>
          </w14:textFill>
        </w:rPr>
        <w:t>的原则。</w:t>
      </w:r>
    </w:p>
    <w:p w14:paraId="220F9135">
      <w:pPr>
        <w:pStyle w:val="71"/>
        <w:pageBreakBefore w:val="0"/>
        <w:widowControl w:val="0"/>
        <w:kinsoku/>
        <w:wordWrap/>
        <w:overflowPunct/>
        <w:topLinePunct/>
        <w:autoSpaceDE w:val="0"/>
        <w:autoSpaceDN/>
        <w:bidi w:val="0"/>
        <w:adjustRightInd w:val="0"/>
        <w:snapToGrid w:val="0"/>
        <w:spacing w:line="360" w:lineRule="auto"/>
        <w:ind w:firstLine="480"/>
        <w:jc w:val="both"/>
        <w:textAlignment w:val="auto"/>
        <w:rPr>
          <w:rFonts w:hint="default" w:ascii="Times New Roman" w:hAnsi="Times New Roman" w:eastAsia="宋体" w:cs="Times New Roman"/>
          <w:color w:val="000000" w:themeColor="text1"/>
          <w:spacing w:val="8"/>
          <w:kern w:val="24"/>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根据《</w:t>
      </w:r>
      <w:bookmarkStart w:id="42" w:name="OLE_LINK29"/>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关于印发新疆维吾尔自治区28个国家重点生态功能区县（市）产业准入负面清单（试行）的通知</w:t>
      </w:r>
      <w:bookmarkEnd w:id="42"/>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》（新发改规划</w:t>
      </w:r>
      <w:bookmarkStart w:id="43" w:name="OLE_LINK28"/>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〔2017〕</w:t>
      </w:r>
      <w:bookmarkEnd w:id="43"/>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89号）《</w:t>
      </w:r>
      <w:bookmarkStart w:id="44" w:name="OLE_LINK30"/>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关于印发新疆维吾尔自治区17个新增纳入国家重点生态功能区县（市）产业准入负面清单（试行）的通知</w:t>
      </w:r>
      <w:bookmarkEnd w:id="44"/>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》（新发改规划〔2017〕1796号）</w:t>
      </w:r>
      <w:r>
        <w:rPr>
          <w:rFonts w:hint="eastAsia" w:cs="Times New Roman"/>
          <w:color w:val="000000" w:themeColor="text1"/>
          <w:spacing w:val="8"/>
          <w:kern w:val="24"/>
          <w:sz w:val="24"/>
          <w:highlight w:val="none"/>
          <w:lang w:eastAsia="zh-CN"/>
          <w14:textFill>
            <w14:solidFill>
              <w14:schemeClr w14:val="tx1"/>
            </w14:solidFill>
          </w14:textFill>
        </w:rPr>
        <w:t>文件</w:t>
      </w:r>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规定，本</w:t>
      </w:r>
      <w:r>
        <w:rPr>
          <w:rFonts w:hint="eastAsia" w:cs="Times New Roman"/>
          <w:color w:val="000000" w:themeColor="text1"/>
          <w:spacing w:val="8"/>
          <w:kern w:val="24"/>
          <w:sz w:val="24"/>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8"/>
          <w:kern w:val="24"/>
          <w:sz w:val="24"/>
          <w:highlight w:val="none"/>
          <w:lang w:eastAsia="zh-CN"/>
          <w14:textFill>
            <w14:solidFill>
              <w14:schemeClr w14:val="tx1"/>
            </w14:solidFill>
          </w14:textFill>
        </w:rPr>
        <w:t>不在国家重点生态功能区县（市）产业准入负面清单之列，符合生态环境分区管控要求。</w:t>
      </w:r>
    </w:p>
    <w:p w14:paraId="157F173A">
      <w:pPr>
        <w:pStyle w:val="11"/>
        <w:keepNext w:val="0"/>
        <w:keepLines w:val="0"/>
        <w:pageBreakBefore w:val="0"/>
        <w:widowControl w:val="0"/>
        <w:kinsoku/>
        <w:wordWrap/>
        <w:overflowPunct/>
        <w:autoSpaceDN/>
        <w:bidi w:val="0"/>
        <w:adjustRightInd w:val="0"/>
        <w:snapToGrid w:val="0"/>
        <w:ind w:firstLine="480" w:firstLineChars="200"/>
        <w:textAlignment w:val="auto"/>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color w:val="000000" w:themeColor="text1"/>
          <w:sz w:val="24"/>
          <w:szCs w:val="24"/>
          <w:highlight w:val="none"/>
          <w:lang w:val="zh-CN"/>
          <w14:textFill>
            <w14:solidFill>
              <w14:schemeClr w14:val="tx1"/>
            </w14:solidFill>
          </w14:textFill>
        </w:rPr>
        <w:t>本</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符合国家和新疆相关法律法规及产业政策，不涉及生态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保护</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红线，符合新疆经济发展规划、环保规划及矿产资源开发相关规划，无重大环境制约因素。</w:t>
      </w:r>
    </w:p>
    <w:p w14:paraId="660CC837">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45" w:name="_Toc507411699"/>
      <w:bookmarkStart w:id="46" w:name="_Toc491102337"/>
      <w:bookmarkStart w:id="47" w:name="_Toc32542"/>
      <w:bookmarkStart w:id="48" w:name="_Toc36583798"/>
      <w:bookmarkStart w:id="49" w:name="_Toc494278968"/>
      <w:bookmarkStart w:id="50" w:name="_Toc75438873"/>
      <w:bookmarkStart w:id="51" w:name="_Toc5916"/>
      <w:bookmarkStart w:id="52" w:name="_Toc494278967"/>
      <w:bookmarkStart w:id="53" w:name="_Toc491102336"/>
      <w:bookmarkStart w:id="54" w:name="_Toc507411698"/>
      <w:r>
        <w:rPr>
          <w:rFonts w:hint="default" w:ascii="Times New Roman" w:hAnsi="Times New Roman" w:cs="Times New Roman"/>
          <w:color w:val="000000" w:themeColor="text1"/>
          <w:highlight w:val="none"/>
          <w14:textFill>
            <w14:solidFill>
              <w14:schemeClr w14:val="tx1"/>
            </w14:solidFill>
          </w14:textFill>
        </w:rPr>
        <w:t>1.4</w:t>
      </w:r>
      <w:bookmarkEnd w:id="45"/>
      <w:bookmarkEnd w:id="46"/>
      <w:bookmarkEnd w:id="47"/>
      <w:bookmarkEnd w:id="48"/>
      <w:bookmarkEnd w:id="49"/>
      <w:bookmarkEnd w:id="50"/>
      <w:r>
        <w:rPr>
          <w:rFonts w:hint="default" w:ascii="Times New Roman" w:hAnsi="Times New Roman" w:cs="Times New Roman"/>
          <w:color w:val="000000" w:themeColor="text1"/>
          <w:highlight w:val="none"/>
          <w14:textFill>
            <w14:solidFill>
              <w14:schemeClr w14:val="tx1"/>
            </w14:solidFill>
          </w14:textFill>
        </w:rPr>
        <w:t>关注的主要环境问题及环境影响</w:t>
      </w:r>
      <w:bookmarkEnd w:id="51"/>
    </w:p>
    <w:p w14:paraId="45D94349">
      <w:pPr>
        <w:pStyle w:val="70"/>
        <w:pageBreakBefore w:val="0"/>
        <w:widowControl w:val="0"/>
        <w:kinsoku/>
        <w:wordWrap/>
        <w:overflowPunct/>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为天然气开采项目，环境影响主要来源于</w:t>
      </w:r>
      <w:r>
        <w:rPr>
          <w:rFonts w:hint="default" w:ascii="Times New Roman" w:hAnsi="Times New Roman" w:cs="Times New Roman"/>
          <w:color w:val="000000" w:themeColor="text1"/>
          <w:highlight w:val="none"/>
          <w:lang w:val="en-US" w:eastAsia="zh-CN"/>
          <w14:textFill>
            <w14:solidFill>
              <w14:schemeClr w14:val="tx1"/>
            </w14:solidFill>
          </w14:textFill>
        </w:rPr>
        <w:t>施工期的</w:t>
      </w:r>
      <w:r>
        <w:rPr>
          <w:rFonts w:hint="default" w:ascii="Times New Roman" w:hAnsi="Times New Roman" w:cs="Times New Roman"/>
          <w:color w:val="000000" w:themeColor="text1"/>
          <w:highlight w:val="none"/>
          <w14:textFill>
            <w14:solidFill>
              <w14:schemeClr w14:val="tx1"/>
            </w14:solidFill>
          </w14:textFill>
        </w:rPr>
        <w:t>井场建设</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运营期的</w:t>
      </w:r>
      <w:r>
        <w:rPr>
          <w:rFonts w:hint="default" w:ascii="Times New Roman" w:hAnsi="Times New Roman" w:cs="Times New Roman"/>
          <w:color w:val="000000" w:themeColor="text1"/>
          <w:highlight w:val="none"/>
          <w14:textFill>
            <w14:solidFill>
              <w14:schemeClr w14:val="tx1"/>
            </w14:solidFill>
          </w14:textFill>
        </w:rPr>
        <w:t>采</w:t>
      </w:r>
      <w:r>
        <w:rPr>
          <w:rFonts w:hint="eastAsia" w:cs="Times New Roman"/>
          <w:color w:val="000000" w:themeColor="text1"/>
          <w:highlight w:val="none"/>
          <w:lang w:val="en-US" w:eastAsia="zh-CN"/>
          <w14:textFill>
            <w14:solidFill>
              <w14:schemeClr w14:val="tx1"/>
            </w14:solidFill>
          </w14:textFill>
        </w:rPr>
        <w:t>气、凝析油装车拉运</w:t>
      </w:r>
      <w:r>
        <w:rPr>
          <w:rFonts w:hint="default" w:ascii="Times New Roman" w:hAnsi="Times New Roman" w:cs="Times New Roman"/>
          <w:color w:val="000000" w:themeColor="text1"/>
          <w:highlight w:val="none"/>
          <w14:textFill>
            <w14:solidFill>
              <w14:schemeClr w14:val="tx1"/>
            </w14:solidFill>
          </w14:textFill>
        </w:rPr>
        <w:t>等各工艺过程</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环境影响包括施工期和运营期污染物排放造成的环境污染和占地及施工造成的生态影响。根据现状调查，</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不</w:t>
      </w:r>
      <w:r>
        <w:rPr>
          <w:rFonts w:hint="default" w:ascii="Times New Roman" w:hAnsi="Times New Roman" w:cs="Times New Roman"/>
          <w:color w:val="000000" w:themeColor="text1"/>
          <w:highlight w:val="none"/>
          <w:lang w:val="en-US" w:eastAsia="zh-CN"/>
          <w14:textFill>
            <w14:solidFill>
              <w14:schemeClr w14:val="tx1"/>
            </w14:solidFill>
          </w14:textFill>
        </w:rPr>
        <w:t>涉及</w:t>
      </w:r>
      <w:r>
        <w:rPr>
          <w:rFonts w:hint="default" w:ascii="Times New Roman" w:hAnsi="Times New Roman" w:cs="Times New Roman"/>
          <w:color w:val="000000" w:themeColor="text1"/>
          <w:highlight w:val="none"/>
          <w14:textFill>
            <w14:solidFill>
              <w14:schemeClr w14:val="tx1"/>
            </w14:solidFill>
          </w14:textFill>
        </w:rPr>
        <w:t>自然保护区、风景名胜区、水源保护区等敏感区，主要环境敏感保护目标为塔里木河流域</w:t>
      </w:r>
      <w:r>
        <w:rPr>
          <w:rFonts w:hint="default" w:ascii="Times New Roman" w:hAnsi="Times New Roman" w:cs="Times New Roman"/>
          <w:color w:val="000000" w:themeColor="text1"/>
          <w:highlight w:val="none"/>
          <w:lang w:val="en-US" w:eastAsia="zh-CN"/>
          <w14:textFill>
            <w14:solidFill>
              <w14:schemeClr w14:val="tx1"/>
            </w14:solidFill>
          </w14:textFill>
        </w:rPr>
        <w:t>水土流失</w:t>
      </w:r>
      <w:r>
        <w:rPr>
          <w:rFonts w:hint="default" w:ascii="Times New Roman" w:hAnsi="Times New Roman" w:cs="Times New Roman"/>
          <w:color w:val="000000" w:themeColor="text1"/>
          <w:highlight w:val="none"/>
          <w14:textFill>
            <w14:solidFill>
              <w14:schemeClr w14:val="tx1"/>
            </w14:solidFill>
          </w14:textFill>
        </w:rPr>
        <w:t>重点治理区</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评价范围内的永久基本农田</w:t>
      </w:r>
      <w:r>
        <w:rPr>
          <w:rFonts w:hint="default" w:ascii="Times New Roman" w:hAnsi="Times New Roman" w:cs="Times New Roman"/>
          <w:color w:val="000000" w:themeColor="text1"/>
          <w:highlight w:val="none"/>
          <w14:textFill>
            <w14:solidFill>
              <w14:schemeClr w14:val="tx1"/>
            </w14:solidFill>
          </w14:textFill>
        </w:rPr>
        <w:t>。重点关注施工过</w:t>
      </w:r>
      <w:r>
        <w:rPr>
          <w:rFonts w:hint="eastAsia" w:cs="Times New Roman"/>
          <w:color w:val="000000" w:themeColor="text1"/>
          <w:highlight w:val="none"/>
          <w:lang w:eastAsia="zh-CN"/>
          <w14:textFill>
            <w14:solidFill>
              <w14:schemeClr w14:val="tx1"/>
            </w14:solidFill>
          </w14:textFill>
        </w:rPr>
        <w:t>程中</w:t>
      </w:r>
      <w:r>
        <w:rPr>
          <w:rFonts w:hint="default" w:ascii="Times New Roman" w:hAnsi="Times New Roman" w:cs="Times New Roman"/>
          <w:color w:val="000000" w:themeColor="text1"/>
          <w:highlight w:val="none"/>
          <w14:textFill>
            <w14:solidFill>
              <w14:schemeClr w14:val="tx1"/>
            </w14:solidFill>
          </w14:textFill>
        </w:rPr>
        <w:t>的各项污染物产生以及可能发生的风险对区域环境产生的影响</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施工过程中产生的生态环境问题以及生态恢复措施；施工过程中产生的扬尘、施工机械废气及运输车辆尾气、生活垃圾、施工废料等；</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sz w:val="24"/>
          <w:szCs w:val="24"/>
          <w:highlight w:val="none"/>
          <w14:textFill>
            <w14:solidFill>
              <w14:schemeClr w14:val="tx1"/>
            </w14:solidFill>
          </w14:textFill>
        </w:rPr>
        <w:t>井场</w:t>
      </w:r>
      <w:r>
        <w:rPr>
          <w:rFonts w:hint="eastAsia" w:cs="Times New Roman"/>
          <w:color w:val="000000" w:themeColor="text1"/>
          <w:sz w:val="24"/>
          <w:szCs w:val="24"/>
          <w:highlight w:val="none"/>
          <w:lang w:val="en-US" w:eastAsia="zh-CN"/>
          <w14:textFill>
            <w14:solidFill>
              <w14:schemeClr w14:val="tx1"/>
            </w14:solidFill>
          </w14:textFill>
        </w:rPr>
        <w:t>拉运</w:t>
      </w:r>
      <w:r>
        <w:rPr>
          <w:rFonts w:hint="default" w:ascii="Times New Roman" w:hAnsi="Times New Roman" w:cs="Times New Roman"/>
          <w:color w:val="000000" w:themeColor="text1"/>
          <w:sz w:val="24"/>
          <w:szCs w:val="24"/>
          <w:highlight w:val="none"/>
          <w14:textFill>
            <w14:solidFill>
              <w14:schemeClr w14:val="tx1"/>
            </w14:solidFill>
          </w14:textFill>
        </w:rPr>
        <w:t>过程无组织排放烃类、硫化氢污染物</w:t>
      </w:r>
      <w:r>
        <w:rPr>
          <w:rFonts w:hint="default" w:ascii="Times New Roman" w:hAnsi="Times New Roman" w:cs="Times New Roman"/>
          <w:color w:val="000000" w:themeColor="text1"/>
          <w:highlight w:val="none"/>
          <w14:textFill>
            <w14:solidFill>
              <w14:schemeClr w14:val="tx1"/>
            </w14:solidFill>
          </w14:textFill>
        </w:rPr>
        <w:t>、生产废水</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井下作业废水、落地油、废防渗材料、清罐底泥</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废润滑油等对环境产生的影响。</w:t>
      </w:r>
    </w:p>
    <w:bookmarkEnd w:id="52"/>
    <w:bookmarkEnd w:id="53"/>
    <w:bookmarkEnd w:id="54"/>
    <w:p w14:paraId="42817ECC">
      <w:pPr>
        <w:pStyle w:val="3"/>
        <w:keepNext/>
        <w:keepLines/>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55" w:name="_Toc494278969"/>
      <w:bookmarkStart w:id="56" w:name="_Toc507411700"/>
      <w:bookmarkStart w:id="57" w:name="_Toc491102338"/>
      <w:bookmarkStart w:id="58" w:name="_Toc36583799"/>
      <w:bookmarkStart w:id="59" w:name="_Toc536"/>
      <w:bookmarkStart w:id="60" w:name="_Toc75438874"/>
      <w:bookmarkStart w:id="61" w:name="_Toc29700"/>
      <w:r>
        <w:rPr>
          <w:rFonts w:hint="default" w:ascii="Times New Roman" w:hAnsi="Times New Roman" w:cs="Times New Roman"/>
          <w:color w:val="000000" w:themeColor="text1"/>
          <w:highlight w:val="none"/>
          <w14:textFill>
            <w14:solidFill>
              <w14:schemeClr w14:val="tx1"/>
            </w14:solidFill>
          </w14:textFill>
        </w:rPr>
        <w:t>1.5</w:t>
      </w:r>
      <w:bookmarkEnd w:id="55"/>
      <w:bookmarkEnd w:id="56"/>
      <w:bookmarkEnd w:id="57"/>
      <w:bookmarkEnd w:id="58"/>
      <w:bookmarkEnd w:id="59"/>
      <w:bookmarkEnd w:id="60"/>
      <w:r>
        <w:rPr>
          <w:rFonts w:hint="default" w:ascii="Times New Roman" w:hAnsi="Times New Roman" w:cs="Times New Roman"/>
          <w:color w:val="000000" w:themeColor="text1"/>
          <w:highlight w:val="none"/>
          <w14:textFill>
            <w14:solidFill>
              <w14:schemeClr w14:val="tx1"/>
            </w14:solidFill>
          </w14:textFill>
        </w:rPr>
        <w:t>环境影响评价的主要结论</w:t>
      </w:r>
      <w:bookmarkEnd w:id="61"/>
    </w:p>
    <w:p w14:paraId="133DFB41">
      <w:pPr>
        <w:pStyle w:val="7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bookmarkStart w:id="62" w:name="_Toc374724170"/>
      <w:bookmarkStart w:id="63" w:name="_Toc280954972"/>
      <w:bookmarkStart w:id="64" w:name="_Toc353966723"/>
      <w:bookmarkStart w:id="65" w:name="_Toc297590918"/>
      <w:bookmarkStart w:id="66" w:name="_Toc297590765"/>
      <w:bookmarkStart w:id="67" w:name="_Toc361761815"/>
      <w:bookmarkStart w:id="68" w:name="_Toc280954895"/>
      <w:bookmarkStart w:id="69" w:name="_Toc508291872"/>
      <w:bookmarkStart w:id="70" w:name="_Toc42981092"/>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属于</w:t>
      </w:r>
      <w:r>
        <w:rPr>
          <w:rFonts w:hint="default" w:ascii="Times New Roman" w:hAnsi="Times New Roman" w:cs="Times New Roman"/>
          <w:color w:val="000000" w:themeColor="text1"/>
          <w:highlight w:val="none"/>
          <w:lang w:val="zh-CN"/>
          <w14:textFill>
            <w14:solidFill>
              <w14:schemeClr w14:val="tx1"/>
            </w14:solidFill>
          </w14:textFill>
        </w:rPr>
        <w:t>《产业结构调整指导目录（20</w:t>
      </w:r>
      <w:r>
        <w:rPr>
          <w:rFonts w:hint="default" w:ascii="Times New Roman" w:hAnsi="Times New Roman" w:cs="Times New Roman"/>
          <w:color w:val="000000" w:themeColor="text1"/>
          <w:highlight w:val="none"/>
          <w:lang w:val="en-US" w:eastAsia="zh-CN"/>
          <w14:textFill>
            <w14:solidFill>
              <w14:schemeClr w14:val="tx1"/>
            </w14:solidFill>
          </w14:textFill>
        </w:rPr>
        <w:t>24</w:t>
      </w:r>
      <w:r>
        <w:rPr>
          <w:rFonts w:hint="default" w:ascii="Times New Roman" w:hAnsi="Times New Roman" w:cs="Times New Roman"/>
          <w:color w:val="000000" w:themeColor="text1"/>
          <w:highlight w:val="none"/>
          <w:lang w:val="zh-CN"/>
          <w14:textFill>
            <w14:solidFill>
              <w14:schemeClr w14:val="tx1"/>
            </w14:solidFill>
          </w14:textFill>
        </w:rPr>
        <w:t>年本）》，</w:t>
      </w: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属于</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第一类 鼓励类</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七、石油天然气</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中的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1.石油天然气开采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zh-CN"/>
          <w14:textFill>
            <w14:solidFill>
              <w14:schemeClr w14:val="tx1"/>
            </w14:solidFill>
          </w14:textFill>
        </w:rPr>
        <w:t>常规石油、天然气勘探与开采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zh-CN"/>
          <w14:textFill>
            <w14:solidFill>
              <w14:schemeClr w14:val="tx1"/>
            </w14:solidFill>
          </w14:textFill>
        </w:rPr>
        <w:t>属</w:t>
      </w:r>
      <w:r>
        <w:rPr>
          <w:rFonts w:hint="eastAsia" w:cs="Times New Roman"/>
          <w:color w:val="000000" w:themeColor="text1"/>
          <w:highlight w:val="none"/>
          <w:lang w:val="en-US" w:eastAsia="zh-CN"/>
          <w14:textFill>
            <w14:solidFill>
              <w14:schemeClr w14:val="tx1"/>
            </w14:solidFill>
          </w14:textFill>
        </w:rPr>
        <w:t>于</w:t>
      </w:r>
      <w:r>
        <w:rPr>
          <w:rFonts w:hint="default" w:ascii="Times New Roman" w:hAnsi="Times New Roman" w:cs="Times New Roman"/>
          <w:color w:val="000000" w:themeColor="text1"/>
          <w:highlight w:val="none"/>
          <w:lang w:val="zh-CN"/>
          <w14:textFill>
            <w14:solidFill>
              <w14:schemeClr w14:val="tx1"/>
            </w14:solidFill>
          </w14:textFill>
        </w:rPr>
        <w:t>鼓励类项目</w:t>
      </w:r>
      <w:r>
        <w:rPr>
          <w:rFonts w:hint="default" w:ascii="Times New Roman" w:hAnsi="Times New Roman" w:cs="Times New Roman"/>
          <w:color w:val="000000" w:themeColor="text1"/>
          <w:highlight w:val="none"/>
          <w14:textFill>
            <w14:solidFill>
              <w14:schemeClr w14:val="tx1"/>
            </w14:solidFill>
          </w14:textFill>
        </w:rPr>
        <w:t>，项目建设符合国家产业政策；符合</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石油天然气开采业污染防治技术政策</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新疆维吾尔自治区大气污染防治条例</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关于进一步加强石油天然气行业环境影响评价管理的通知</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环办环评函〔2019〕910号</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等法规和政策要求；符合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新疆维吾尔自治区主体功能区规划</w:t>
      </w:r>
      <w:r>
        <w:rPr>
          <w:rFonts w:hint="default" w:ascii="Times New Roman" w:hAnsi="Times New Roman" w:cs="Times New Roman"/>
          <w:color w:val="000000" w:themeColor="text1"/>
          <w:highlight w:val="none"/>
          <w:lang w:eastAsia="zh-CN"/>
          <w14:textFill>
            <w14:solidFill>
              <w14:schemeClr w14:val="tx1"/>
            </w14:solidFill>
          </w14:textFill>
        </w:rPr>
        <w:t>》《</w:t>
      </w:r>
      <w:bookmarkStart w:id="71" w:name="OLE_LINK1166"/>
      <w:r>
        <w:rPr>
          <w:rFonts w:hint="default" w:ascii="Times New Roman" w:hAnsi="Times New Roman" w:cs="Times New Roman"/>
          <w:color w:val="000000" w:themeColor="text1"/>
          <w:highlight w:val="none"/>
          <w14:textFill>
            <w14:solidFill>
              <w14:schemeClr w14:val="tx1"/>
            </w14:solidFill>
          </w14:textFill>
        </w:rPr>
        <w:t>新疆生态功能区划</w:t>
      </w:r>
      <w:bookmarkEnd w:id="71"/>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新疆生态环境保护</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十四五</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规划</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等要求；</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不涉及国家公园、自然保护区、风景名胜区等环境敏感区域</w:t>
      </w:r>
      <w:r>
        <w:rPr>
          <w:rFonts w:hint="eastAsia" w:cs="Times New Roman"/>
          <w:color w:val="000000" w:themeColor="text1"/>
          <w:highlight w:val="none"/>
          <w:lang w:eastAsia="zh-CN"/>
          <w14:textFill>
            <w14:solidFill>
              <w14:schemeClr w14:val="tx1"/>
            </w14:solidFill>
          </w14:textFill>
        </w:rPr>
        <w:t>；</w:t>
      </w:r>
      <w:bookmarkStart w:id="72" w:name="OLE_LINK1227"/>
      <w:r>
        <w:rPr>
          <w:rFonts w:hint="eastAsia" w:cs="Times New Roman"/>
          <w:color w:val="000000" w:themeColor="text1"/>
          <w:highlight w:val="none"/>
          <w:lang w:val="en-US" w:eastAsia="zh-CN"/>
          <w14:textFill>
            <w14:solidFill>
              <w14:schemeClr w14:val="tx1"/>
            </w14:solidFill>
          </w14:textFill>
        </w:rPr>
        <w:t>本工程不占用永久基本农田</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评价范围涉及永久</w:t>
      </w:r>
      <w:r>
        <w:rPr>
          <w:rFonts w:hint="default" w:ascii="Times New Roman" w:hAnsi="Times New Roman" w:cs="Times New Roman"/>
          <w:color w:val="000000" w:themeColor="text1"/>
          <w:highlight w:val="none"/>
          <w14:textFill>
            <w14:solidFill>
              <w14:schemeClr w14:val="tx1"/>
            </w14:solidFill>
          </w14:textFill>
        </w:rPr>
        <w:t>基本农田</w:t>
      </w:r>
      <w:bookmarkEnd w:id="72"/>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需要办理相关用地手续后方可开工建设；</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符合生态环境分区管控要求；建设单位按照《环境影响评价公众参与办法》，在</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环评过程中开展了公众参与调查，至信息公告的截止日期没有收到相关反馈信息。</w:t>
      </w:r>
    </w:p>
    <w:p w14:paraId="261E5CAA">
      <w:pPr>
        <w:pStyle w:val="7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Style w:val="72"/>
          <w:rFonts w:hint="default" w:ascii="Times New Roman" w:hAnsi="Times New Roman" w:cs="Times New Roman"/>
          <w:b w:val="0"/>
          <w:bCs/>
          <w:color w:val="000000" w:themeColor="text1"/>
          <w:sz w:val="24"/>
          <w:szCs w:val="24"/>
          <w:highlight w:val="none"/>
          <w:lang w:eastAsia="zh-CN"/>
          <w14:textFill>
            <w14:solidFill>
              <w14:schemeClr w14:val="tx1"/>
            </w14:solidFill>
          </w14:textFill>
        </w:rPr>
        <w:t>本</w:t>
      </w:r>
      <w:r>
        <w:rPr>
          <w:rStyle w:val="72"/>
          <w:rFonts w:hint="eastAsia" w:cs="Times New Roman"/>
          <w:b w:val="0"/>
          <w:bCs/>
          <w:color w:val="000000" w:themeColor="text1"/>
          <w:sz w:val="24"/>
          <w:szCs w:val="24"/>
          <w:highlight w:val="none"/>
          <w:lang w:val="en-US" w:eastAsia="zh-CN"/>
          <w14:textFill>
            <w14:solidFill>
              <w14:schemeClr w14:val="tx1"/>
            </w14:solidFill>
          </w14:textFill>
        </w:rPr>
        <w:t>工程</w:t>
      </w:r>
      <w:r>
        <w:rPr>
          <w:rStyle w:val="72"/>
          <w:rFonts w:hint="default" w:ascii="Times New Roman" w:hAnsi="Times New Roman" w:cs="Times New Roman"/>
          <w:b w:val="0"/>
          <w:bCs/>
          <w:color w:val="000000" w:themeColor="text1"/>
          <w:sz w:val="24"/>
          <w:szCs w:val="24"/>
          <w:highlight w:val="none"/>
          <w14:textFill>
            <w14:solidFill>
              <w14:schemeClr w14:val="tx1"/>
            </w14:solidFill>
          </w14:textFill>
        </w:rPr>
        <w:t>符合国家产业政策和新疆经济发展规划，符合</w:t>
      </w:r>
      <w:r>
        <w:rPr>
          <w:rStyle w:val="72"/>
          <w:rFonts w:hint="eastAsia" w:cs="Times New Roman"/>
          <w:b w:val="0"/>
          <w:bCs/>
          <w:color w:val="000000" w:themeColor="text1"/>
          <w:sz w:val="24"/>
          <w:szCs w:val="24"/>
          <w:highlight w:val="none"/>
          <w:lang w:val="en-US" w:eastAsia="zh-CN"/>
          <w14:textFill>
            <w14:solidFill>
              <w14:schemeClr w14:val="tx1"/>
            </w14:solidFill>
          </w14:textFill>
        </w:rPr>
        <w:t>新疆维吾尔自治区</w:t>
      </w:r>
      <w:r>
        <w:rPr>
          <w:rStyle w:val="72"/>
          <w:rFonts w:hint="default" w:ascii="Times New Roman" w:hAnsi="Times New Roman" w:cs="Times New Roman"/>
          <w:b w:val="0"/>
          <w:bCs/>
          <w:color w:val="000000" w:themeColor="text1"/>
          <w:sz w:val="24"/>
          <w:szCs w:val="24"/>
          <w:highlight w:val="none"/>
          <w14:textFill>
            <w14:solidFill>
              <w14:schemeClr w14:val="tx1"/>
            </w14:solidFill>
          </w14:textFill>
        </w:rPr>
        <w:t>及阿克苏地区生态环境分区管控要求，公众认同性较好。只要在</w:t>
      </w:r>
      <w:r>
        <w:rPr>
          <w:rStyle w:val="72"/>
          <w:rFonts w:hint="eastAsia" w:cs="Times New Roman"/>
          <w:b w:val="0"/>
          <w:bCs/>
          <w:color w:val="000000" w:themeColor="text1"/>
          <w:sz w:val="24"/>
          <w:szCs w:val="24"/>
          <w:highlight w:val="none"/>
          <w:lang w:val="en-US" w:eastAsia="zh-CN"/>
          <w14:textFill>
            <w14:solidFill>
              <w14:schemeClr w14:val="tx1"/>
            </w14:solidFill>
          </w14:textFill>
        </w:rPr>
        <w:t>施工</w:t>
      </w:r>
      <w:r>
        <w:rPr>
          <w:rStyle w:val="72"/>
          <w:rFonts w:hint="default" w:ascii="Times New Roman" w:hAnsi="Times New Roman" w:cs="Times New Roman"/>
          <w:b w:val="0"/>
          <w:bCs/>
          <w:color w:val="000000" w:themeColor="text1"/>
          <w:sz w:val="24"/>
          <w:szCs w:val="24"/>
          <w:highlight w:val="none"/>
          <w14:textFill>
            <w14:solidFill>
              <w14:schemeClr w14:val="tx1"/>
            </w14:solidFill>
          </w14:textFill>
        </w:rPr>
        <w:t>和运营过程中认真落实各项污染防治措施、生态修复措施、风险防范措施及应急措施，各项污染物均能够做到达标排放，其生态破坏可降至最低，环境风险可以接受，从环境保护角度看，</w:t>
      </w:r>
      <w:r>
        <w:rPr>
          <w:rStyle w:val="72"/>
          <w:rFonts w:hint="default" w:ascii="Times New Roman" w:hAnsi="Times New Roman" w:cs="Times New Roman"/>
          <w:b w:val="0"/>
          <w:bCs/>
          <w:color w:val="000000" w:themeColor="text1"/>
          <w:sz w:val="24"/>
          <w:szCs w:val="24"/>
          <w:highlight w:val="none"/>
          <w:lang w:eastAsia="zh-CN"/>
          <w14:textFill>
            <w14:solidFill>
              <w14:schemeClr w14:val="tx1"/>
            </w14:solidFill>
          </w14:textFill>
        </w:rPr>
        <w:t>本</w:t>
      </w:r>
      <w:r>
        <w:rPr>
          <w:rStyle w:val="72"/>
          <w:rFonts w:hint="eastAsia" w:cs="Times New Roman"/>
          <w:b w:val="0"/>
          <w:bCs/>
          <w:color w:val="000000" w:themeColor="text1"/>
          <w:sz w:val="24"/>
          <w:szCs w:val="24"/>
          <w:highlight w:val="none"/>
          <w:lang w:val="en-US" w:eastAsia="zh-CN"/>
          <w14:textFill>
            <w14:solidFill>
              <w14:schemeClr w14:val="tx1"/>
            </w14:solidFill>
          </w14:textFill>
        </w:rPr>
        <w:t>工程</w:t>
      </w:r>
      <w:r>
        <w:rPr>
          <w:rStyle w:val="72"/>
          <w:rFonts w:hint="default" w:ascii="Times New Roman" w:hAnsi="Times New Roman" w:cs="Times New Roman"/>
          <w:b w:val="0"/>
          <w:bCs/>
          <w:color w:val="000000" w:themeColor="text1"/>
          <w:sz w:val="24"/>
          <w:szCs w:val="24"/>
          <w:highlight w:val="none"/>
          <w14:textFill>
            <w14:solidFill>
              <w14:schemeClr w14:val="tx1"/>
            </w14:solidFill>
          </w14:textFill>
        </w:rPr>
        <w:t>选址合理，建设是可行的。</w:t>
      </w:r>
    </w:p>
    <w:p w14:paraId="6C1C23D7">
      <w:pPr>
        <w:pStyle w:val="2"/>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Style w:val="43"/>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bookmarkStart w:id="73" w:name="_Toc75438875"/>
      <w:bookmarkStart w:id="74" w:name="_Toc5678"/>
      <w:bookmarkStart w:id="75" w:name="_Toc24983"/>
      <w:r>
        <w:rPr>
          <w:rStyle w:val="43"/>
          <w:rFonts w:hint="default" w:ascii="Times New Roman" w:hAnsi="Times New Roman" w:cs="Times New Roman"/>
          <w:b/>
          <w:color w:val="000000" w:themeColor="text1"/>
          <w:sz w:val="36"/>
          <w:szCs w:val="36"/>
          <w:highlight w:val="none"/>
          <w14:textFill>
            <w14:solidFill>
              <w14:schemeClr w14:val="tx1"/>
            </w14:solidFill>
          </w14:textFill>
        </w:rPr>
        <w:t>2</w:t>
      </w:r>
      <w:bookmarkEnd w:id="62"/>
      <w:bookmarkEnd w:id="63"/>
      <w:bookmarkEnd w:id="64"/>
      <w:bookmarkEnd w:id="65"/>
      <w:bookmarkEnd w:id="66"/>
      <w:bookmarkEnd w:id="67"/>
      <w:bookmarkEnd w:id="68"/>
      <w:r>
        <w:rPr>
          <w:rStyle w:val="43"/>
          <w:rFonts w:hint="default" w:ascii="Times New Roman" w:hAnsi="Times New Roman" w:cs="Times New Roman"/>
          <w:b/>
          <w:color w:val="000000" w:themeColor="text1"/>
          <w:sz w:val="36"/>
          <w:szCs w:val="36"/>
          <w:highlight w:val="none"/>
          <w14:textFill>
            <w14:solidFill>
              <w14:schemeClr w14:val="tx1"/>
            </w14:solidFill>
          </w14:textFill>
        </w:rPr>
        <w:t>总则</w:t>
      </w:r>
      <w:bookmarkEnd w:id="69"/>
      <w:bookmarkEnd w:id="70"/>
      <w:bookmarkEnd w:id="73"/>
      <w:bookmarkEnd w:id="74"/>
      <w:bookmarkEnd w:id="75"/>
    </w:p>
    <w:p w14:paraId="793773DC">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6" w:name="_Toc507411703"/>
      <w:bookmarkStart w:id="77" w:name="_Toc19370"/>
      <w:bookmarkStart w:id="78" w:name="_Toc36583802"/>
      <w:bookmarkStart w:id="79" w:name="_Toc75438877"/>
      <w:bookmarkStart w:id="80" w:name="_Toc76"/>
      <w:bookmarkStart w:id="81" w:name="_Toc507411702"/>
      <w:bookmarkStart w:id="82" w:name="_Toc32270"/>
      <w:bookmarkStart w:id="83" w:name="_Toc500856896"/>
      <w:bookmarkStart w:id="84" w:name="_Toc36583801"/>
      <w:bookmarkStart w:id="85" w:name="_Toc75438876"/>
      <w:bookmarkStart w:id="86" w:name="_Toc390851518"/>
      <w:bookmarkStart w:id="87" w:name="_Toc494278972"/>
      <w:bookmarkStart w:id="88" w:name="_Toc479866261"/>
      <w:bookmarkStart w:id="89" w:name="_Toc491102341"/>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编制依据</w:t>
      </w:r>
      <w:bookmarkEnd w:id="76"/>
      <w:bookmarkEnd w:id="77"/>
      <w:bookmarkEnd w:id="78"/>
      <w:bookmarkEnd w:id="79"/>
      <w:bookmarkEnd w:id="80"/>
    </w:p>
    <w:p w14:paraId="41C75696">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0" w:name="_Toc24005"/>
      <w:bookmarkStart w:id="91" w:name="_Toc332317908"/>
      <w:bookmarkStart w:id="92" w:name="_Toc330418978"/>
      <w:bookmarkStart w:id="93" w:name="_Toc312148934"/>
      <w:bookmarkStart w:id="94" w:name="_Toc330418763"/>
      <w:bookmarkStart w:id="95" w:name="_Toc465181728"/>
      <w:bookmarkStart w:id="96" w:name="_Toc122"/>
      <w:bookmarkStart w:id="97" w:name="_Toc313911250"/>
      <w:bookmarkStart w:id="98" w:name="_Toc2342"/>
      <w:bookmarkStart w:id="99" w:name="_Toc329026110"/>
      <w:bookmarkStart w:id="100" w:name="OLE_LINK172"/>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.1</w:t>
      </w:r>
      <w:bookmarkEnd w:id="90"/>
      <w:bookmarkEnd w:id="91"/>
      <w:bookmarkEnd w:id="92"/>
      <w:bookmarkEnd w:id="93"/>
      <w:bookmarkEnd w:id="94"/>
      <w:bookmarkEnd w:id="95"/>
      <w:bookmarkEnd w:id="96"/>
      <w:bookmarkEnd w:id="97"/>
      <w:bookmarkEnd w:id="98"/>
      <w:bookmarkEnd w:id="99"/>
      <w:bookmarkStart w:id="101" w:name="OLE_LINK473"/>
      <w:r>
        <w:rPr>
          <w:rFonts w:hint="default" w:ascii="Times New Roman" w:hAnsi="Times New Roman" w:cs="Times New Roman"/>
          <w:color w:val="000000" w:themeColor="text1"/>
          <w:highlight w:val="none"/>
          <w14:textFill>
            <w14:solidFill>
              <w14:schemeClr w14:val="tx1"/>
            </w14:solidFill>
          </w14:textFill>
        </w:rPr>
        <w:t>环境保护法律</w:t>
      </w:r>
      <w:bookmarkEnd w:id="101"/>
    </w:p>
    <w:p w14:paraId="2101DE7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国家和地方环境保护法律一览表见表2.</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-1。</w:t>
      </w:r>
    </w:p>
    <w:bookmarkEnd w:id="100"/>
    <w:p w14:paraId="12C8D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bookmarkStart w:id="102" w:name="OLE_LINK174"/>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-1</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国家和地方法律法规一览表</w:t>
      </w:r>
    </w:p>
    <w:tbl>
      <w:tblPr>
        <w:tblStyle w:val="37"/>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7"/>
        <w:gridCol w:w="4473"/>
        <w:gridCol w:w="2496"/>
        <w:gridCol w:w="1064"/>
      </w:tblGrid>
      <w:tr w14:paraId="71FE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tblHeade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AD17E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序号</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21CB3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依据名称</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BF3E7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会议、主席令、文号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AF438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实施时间</w:t>
            </w:r>
          </w:p>
        </w:tc>
      </w:tr>
      <w:tr w14:paraId="64E5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73991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95F84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中华人民共和国环境保护法（2014年修订）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6CF1F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12届人大第8次会议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34BF9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2015-01-01</w:t>
            </w:r>
          </w:p>
        </w:tc>
      </w:tr>
      <w:tr w14:paraId="5DC0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4B23C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2688A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中华人民共和国环境影响评价法（2018年修正）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C5FED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13届人大第7次会议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6FA89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2018-12-29</w:t>
            </w:r>
          </w:p>
        </w:tc>
      </w:tr>
      <w:tr w14:paraId="712D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967FE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A7765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中华人民共和国大气污染防治法（2018年修正）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964AB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475E1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2018-10-26</w:t>
            </w:r>
          </w:p>
        </w:tc>
      </w:tr>
      <w:tr w14:paraId="3FAB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926B6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239E3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中华人民共和国水污染防治法（2017年修正）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AA3F4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12届人大第28次会议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B6929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2017-06-27</w:t>
            </w:r>
          </w:p>
        </w:tc>
      </w:tr>
      <w:tr w14:paraId="397D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192D0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1B7BC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中华人民共和国噪声污染防治法（2021年修正）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C12C3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13届人大第32次会议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056B7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2022-06-05</w:t>
            </w:r>
          </w:p>
        </w:tc>
      </w:tr>
      <w:tr w14:paraId="6CB1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DC75F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DD394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中华人民共和国固体废物污染环境防治法（2020年修订）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BAEDC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13届人大第17次会议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6903E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2020-09-01</w:t>
            </w:r>
          </w:p>
        </w:tc>
      </w:tr>
      <w:tr w14:paraId="1F91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AE3BB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EDBF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中华人民共和国水法（2016年修正）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075A2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12届人大第21次会议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C8B1A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2016-07-02</w:t>
            </w:r>
          </w:p>
        </w:tc>
      </w:tr>
      <w:tr w14:paraId="6A2A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49070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B2D3F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中华人民共和国水土保持法（2010年修订）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7BC55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11届人大第18次会议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A5B81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2011-03-01</w:t>
            </w:r>
          </w:p>
        </w:tc>
      </w:tr>
      <w:tr w14:paraId="6664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EFFF4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8BAEF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中华人民共和国清洁生产促进法（2012年修正）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8161C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11届人大第25次会议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9339A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2012-07-01</w:t>
            </w:r>
          </w:p>
        </w:tc>
      </w:tr>
      <w:tr w14:paraId="7FFE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443E5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E0803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中华人民共和国节约能源法（2018年修正）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93F98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CE1BD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2018-10-26</w:t>
            </w:r>
          </w:p>
        </w:tc>
      </w:tr>
      <w:tr w14:paraId="1456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8A680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612FC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中华人民共和国土地管理法（2019年修正）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7F02C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13届人大第12次会议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5DA80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19-08-26</w:t>
            </w:r>
          </w:p>
        </w:tc>
      </w:tr>
      <w:tr w14:paraId="7CD6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47F73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0B93C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中华人民共和国防洪法（2016年修正）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F5AB5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12届人大第21次会议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A5B1B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2016-07-02</w:t>
            </w:r>
          </w:p>
        </w:tc>
      </w:tr>
      <w:tr w14:paraId="1CD3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33228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97293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中华人民共和国草原法（2021年修正）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FEADC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13届人大第28次会议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53CC3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2021-04-29</w:t>
            </w:r>
          </w:p>
        </w:tc>
      </w:tr>
      <w:tr w14:paraId="7505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D41A2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D783D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中华人民共和国野生动物保护法（2022年修订）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E766C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13届人大第38次会议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167B0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2023-05-01</w:t>
            </w:r>
          </w:p>
        </w:tc>
      </w:tr>
      <w:tr w14:paraId="21F3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373F7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E750E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中华人民共和国石油天然气管道保护法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D5162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11届人大15次会议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2CE2D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2010-10-01</w:t>
            </w:r>
          </w:p>
        </w:tc>
      </w:tr>
      <w:tr w14:paraId="10C1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9C587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FAF2C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中华人民共和国突发事件应对法（2024年修订）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66D5F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届人大第</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6CF58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24-11-01</w:t>
            </w:r>
          </w:p>
        </w:tc>
      </w:tr>
      <w:tr w14:paraId="0083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E052C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3D30B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中华人民共和国防沙治沙法（2018年修正）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2A186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BFE89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2018-10-26</w:t>
            </w:r>
          </w:p>
        </w:tc>
      </w:tr>
      <w:tr w14:paraId="06F5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844C4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DA1F0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中华人民共和国土壤污染防治法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33C36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13届人大第5次会议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3DF4D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2019-01-01</w:t>
            </w:r>
          </w:p>
        </w:tc>
      </w:tr>
      <w:tr w14:paraId="7A8B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B62A5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4EEC0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14:textFill>
                  <w14:solidFill>
                    <w14:schemeClr w14:val="tx1"/>
                  </w14:solidFill>
                </w14:textFill>
              </w:rPr>
              <w:t>中华人民共和国安全生产法（2021年修正）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0A6FB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14:textFill>
                  <w14:solidFill>
                    <w14:schemeClr w14:val="tx1"/>
                  </w14:solidFill>
                </w14:textFill>
              </w:rPr>
              <w:t>13届人大第29次会议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7C51A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14:textFill>
                  <w14:solidFill>
                    <w14:schemeClr w14:val="tx1"/>
                  </w14:solidFill>
                </w14:textFill>
              </w:rPr>
              <w:t>2021-09-01</w:t>
            </w:r>
          </w:p>
        </w:tc>
      </w:tr>
      <w:bookmarkEnd w:id="102"/>
    </w:tbl>
    <w:p w14:paraId="6D678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000000" w:themeColor="text1"/>
          <w:sz w:val="21"/>
          <w:szCs w:val="21"/>
          <w:highlight w:val="none"/>
          <w14:textFill>
            <w14:solidFill>
              <w14:schemeClr w14:val="tx1"/>
            </w14:solidFill>
          </w14:textFill>
        </w:rPr>
      </w:pPr>
    </w:p>
    <w:p w14:paraId="4D0942E5">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3" w:name="_Toc4442"/>
      <w:bookmarkStart w:id="104" w:name="_Toc13800"/>
      <w:bookmarkStart w:id="105" w:name="_Toc22540"/>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环境保护</w:t>
      </w:r>
      <w:bookmarkStart w:id="106" w:name="OLE_LINK173"/>
      <w:r>
        <w:rPr>
          <w:rFonts w:hint="default" w:ascii="Times New Roman" w:hAnsi="Times New Roman" w:cs="Times New Roman"/>
          <w:color w:val="000000" w:themeColor="text1"/>
          <w:highlight w:val="none"/>
          <w14:textFill>
            <w14:solidFill>
              <w14:schemeClr w14:val="tx1"/>
            </w14:solidFill>
          </w14:textFill>
        </w:rPr>
        <w:t>法规、规章</w:t>
      </w:r>
      <w:bookmarkEnd w:id="106"/>
    </w:p>
    <w:p w14:paraId="6D172AD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国家和</w:t>
      </w:r>
      <w:r>
        <w:rPr>
          <w:rFonts w:hint="eastAsia" w:cs="Times New Roman"/>
          <w:color w:val="000000" w:themeColor="text1"/>
          <w:highlight w:val="none"/>
          <w:lang w:eastAsia="zh-CN"/>
          <w14:textFill>
            <w14:solidFill>
              <w14:schemeClr w14:val="tx1"/>
            </w14:solidFill>
          </w14:textFill>
        </w:rPr>
        <w:t>地方性法规</w:t>
      </w:r>
      <w:r>
        <w:rPr>
          <w:rFonts w:hint="default" w:ascii="Times New Roman" w:hAnsi="Times New Roman" w:cs="Times New Roman"/>
          <w:color w:val="000000" w:themeColor="text1"/>
          <w:highlight w:val="none"/>
          <w14:textFill>
            <w14:solidFill>
              <w14:schemeClr w14:val="tx1"/>
            </w14:solidFill>
          </w14:textFill>
        </w:rPr>
        <w:t>、规章一览表见表2.</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p>
    <w:p w14:paraId="6F47E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表2.</w:t>
      </w:r>
      <w:r>
        <w:rPr>
          <w:rFonts w:hint="eastAsia" w:eastAsia="黑体" w:cs="Times New Roman"/>
          <w:b/>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w:t>
      </w:r>
      <w:r>
        <w:rPr>
          <w:rFonts w:hint="eastAsia" w:eastAsia="黑体" w:cs="Times New Roman"/>
          <w:b/>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黑体"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国家和地方法律法规一览表</w:t>
      </w:r>
    </w:p>
    <w:tbl>
      <w:tblPr>
        <w:tblStyle w:val="37"/>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7"/>
        <w:gridCol w:w="4473"/>
        <w:gridCol w:w="2496"/>
        <w:gridCol w:w="1064"/>
      </w:tblGrid>
      <w:tr w14:paraId="7BF6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5" w:hRule="atLeast"/>
          <w:tblHeader/>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92C2C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序号</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CFC65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依据名称</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388EC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会议、主席令、文号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B1C2A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实施时间</w:t>
            </w:r>
          </w:p>
        </w:tc>
      </w:tr>
      <w:tr w14:paraId="3A5B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8C0D0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一</w:t>
            </w:r>
          </w:p>
        </w:tc>
        <w:tc>
          <w:tcPr>
            <w:tcW w:w="803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C018C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行政法规与国务院发布的规范性文件</w:t>
            </w:r>
          </w:p>
        </w:tc>
      </w:tr>
      <w:tr w14:paraId="251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94506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C1D21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建设项目环境保护管理条例（2017年修正）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4CB9B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国务院令682号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842F2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2017-10-01</w:t>
            </w:r>
          </w:p>
        </w:tc>
      </w:tr>
      <w:tr w14:paraId="1BA1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A9062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2731B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中华人民共和国野生植物保护条例（2017年修正）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43CCF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国务院令687号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8397B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2017-10-07</w:t>
            </w:r>
          </w:p>
        </w:tc>
      </w:tr>
      <w:tr w14:paraId="20DC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F7ACE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C6563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中华人民共和国陆生野生动物保护实施条例（2016年修</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订</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FB709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国务院令666号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FA1D0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2016-02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06</w:t>
            </w:r>
          </w:p>
        </w:tc>
      </w:tr>
      <w:tr w14:paraId="1402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FBBA1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1F037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instrText xml:space="preserve"> HYPERLINK "javascript:SLC(38905,0)" </w:instrTex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危险化学品安全管理条例</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（2013年修</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订</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6C9B5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国务院令645号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E57EA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2013-12-07</w:t>
            </w:r>
          </w:p>
        </w:tc>
      </w:tr>
      <w:tr w14:paraId="045A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E9BF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2E16A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中华人民共和国土地管理法实施条例（2021年修订）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7C0DE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国务院令743号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D81BB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2021-09-01</w:t>
            </w:r>
          </w:p>
        </w:tc>
      </w:tr>
      <w:tr w14:paraId="6CF1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7EFFB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CFADD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国务院关于加强环境保护重点工作的意见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6A747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国发〔2011〕35号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1FDF1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2011-10-17</w:t>
            </w:r>
          </w:p>
        </w:tc>
      </w:tr>
      <w:tr w14:paraId="523A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65A58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AFCF1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国务院关于印发水污染防治行动计划的通知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BF41C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国发〔2015〕17号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5F531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2015-04-02</w:t>
            </w:r>
          </w:p>
        </w:tc>
      </w:tr>
      <w:tr w14:paraId="3F35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C016C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72E1D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国务院关于印发土壤污染防治行动计划的通知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3DCB7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国发〔2016〕31号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49E3F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2016-05-28</w:t>
            </w:r>
          </w:p>
        </w:tc>
      </w:tr>
      <w:tr w14:paraId="0ADF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15766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1D4F1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中共中央</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国务院关于全面加强生态环境保护坚决打好污染防治攻坚战的意见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C6F24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中发〔2018〕17号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032B5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2018-06-16</w:t>
            </w:r>
          </w:p>
        </w:tc>
      </w:tr>
      <w:tr w14:paraId="44C3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6A364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D874E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关于印发《生态保护红线划定指南</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3BD18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环办生态〔2017〕48号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0B688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2017-05-27</w:t>
            </w:r>
          </w:p>
        </w:tc>
      </w:tr>
      <w:tr w14:paraId="2322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F143C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C31C9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cs="Times New Roman" w:eastAsiaTheme="minorEastAsia"/>
                <w:b w:val="0"/>
                <w:bCs w:val="0"/>
                <w:color w:val="000000" w:themeColor="text1"/>
                <w:sz w:val="21"/>
                <w:szCs w:val="21"/>
                <w:highlight w:val="none"/>
                <w:lang w:eastAsia="zh-CN"/>
                <w14:textFill>
                  <w14:solidFill>
                    <w14:schemeClr w14:val="tx1"/>
                  </w14:solidFill>
                </w14:textFill>
              </w:rPr>
              <w:t>国家林业和草原局</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财政部关于印发《国家级公益林区划界定办法》和《国家级公益林管理办法》的通知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FE89D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林资发〔2017〕34号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020C1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2017-04-28</w:t>
            </w:r>
          </w:p>
        </w:tc>
      </w:tr>
      <w:tr w14:paraId="7FFC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D8517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72777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地下水管理条例</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587AE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国务院令748号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63AC8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r>
      <w:tr w14:paraId="5A47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1BCBC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1C09E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排污许可管理条例</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6BE52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国务院令736号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6166E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2021-03-01</w:t>
            </w:r>
          </w:p>
        </w:tc>
      </w:tr>
      <w:tr w14:paraId="263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DE2A4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0415C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土地复垦条例</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FE29A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国务院令592号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257BF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2011-03-05</w:t>
            </w:r>
          </w:p>
        </w:tc>
      </w:tr>
      <w:tr w14:paraId="714A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883A1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C17EF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中华人民共和国森林法实施条例</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805F5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国务院令第698号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AFB57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2018-03-19</w:t>
            </w:r>
          </w:p>
        </w:tc>
      </w:tr>
      <w:tr w14:paraId="13DC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37F43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二</w:t>
            </w:r>
          </w:p>
        </w:tc>
        <w:tc>
          <w:tcPr>
            <w:tcW w:w="803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8439B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部门规章与部门发布的规范性文件</w:t>
            </w:r>
          </w:p>
        </w:tc>
      </w:tr>
      <w:tr w14:paraId="2EB8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DB60A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FEB23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建设项目环境影响评价分类管理名录（2021年版）</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8BDC7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生态环境部令第16号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FEC01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2021-01-01</w:t>
            </w:r>
          </w:p>
        </w:tc>
      </w:tr>
      <w:tr w14:paraId="67BD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F6A01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02E2B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环境影响评价公众参与办法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3F470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生态环境部令第4号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4AF20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2019-01-01</w:t>
            </w:r>
          </w:p>
        </w:tc>
      </w:tr>
      <w:tr w14:paraId="67AE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A2B25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D3248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关于印发《企业事业单位突发环境事件应急预案备案管理办法（试行）》的通知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BE4B3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环发〔2015〕4号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545BD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2015-01-08</w:t>
            </w:r>
          </w:p>
        </w:tc>
      </w:tr>
      <w:tr w14:paraId="3378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C55D5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3C309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国家危险废物名录（202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5年</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版）</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6D382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生态环境部、国家发展和改革委员会、公安部、交通运输部、国家卫生健康委员会令第36号公布</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1BF7E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-01-01</w:t>
            </w:r>
          </w:p>
        </w:tc>
      </w:tr>
      <w:tr w14:paraId="7D04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0F126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1C414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产业结构调整指导目录（2024年本）</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C456E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国家发展和改革委员会令第7号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4E7D9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4-02-01</w:t>
            </w:r>
          </w:p>
        </w:tc>
      </w:tr>
      <w:tr w14:paraId="2B2F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92A79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4BFE8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危险废物污染防治技术政策</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7FA2D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环发〔2001〕199号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C8877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2001-12-17</w:t>
            </w:r>
          </w:p>
        </w:tc>
      </w:tr>
      <w:tr w14:paraId="6200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DE731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AAE72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关于进一步加强环境影响评价管理防范环境风险的通知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88104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环发〔2012〕77号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D4690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2012-07-03</w:t>
            </w:r>
          </w:p>
        </w:tc>
      </w:tr>
      <w:tr w14:paraId="006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59534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D5C29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关于加强西部地区环境影响评价工作的通知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B7348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环发〔2011〕150号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F57DB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2011-12-29</w:t>
            </w:r>
          </w:p>
        </w:tc>
      </w:tr>
      <w:tr w14:paraId="1976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7A06F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F14D7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关于切实加强风险防范严格环境影响评价管理的通知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022AE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环发〔2012〕98号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D00B8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2012-08-07</w:t>
            </w:r>
          </w:p>
        </w:tc>
      </w:tr>
      <w:tr w14:paraId="1FAC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141C0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05AFD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关于加强国家重点生态功能区环境保护和管理的意见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1A16A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环发〔2013〕16号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B9AAC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2013-01-22</w:t>
            </w:r>
          </w:p>
        </w:tc>
      </w:tr>
      <w:tr w14:paraId="7A0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F1B88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C542F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关于印发《建设项目环境影响评价政府信息公开指南（试行）》的通知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D0B96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环办〔2013〕103号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CDA6A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14-01-01</w:t>
            </w:r>
          </w:p>
        </w:tc>
      </w:tr>
      <w:tr w14:paraId="64D1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849A0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AB71E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关于强化建设项目环境影响评价事中事后监管的实施意见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E62B9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环环评〔2018〕11号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3A402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2018-01-25</w:t>
            </w:r>
          </w:p>
        </w:tc>
      </w:tr>
      <w:tr w14:paraId="467D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DBBA1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9C338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关于印发地下水污染防治实施方案的通知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3514A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环土壤〔2019〕25号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6DB2A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2019-03-28</w:t>
            </w:r>
          </w:p>
        </w:tc>
      </w:tr>
      <w:tr w14:paraId="1C59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EC019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F3DEA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关于加快解决当前挥发性有机物治理突出问题的通知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38FAF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环大气〔2021〕65号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9F747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2021-08-04</w:t>
            </w:r>
          </w:p>
        </w:tc>
      </w:tr>
      <w:tr w14:paraId="4EC0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56272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D0344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关于进一步加强石油天然气行业环境影响评价管理的通知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7F7EB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环办环评函〔2019〕910号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9FD8C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2019-12-13</w:t>
            </w:r>
          </w:p>
        </w:tc>
      </w:tr>
      <w:tr w14:paraId="7C31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37CEE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52560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关于印发</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生态保护红线划定指南</w:t>
            </w:r>
            <w:r>
              <w:rPr>
                <w:rFonts w:hint="default" w:ascii="Times New Roman" w:hAnsi="Times New Roman" w:cs="Times New Roman" w:eastAsiaTheme="minorEastAsia"/>
                <w:b w:val="0"/>
                <w:bCs w:val="0"/>
                <w:color w:val="000000" w:themeColor="text1"/>
                <w:sz w:val="21"/>
                <w:szCs w:val="21"/>
                <w:highlight w:val="none"/>
                <w:lang w:val="en"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B6BDB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环办生态〔2017〕48号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84FDF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2017-05-27</w:t>
            </w:r>
          </w:p>
        </w:tc>
      </w:tr>
      <w:tr w14:paraId="19C3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F8443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21081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危险废物环境管理指南  陆上石油天然气开采</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5B1E0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生态环境部公告2021年第74号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28B67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2021-12-22</w:t>
            </w:r>
          </w:p>
        </w:tc>
      </w:tr>
      <w:tr w14:paraId="71CE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2CE32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AC2D9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instrText xml:space="preserve"> HYPERLINK "http://www.waizi.org.cn/doc/65105.html" \t "https://www.weichicaiwu.com/law/_blank" \o "环办〔2015〕104号《环境保护部办公厅关于印发〈石化行业VOCs污染源排查工作指南〉及〈石化企业泄漏检测与修复工作指南〉的通知》" </w:instrTex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石化行业VOCs污染源排查工作指南</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及《</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instrText xml:space="preserve"> HYPERLINK "http://www.waizi.org.cn/doc/65105.html" \t "https://www.weichicaiwu.com/law/_blank" \o "环办〔2015〕104号《环境保护部办公厅关于印发〈石化行业VOCs污染源排查工作指南〉及〈石化企业泄漏检测与修复工作指南〉的通知》" </w:instrTex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石化企业泄漏检测与修复工作指南</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fldChar w:fldCharType="end"/>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1D476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环办〔2015〕104号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2AF3C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2015</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17</w:t>
            </w:r>
          </w:p>
        </w:tc>
      </w:tr>
      <w:tr w14:paraId="615F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44C39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D8AFD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国家重点保护野生植物名录</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2021年</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DC26E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国家林业和草原局 农业农村部公告（2021年第15号）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D3242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9</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7</w:t>
            </w:r>
          </w:p>
        </w:tc>
      </w:tr>
      <w:tr w14:paraId="0624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644D8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B5BDA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国家重点保护野生动物名录</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（2021年）</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6BD28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国家林业和草原局 农业农村部公告（2021年第3号）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EE59D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2021-02-05</w:t>
            </w:r>
          </w:p>
        </w:tc>
      </w:tr>
      <w:tr w14:paraId="7CE2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65C39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8F1C1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危险废物转移管理办法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14573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生态环境部 公安部 交通运输部令23号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0743A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2022-01-01</w:t>
            </w:r>
          </w:p>
        </w:tc>
      </w:tr>
      <w:tr w14:paraId="1865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E20A1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E0607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危险废物排除管理清单（2021年版）</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8FA92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生态环境部</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公告</w:t>
            </w:r>
            <w:r>
              <w:rPr>
                <w:rFonts w:hint="default" w:ascii="Times New Roman" w:hAnsi="Times New Roman" w:cs="Times New Roman" w:eastAsiaTheme="minorEastAsia"/>
                <w:b w:val="0"/>
                <w:bCs w:val="0"/>
                <w:color w:val="000000" w:themeColor="text1"/>
                <w:sz w:val="21"/>
                <w:szCs w:val="21"/>
                <w:highlight w:val="none"/>
                <w:lang w:val="en"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年</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第</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66号</w:t>
            </w:r>
            <w:r>
              <w:rPr>
                <w:rFonts w:hint="default" w:ascii="Times New Roman" w:hAnsi="Times New Roman" w:cs="Times New Roman" w:eastAsiaTheme="minorEastAsia"/>
                <w:b w:val="0"/>
                <w:bCs w:val="0"/>
                <w:color w:val="000000" w:themeColor="text1"/>
                <w:sz w:val="21"/>
                <w:szCs w:val="21"/>
                <w:highlight w:val="none"/>
                <w:lang w:val="en" w:eastAsia="zh-CN"/>
                <w14:textFill>
                  <w14:solidFill>
                    <w14:schemeClr w14:val="tx1"/>
                  </w14:solidFill>
                </w14:textFill>
              </w:rPr>
              <w:t>）</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D3BBB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2021-12-03</w:t>
            </w:r>
          </w:p>
        </w:tc>
      </w:tr>
      <w:tr w14:paraId="2890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A24FC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B40FA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关于发布</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一般工业固体废物管理台账制定指南（试行）》的公告</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E0749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生态环境部公告2021年 第82号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6F069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12</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30</w:t>
            </w:r>
          </w:p>
        </w:tc>
      </w:tr>
      <w:tr w14:paraId="6315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10493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4424E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自然资源部关于规范临时用地管理的通知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C4823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自然资规〔2021〕2号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51F2E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2021-11-04</w:t>
            </w:r>
          </w:p>
        </w:tc>
      </w:tr>
      <w:tr w14:paraId="09FB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68670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9C639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关于发布《排放源统计调查产排污核算方法和系数手册》的公告</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CAB44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生态环境部公告2021年 第24号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A7A22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
                <w14:textFill>
                  <w14:solidFill>
                    <w14:schemeClr w14:val="tx1"/>
                  </w14:solidFill>
                </w14:textFill>
              </w:rPr>
              <w:t>2021-06-11</w:t>
            </w:r>
          </w:p>
        </w:tc>
      </w:tr>
      <w:tr w14:paraId="3410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BB494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7A979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zh-CN"/>
                <w14:textFill>
                  <w14:solidFill>
                    <w14:schemeClr w14:val="tx1"/>
                  </w14:solidFill>
                </w14:textFill>
              </w:rPr>
              <w:t>企业环境信息依法披露管理办法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62704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zh-CN"/>
                <w14:textFill>
                  <w14:solidFill>
                    <w14:schemeClr w14:val="tx1"/>
                  </w14:solidFill>
                </w14:textFill>
              </w:rPr>
              <w:t>生态环境部令第24号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2DD0E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zh-CN"/>
                <w14:textFill>
                  <w14:solidFill>
                    <w14:schemeClr w14:val="tx1"/>
                  </w14:solidFill>
                </w14:textFill>
              </w:rPr>
              <w:t>2022</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w:t>
            </w:r>
            <w:r>
              <w:rPr>
                <w:rFonts w:hint="default" w:ascii="Times New Roman" w:hAnsi="Times New Roman" w:cs="Times New Roman" w:eastAsiaTheme="minorEastAsia"/>
                <w:b w:val="0"/>
                <w:bCs w:val="0"/>
                <w:color w:val="000000" w:themeColor="text1"/>
                <w:sz w:val="21"/>
                <w:szCs w:val="21"/>
                <w:highlight w:val="none"/>
                <w:lang w:val="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-0</w:t>
            </w:r>
            <w:r>
              <w:rPr>
                <w:rFonts w:hint="default" w:ascii="Times New Roman" w:hAnsi="Times New Roman" w:cs="Times New Roman" w:eastAsiaTheme="minorEastAsia"/>
                <w:b w:val="0"/>
                <w:bCs w:val="0"/>
                <w:color w:val="000000" w:themeColor="text1"/>
                <w:sz w:val="21"/>
                <w:szCs w:val="21"/>
                <w:highlight w:val="none"/>
                <w:lang w:val="zh-CN"/>
                <w14:textFill>
                  <w14:solidFill>
                    <w14:schemeClr w14:val="tx1"/>
                  </w14:solidFill>
                </w14:textFill>
              </w:rPr>
              <w:t>8</w:t>
            </w:r>
          </w:p>
        </w:tc>
      </w:tr>
      <w:tr w14:paraId="2D9E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F1D3B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4D925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关于以改善环境质量为核心加强环境影响评价管理的通知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326C5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环环评〔2016〕150号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99563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2016-10-27</w:t>
            </w:r>
          </w:p>
        </w:tc>
      </w:tr>
      <w:tr w14:paraId="7203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5540C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28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01769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关于</w:t>
            </w:r>
            <w:r>
              <w:rPr>
                <w:rFonts w:hint="eastAsia" w:cs="Times New Roman"/>
                <w:color w:val="000000" w:themeColor="text1"/>
                <w:kern w:val="2"/>
                <w:sz w:val="21"/>
                <w:szCs w:val="21"/>
                <w:highlight w:val="none"/>
                <w:lang w:val="en-US" w:eastAsia="zh-CN" w:bidi="ar-SA"/>
                <w14:textFill>
                  <w14:solidFill>
                    <w14:schemeClr w14:val="tx1"/>
                  </w14:solidFill>
                </w14:textFill>
              </w:rPr>
              <w:t>印发</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建设项目主要污染物排放总量指标审核及管理暂行办法</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E8875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bookmarkStart w:id="107" w:name="OLE_LINK1248"/>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环发〔2014〕197号</w:t>
            </w:r>
            <w:bookmarkEnd w:id="107"/>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B4602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2014-12-31</w:t>
            </w:r>
          </w:p>
        </w:tc>
      </w:tr>
      <w:tr w14:paraId="73AD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E55E6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三</w:t>
            </w:r>
          </w:p>
        </w:tc>
        <w:tc>
          <w:tcPr>
            <w:tcW w:w="803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6B58C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地</w:t>
            </w:r>
            <w:r>
              <w:rPr>
                <w:rFonts w:hint="eastAsia" w:cs="Times New Roman" w:eastAsiaTheme="minorEastAsia"/>
                <w:b w:val="0"/>
                <w:bCs w:val="0"/>
                <w:color w:val="000000" w:themeColor="text1"/>
                <w:sz w:val="21"/>
                <w:szCs w:val="21"/>
                <w:highlight w:val="none"/>
                <w:lang w:eastAsia="zh-CN"/>
                <w14:textFill>
                  <w14:solidFill>
                    <w14:schemeClr w14:val="tx1"/>
                  </w14:solidFill>
                </w14:textFill>
              </w:rPr>
              <w:t>方性</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法规及通知</w:t>
            </w:r>
          </w:p>
        </w:tc>
      </w:tr>
      <w:tr w14:paraId="4561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EAD4A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4E83E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新疆维吾尔自治区环境保护条例（2018年修正）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B9D7D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A1283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2018-09-21</w:t>
            </w:r>
          </w:p>
        </w:tc>
      </w:tr>
      <w:tr w14:paraId="5DC1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357AF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B00EF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级</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水土流失重点预防区和重点治理区复核划分成果的通知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AB987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新水水保〔2019〕4号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B01EC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2019-01-21</w:t>
            </w:r>
          </w:p>
        </w:tc>
      </w:tr>
      <w:tr w14:paraId="76D5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BEAFB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B4FEC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新疆维吾尔自治区野生植物保护条例（2018年修正）</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0266C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029D3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2018-09-21</w:t>
            </w:r>
          </w:p>
        </w:tc>
      </w:tr>
      <w:tr w14:paraId="0688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4779F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74E7E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新疆维吾尔自治区重点保护野生动物名录（修订）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3B713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新政发〔2022〕75号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BE562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2022-09-18</w:t>
            </w:r>
          </w:p>
        </w:tc>
      </w:tr>
      <w:tr w14:paraId="6819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994AB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DA473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新疆国家重点保护野生动物名录</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468B6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自治区林业和草原局与农业农村厅2021年修订</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24989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2021-07-28</w:t>
            </w:r>
          </w:p>
        </w:tc>
      </w:tr>
      <w:tr w14:paraId="3196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8E343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3AB46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关于印发新疆维吾尔自治区水污染防治工作方案的通知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52B3A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新政发〔2016〕21号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5347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16-01-29</w:t>
            </w:r>
          </w:p>
        </w:tc>
      </w:tr>
      <w:tr w14:paraId="70A7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756EF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34046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新疆生态功能区划</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64F2BD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新政函〔2005〕96号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F0574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2005-07-14</w:t>
            </w:r>
          </w:p>
        </w:tc>
      </w:tr>
      <w:tr w14:paraId="57B3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61930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191EB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新疆维吾尔自治区危险废物污染环境防治办法</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13085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11届人大第9次会议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7D14A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2010-05-01</w:t>
            </w:r>
          </w:p>
        </w:tc>
      </w:tr>
      <w:tr w14:paraId="200D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33A24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36ADF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关于进一步加强我区危险废物和医疗废物监督管理工作的意见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FD093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新政办发〔2014〕38号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57488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4-03-31</w:t>
            </w:r>
          </w:p>
        </w:tc>
      </w:tr>
      <w:tr w14:paraId="352A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0EBC3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07728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关于印发新疆维吾尔自治区大气污染防治行动计划实施方案的通知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E17AF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新政发〔2014〕35号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9CDE1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2014-04-17</w:t>
            </w:r>
          </w:p>
        </w:tc>
      </w:tr>
      <w:tr w14:paraId="722F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B97BD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60B01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关于印发新疆维吾尔自治区水污染防治工作方案的通知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F6277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新政发〔2016〕21号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35403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2016-01-29</w:t>
            </w:r>
          </w:p>
        </w:tc>
      </w:tr>
      <w:tr w14:paraId="1E6A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517B8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970A4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关于印发新疆维吾尔自治区土壤污染防治工作方案的通知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6E0E5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新政发〔2017〕25号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A3D72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2017-03-01</w:t>
            </w:r>
          </w:p>
        </w:tc>
      </w:tr>
      <w:tr w14:paraId="4259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D9A9C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BFF19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关于印发《新疆维吾尔自治区重点行业生态环境准入条件（2024年）》的通知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F1CF8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新环环评发〔2024〕93号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EB443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24-06-13</w:t>
            </w:r>
          </w:p>
        </w:tc>
      </w:tr>
      <w:tr w14:paraId="3CBF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0ABB4A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23562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新疆维吾尔自治区大气污染防治条例</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2C4FB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13届人大第7次会议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E7964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2019-01-01</w:t>
            </w:r>
          </w:p>
        </w:tc>
      </w:tr>
      <w:tr w14:paraId="5760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FB929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302BA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转发《关于强化建设项目环境影响评价事中事后监管的实施意见》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C235B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新环办发〔2018〕80号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743DC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2018-03-27</w:t>
            </w:r>
          </w:p>
        </w:tc>
      </w:tr>
      <w:tr w14:paraId="3AC7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6E45E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971D7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关于进一步加强石油天然气行业环境影响评价管理的通知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578E9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环办环评函〔2019〕910号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2892C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9-12-13</w:t>
            </w:r>
          </w:p>
        </w:tc>
      </w:tr>
      <w:tr w14:paraId="4AD6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63784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329C2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关于加强建设项目环境影响后评价管理的通知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2ABB5C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新环环评发〔2020〕162号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1E8BB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2020-09-</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p>
        </w:tc>
      </w:tr>
      <w:tr w14:paraId="7C0E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B3E16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98F5C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关于印发《新疆维吾尔自治区“三线一单”生态环境分区管控方案》的通知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087EF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新政发〔2021〕18号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44C3D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2021-02-22</w:t>
            </w:r>
          </w:p>
        </w:tc>
      </w:tr>
      <w:tr w14:paraId="140C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A7E4B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2929D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关于印发《新疆维吾尔自治区七大片区“三线一单”生态环境分区管控要求》（2021年版）的通知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13BBE9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新环环评发〔2021〕162号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03F29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2021-07-26</w:t>
            </w:r>
          </w:p>
        </w:tc>
      </w:tr>
      <w:tr w14:paraId="2666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528BC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0DF758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关于印发《阿克苏地区生态环境分区管控方案（动态更新）》的通知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318A5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阿地环字〔2024〕32号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6F1D8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4-10-28</w:t>
            </w:r>
          </w:p>
        </w:tc>
      </w:tr>
      <w:tr w14:paraId="18C3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6C792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547228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关于进一步加强石油天然气行业环境影响评价管理的通知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4ECB5E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环办环评函〔2019〕910号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21FBF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19-12-13</w:t>
            </w:r>
          </w:p>
        </w:tc>
      </w:tr>
      <w:tr w14:paraId="78E7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6DECF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22</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6199A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关于加强沙区建设项目环境影响评价工作的通知</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10C9F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新环环评发〔2020〕138号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BCD2B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2020-09-04</w:t>
            </w:r>
          </w:p>
        </w:tc>
      </w:tr>
      <w:tr w14:paraId="6C21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47DB5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23</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435447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新疆生态环境保护“十四五”规划</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AABA9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97972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2021-12-24</w:t>
            </w:r>
          </w:p>
        </w:tc>
      </w:tr>
      <w:tr w14:paraId="46B8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0C797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24</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7D7659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自治区强化危险废物监管和利用处置能力改革工作方案</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EEFC3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新政办发〔2021〕95号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0818C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10</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29</w:t>
            </w:r>
          </w:p>
        </w:tc>
      </w:tr>
      <w:tr w14:paraId="0420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A68DF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25</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2F6F63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新疆维吾尔自治区重点保护野生动物名录（修订）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938A4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新政发〔2022〕75号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1504F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2022-09-18</w:t>
            </w:r>
          </w:p>
        </w:tc>
      </w:tr>
      <w:tr w14:paraId="04C5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EC241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26</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D1539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新疆维吾尔自治区国民经济和社会发展第十四个五年规划和2035年远景目标纲要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7C7FB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13届人大第4次会议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C510F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2021-02-05</w:t>
            </w:r>
          </w:p>
        </w:tc>
      </w:tr>
      <w:tr w14:paraId="6D24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E9FA9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27</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F230D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新疆维吾尔自治区实施《中华人民共和国水土保持法》办法（2013年修正本）</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F1740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届人大第</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1140B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2013-</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10-01</w:t>
            </w:r>
          </w:p>
        </w:tc>
      </w:tr>
      <w:tr w14:paraId="5472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3DB39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28</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67CB2D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关于《中国石油化工股份有限公司西北油田分公司“十四五”规划环境影响报告书》的审查意见</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045EF1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新环审〔2022〕147号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874A5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2022-07-25</w:t>
            </w:r>
          </w:p>
        </w:tc>
      </w:tr>
      <w:tr w14:paraId="6672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4643B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29</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455BE41">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新疆维吾尔自治区实施</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中华人民共和国防沙治沙法</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办法</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（2024年修订）</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73C2BCAB">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自治区14届人大16次会议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5BD04F2">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2025-01-01</w:t>
            </w:r>
          </w:p>
        </w:tc>
      </w:tr>
      <w:tr w14:paraId="2779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1065F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30</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16C78AE1">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新疆维吾尔自治区自然资源厅、生态环境厅、林业和草原局关于加强自治区生态保护红线管理的通知（试行）</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56448C65">
            <w:pPr>
              <w:keepNext w:val="0"/>
              <w:keepLines w:val="0"/>
              <w:pageBreakBefore w:val="0"/>
              <w:widowControl w:val="0"/>
              <w:kinsoku/>
              <w:wordWrap/>
              <w:overflowPunct/>
              <w:topLinePunct w:val="0"/>
              <w:autoSpaceDE/>
              <w:autoSpaceDN/>
              <w:bidi w:val="0"/>
              <w:ind w:left="0" w:leftChars="0" w:right="0" w:rightChars="0"/>
              <w:jc w:val="center"/>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新自然资发</w:t>
            </w:r>
            <w:bookmarkStart w:id="108" w:name="OLE_LINK1241"/>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〔2024〕56号</w:t>
            </w:r>
            <w:bookmarkEnd w:id="108"/>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9CB2E85">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2024-04-17</w:t>
            </w:r>
          </w:p>
        </w:tc>
      </w:tr>
      <w:tr w14:paraId="15AD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ECA69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b w:val="0"/>
                <w:bCs w:val="0"/>
                <w:color w:val="000000" w:themeColor="text1"/>
                <w:sz w:val="21"/>
                <w:szCs w:val="21"/>
                <w:highlight w:val="none"/>
                <w:lang w:val="en-US" w:eastAsia="zh-CN"/>
                <w14:textFill>
                  <w14:solidFill>
                    <w14:schemeClr w14:val="tx1"/>
                  </w14:solidFill>
                </w14:textFill>
              </w:rPr>
            </w:pPr>
            <w:bookmarkStart w:id="109" w:name="OLE_LINK1242" w:colFirst="1" w:colLast="3"/>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31</w:t>
            </w:r>
          </w:p>
        </w:tc>
        <w:tc>
          <w:tcPr>
            <w:tcW w:w="4473" w:type="dxa"/>
            <w:tcBorders>
              <w:top w:val="single" w:color="auto" w:sz="4" w:space="0"/>
              <w:left w:val="single" w:color="auto" w:sz="4" w:space="0"/>
              <w:bottom w:val="single" w:color="auto" w:sz="4" w:space="0"/>
              <w:right w:val="single" w:color="auto" w:sz="4" w:space="0"/>
            </w:tcBorders>
            <w:shd w:val="clear" w:color="auto" w:fill="auto"/>
            <w:vAlign w:val="center"/>
          </w:tcPr>
          <w:p w14:paraId="375D654B">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新疆维吾尔自治区饮用水水源保护区管理规定</w:t>
            </w:r>
            <w:r>
              <w:rPr>
                <w:rFonts w:hint="eastAsia" w:cs="Times New Roman"/>
                <w:color w:val="000000" w:themeColor="text1"/>
                <w:sz w:val="21"/>
                <w:szCs w:val="21"/>
                <w:highlight w:val="none"/>
                <w:lang w:val="en-US" w:eastAsia="zh-CN"/>
                <w14:textFill>
                  <w14:solidFill>
                    <w14:schemeClr w14:val="tx1"/>
                  </w14:solidFill>
                </w14:textFill>
              </w:rPr>
              <w:t>（试行）</w:t>
            </w:r>
          </w:p>
        </w:tc>
        <w:tc>
          <w:tcPr>
            <w:tcW w:w="2496" w:type="dxa"/>
            <w:tcBorders>
              <w:top w:val="single" w:color="auto" w:sz="4" w:space="0"/>
              <w:left w:val="single" w:color="auto" w:sz="4" w:space="0"/>
              <w:bottom w:val="single" w:color="auto" w:sz="4" w:space="0"/>
              <w:right w:val="single" w:color="auto" w:sz="4" w:space="0"/>
            </w:tcBorders>
            <w:shd w:val="clear" w:color="auto" w:fill="auto"/>
            <w:vAlign w:val="center"/>
          </w:tcPr>
          <w:p w14:paraId="3820660C">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新政发</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〔2024〕</w:t>
            </w:r>
            <w:r>
              <w:rPr>
                <w:rFonts w:hint="eastAsia" w:cs="Times New Roman"/>
                <w:color w:val="000000" w:themeColor="text1"/>
                <w:sz w:val="21"/>
                <w:szCs w:val="21"/>
                <w:highlight w:val="none"/>
                <w:lang w:val="en-US" w:eastAsia="zh-CN"/>
                <w14:textFill>
                  <w14:solidFill>
                    <w14:schemeClr w14:val="tx1"/>
                  </w14:solidFill>
                </w14:textFill>
              </w:rPr>
              <w:t>36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号</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4085B189">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2024-06-30</w:t>
            </w:r>
          </w:p>
        </w:tc>
      </w:tr>
      <w:bookmarkEnd w:id="109"/>
    </w:tbl>
    <w:p w14:paraId="1C194B84">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2.</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w:t>
      </w:r>
      <w:bookmarkEnd w:id="103"/>
      <w:bookmarkEnd w:id="104"/>
      <w:bookmarkEnd w:id="105"/>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3</w:t>
      </w:r>
      <w:bookmarkStart w:id="110" w:name="OLE_LINK474"/>
      <w:r>
        <w:rPr>
          <w:rFonts w:hint="default" w:ascii="Times New Roman" w:hAnsi="Times New Roman" w:eastAsia="宋体" w:cs="Times New Roman"/>
          <w:b/>
          <w:bCs/>
          <w:color w:val="000000" w:themeColor="text1"/>
          <w:sz w:val="28"/>
          <w:szCs w:val="28"/>
          <w:highlight w:val="none"/>
          <w14:textFill>
            <w14:solidFill>
              <w14:schemeClr w14:val="tx1"/>
            </w14:solidFill>
          </w14:textFill>
        </w:rPr>
        <w:t>环境保护技术规范</w:t>
      </w:r>
      <w:bookmarkEnd w:id="110"/>
    </w:p>
    <w:p w14:paraId="4D58C8C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环评有关</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14:textFill>
            <w14:solidFill>
              <w14:schemeClr w14:val="tx1"/>
            </w14:solidFill>
          </w14:textFill>
        </w:rPr>
        <w:t>环境保护技术规范见表2.</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p>
    <w:p w14:paraId="350866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表2.</w:t>
      </w:r>
      <w:r>
        <w:rPr>
          <w:rFonts w:hint="eastAsia" w:eastAsia="黑体" w:cs="Times New Roman"/>
          <w:b/>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w:t>
      </w:r>
      <w:r>
        <w:rPr>
          <w:rFonts w:hint="eastAsia" w:eastAsia="黑体" w:cs="Times New Roman"/>
          <w:b/>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黑体"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环评技术导则规范依据一览表</w:t>
      </w:r>
    </w:p>
    <w:tbl>
      <w:tblPr>
        <w:tblStyle w:val="37"/>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4839"/>
        <w:gridCol w:w="1952"/>
        <w:gridCol w:w="1263"/>
      </w:tblGrid>
      <w:tr w14:paraId="4505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2720C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pPr>
            <w:r>
              <w:rPr>
                <w:rFonts w:hint="eastAsia" w:eastAsia="宋体" w:cs="Times New Roman"/>
                <w:b/>
                <w:bCs w:val="0"/>
                <w:color w:val="000000" w:themeColor="text1"/>
                <w:spacing w:val="4"/>
                <w:kern w:val="24"/>
                <w:sz w:val="21"/>
                <w:szCs w:val="21"/>
                <w:highlight w:val="none"/>
                <w:lang w:val="en-US" w:eastAsia="zh-CN" w:bidi="ar-SA"/>
                <w14:textFill>
                  <w14:solidFill>
                    <w14:schemeClr w14:val="tx1"/>
                  </w14:solidFill>
                </w14:textFill>
              </w:rPr>
              <w:t>序号</w:t>
            </w:r>
          </w:p>
        </w:tc>
        <w:tc>
          <w:tcPr>
            <w:tcW w:w="4839" w:type="dxa"/>
            <w:tcBorders>
              <w:top w:val="single" w:color="auto" w:sz="4" w:space="0"/>
              <w:left w:val="single" w:color="auto" w:sz="4" w:space="0"/>
              <w:bottom w:val="single" w:color="auto" w:sz="4" w:space="0"/>
              <w:right w:val="single" w:color="auto" w:sz="4" w:space="0"/>
            </w:tcBorders>
            <w:vAlign w:val="center"/>
          </w:tcPr>
          <w:p w14:paraId="7AB3DF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t>依据名称</w:t>
            </w:r>
          </w:p>
        </w:tc>
        <w:tc>
          <w:tcPr>
            <w:tcW w:w="1952" w:type="dxa"/>
            <w:tcBorders>
              <w:top w:val="single" w:color="auto" w:sz="4" w:space="0"/>
              <w:left w:val="single" w:color="auto" w:sz="4" w:space="0"/>
              <w:bottom w:val="single" w:color="auto" w:sz="4" w:space="0"/>
              <w:right w:val="single" w:color="auto" w:sz="4" w:space="0"/>
            </w:tcBorders>
            <w:vAlign w:val="center"/>
          </w:tcPr>
          <w:p w14:paraId="0A2B3B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t>标准号</w:t>
            </w:r>
          </w:p>
        </w:tc>
        <w:tc>
          <w:tcPr>
            <w:tcW w:w="1263" w:type="dxa"/>
            <w:tcBorders>
              <w:top w:val="single" w:color="auto" w:sz="4" w:space="0"/>
              <w:left w:val="single" w:color="auto" w:sz="4" w:space="0"/>
              <w:bottom w:val="single" w:color="auto" w:sz="4" w:space="0"/>
              <w:right w:val="single" w:color="auto" w:sz="4" w:space="0"/>
            </w:tcBorders>
            <w:vAlign w:val="center"/>
          </w:tcPr>
          <w:p w14:paraId="1EF546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pacing w:val="4"/>
                <w:kern w:val="24"/>
                <w:sz w:val="21"/>
                <w:szCs w:val="21"/>
                <w:highlight w:val="none"/>
                <w:lang w:val="en-US" w:eastAsia="zh-CN" w:bidi="ar-SA"/>
                <w14:textFill>
                  <w14:solidFill>
                    <w14:schemeClr w14:val="tx1"/>
                  </w14:solidFill>
                </w14:textFill>
              </w:rPr>
              <w:t>实施时间</w:t>
            </w:r>
          </w:p>
        </w:tc>
      </w:tr>
      <w:tr w14:paraId="6308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3CC54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4839" w:type="dxa"/>
            <w:tcBorders>
              <w:top w:val="single" w:color="auto" w:sz="4" w:space="0"/>
              <w:left w:val="single" w:color="auto" w:sz="4" w:space="0"/>
              <w:bottom w:val="single" w:color="auto" w:sz="4" w:space="0"/>
              <w:right w:val="single" w:color="auto" w:sz="4" w:space="0"/>
            </w:tcBorders>
            <w:vAlign w:val="center"/>
          </w:tcPr>
          <w:p w14:paraId="1CD977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建设项目环境影响评价技术导则 总纲</w:t>
            </w:r>
          </w:p>
        </w:tc>
        <w:tc>
          <w:tcPr>
            <w:tcW w:w="1952" w:type="dxa"/>
            <w:tcBorders>
              <w:top w:val="single" w:color="auto" w:sz="4" w:space="0"/>
              <w:left w:val="single" w:color="auto" w:sz="4" w:space="0"/>
              <w:bottom w:val="single" w:color="auto" w:sz="4" w:space="0"/>
              <w:right w:val="single" w:color="auto" w:sz="4" w:space="0"/>
            </w:tcBorders>
            <w:vAlign w:val="center"/>
          </w:tcPr>
          <w:p w14:paraId="1B5D84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HJ2.1-2016</w:t>
            </w:r>
          </w:p>
        </w:tc>
        <w:tc>
          <w:tcPr>
            <w:tcW w:w="1263" w:type="dxa"/>
            <w:tcBorders>
              <w:top w:val="single" w:color="auto" w:sz="4" w:space="0"/>
              <w:left w:val="single" w:color="auto" w:sz="4" w:space="0"/>
              <w:bottom w:val="single" w:color="auto" w:sz="4" w:space="0"/>
              <w:right w:val="single" w:color="auto" w:sz="4" w:space="0"/>
            </w:tcBorders>
            <w:vAlign w:val="center"/>
          </w:tcPr>
          <w:p w14:paraId="689C9D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2017-01-01</w:t>
            </w:r>
          </w:p>
        </w:tc>
      </w:tr>
      <w:tr w14:paraId="3E81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CF4BA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4839" w:type="dxa"/>
            <w:tcBorders>
              <w:top w:val="single" w:color="auto" w:sz="4" w:space="0"/>
              <w:left w:val="single" w:color="auto" w:sz="4" w:space="0"/>
              <w:bottom w:val="single" w:color="auto" w:sz="4" w:space="0"/>
              <w:right w:val="single" w:color="auto" w:sz="4" w:space="0"/>
            </w:tcBorders>
            <w:vAlign w:val="center"/>
          </w:tcPr>
          <w:p w14:paraId="3D7134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大气环境</w:t>
            </w:r>
          </w:p>
        </w:tc>
        <w:tc>
          <w:tcPr>
            <w:tcW w:w="1952" w:type="dxa"/>
            <w:tcBorders>
              <w:top w:val="single" w:color="auto" w:sz="4" w:space="0"/>
              <w:left w:val="single" w:color="auto" w:sz="4" w:space="0"/>
              <w:bottom w:val="single" w:color="auto" w:sz="4" w:space="0"/>
              <w:right w:val="single" w:color="auto" w:sz="4" w:space="0"/>
            </w:tcBorders>
            <w:vAlign w:val="center"/>
          </w:tcPr>
          <w:p w14:paraId="70FE55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HJ2.2-2018</w:t>
            </w:r>
          </w:p>
        </w:tc>
        <w:tc>
          <w:tcPr>
            <w:tcW w:w="1263" w:type="dxa"/>
            <w:tcBorders>
              <w:top w:val="single" w:color="auto" w:sz="4" w:space="0"/>
              <w:left w:val="single" w:color="auto" w:sz="4" w:space="0"/>
              <w:bottom w:val="single" w:color="auto" w:sz="4" w:space="0"/>
              <w:right w:val="single" w:color="auto" w:sz="4" w:space="0"/>
            </w:tcBorders>
            <w:vAlign w:val="center"/>
          </w:tcPr>
          <w:p w14:paraId="7BCC72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2018-12-01</w:t>
            </w:r>
          </w:p>
        </w:tc>
      </w:tr>
      <w:tr w14:paraId="31C0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B2D71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4839" w:type="dxa"/>
            <w:tcBorders>
              <w:top w:val="single" w:color="auto" w:sz="4" w:space="0"/>
              <w:left w:val="single" w:color="auto" w:sz="4" w:space="0"/>
              <w:bottom w:val="single" w:color="auto" w:sz="4" w:space="0"/>
              <w:right w:val="single" w:color="auto" w:sz="4" w:space="0"/>
            </w:tcBorders>
            <w:vAlign w:val="center"/>
          </w:tcPr>
          <w:p w14:paraId="13AD79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地表水环境</w:t>
            </w:r>
          </w:p>
        </w:tc>
        <w:tc>
          <w:tcPr>
            <w:tcW w:w="1952" w:type="dxa"/>
            <w:tcBorders>
              <w:top w:val="single" w:color="auto" w:sz="4" w:space="0"/>
              <w:left w:val="single" w:color="auto" w:sz="4" w:space="0"/>
              <w:bottom w:val="single" w:color="auto" w:sz="4" w:space="0"/>
              <w:right w:val="single" w:color="auto" w:sz="4" w:space="0"/>
            </w:tcBorders>
            <w:vAlign w:val="center"/>
          </w:tcPr>
          <w:p w14:paraId="32CF2A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HJ2.3-2018</w:t>
            </w:r>
          </w:p>
        </w:tc>
        <w:tc>
          <w:tcPr>
            <w:tcW w:w="1263" w:type="dxa"/>
            <w:tcBorders>
              <w:top w:val="single" w:color="auto" w:sz="4" w:space="0"/>
              <w:left w:val="single" w:color="auto" w:sz="4" w:space="0"/>
              <w:bottom w:val="single" w:color="auto" w:sz="4" w:space="0"/>
              <w:right w:val="single" w:color="auto" w:sz="4" w:space="0"/>
            </w:tcBorders>
            <w:vAlign w:val="center"/>
          </w:tcPr>
          <w:p w14:paraId="57255E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2019-03-01</w:t>
            </w:r>
          </w:p>
        </w:tc>
      </w:tr>
      <w:tr w14:paraId="0D20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66FFE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4839" w:type="dxa"/>
            <w:tcBorders>
              <w:top w:val="single" w:color="auto" w:sz="4" w:space="0"/>
              <w:left w:val="single" w:color="auto" w:sz="4" w:space="0"/>
              <w:bottom w:val="single" w:color="auto" w:sz="4" w:space="0"/>
              <w:right w:val="single" w:color="auto" w:sz="4" w:space="0"/>
            </w:tcBorders>
            <w:vAlign w:val="center"/>
          </w:tcPr>
          <w:p w14:paraId="6EE2E9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instrText xml:space="preserve"> HYPERLINK "http://kjs.mep.gov.cn/hjbhbz/bzwb/other/pjjsdz/201001/t20100107_183907.htm" </w:instrTex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声环境</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end"/>
            </w:r>
          </w:p>
        </w:tc>
        <w:tc>
          <w:tcPr>
            <w:tcW w:w="1952" w:type="dxa"/>
            <w:tcBorders>
              <w:top w:val="single" w:color="auto" w:sz="4" w:space="0"/>
              <w:left w:val="single" w:color="auto" w:sz="4" w:space="0"/>
              <w:bottom w:val="single" w:color="auto" w:sz="4" w:space="0"/>
              <w:right w:val="single" w:color="auto" w:sz="4" w:space="0"/>
            </w:tcBorders>
            <w:vAlign w:val="center"/>
          </w:tcPr>
          <w:p w14:paraId="55DD0A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HJ2.4-2021</w:t>
            </w:r>
          </w:p>
        </w:tc>
        <w:tc>
          <w:tcPr>
            <w:tcW w:w="1263" w:type="dxa"/>
            <w:tcBorders>
              <w:top w:val="single" w:color="auto" w:sz="4" w:space="0"/>
              <w:left w:val="single" w:color="auto" w:sz="4" w:space="0"/>
              <w:bottom w:val="single" w:color="auto" w:sz="4" w:space="0"/>
              <w:right w:val="single" w:color="auto" w:sz="4" w:space="0"/>
            </w:tcBorders>
            <w:vAlign w:val="center"/>
          </w:tcPr>
          <w:p w14:paraId="48BD78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2022-07-01</w:t>
            </w:r>
          </w:p>
        </w:tc>
      </w:tr>
      <w:tr w14:paraId="62CC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EB2B7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4839" w:type="dxa"/>
            <w:tcBorders>
              <w:top w:val="single" w:color="auto" w:sz="4" w:space="0"/>
              <w:left w:val="single" w:color="auto" w:sz="4" w:space="0"/>
              <w:bottom w:val="single" w:color="auto" w:sz="4" w:space="0"/>
              <w:right w:val="single" w:color="auto" w:sz="4" w:space="0"/>
            </w:tcBorders>
            <w:vAlign w:val="center"/>
          </w:tcPr>
          <w:p w14:paraId="66FEED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instrText xml:space="preserve"> HYPERLINK "http://kjs.mep.gov.cn/hjbhbz/bzwb/other/pjjsdz/199806/t19980601_68415.htm" </w:instrTex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生态影响</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fldChar w:fldCharType="end"/>
            </w:r>
          </w:p>
        </w:tc>
        <w:tc>
          <w:tcPr>
            <w:tcW w:w="1952" w:type="dxa"/>
            <w:tcBorders>
              <w:top w:val="single" w:color="auto" w:sz="4" w:space="0"/>
              <w:left w:val="single" w:color="auto" w:sz="4" w:space="0"/>
              <w:bottom w:val="single" w:color="auto" w:sz="4" w:space="0"/>
              <w:right w:val="single" w:color="auto" w:sz="4" w:space="0"/>
            </w:tcBorders>
            <w:vAlign w:val="center"/>
          </w:tcPr>
          <w:p w14:paraId="401CD4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HJ19-2022</w:t>
            </w:r>
          </w:p>
        </w:tc>
        <w:tc>
          <w:tcPr>
            <w:tcW w:w="1263" w:type="dxa"/>
            <w:tcBorders>
              <w:top w:val="single" w:color="auto" w:sz="4" w:space="0"/>
              <w:left w:val="single" w:color="auto" w:sz="4" w:space="0"/>
              <w:bottom w:val="single" w:color="auto" w:sz="4" w:space="0"/>
              <w:right w:val="single" w:color="auto" w:sz="4" w:space="0"/>
            </w:tcBorders>
            <w:vAlign w:val="center"/>
          </w:tcPr>
          <w:p w14:paraId="51D857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2022-07-01</w:t>
            </w:r>
          </w:p>
        </w:tc>
      </w:tr>
      <w:tr w14:paraId="0AB3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A86D3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w:t>
            </w:r>
          </w:p>
        </w:tc>
        <w:tc>
          <w:tcPr>
            <w:tcW w:w="4839" w:type="dxa"/>
            <w:tcBorders>
              <w:top w:val="single" w:color="auto" w:sz="4" w:space="0"/>
              <w:left w:val="single" w:color="auto" w:sz="4" w:space="0"/>
              <w:bottom w:val="single" w:color="auto" w:sz="4" w:space="0"/>
              <w:right w:val="single" w:color="auto" w:sz="4" w:space="0"/>
            </w:tcBorders>
            <w:vAlign w:val="center"/>
          </w:tcPr>
          <w:p w14:paraId="0454EF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地下水环境</w:t>
            </w:r>
          </w:p>
        </w:tc>
        <w:tc>
          <w:tcPr>
            <w:tcW w:w="1952" w:type="dxa"/>
            <w:tcBorders>
              <w:top w:val="single" w:color="auto" w:sz="4" w:space="0"/>
              <w:left w:val="single" w:color="auto" w:sz="4" w:space="0"/>
              <w:bottom w:val="single" w:color="auto" w:sz="4" w:space="0"/>
              <w:right w:val="single" w:color="auto" w:sz="4" w:space="0"/>
            </w:tcBorders>
            <w:vAlign w:val="center"/>
          </w:tcPr>
          <w:p w14:paraId="46EE06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HJ610-2016</w:t>
            </w:r>
          </w:p>
        </w:tc>
        <w:tc>
          <w:tcPr>
            <w:tcW w:w="1263" w:type="dxa"/>
            <w:tcBorders>
              <w:top w:val="single" w:color="auto" w:sz="4" w:space="0"/>
              <w:left w:val="single" w:color="auto" w:sz="4" w:space="0"/>
              <w:bottom w:val="single" w:color="auto" w:sz="4" w:space="0"/>
              <w:right w:val="single" w:color="auto" w:sz="4" w:space="0"/>
            </w:tcBorders>
            <w:vAlign w:val="center"/>
          </w:tcPr>
          <w:p w14:paraId="67D210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2016-01-07</w:t>
            </w:r>
          </w:p>
        </w:tc>
      </w:tr>
      <w:tr w14:paraId="4E2E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5F197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w:t>
            </w:r>
          </w:p>
        </w:tc>
        <w:tc>
          <w:tcPr>
            <w:tcW w:w="4839" w:type="dxa"/>
            <w:tcBorders>
              <w:top w:val="single" w:color="auto" w:sz="4" w:space="0"/>
              <w:left w:val="single" w:color="auto" w:sz="4" w:space="0"/>
              <w:bottom w:val="single" w:color="auto" w:sz="4" w:space="0"/>
              <w:right w:val="single" w:color="auto" w:sz="4" w:space="0"/>
            </w:tcBorders>
            <w:vAlign w:val="center"/>
          </w:tcPr>
          <w:p w14:paraId="2AFA36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陆地石油天然气开发建设项目</w:t>
            </w:r>
          </w:p>
        </w:tc>
        <w:tc>
          <w:tcPr>
            <w:tcW w:w="1952" w:type="dxa"/>
            <w:tcBorders>
              <w:top w:val="single" w:color="auto" w:sz="4" w:space="0"/>
              <w:left w:val="single" w:color="auto" w:sz="4" w:space="0"/>
              <w:bottom w:val="single" w:color="auto" w:sz="4" w:space="0"/>
              <w:right w:val="single" w:color="auto" w:sz="4" w:space="0"/>
            </w:tcBorders>
            <w:vAlign w:val="center"/>
          </w:tcPr>
          <w:p w14:paraId="20A697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HJ349-2023</w:t>
            </w:r>
          </w:p>
        </w:tc>
        <w:tc>
          <w:tcPr>
            <w:tcW w:w="1263" w:type="dxa"/>
            <w:tcBorders>
              <w:top w:val="single" w:color="auto" w:sz="4" w:space="0"/>
              <w:left w:val="single" w:color="auto" w:sz="4" w:space="0"/>
              <w:bottom w:val="single" w:color="auto" w:sz="4" w:space="0"/>
              <w:right w:val="single" w:color="auto" w:sz="4" w:space="0"/>
            </w:tcBorders>
            <w:vAlign w:val="center"/>
          </w:tcPr>
          <w:p w14:paraId="09A62C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2024-01-01</w:t>
            </w:r>
          </w:p>
        </w:tc>
      </w:tr>
      <w:tr w14:paraId="49E4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E7258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w:t>
            </w:r>
          </w:p>
        </w:tc>
        <w:tc>
          <w:tcPr>
            <w:tcW w:w="4839" w:type="dxa"/>
            <w:tcBorders>
              <w:top w:val="single" w:color="auto" w:sz="4" w:space="0"/>
              <w:left w:val="single" w:color="auto" w:sz="4" w:space="0"/>
              <w:bottom w:val="single" w:color="auto" w:sz="4" w:space="0"/>
              <w:right w:val="single" w:color="auto" w:sz="4" w:space="0"/>
            </w:tcBorders>
            <w:vAlign w:val="center"/>
          </w:tcPr>
          <w:p w14:paraId="762AA4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建设项目环境风险评价技术导则</w:t>
            </w:r>
          </w:p>
        </w:tc>
        <w:tc>
          <w:tcPr>
            <w:tcW w:w="1952" w:type="dxa"/>
            <w:tcBorders>
              <w:top w:val="single" w:color="auto" w:sz="4" w:space="0"/>
              <w:left w:val="single" w:color="auto" w:sz="4" w:space="0"/>
              <w:bottom w:val="single" w:color="auto" w:sz="4" w:space="0"/>
              <w:right w:val="single" w:color="auto" w:sz="4" w:space="0"/>
            </w:tcBorders>
            <w:vAlign w:val="center"/>
          </w:tcPr>
          <w:p w14:paraId="776C7E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HJ169-2018</w:t>
            </w:r>
          </w:p>
        </w:tc>
        <w:tc>
          <w:tcPr>
            <w:tcW w:w="1263" w:type="dxa"/>
            <w:tcBorders>
              <w:top w:val="single" w:color="auto" w:sz="4" w:space="0"/>
              <w:left w:val="single" w:color="auto" w:sz="4" w:space="0"/>
              <w:bottom w:val="single" w:color="auto" w:sz="4" w:space="0"/>
              <w:right w:val="single" w:color="auto" w:sz="4" w:space="0"/>
            </w:tcBorders>
            <w:vAlign w:val="center"/>
          </w:tcPr>
          <w:p w14:paraId="0A3183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2019-03-01</w:t>
            </w:r>
          </w:p>
        </w:tc>
      </w:tr>
      <w:tr w14:paraId="53B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87FB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9</w:t>
            </w:r>
          </w:p>
        </w:tc>
        <w:tc>
          <w:tcPr>
            <w:tcW w:w="4839" w:type="dxa"/>
            <w:tcBorders>
              <w:top w:val="single" w:color="auto" w:sz="4" w:space="0"/>
              <w:left w:val="single" w:color="auto" w:sz="4" w:space="0"/>
              <w:bottom w:val="single" w:color="auto" w:sz="4" w:space="0"/>
              <w:right w:val="single" w:color="auto" w:sz="4" w:space="0"/>
            </w:tcBorders>
            <w:vAlign w:val="center"/>
          </w:tcPr>
          <w:p w14:paraId="13A9A0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环境影响评价技术导则 土壤</w:t>
            </w:r>
            <w:r>
              <w:rPr>
                <w:rFonts w:hint="eastAsia" w:cs="Times New Roman" w:eastAsiaTheme="minorEastAsia"/>
                <w:color w:val="000000" w:themeColor="text1"/>
                <w:sz w:val="21"/>
                <w:szCs w:val="21"/>
                <w:highlight w:val="none"/>
                <w:lang w:val="en-US" w:eastAsia="zh-CN"/>
                <w14:textFill>
                  <w14:solidFill>
                    <w14:schemeClr w14:val="tx1"/>
                  </w14:solidFill>
                </w14:textFill>
              </w:rPr>
              <w:t>环境</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（试行）</w:t>
            </w:r>
          </w:p>
        </w:tc>
        <w:tc>
          <w:tcPr>
            <w:tcW w:w="1952" w:type="dxa"/>
            <w:tcBorders>
              <w:top w:val="single" w:color="auto" w:sz="4" w:space="0"/>
              <w:left w:val="single" w:color="auto" w:sz="4" w:space="0"/>
              <w:bottom w:val="single" w:color="auto" w:sz="4" w:space="0"/>
              <w:right w:val="single" w:color="auto" w:sz="4" w:space="0"/>
            </w:tcBorders>
            <w:vAlign w:val="center"/>
          </w:tcPr>
          <w:p w14:paraId="73F682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HJ964-2018</w:t>
            </w:r>
          </w:p>
        </w:tc>
        <w:tc>
          <w:tcPr>
            <w:tcW w:w="1263" w:type="dxa"/>
            <w:tcBorders>
              <w:top w:val="single" w:color="auto" w:sz="4" w:space="0"/>
              <w:left w:val="single" w:color="auto" w:sz="4" w:space="0"/>
              <w:bottom w:val="single" w:color="auto" w:sz="4" w:space="0"/>
              <w:right w:val="single" w:color="auto" w:sz="4" w:space="0"/>
            </w:tcBorders>
            <w:vAlign w:val="center"/>
          </w:tcPr>
          <w:p w14:paraId="6355EB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2019-07-01</w:t>
            </w:r>
          </w:p>
        </w:tc>
      </w:tr>
      <w:tr w14:paraId="57D2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50DB2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4839" w:type="dxa"/>
            <w:tcBorders>
              <w:top w:val="single" w:color="auto" w:sz="4" w:space="0"/>
              <w:left w:val="single" w:color="auto" w:sz="4" w:space="0"/>
              <w:bottom w:val="single" w:color="auto" w:sz="4" w:space="0"/>
              <w:right w:val="single" w:color="auto" w:sz="4" w:space="0"/>
            </w:tcBorders>
            <w:vAlign w:val="center"/>
          </w:tcPr>
          <w:p w14:paraId="1D5A1D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水土保持综合治理 技术规范 坡耕地治理技术</w:t>
            </w:r>
          </w:p>
        </w:tc>
        <w:tc>
          <w:tcPr>
            <w:tcW w:w="1952" w:type="dxa"/>
            <w:tcBorders>
              <w:top w:val="single" w:color="auto" w:sz="4" w:space="0"/>
              <w:left w:val="single" w:color="auto" w:sz="4" w:space="0"/>
              <w:bottom w:val="single" w:color="auto" w:sz="4" w:space="0"/>
              <w:right w:val="single" w:color="auto" w:sz="4" w:space="0"/>
            </w:tcBorders>
            <w:vAlign w:val="center"/>
          </w:tcPr>
          <w:p w14:paraId="638AE6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GB/T16453.1-2008</w:t>
            </w:r>
          </w:p>
        </w:tc>
        <w:tc>
          <w:tcPr>
            <w:tcW w:w="1263" w:type="dxa"/>
            <w:tcBorders>
              <w:top w:val="single" w:color="auto" w:sz="4" w:space="0"/>
              <w:left w:val="single" w:color="auto" w:sz="4" w:space="0"/>
              <w:bottom w:val="single" w:color="auto" w:sz="4" w:space="0"/>
              <w:right w:val="single" w:color="auto" w:sz="4" w:space="0"/>
            </w:tcBorders>
            <w:vAlign w:val="center"/>
          </w:tcPr>
          <w:p w14:paraId="6088DD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2009-02-01</w:t>
            </w:r>
          </w:p>
        </w:tc>
      </w:tr>
      <w:tr w14:paraId="29F0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DD2D6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623EF3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危险化学品重大危险源辨识</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AB92A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GB18218-2018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CE693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2019-03-01</w:t>
            </w:r>
          </w:p>
        </w:tc>
      </w:tr>
      <w:tr w14:paraId="3244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15B83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12</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5CB971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石油和天然气开采行业清洁生产评价体系指标（试行）</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37678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国家发展和改革委员会</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公告2009第3号</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BFC5D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2009-02-19</w:t>
            </w:r>
          </w:p>
        </w:tc>
      </w:tr>
      <w:tr w14:paraId="520F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2C1959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362A38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石油天然气工业健康、安全与环境管理体系</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373746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SY/T6276-2014</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75EDC9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2015-03-01</w:t>
            </w:r>
          </w:p>
        </w:tc>
      </w:tr>
      <w:tr w14:paraId="604C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37DBD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14</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244F9A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石油化工环境保护设计规范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1A9F06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SH/T3024-2017</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5153CD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2018-01-01</w:t>
            </w:r>
          </w:p>
        </w:tc>
      </w:tr>
      <w:tr w14:paraId="7F78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F2454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4B29E2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石油天然气开采业污染防治技术政策</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7A23A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环境部公告2012年第18号</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57132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2012-03-07</w:t>
            </w:r>
          </w:p>
        </w:tc>
      </w:tr>
      <w:tr w14:paraId="020B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7791E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16</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11F626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危险废物收集 贮存 运输技术规范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76AF9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 2025-2012</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E90A4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2013-03-01</w:t>
            </w:r>
          </w:p>
        </w:tc>
      </w:tr>
      <w:tr w14:paraId="63FE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6BFD2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17</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86A91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突发环境事件应急监测技术规范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703BA1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HJ589-2021</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2B8B7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2022-03-01</w:t>
            </w:r>
          </w:p>
        </w:tc>
      </w:tr>
      <w:tr w14:paraId="724F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8D50E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18</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6EFE37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危险废物鉴别标准通则</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77F45D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GB5085.7-2019</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D859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2020-01-01</w:t>
            </w:r>
          </w:p>
        </w:tc>
      </w:tr>
      <w:tr w14:paraId="3EAC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0E3DD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19</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E0AB9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排污许可证申请与核发技术规范 总则</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538E35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HJ942-2018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034D6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2018-02-08</w:t>
            </w:r>
          </w:p>
        </w:tc>
      </w:tr>
      <w:tr w14:paraId="100E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10F51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3C9C28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排污单位自行监测技术指南 总则</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5AD32B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HJ819-2017</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3A6EF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2017-06-01</w:t>
            </w:r>
          </w:p>
        </w:tc>
      </w:tr>
      <w:tr w14:paraId="0DF2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2A7BA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21</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3D88E4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地下水环境监测技术规范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79EF7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 164-2020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FEA73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2021-03-01</w:t>
            </w:r>
          </w:p>
        </w:tc>
      </w:tr>
      <w:tr w14:paraId="5BCF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E49DB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22</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4A3196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陆上石油天然气开采业绿色矿山建设规范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06E678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DZ/T0317-2018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564B5D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2018-10-01</w:t>
            </w:r>
          </w:p>
        </w:tc>
      </w:tr>
      <w:tr w14:paraId="5E3D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8D62B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23</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4483D9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危险废物贮存污染控制标准</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41457A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 18597-2023</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7E943C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2023-07-01</w:t>
            </w:r>
          </w:p>
        </w:tc>
      </w:tr>
      <w:tr w14:paraId="2F4A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CCF00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24</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6782A7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排污单位自行监测技术指南 陆上石油天然气开采工业</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581161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 1248-2022</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5ECC22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2022-07-01</w:t>
            </w:r>
          </w:p>
        </w:tc>
      </w:tr>
      <w:tr w14:paraId="0018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23465D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26</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6ABB00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石油天然气工程设计防火规范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F7DAA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GB50183-2004</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7789CD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2005-03-01</w:t>
            </w:r>
          </w:p>
        </w:tc>
      </w:tr>
      <w:tr w14:paraId="1CD7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78E0F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27</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8BF21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陆上石油天然气开采工业大气污染物排放标准</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197C21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GB39728-2020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2A1E5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2021-01-01</w:t>
            </w:r>
          </w:p>
        </w:tc>
      </w:tr>
      <w:tr w14:paraId="7A91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EC980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28</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0200C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挥发性有机物无组织排放控制标准</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59F2D0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GB37822-2019</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E2917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2019-07-01</w:t>
            </w:r>
          </w:p>
        </w:tc>
      </w:tr>
      <w:tr w14:paraId="07AD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DD8AA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29</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1C477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危险废物管理计划和管理台账制定技术导则</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185E06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HJ1259-2022</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CC957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2022-10-01</w:t>
            </w:r>
          </w:p>
        </w:tc>
      </w:tr>
      <w:tr w14:paraId="008D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21AA24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30</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6417B3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生产建设项目水土流失防治标准</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93A97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GB</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 50434</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2018</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11C4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2019-04-01</w:t>
            </w:r>
          </w:p>
        </w:tc>
      </w:tr>
      <w:tr w14:paraId="2BF0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11F35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77FCF5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一般固体废物分类与代码</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109674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GB/T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39198</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467F2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2021-05-01</w:t>
            </w:r>
          </w:p>
        </w:tc>
      </w:tr>
      <w:tr w14:paraId="638C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8B3D7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32</w:t>
            </w:r>
          </w:p>
        </w:tc>
        <w:tc>
          <w:tcPr>
            <w:tcW w:w="4839" w:type="dxa"/>
            <w:tcBorders>
              <w:top w:val="single" w:color="auto" w:sz="4" w:space="0"/>
              <w:left w:val="single" w:color="auto" w:sz="4" w:space="0"/>
              <w:bottom w:val="single" w:color="auto" w:sz="4" w:space="0"/>
              <w:right w:val="single" w:color="auto" w:sz="4" w:space="0"/>
            </w:tcBorders>
            <w:shd w:val="clear" w:color="auto" w:fill="auto"/>
            <w:vAlign w:val="center"/>
          </w:tcPr>
          <w:p w14:paraId="05E5FFB8">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石油天然气项目土地复垦与生态修复技术规范</w:t>
            </w:r>
          </w:p>
        </w:tc>
        <w:tc>
          <w:tcPr>
            <w:tcW w:w="1952" w:type="dxa"/>
            <w:tcBorders>
              <w:top w:val="single" w:color="auto" w:sz="4" w:space="0"/>
              <w:left w:val="single" w:color="auto" w:sz="4" w:space="0"/>
              <w:bottom w:val="single" w:color="auto" w:sz="4" w:space="0"/>
              <w:right w:val="single" w:color="auto" w:sz="4" w:space="0"/>
            </w:tcBorders>
            <w:shd w:val="clear" w:color="auto" w:fill="auto"/>
            <w:vAlign w:val="center"/>
          </w:tcPr>
          <w:p w14:paraId="277A78F5">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GB/T 43936-2024</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46FABE8A">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2024-08-01</w:t>
            </w:r>
          </w:p>
        </w:tc>
      </w:tr>
    </w:tbl>
    <w:p w14:paraId="18F6D6A0">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bookmarkStart w:id="111" w:name="_Toc16851"/>
      <w:bookmarkStart w:id="112" w:name="_Toc21873"/>
      <w:bookmarkStart w:id="113" w:name="_Toc24142"/>
      <w:r>
        <w:rPr>
          <w:rFonts w:hint="default" w:ascii="Times New Roman" w:hAnsi="Times New Roman" w:eastAsia="宋体" w:cs="Times New Roman"/>
          <w:b/>
          <w:bCs/>
          <w:color w:val="000000" w:themeColor="text1"/>
          <w:sz w:val="28"/>
          <w:szCs w:val="28"/>
          <w:highlight w:val="none"/>
          <w14:textFill>
            <w14:solidFill>
              <w14:schemeClr w14:val="tx1"/>
            </w14:solidFill>
          </w14:textFill>
        </w:rPr>
        <w:t>2.</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相关文件和技术资料</w:t>
      </w:r>
      <w:bookmarkEnd w:id="111"/>
      <w:bookmarkEnd w:id="112"/>
      <w:bookmarkEnd w:id="113"/>
    </w:p>
    <w:p w14:paraId="5595190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星火7井区2025年产能建设项目</w:t>
      </w:r>
      <w:r>
        <w:rPr>
          <w:rFonts w:hint="default" w:ascii="Times New Roman" w:hAnsi="Times New Roman" w:cs="Times New Roman"/>
          <w:color w:val="000000" w:themeColor="text1"/>
          <w:sz w:val="24"/>
          <w:highlight w:val="none"/>
          <w:lang w:eastAsia="zh-CN"/>
          <w14:textFill>
            <w14:solidFill>
              <w14:schemeClr w14:val="tx1"/>
            </w14:solidFill>
          </w14:textFill>
        </w:rPr>
        <w:t>环境影响评价</w:t>
      </w:r>
      <w:r>
        <w:rPr>
          <w:rFonts w:hint="default" w:ascii="Times New Roman" w:hAnsi="Times New Roman" w:cs="Times New Roman"/>
          <w:color w:val="000000" w:themeColor="text1"/>
          <w:sz w:val="24"/>
          <w:highlight w:val="none"/>
          <w14:textFill>
            <w14:solidFill>
              <w14:schemeClr w14:val="tx1"/>
            </w14:solidFill>
          </w14:textFill>
        </w:rPr>
        <w:t>委托书，中国石油化工股份有限公司西北油田分公司</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2025年6月。</w:t>
      </w:r>
    </w:p>
    <w:p w14:paraId="16C2645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星火7井区2025年产能建设项目</w:t>
      </w:r>
      <w:r>
        <w:rPr>
          <w:rFonts w:hint="eastAsia" w:cs="Times New Roman"/>
          <w:snapToGrid w:val="0"/>
          <w:color w:val="000000" w:themeColor="text1"/>
          <w:highlight w:val="none"/>
          <w:lang w:val="en-US" w:eastAsia="zh-CN"/>
          <w14:textFill>
            <w14:solidFill>
              <w14:schemeClr w14:val="tx1"/>
            </w14:solidFill>
          </w14:textFill>
        </w:rPr>
        <w:t>相关资料</w:t>
      </w:r>
      <w:r>
        <w:rPr>
          <w:rFonts w:hint="default" w:ascii="Times New Roman" w:hAnsi="Times New Roman" w:cs="Times New Roman"/>
          <w:snapToGrid w:val="0"/>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石油工程技术研究院</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2025年3月</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543D0C94">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14" w:name="_Toc30207"/>
      <w:r>
        <w:rPr>
          <w:rFonts w:hint="default" w:ascii="Times New Roman" w:hAnsi="Times New Roman" w:cs="Times New Roman"/>
          <w:color w:val="000000" w:themeColor="text1"/>
          <w:highlight w:val="none"/>
          <w14:textFill>
            <w14:solidFill>
              <w14:schemeClr w14:val="tx1"/>
            </w14:solidFill>
          </w14:textFill>
        </w:rPr>
        <w:t>2.</w:t>
      </w:r>
      <w:bookmarkEnd w:id="81"/>
      <w:bookmarkEnd w:id="82"/>
      <w:bookmarkEnd w:id="83"/>
      <w:bookmarkEnd w:id="84"/>
      <w:bookmarkEnd w:id="85"/>
      <w:bookmarkEnd w:id="86"/>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评价目的和评价原则</w:t>
      </w:r>
      <w:bookmarkEnd w:id="114"/>
    </w:p>
    <w:p w14:paraId="1E3DE5F7">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15" w:name="_Toc500856897"/>
      <w:bookmarkStart w:id="116" w:name="_Toc18046"/>
      <w:bookmarkStart w:id="117" w:name="_Toc14698"/>
      <w:bookmarkStart w:id="118" w:name="_Toc10362"/>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.1评价目的</w:t>
      </w:r>
      <w:bookmarkEnd w:id="115"/>
      <w:bookmarkEnd w:id="116"/>
      <w:bookmarkEnd w:id="117"/>
      <w:bookmarkEnd w:id="118"/>
    </w:p>
    <w:p w14:paraId="1FBAE9AF">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bookmarkStart w:id="119" w:name="_Toc500856898"/>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通过实地调查与现状监测，了解</w:t>
      </w:r>
      <w:bookmarkStart w:id="120" w:name="OLE_LINK32"/>
      <w:r>
        <w:rPr>
          <w:rFonts w:hint="eastAsia" w:cs="Times New Roman"/>
          <w:snapToGrid w:val="0"/>
          <w:color w:val="000000" w:themeColor="text1"/>
          <w:sz w:val="24"/>
          <w:highlight w:val="none"/>
          <w:lang w:val="en-US" w:eastAsia="zh-CN"/>
          <w14:textFill>
            <w14:solidFill>
              <w14:schemeClr w14:val="tx1"/>
            </w14:solidFill>
          </w14:textFill>
        </w:rPr>
        <w:t>本工程所在区域</w:t>
      </w:r>
      <w:bookmarkEnd w:id="120"/>
      <w:r>
        <w:rPr>
          <w:rFonts w:hint="default" w:ascii="Times New Roman" w:hAnsi="Times New Roman" w:cs="Times New Roman"/>
          <w:color w:val="000000" w:themeColor="text1"/>
          <w:sz w:val="24"/>
          <w:highlight w:val="none"/>
          <w14:textFill>
            <w14:solidFill>
              <w14:schemeClr w14:val="tx1"/>
            </w14:solidFill>
          </w14:textFill>
        </w:rPr>
        <w:t>的自然环境、社会环境和经济状况、自然资源及土地利用情况，掌握</w:t>
      </w:r>
      <w:r>
        <w:rPr>
          <w:rFonts w:hint="eastAsia" w:cs="Times New Roman"/>
          <w:snapToGrid w:val="0"/>
          <w:color w:val="000000" w:themeColor="text1"/>
          <w:sz w:val="24"/>
          <w:highlight w:val="none"/>
          <w:lang w:val="en-US" w:eastAsia="zh-CN"/>
          <w14:textFill>
            <w14:solidFill>
              <w14:schemeClr w14:val="tx1"/>
            </w14:solidFill>
          </w14:textFill>
        </w:rPr>
        <w:t>本工程所在区域</w:t>
      </w:r>
      <w:r>
        <w:rPr>
          <w:rFonts w:hint="default" w:ascii="Times New Roman" w:hAnsi="Times New Roman" w:cs="Times New Roman"/>
          <w:color w:val="000000" w:themeColor="text1"/>
          <w:sz w:val="24"/>
          <w:highlight w:val="none"/>
          <w14:textFill>
            <w14:solidFill>
              <w14:schemeClr w14:val="tx1"/>
            </w14:solidFill>
          </w14:textFill>
        </w:rPr>
        <w:t>的环境质量和生态现状。</w:t>
      </w:r>
    </w:p>
    <w:p w14:paraId="0C513FE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通过工程分析，明确</w:t>
      </w:r>
      <w:r>
        <w:rPr>
          <w:rFonts w:hint="default" w:ascii="Times New Roman" w:hAnsi="Times New Roman" w:cs="Times New Roman"/>
          <w:color w:val="000000" w:themeColor="text1"/>
          <w:sz w:val="24"/>
          <w:highlight w:val="none"/>
          <w:lang w:eastAsia="zh-CN"/>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highlight w:val="none"/>
          <w14:textFill>
            <w14:solidFill>
              <w14:schemeClr w14:val="tx1"/>
            </w14:solidFill>
          </w14:textFill>
        </w:rPr>
        <w:t>各个生产阶段</w:t>
      </w:r>
      <w:r>
        <w:rPr>
          <w:rFonts w:hint="eastAsia" w:cs="Times New Roman"/>
          <w:color w:val="000000" w:themeColor="text1"/>
          <w:sz w:val="24"/>
          <w:highlight w:val="none"/>
          <w:lang w:val="en-US" w:eastAsia="zh-CN"/>
          <w14:textFill>
            <w14:solidFill>
              <w14:schemeClr w14:val="tx1"/>
            </w14:solidFill>
          </w14:textFill>
        </w:rPr>
        <w:t>的</w:t>
      </w:r>
      <w:r>
        <w:rPr>
          <w:rFonts w:hint="default" w:ascii="Times New Roman" w:hAnsi="Times New Roman" w:cs="Times New Roman"/>
          <w:color w:val="000000" w:themeColor="text1"/>
          <w:sz w:val="24"/>
          <w:highlight w:val="none"/>
          <w14:textFill>
            <w14:solidFill>
              <w14:schemeClr w14:val="tx1"/>
            </w14:solidFill>
          </w14:textFill>
        </w:rPr>
        <w:t>主要污染源、污染物种类、排放强度，分析环境污染的影响特征，预测和评价</w:t>
      </w:r>
      <w:r>
        <w:rPr>
          <w:rFonts w:hint="default" w:ascii="Times New Roman" w:hAnsi="Times New Roman" w:cs="Times New Roman"/>
          <w:color w:val="000000" w:themeColor="text1"/>
          <w:sz w:val="24"/>
          <w:highlight w:val="none"/>
          <w:lang w:eastAsia="zh-CN"/>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highlight w:val="none"/>
          <w14:textFill>
            <w14:solidFill>
              <w14:schemeClr w14:val="tx1"/>
            </w14:solidFill>
          </w14:textFill>
        </w:rPr>
        <w:t>施工期、</w:t>
      </w:r>
      <w:r>
        <w:rPr>
          <w:rFonts w:hint="default" w:ascii="Times New Roman" w:hAnsi="Times New Roman" w:cs="Times New Roman"/>
          <w:color w:val="000000" w:themeColor="text1"/>
          <w:sz w:val="24"/>
          <w:highlight w:val="none"/>
          <w:lang w:eastAsia="zh-CN"/>
          <w14:textFill>
            <w14:solidFill>
              <w14:schemeClr w14:val="tx1"/>
            </w14:solidFill>
          </w14:textFill>
        </w:rPr>
        <w:t>运营期</w:t>
      </w:r>
      <w:r>
        <w:rPr>
          <w:rFonts w:hint="default" w:ascii="Times New Roman" w:hAnsi="Times New Roman" w:cs="Times New Roman"/>
          <w:color w:val="000000" w:themeColor="text1"/>
          <w:sz w:val="24"/>
          <w:highlight w:val="none"/>
          <w14:textFill>
            <w14:solidFill>
              <w14:schemeClr w14:val="tx1"/>
            </w14:solidFill>
          </w14:textFill>
        </w:rPr>
        <w:t>及</w:t>
      </w:r>
      <w:r>
        <w:rPr>
          <w:rFonts w:hint="default" w:ascii="Times New Roman" w:hAnsi="Times New Roman" w:cs="Times New Roman"/>
          <w:color w:val="000000" w:themeColor="text1"/>
          <w:sz w:val="24"/>
          <w:highlight w:val="none"/>
          <w:lang w:eastAsia="zh-CN"/>
          <w14:textFill>
            <w14:solidFill>
              <w14:schemeClr w14:val="tx1"/>
            </w14:solidFill>
          </w14:textFill>
        </w:rPr>
        <w:t>退役期</w:t>
      </w:r>
      <w:r>
        <w:rPr>
          <w:rFonts w:hint="default" w:ascii="Times New Roman" w:hAnsi="Times New Roman" w:cs="Times New Roman"/>
          <w:color w:val="000000" w:themeColor="text1"/>
          <w:sz w:val="24"/>
          <w:highlight w:val="none"/>
          <w14:textFill>
            <w14:solidFill>
              <w14:schemeClr w14:val="tx1"/>
            </w14:solidFill>
          </w14:textFill>
        </w:rPr>
        <w:t>对环境的影响程度，并提出应采取的污染防治和生态保护措施。</w:t>
      </w:r>
    </w:p>
    <w:p w14:paraId="7FB6F10B">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color w:val="000000" w:themeColor="text1"/>
          <w:highlight w:val="none"/>
          <w14:textFill>
            <w14:solidFill>
              <w14:schemeClr w14:val="tx1"/>
            </w14:solidFill>
          </w14:textFill>
        </w:rPr>
        <w:t>评述拟采取的环境保护措施的可行性、合理性及清洁生产水平，并针对存在的问题，提出各个生产阶段不同的、有针对性的、切实可行的环保措施和建议。</w:t>
      </w:r>
    </w:p>
    <w:p w14:paraId="5BADD2A4">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4</w:t>
      </w:r>
      <w:r>
        <w:rPr>
          <w:rFonts w:hint="default" w:ascii="Times New Roman" w:hAnsi="Times New Roman" w:cs="Times New Roman"/>
          <w:color w:val="000000" w:themeColor="text1"/>
          <w:sz w:val="24"/>
          <w:highlight w:val="none"/>
          <w:lang w:eastAsia="zh-CN"/>
          <w14:textFill>
            <w14:solidFill>
              <w14:schemeClr w14:val="tx1"/>
            </w14:solidFill>
          </w14:textFill>
        </w:rPr>
        <w:t>）</w:t>
      </w:r>
      <w:r>
        <w:rPr>
          <w:color w:val="000000" w:themeColor="text1"/>
          <w:highlight w:val="none"/>
          <w14:textFill>
            <w14:solidFill>
              <w14:schemeClr w14:val="tx1"/>
            </w14:solidFill>
          </w14:textFill>
        </w:rPr>
        <w:t>评价本工程与国家产业政策、区域总体发展规划、清洁生产、达标排放和污染物排放总量控制的符合性</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47491A99">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5</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分析</w:t>
      </w:r>
      <w:r>
        <w:rPr>
          <w:rFonts w:hint="default" w:ascii="Times New Roman" w:hAnsi="Times New Roman" w:cs="Times New Roman"/>
          <w:color w:val="000000" w:themeColor="text1"/>
          <w:sz w:val="24"/>
          <w:highlight w:val="none"/>
          <w:lang w:eastAsia="zh-CN"/>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highlight w:val="none"/>
          <w14:textFill>
            <w14:solidFill>
              <w14:schemeClr w14:val="tx1"/>
            </w14:solidFill>
          </w14:textFill>
        </w:rPr>
        <w:t>可能存在的事故隐患，预测风险事故可能产生的环境影响程度，提出环境风险防范措施。</w:t>
      </w:r>
    </w:p>
    <w:p w14:paraId="0280988E">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通过上述评价，论证</w:t>
      </w:r>
      <w:r>
        <w:rPr>
          <w:rFonts w:hint="eastAsia" w:cs="Times New Roman"/>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highlight w:val="none"/>
          <w14:textFill>
            <w14:solidFill>
              <w14:schemeClr w14:val="tx1"/>
            </w14:solidFill>
          </w14:textFill>
        </w:rPr>
        <w:t>在环境方面的可行性，给出环境影响评价结论，为</w:t>
      </w:r>
      <w:r>
        <w:rPr>
          <w:rFonts w:hint="default" w:ascii="Times New Roman" w:hAnsi="Times New Roman" w:cs="Times New Roman"/>
          <w:color w:val="000000" w:themeColor="text1"/>
          <w:sz w:val="24"/>
          <w:highlight w:val="none"/>
          <w:lang w:eastAsia="zh-CN"/>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highlight w:val="none"/>
          <w14:textFill>
            <w14:solidFill>
              <w14:schemeClr w14:val="tx1"/>
            </w14:solidFill>
          </w14:textFill>
        </w:rPr>
        <w:t>的设计、施工、验收及建成投产后的环境管理提供技术依据，为生态环境主管部门提供决策依据。</w:t>
      </w:r>
    </w:p>
    <w:p w14:paraId="15752F6F">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黑体" w:cs="Times New Roman"/>
          <w:b/>
          <w:bCs/>
          <w:color w:val="000000" w:themeColor="text1"/>
          <w:sz w:val="28"/>
          <w:szCs w:val="28"/>
          <w:highlight w:val="none"/>
          <w14:textFill>
            <w14:solidFill>
              <w14:schemeClr w14:val="tx1"/>
            </w14:solidFill>
          </w14:textFill>
        </w:rPr>
      </w:pPr>
      <w:bookmarkStart w:id="121" w:name="_Toc27595"/>
      <w:bookmarkStart w:id="122" w:name="_Toc22461"/>
      <w:bookmarkStart w:id="123" w:name="_Toc26299"/>
      <w:r>
        <w:rPr>
          <w:rFonts w:hint="default" w:ascii="Times New Roman" w:hAnsi="Times New Roman" w:eastAsia="黑体" w:cs="Times New Roman"/>
          <w:b/>
          <w:bCs/>
          <w:color w:val="000000" w:themeColor="text1"/>
          <w:sz w:val="28"/>
          <w:szCs w:val="28"/>
          <w:highlight w:val="none"/>
          <w14:textFill>
            <w14:solidFill>
              <w14:schemeClr w14:val="tx1"/>
            </w14:solidFill>
          </w14:textFill>
        </w:rPr>
        <w:t>2.</w:t>
      </w:r>
      <w:r>
        <w:rPr>
          <w:rFonts w:hint="eastAsia" w:ascii="Times New Roman" w:hAnsi="Times New Roman" w:eastAsia="黑体" w:cs="Times New Roman"/>
          <w:b/>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.2评价原则</w:t>
      </w:r>
      <w:bookmarkEnd w:id="119"/>
      <w:bookmarkEnd w:id="121"/>
      <w:bookmarkEnd w:id="122"/>
      <w:bookmarkEnd w:id="123"/>
    </w:p>
    <w:p w14:paraId="40370204">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依法评价</w:t>
      </w:r>
    </w:p>
    <w:p w14:paraId="3BA00B96">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贯彻执行我国环境保护相关法律法规、标准、政策和规划等，优化</w:t>
      </w:r>
      <w:r>
        <w:rPr>
          <w:rFonts w:hint="eastAsia" w:cs="Times New Roman"/>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highlight w:val="none"/>
          <w14:textFill>
            <w14:solidFill>
              <w14:schemeClr w14:val="tx1"/>
            </w14:solidFill>
          </w14:textFill>
        </w:rPr>
        <w:t>建设，服务环境管理。</w:t>
      </w:r>
    </w:p>
    <w:p w14:paraId="61871A6D">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科学评价</w:t>
      </w:r>
    </w:p>
    <w:p w14:paraId="50B38D42">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规范环境影响评价方法，科学分析</w:t>
      </w:r>
      <w:r>
        <w:rPr>
          <w:rFonts w:hint="eastAsia" w:cs="Times New Roman"/>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highlight w:val="none"/>
          <w14:textFill>
            <w14:solidFill>
              <w14:schemeClr w14:val="tx1"/>
            </w14:solidFill>
          </w14:textFill>
        </w:rPr>
        <w:t>建设对环境质量的影响。</w:t>
      </w:r>
    </w:p>
    <w:p w14:paraId="4684194E">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突出重点</w:t>
      </w:r>
    </w:p>
    <w:p w14:paraId="3DF407C1">
      <w:pPr>
        <w:pageBreakBefore w:val="0"/>
        <w:widowControl w:val="0"/>
        <w:kinsoku/>
        <w:wordWrap/>
        <w:overflowPunct/>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bookmarkEnd w:id="87"/>
    <w:bookmarkEnd w:id="88"/>
    <w:bookmarkEnd w:id="89"/>
    <w:p w14:paraId="64354B8B">
      <w:pPr>
        <w:pStyle w:val="57"/>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24" w:name="_Toc31367"/>
      <w:r>
        <w:rPr>
          <w:rFonts w:hint="default" w:ascii="Times New Roman" w:hAnsi="Times New Roman" w:cs="Times New Roman"/>
          <w:color w:val="000000" w:themeColor="text1"/>
          <w:highlight w:val="none"/>
          <w14:textFill>
            <w14:solidFill>
              <w14:schemeClr w14:val="tx1"/>
            </w14:solidFill>
          </w14:textFill>
        </w:rPr>
        <w:t>2.3环境影响因素和评价因子</w:t>
      </w:r>
      <w:bookmarkEnd w:id="124"/>
    </w:p>
    <w:p w14:paraId="36BE0A38">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25" w:name="_Toc500856904"/>
      <w:r>
        <w:rPr>
          <w:rFonts w:hint="default" w:ascii="Times New Roman" w:hAnsi="Times New Roman" w:cs="Times New Roman"/>
          <w:color w:val="000000" w:themeColor="text1"/>
          <w:highlight w:val="none"/>
          <w14:textFill>
            <w14:solidFill>
              <w14:schemeClr w14:val="tx1"/>
            </w14:solidFill>
          </w14:textFill>
        </w:rPr>
        <w:t>2.3.1</w:t>
      </w:r>
      <w:bookmarkEnd w:id="125"/>
      <w:r>
        <w:rPr>
          <w:rFonts w:hint="default" w:ascii="Times New Roman" w:hAnsi="Times New Roman" w:cs="Times New Roman"/>
          <w:color w:val="000000" w:themeColor="text1"/>
          <w:highlight w:val="none"/>
          <w14:textFill>
            <w14:solidFill>
              <w14:schemeClr w14:val="tx1"/>
            </w14:solidFill>
          </w14:textFill>
        </w:rPr>
        <w:t>环境影响因素识别</w:t>
      </w:r>
    </w:p>
    <w:p w14:paraId="71120088">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eastAsia="zh-CN"/>
          <w14:textFill>
            <w14:solidFill>
              <w14:schemeClr w14:val="tx1"/>
            </w14:solidFill>
          </w14:textFill>
        </w:rPr>
        <w:t>主要包括地面工程、油气开采</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拉运</w:t>
      </w:r>
      <w:r>
        <w:rPr>
          <w:rFonts w:hint="default" w:ascii="Times New Roman" w:hAnsi="Times New Roman" w:cs="Times New Roman"/>
          <w:color w:val="000000" w:themeColor="text1"/>
          <w:highlight w:val="none"/>
          <w:lang w:eastAsia="zh-CN"/>
          <w14:textFill>
            <w14:solidFill>
              <w14:schemeClr w14:val="tx1"/>
            </w14:solidFill>
          </w14:textFill>
        </w:rPr>
        <w:t>等内容，对环境的影响主要表现在施工期、运营期和</w:t>
      </w:r>
      <w:r>
        <w:rPr>
          <w:rFonts w:hint="default" w:ascii="Times New Roman" w:hAnsi="Times New Roman" w:cs="Times New Roman"/>
          <w:color w:val="000000" w:themeColor="text1"/>
          <w:highlight w:val="none"/>
          <w:lang w:val="en-US" w:eastAsia="zh-CN"/>
          <w14:textFill>
            <w14:solidFill>
              <w14:schemeClr w14:val="tx1"/>
            </w14:solidFill>
          </w14:textFill>
        </w:rPr>
        <w:t>退役期</w:t>
      </w:r>
      <w:r>
        <w:rPr>
          <w:rFonts w:hint="default" w:ascii="Times New Roman" w:hAnsi="Times New Roman" w:cs="Times New Roman"/>
          <w:color w:val="000000" w:themeColor="text1"/>
          <w:highlight w:val="none"/>
          <w:lang w:eastAsia="zh-CN"/>
          <w14:textFill>
            <w14:solidFill>
              <w14:schemeClr w14:val="tx1"/>
            </w14:solidFill>
          </w14:textFill>
        </w:rPr>
        <w:t>。施工期以</w:t>
      </w:r>
      <w:r>
        <w:rPr>
          <w:rFonts w:hint="eastAsia" w:cs="Times New Roman"/>
          <w:color w:val="000000" w:themeColor="text1"/>
          <w:highlight w:val="none"/>
          <w:lang w:val="en-US" w:eastAsia="zh-CN"/>
          <w14:textFill>
            <w14:solidFill>
              <w14:schemeClr w14:val="tx1"/>
            </w14:solidFill>
          </w14:textFill>
        </w:rPr>
        <w:t>井场与</w:t>
      </w:r>
      <w:r>
        <w:rPr>
          <w:rFonts w:hint="default" w:ascii="Times New Roman" w:hAnsi="Times New Roman" w:cs="Times New Roman"/>
          <w:color w:val="000000" w:themeColor="text1"/>
          <w:highlight w:val="none"/>
          <w:lang w:eastAsia="zh-CN"/>
          <w14:textFill>
            <w14:solidFill>
              <w14:schemeClr w14:val="tx1"/>
            </w14:solidFill>
          </w14:textFill>
        </w:rPr>
        <w:t>公辅工程建设过程中造成的生态影响为主，运营期以油气开采和</w:t>
      </w:r>
      <w:r>
        <w:rPr>
          <w:rFonts w:hint="eastAsia" w:cs="Times New Roman"/>
          <w:color w:val="000000" w:themeColor="text1"/>
          <w:highlight w:val="none"/>
          <w:lang w:val="en-US" w:eastAsia="zh-CN"/>
          <w14:textFill>
            <w14:solidFill>
              <w14:schemeClr w14:val="tx1"/>
            </w14:solidFill>
          </w14:textFill>
        </w:rPr>
        <w:t>拉运</w:t>
      </w:r>
      <w:r>
        <w:rPr>
          <w:rFonts w:hint="default" w:ascii="Times New Roman" w:hAnsi="Times New Roman" w:cs="Times New Roman"/>
          <w:color w:val="000000" w:themeColor="text1"/>
          <w:highlight w:val="none"/>
          <w:lang w:eastAsia="zh-CN"/>
          <w14:textFill>
            <w14:solidFill>
              <w14:schemeClr w14:val="tx1"/>
            </w14:solidFill>
          </w14:textFill>
        </w:rPr>
        <w:t>过程中产生的污染为主。环境影响因素识别表见表</w:t>
      </w:r>
      <w:r>
        <w:rPr>
          <w:rFonts w:hint="default" w:ascii="Times New Roman" w:hAnsi="Times New Roman" w:eastAsia="宋体" w:cs="Times New Roman"/>
          <w:color w:val="000000" w:themeColor="text1"/>
          <w:highlight w:val="none"/>
          <w14:textFill>
            <w14:solidFill>
              <w14:schemeClr w14:val="tx1"/>
            </w14:solidFill>
          </w14:textFill>
        </w:rPr>
        <w:t>2.3-1</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39DB630">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26" w:name="_Toc500856905"/>
      <w:r>
        <w:rPr>
          <w:rFonts w:hint="default" w:ascii="Times New Roman" w:hAnsi="Times New Roman" w:cs="Times New Roman"/>
          <w:color w:val="000000" w:themeColor="text1"/>
          <w:highlight w:val="none"/>
          <w14:textFill>
            <w14:solidFill>
              <w14:schemeClr w14:val="tx1"/>
            </w14:solidFill>
          </w14:textFill>
        </w:rPr>
        <w:t>2.3.2</w:t>
      </w:r>
      <w:bookmarkEnd w:id="126"/>
      <w:r>
        <w:rPr>
          <w:rFonts w:hint="default" w:ascii="Times New Roman" w:hAnsi="Times New Roman" w:cs="Times New Roman"/>
          <w:color w:val="000000" w:themeColor="text1"/>
          <w:highlight w:val="none"/>
          <w14:textFill>
            <w14:solidFill>
              <w14:schemeClr w14:val="tx1"/>
            </w14:solidFill>
          </w14:textFill>
        </w:rPr>
        <w:t>评价因子</w:t>
      </w:r>
    </w:p>
    <w:p w14:paraId="696B9671">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环境影响要素识别、环境影响因子表征和环境影响程度，筛选的评价因子见</w:t>
      </w:r>
      <w:r>
        <w:rPr>
          <w:rFonts w:hint="eastAsia" w:cs="Times New Roman"/>
          <w:color w:val="000000" w:themeColor="text1"/>
          <w:highlight w:val="none"/>
          <w:lang w:val="en-US" w:eastAsia="zh-CN"/>
          <w14:textFill>
            <w14:solidFill>
              <w14:schemeClr w14:val="tx1"/>
            </w14:solidFill>
          </w14:textFill>
        </w:rPr>
        <w:t>下</w:t>
      </w:r>
      <w:r>
        <w:rPr>
          <w:rFonts w:hint="default" w:ascii="Times New Roman" w:hAnsi="Times New Roman" w:cs="Times New Roman"/>
          <w:color w:val="000000" w:themeColor="text1"/>
          <w:highlight w:val="none"/>
          <w14:textFill>
            <w14:solidFill>
              <w14:schemeClr w14:val="tx1"/>
            </w14:solidFill>
          </w14:textFill>
        </w:rPr>
        <w:t>表。</w:t>
      </w:r>
    </w:p>
    <w:p w14:paraId="1F532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表2.3-1</w:t>
      </w:r>
      <w:r>
        <w:rPr>
          <w:rFonts w:hint="default" w:ascii="Times New Roman" w:hAnsi="Times New Roman" w:eastAsia="黑体" w:cs="Times New Roman"/>
          <w:b/>
          <w:bCs w:val="0"/>
          <w:color w:val="000000" w:themeColor="text1"/>
          <w:sz w:val="21"/>
          <w:szCs w:val="21"/>
          <w:highlight w:val="none"/>
          <w:lang w:val="en-US" w:eastAsia="zh-CN"/>
          <w14:textFill>
            <w14:solidFill>
              <w14:schemeClr w14:val="tx1"/>
            </w14:solidFill>
          </w14:textFill>
        </w:rPr>
        <w:t xml:space="preserve">   环境</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影响因素识别</w:t>
      </w:r>
      <w:r>
        <w:rPr>
          <w:rFonts w:hint="default" w:ascii="Times New Roman" w:hAnsi="Times New Roman" w:eastAsia="黑体" w:cs="Times New Roman"/>
          <w:b/>
          <w:bCs w:val="0"/>
          <w:color w:val="000000" w:themeColor="text1"/>
          <w:sz w:val="21"/>
          <w:szCs w:val="21"/>
          <w:highlight w:val="none"/>
          <w:lang w:eastAsia="zh-CN"/>
          <w14:textFill>
            <w14:solidFill>
              <w14:schemeClr w14:val="tx1"/>
            </w14:solidFill>
          </w14:textFill>
        </w:rPr>
        <w:t>表</w:t>
      </w:r>
    </w:p>
    <w:tbl>
      <w:tblPr>
        <w:tblStyle w:val="37"/>
        <w:tblW w:w="50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53"/>
        <w:gridCol w:w="524"/>
        <w:gridCol w:w="477"/>
        <w:gridCol w:w="567"/>
        <w:gridCol w:w="571"/>
        <w:gridCol w:w="577"/>
        <w:gridCol w:w="589"/>
        <w:gridCol w:w="581"/>
        <w:gridCol w:w="668"/>
        <w:gridCol w:w="510"/>
        <w:gridCol w:w="689"/>
        <w:gridCol w:w="617"/>
        <w:gridCol w:w="669"/>
        <w:gridCol w:w="671"/>
      </w:tblGrid>
      <w:tr w14:paraId="0308A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vMerge w:val="restart"/>
            <w:tcBorders>
              <w:top w:val="single" w:color="auto" w:sz="4" w:space="0"/>
              <w:left w:val="single" w:color="auto" w:sz="4" w:space="0"/>
              <w:bottom w:val="single" w:color="auto" w:sz="4" w:space="0"/>
              <w:right w:val="single" w:color="auto" w:sz="4" w:space="0"/>
              <w:tl2br w:val="single" w:color="000000" w:sz="4" w:space="0"/>
            </w:tcBorders>
            <w:shd w:val="clear" w:color="auto" w:fill="auto"/>
            <w:vAlign w:val="center"/>
          </w:tcPr>
          <w:p w14:paraId="3CC1158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bookmarkStart w:id="127" w:name="OLE_LINK850"/>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影响</w:t>
            </w:r>
          </w:p>
          <w:p w14:paraId="5295E76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因素</w:t>
            </w:r>
          </w:p>
          <w:p w14:paraId="0BC7A01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7695DF5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78BD71C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427A059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6C8E68B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56A2C0A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p>
          <w:p w14:paraId="51BD195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环境</w:t>
            </w:r>
          </w:p>
          <w:p w14:paraId="0151255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因素</w:t>
            </w:r>
          </w:p>
        </w:tc>
        <w:tc>
          <w:tcPr>
            <w:tcW w:w="162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8D39A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施工期</w:t>
            </w:r>
          </w:p>
        </w:tc>
        <w:tc>
          <w:tcPr>
            <w:tcW w:w="181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B3F01A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运营期</w:t>
            </w:r>
          </w:p>
        </w:tc>
        <w:tc>
          <w:tcPr>
            <w:tcW w:w="117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CCE913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退役期</w:t>
            </w:r>
          </w:p>
        </w:tc>
      </w:tr>
      <w:tr w14:paraId="6E53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52B84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256EE75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生态影响</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52CCFF4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4A2C576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7217DDE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固体废物</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013CD83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噪声</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3EA0EE0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738DDB7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37956A7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固体废物</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C6C082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噪声</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1A91A64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环境风险</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61FD4A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69783A6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固体废物</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48A497D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生态影响</w:t>
            </w:r>
          </w:p>
        </w:tc>
      </w:tr>
      <w:tr w14:paraId="48970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137" w:hRule="atLeast"/>
          <w:jc w:val="center"/>
        </w:trPr>
        <w:tc>
          <w:tcPr>
            <w:tcW w:w="3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3C1B2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7B78FDF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拉运地表扰动、植被破坏等</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0CD734D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钻井废气、施工扬尘、施工机械废气及运输车辆尾气</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1490E62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钻井废水、酸化压裂废水</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2FDEB9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钻井泥浆、钻井岩屑、落地油、废润滑油、生活垃圾、施工废料、土石方</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FBA1C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土方施工、各类施工机械和运输车辆噪声</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41123A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井场、油气处理工程等无组织废气</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685DF82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采出水、井下作业废水、</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2ED8119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落地油、废防渗材料、清罐底泥、废润滑油、运营期井下不定期作业产生的泥浆</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FB5FF2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泵撬等设备运转噪声</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0F35743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凝析油、天然气等危险物质泄漏，以及火灾、爆炸等事故引发的伴生/次生污染物</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209AC0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构筑物拆卸扬尘</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55F84B0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地面设施拆除、井场清理等环节产生的废弃设备、建筑垃圾等</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21CEF0D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土地复垦</w:t>
            </w:r>
          </w:p>
        </w:tc>
      </w:tr>
      <w:tr w14:paraId="71D40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295A559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地表水</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198CE5A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20B8CBA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2D09C1F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44BDFF3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37C86F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14F396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2280263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5AD50E7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0EF073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0DE139E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0AE392E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32FE7BA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247ECB1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r>
      <w:tr w14:paraId="23821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1E90124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地下水</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69CDBD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2AC28EB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78B3041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C8253B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2924B7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2787CA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377F90C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1C4ED9D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1D9CA1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1626735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1902747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0CC9AA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94C808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366D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4ADC9CF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大气环境</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4E1B88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72D0682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6A2D083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074E27D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6002F0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345F7FA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337EBFD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4B4440D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2B442F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5285011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6D48E69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223594D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9372BE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r>
      <w:tr w14:paraId="2C73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0F9B59F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声环境</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1187438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4EDE309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64EB4C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479D63E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3071DE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C953D8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6776269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614BBE1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40A9F2C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6CE849D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2D20605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10D920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6F30DE8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r>
      <w:tr w14:paraId="1F4CC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42BA880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土壤环境</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6E66552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375E990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E46E58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1E3FD24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414DEA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7026F3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13F4032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23D6327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676B19F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6730431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6A808D9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A20A4D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7CD5B1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65AB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3753A0E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陆生动物</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3791ED7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5B9C478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4E699A5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11F30FE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B4B45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2CEA17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732F23A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3D40B69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FE141A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53EF3F2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679E449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64566F9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07B20EC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4528C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545F3D7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水栖动物</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336BBE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788F178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69EE2C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1944995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4663EC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4551A4F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2529F0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240254A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4E71D5E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7298618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2FC1190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44D4FDF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0AD347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5137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shd w:val="clear" w:color="auto" w:fill="auto"/>
            <w:vAlign w:val="center"/>
          </w:tcPr>
          <w:p w14:paraId="0B9CAEC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陆生植被</w:t>
            </w:r>
          </w:p>
        </w:tc>
        <w:tc>
          <w:tcPr>
            <w:tcW w:w="313" w:type="pct"/>
            <w:shd w:val="clear" w:color="auto" w:fill="auto"/>
            <w:vAlign w:val="center"/>
          </w:tcPr>
          <w:p w14:paraId="6FDDB01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85" w:type="pct"/>
            <w:shd w:val="clear" w:color="auto" w:fill="auto"/>
            <w:vAlign w:val="center"/>
          </w:tcPr>
          <w:p w14:paraId="1E7F29B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39" w:type="pct"/>
            <w:shd w:val="clear" w:color="auto" w:fill="auto"/>
            <w:vAlign w:val="center"/>
          </w:tcPr>
          <w:p w14:paraId="259E455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1" w:type="pct"/>
            <w:shd w:val="clear" w:color="auto" w:fill="auto"/>
            <w:vAlign w:val="center"/>
          </w:tcPr>
          <w:p w14:paraId="586234C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shd w:val="clear" w:color="auto" w:fill="auto"/>
            <w:vAlign w:val="center"/>
          </w:tcPr>
          <w:p w14:paraId="3CC67BC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shd w:val="clear" w:color="auto" w:fill="auto"/>
            <w:vAlign w:val="center"/>
          </w:tcPr>
          <w:p w14:paraId="434C256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7" w:type="pct"/>
            <w:shd w:val="clear" w:color="auto" w:fill="auto"/>
            <w:vAlign w:val="center"/>
          </w:tcPr>
          <w:p w14:paraId="69984C6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99" w:type="pct"/>
            <w:shd w:val="clear" w:color="auto" w:fill="auto"/>
            <w:vAlign w:val="center"/>
          </w:tcPr>
          <w:p w14:paraId="37EAB0B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shd w:val="clear" w:color="auto" w:fill="auto"/>
            <w:vAlign w:val="center"/>
          </w:tcPr>
          <w:p w14:paraId="0F3BDAB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shd w:val="clear" w:color="auto" w:fill="auto"/>
            <w:vAlign w:val="center"/>
          </w:tcPr>
          <w:p w14:paraId="04FF87E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shd w:val="clear" w:color="auto" w:fill="auto"/>
            <w:vAlign w:val="center"/>
          </w:tcPr>
          <w:p w14:paraId="3E81012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shd w:val="clear" w:color="auto" w:fill="auto"/>
            <w:vAlign w:val="center"/>
          </w:tcPr>
          <w:p w14:paraId="50EFC05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shd w:val="clear" w:color="auto" w:fill="auto"/>
            <w:vAlign w:val="center"/>
          </w:tcPr>
          <w:p w14:paraId="0CA4767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F89C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14:paraId="6E1A83C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水生植被</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6D3AA18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85" w:type="pct"/>
            <w:tcBorders>
              <w:top w:val="single" w:color="auto" w:sz="4" w:space="0"/>
              <w:left w:val="single" w:color="auto" w:sz="4" w:space="0"/>
              <w:bottom w:val="single" w:color="auto" w:sz="4" w:space="0"/>
              <w:right w:val="single" w:color="auto" w:sz="4" w:space="0"/>
            </w:tcBorders>
            <w:shd w:val="clear" w:color="auto" w:fill="auto"/>
            <w:vAlign w:val="center"/>
          </w:tcPr>
          <w:p w14:paraId="688D54C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97052D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EBC729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8C0697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3F9A6C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368188F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56A06E8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A2CC28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5829D81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39B1552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565B105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6F17A86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384DF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shd w:val="clear" w:color="auto" w:fill="auto"/>
            <w:vAlign w:val="center"/>
          </w:tcPr>
          <w:p w14:paraId="05B9848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水土流失</w:t>
            </w:r>
          </w:p>
        </w:tc>
        <w:tc>
          <w:tcPr>
            <w:tcW w:w="313" w:type="pct"/>
            <w:shd w:val="clear" w:color="auto" w:fill="auto"/>
            <w:vAlign w:val="center"/>
          </w:tcPr>
          <w:p w14:paraId="22072FE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85" w:type="pct"/>
            <w:shd w:val="clear" w:color="auto" w:fill="auto"/>
            <w:vAlign w:val="center"/>
          </w:tcPr>
          <w:p w14:paraId="3B4E382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39" w:type="pct"/>
            <w:shd w:val="clear" w:color="auto" w:fill="auto"/>
            <w:vAlign w:val="center"/>
          </w:tcPr>
          <w:p w14:paraId="245C57A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1" w:type="pct"/>
            <w:shd w:val="clear" w:color="auto" w:fill="auto"/>
            <w:vAlign w:val="center"/>
          </w:tcPr>
          <w:p w14:paraId="6D712F7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5" w:type="pct"/>
            <w:shd w:val="clear" w:color="auto" w:fill="auto"/>
            <w:vAlign w:val="center"/>
          </w:tcPr>
          <w:p w14:paraId="1D0AA31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52" w:type="pct"/>
            <w:shd w:val="clear" w:color="auto" w:fill="auto"/>
            <w:vAlign w:val="center"/>
          </w:tcPr>
          <w:p w14:paraId="490F523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47" w:type="pct"/>
            <w:shd w:val="clear" w:color="auto" w:fill="auto"/>
            <w:vAlign w:val="center"/>
          </w:tcPr>
          <w:p w14:paraId="32E9137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399" w:type="pct"/>
            <w:shd w:val="clear" w:color="auto" w:fill="auto"/>
            <w:vAlign w:val="center"/>
          </w:tcPr>
          <w:p w14:paraId="0879AF2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05" w:type="pct"/>
            <w:shd w:val="clear" w:color="auto" w:fill="auto"/>
            <w:vAlign w:val="center"/>
          </w:tcPr>
          <w:p w14:paraId="28E5F85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〇</w:t>
            </w:r>
          </w:p>
        </w:tc>
        <w:tc>
          <w:tcPr>
            <w:tcW w:w="410" w:type="pct"/>
            <w:shd w:val="clear" w:color="auto" w:fill="auto"/>
            <w:vAlign w:val="center"/>
          </w:tcPr>
          <w:p w14:paraId="0032BAE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69" w:type="pct"/>
            <w:shd w:val="clear" w:color="auto" w:fill="auto"/>
            <w:vAlign w:val="center"/>
          </w:tcPr>
          <w:p w14:paraId="511A397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shd w:val="clear" w:color="auto" w:fill="auto"/>
            <w:vAlign w:val="center"/>
          </w:tcPr>
          <w:p w14:paraId="04C1F34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00" w:type="pct"/>
            <w:shd w:val="clear" w:color="auto" w:fill="auto"/>
            <w:vAlign w:val="center"/>
          </w:tcPr>
          <w:p w14:paraId="5A46B2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306B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jc w:val="center"/>
        </w:trPr>
        <w:tc>
          <w:tcPr>
            <w:tcW w:w="390" w:type="pct"/>
            <w:shd w:val="clear" w:color="auto" w:fill="auto"/>
            <w:vAlign w:val="center"/>
          </w:tcPr>
          <w:p w14:paraId="6802AA9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生态敏感区</w:t>
            </w:r>
          </w:p>
        </w:tc>
        <w:tc>
          <w:tcPr>
            <w:tcW w:w="313" w:type="pct"/>
            <w:shd w:val="clear" w:color="auto" w:fill="auto"/>
            <w:vAlign w:val="center"/>
          </w:tcPr>
          <w:p w14:paraId="2C52310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85" w:type="pct"/>
            <w:shd w:val="clear" w:color="auto" w:fill="auto"/>
            <w:vAlign w:val="center"/>
          </w:tcPr>
          <w:p w14:paraId="3C088BF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39" w:type="pct"/>
            <w:shd w:val="clear" w:color="auto" w:fill="auto"/>
            <w:vAlign w:val="center"/>
          </w:tcPr>
          <w:p w14:paraId="342F242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1" w:type="pct"/>
            <w:shd w:val="clear" w:color="auto" w:fill="auto"/>
            <w:vAlign w:val="center"/>
          </w:tcPr>
          <w:p w14:paraId="0164C31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5" w:type="pct"/>
            <w:shd w:val="clear" w:color="auto" w:fill="auto"/>
            <w:vAlign w:val="center"/>
          </w:tcPr>
          <w:p w14:paraId="2468BAD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52" w:type="pct"/>
            <w:shd w:val="clear" w:color="auto" w:fill="auto"/>
            <w:vAlign w:val="center"/>
          </w:tcPr>
          <w:p w14:paraId="551B0E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47" w:type="pct"/>
            <w:shd w:val="clear" w:color="auto" w:fill="auto"/>
            <w:vAlign w:val="center"/>
          </w:tcPr>
          <w:p w14:paraId="7369454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99" w:type="pct"/>
            <w:shd w:val="clear" w:color="auto" w:fill="auto"/>
            <w:vAlign w:val="center"/>
          </w:tcPr>
          <w:p w14:paraId="7C1F3FB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05" w:type="pct"/>
            <w:shd w:val="clear" w:color="auto" w:fill="auto"/>
            <w:vAlign w:val="center"/>
          </w:tcPr>
          <w:p w14:paraId="18EA9BD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10" w:type="pct"/>
            <w:shd w:val="clear" w:color="auto" w:fill="auto"/>
            <w:vAlign w:val="center"/>
          </w:tcPr>
          <w:p w14:paraId="503294E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69" w:type="pct"/>
            <w:shd w:val="clear" w:color="auto" w:fill="auto"/>
            <w:vAlign w:val="center"/>
          </w:tcPr>
          <w:p w14:paraId="6659CB0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shd w:val="clear" w:color="auto" w:fill="auto"/>
            <w:vAlign w:val="center"/>
          </w:tcPr>
          <w:p w14:paraId="1F1DE0F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00" w:type="pct"/>
            <w:shd w:val="clear" w:color="auto" w:fill="auto"/>
            <w:vAlign w:val="center"/>
          </w:tcPr>
          <w:p w14:paraId="264FFAA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bookmarkEnd w:id="127"/>
    </w:tbl>
    <w:p w14:paraId="6AD8EE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注：〇：无影响；+：短期不利影响；++ ：长期不利影响。</w:t>
      </w:r>
    </w:p>
    <w:p w14:paraId="4721DF5B">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val="0"/>
          <w:bCs/>
          <w:color w:val="000000" w:themeColor="text1"/>
          <w:sz w:val="21"/>
          <w:szCs w:val="21"/>
          <w:highlight w:val="none"/>
          <w:lang w:val="en-US" w:eastAsia="zh-CN" w:bidi="ar-SA"/>
          <w14:textFill>
            <w14:solidFill>
              <w14:schemeClr w14:val="tx1"/>
            </w14:solidFill>
          </w14:textFill>
        </w:rPr>
      </w:pPr>
    </w:p>
    <w:p w14:paraId="262F2355">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表2.3-2   环境影响因子筛选结果汇总表</w:t>
      </w:r>
    </w:p>
    <w:tbl>
      <w:tblPr>
        <w:tblStyle w:val="6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6"/>
        <w:gridCol w:w="1018"/>
        <w:gridCol w:w="1018"/>
        <w:gridCol w:w="1018"/>
        <w:gridCol w:w="1018"/>
        <w:gridCol w:w="1367"/>
        <w:gridCol w:w="1018"/>
        <w:gridCol w:w="1020"/>
      </w:tblGrid>
      <w:tr w14:paraId="2DEDD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503" w:type="pct"/>
            <w:tcBorders>
              <w:tl2br w:val="single" w:color="000000" w:sz="4" w:space="0"/>
            </w:tcBorders>
            <w:vAlign w:val="center"/>
          </w:tcPr>
          <w:p w14:paraId="37B388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right"/>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cs="Times New Roman"/>
                <w:b/>
                <w:bCs w:val="0"/>
                <w:color w:val="000000" w:themeColor="text1"/>
                <w:spacing w:val="5"/>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 xml:space="preserve">环境要素 </w:t>
            </w:r>
          </w:p>
          <w:p w14:paraId="2D833E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单项工程</w:t>
            </w:r>
          </w:p>
        </w:tc>
        <w:tc>
          <w:tcPr>
            <w:tcW w:w="612" w:type="pct"/>
            <w:vAlign w:val="center"/>
          </w:tcPr>
          <w:p w14:paraId="4CECE1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时期</w:t>
            </w:r>
          </w:p>
        </w:tc>
        <w:tc>
          <w:tcPr>
            <w:tcW w:w="612" w:type="pct"/>
            <w:vAlign w:val="center"/>
          </w:tcPr>
          <w:p w14:paraId="5920E0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大气</w:t>
            </w:r>
          </w:p>
        </w:tc>
        <w:tc>
          <w:tcPr>
            <w:tcW w:w="612" w:type="pct"/>
            <w:vAlign w:val="center"/>
          </w:tcPr>
          <w:p w14:paraId="624357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地表水</w:t>
            </w:r>
          </w:p>
        </w:tc>
        <w:tc>
          <w:tcPr>
            <w:tcW w:w="612" w:type="pct"/>
            <w:vAlign w:val="center"/>
          </w:tcPr>
          <w:p w14:paraId="4A16C5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地下水</w:t>
            </w:r>
          </w:p>
        </w:tc>
        <w:tc>
          <w:tcPr>
            <w:tcW w:w="822" w:type="pct"/>
            <w:vAlign w:val="center"/>
          </w:tcPr>
          <w:p w14:paraId="32D435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土壤</w:t>
            </w:r>
          </w:p>
        </w:tc>
        <w:tc>
          <w:tcPr>
            <w:tcW w:w="612" w:type="pct"/>
            <w:vAlign w:val="center"/>
          </w:tcPr>
          <w:p w14:paraId="2A63B2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生态</w:t>
            </w:r>
          </w:p>
        </w:tc>
        <w:tc>
          <w:tcPr>
            <w:tcW w:w="613" w:type="pct"/>
            <w:vAlign w:val="center"/>
          </w:tcPr>
          <w:p w14:paraId="0D37B0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5"/>
                <w:sz w:val="21"/>
                <w:szCs w:val="21"/>
                <w:highlight w:val="none"/>
                <w14:textFill>
                  <w14:solidFill>
                    <w14:schemeClr w14:val="tx1"/>
                  </w14:solidFill>
                </w14:textFill>
              </w:rPr>
              <w:t>噪声</w:t>
            </w:r>
          </w:p>
        </w:tc>
      </w:tr>
      <w:tr w14:paraId="4729B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503" w:type="pct"/>
            <w:vMerge w:val="restart"/>
            <w:tcBorders>
              <w:bottom w:val="nil"/>
            </w:tcBorders>
            <w:vAlign w:val="center"/>
          </w:tcPr>
          <w:p w14:paraId="3404F8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eastAsia" w:cs="Times New Roman"/>
                <w:color w:val="000000" w:themeColor="text1"/>
                <w:spacing w:val="5"/>
                <w:sz w:val="21"/>
                <w:szCs w:val="21"/>
                <w:highlight w:val="none"/>
                <w:lang w:val="en-US" w:eastAsia="zh-CN"/>
                <w14:textFill>
                  <w14:solidFill>
                    <w14:schemeClr w14:val="tx1"/>
                  </w14:solidFill>
                </w14:textFill>
              </w:rPr>
              <w:t>拉运</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工程</w:t>
            </w:r>
          </w:p>
        </w:tc>
        <w:tc>
          <w:tcPr>
            <w:tcW w:w="612" w:type="pct"/>
            <w:vAlign w:val="center"/>
          </w:tcPr>
          <w:p w14:paraId="08B0E0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施工期</w:t>
            </w:r>
          </w:p>
        </w:tc>
        <w:tc>
          <w:tcPr>
            <w:tcW w:w="612" w:type="pct"/>
            <w:tcBorders>
              <w:bottom w:val="single" w:color="auto" w:sz="4" w:space="0"/>
            </w:tcBorders>
            <w:vAlign w:val="center"/>
          </w:tcPr>
          <w:p w14:paraId="6386CC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颗粒物</w:t>
            </w:r>
          </w:p>
        </w:tc>
        <w:tc>
          <w:tcPr>
            <w:tcW w:w="612" w:type="pct"/>
            <w:tcBorders>
              <w:bottom w:val="single" w:color="auto" w:sz="4" w:space="0"/>
            </w:tcBorders>
            <w:vAlign w:val="center"/>
          </w:tcPr>
          <w:p w14:paraId="6608DB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tcBorders>
              <w:bottom w:val="single" w:color="auto" w:sz="4" w:space="0"/>
            </w:tcBorders>
            <w:vAlign w:val="center"/>
          </w:tcPr>
          <w:p w14:paraId="5017FA0D">
            <w:pPr>
              <w:spacing w:before="65" w:line="227" w:lineRule="auto"/>
              <w:ind w:left="0" w:leftChars="0" w:firstLine="0" w:firstLineChars="0"/>
              <w:jc w:val="cente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耗氧量、氨</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氮、石油类</w:t>
            </w:r>
            <w:r>
              <w:rPr>
                <w:rFonts w:hint="default" w:ascii="Times New Roman" w:hAnsi="Times New Roman" w:eastAsia="宋体" w:cs="Times New Roman"/>
                <w:color w:val="000000" w:themeColor="text1"/>
                <w:sz w:val="21"/>
                <w:szCs w:val="21"/>
                <w:highlight w:val="none"/>
                <w14:textFill>
                  <w14:solidFill>
                    <w14:schemeClr w14:val="tx1"/>
                  </w14:solidFill>
                </w14:textFill>
              </w:rPr>
              <w:t>等</w:t>
            </w:r>
          </w:p>
        </w:tc>
        <w:tc>
          <w:tcPr>
            <w:tcW w:w="822" w:type="pct"/>
            <w:vAlign w:val="center"/>
          </w:tcPr>
          <w:p w14:paraId="59AC4E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vAlign w:val="center"/>
          </w:tcPr>
          <w:p w14:paraId="470A7A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地表扰动面积及类型、植被覆盖度、生物量损失、物种多样性、生态系统完整性等</w:t>
            </w:r>
          </w:p>
        </w:tc>
        <w:tc>
          <w:tcPr>
            <w:tcW w:w="613" w:type="pct"/>
            <w:vAlign w:val="center"/>
          </w:tcPr>
          <w:p w14:paraId="0C269E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r>
      <w:tr w14:paraId="4465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503" w:type="pct"/>
            <w:vMerge w:val="continue"/>
            <w:tcBorders>
              <w:top w:val="nil"/>
            </w:tcBorders>
            <w:vAlign w:val="center"/>
          </w:tcPr>
          <w:p w14:paraId="55003D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c>
          <w:tcPr>
            <w:tcW w:w="612" w:type="pct"/>
            <w:tcBorders>
              <w:right w:val="single" w:color="auto" w:sz="4" w:space="0"/>
            </w:tcBorders>
            <w:vAlign w:val="center"/>
          </w:tcPr>
          <w:p w14:paraId="327CA7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运营期</w:t>
            </w:r>
          </w:p>
        </w:tc>
        <w:tc>
          <w:tcPr>
            <w:tcW w:w="612" w:type="pct"/>
            <w:tcBorders>
              <w:top w:val="single" w:color="auto" w:sz="4" w:space="0"/>
              <w:left w:val="single" w:color="auto" w:sz="4" w:space="0"/>
              <w:bottom w:val="single" w:color="auto" w:sz="4" w:space="0"/>
              <w:right w:val="single" w:color="auto" w:sz="4" w:space="0"/>
            </w:tcBorders>
            <w:vAlign w:val="center"/>
          </w:tcPr>
          <w:p w14:paraId="168AFB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硫化氢、</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非甲烷总烃</w:t>
            </w:r>
          </w:p>
        </w:tc>
        <w:tc>
          <w:tcPr>
            <w:tcW w:w="612" w:type="pct"/>
            <w:tcBorders>
              <w:top w:val="single" w:color="auto" w:sz="4" w:space="0"/>
              <w:left w:val="single" w:color="auto" w:sz="4" w:space="0"/>
              <w:bottom w:val="single" w:color="auto" w:sz="4" w:space="0"/>
              <w:right w:val="single" w:color="auto" w:sz="4" w:space="0"/>
            </w:tcBorders>
            <w:vAlign w:val="center"/>
          </w:tcPr>
          <w:p w14:paraId="5B768F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tcBorders>
              <w:top w:val="single" w:color="auto" w:sz="4" w:space="0"/>
              <w:left w:val="single" w:color="auto" w:sz="4" w:space="0"/>
              <w:bottom w:val="single" w:color="auto" w:sz="4" w:space="0"/>
              <w:right w:val="single" w:color="auto" w:sz="4" w:space="0"/>
            </w:tcBorders>
            <w:vAlign w:val="center"/>
          </w:tcPr>
          <w:p w14:paraId="5DCB3F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耗氧量、氨</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氮、石油类</w:t>
            </w:r>
            <w:r>
              <w:rPr>
                <w:rFonts w:hint="default" w:ascii="Times New Roman" w:hAnsi="Times New Roman" w:eastAsia="宋体" w:cs="Times New Roman"/>
                <w:color w:val="000000" w:themeColor="text1"/>
                <w:sz w:val="21"/>
                <w:szCs w:val="21"/>
                <w:highlight w:val="none"/>
                <w14:textFill>
                  <w14:solidFill>
                    <w14:schemeClr w14:val="tx1"/>
                  </w14:solidFill>
                </w14:textFill>
              </w:rPr>
              <w:t>等</w:t>
            </w:r>
          </w:p>
        </w:tc>
        <w:tc>
          <w:tcPr>
            <w:tcW w:w="822" w:type="pct"/>
            <w:tcBorders>
              <w:left w:val="single" w:color="auto" w:sz="4" w:space="0"/>
            </w:tcBorders>
            <w:vAlign w:val="center"/>
          </w:tcPr>
          <w:p w14:paraId="4D5C5D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vAlign w:val="center"/>
          </w:tcPr>
          <w:p w14:paraId="116147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土壤肥力或林地立地条件、生物多样性、生态系统完整性等</w:t>
            </w:r>
          </w:p>
        </w:tc>
        <w:tc>
          <w:tcPr>
            <w:tcW w:w="613" w:type="pct"/>
            <w:vAlign w:val="center"/>
          </w:tcPr>
          <w:p w14:paraId="64BC36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bookmarkStart w:id="128" w:name="OLE_LINK38"/>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昼</w:t>
            </w:r>
            <w:r>
              <w:rPr>
                <w:rFonts w:hint="eastAsia" w:cs="Times New Roman"/>
                <w:color w:val="000000" w:themeColor="text1"/>
                <w:spacing w:val="12"/>
                <w:sz w:val="21"/>
                <w:szCs w:val="21"/>
                <w:highlight w:val="none"/>
                <w:lang w:val="en-US" w:eastAsia="zh-CN"/>
                <w14:textFill>
                  <w14:solidFill>
                    <w14:schemeClr w14:val="tx1"/>
                  </w14:solidFill>
                </w14:textFill>
              </w:rPr>
              <w:t>间等效声级（</w:t>
            </w:r>
            <w:r>
              <w:rPr>
                <w:rFonts w:hint="default" w:ascii="Times New Roman" w:hAnsi="Times New Roman" w:cs="Times New Roman"/>
                <w:i/>
                <w:iCs/>
                <w:color w:val="000000" w:themeColor="text1"/>
                <w:spacing w:val="-7"/>
                <w:sz w:val="21"/>
                <w:szCs w:val="21"/>
                <w:highlight w:val="none"/>
                <w14:textFill>
                  <w14:solidFill>
                    <w14:schemeClr w14:val="tx1"/>
                  </w14:solidFill>
                </w14:textFill>
              </w:rPr>
              <w:t>L</w:t>
            </w:r>
            <w:r>
              <w:rPr>
                <w:rFonts w:hint="default" w:ascii="Times New Roman" w:hAnsi="Times New Roman" w:cs="Times New Roman"/>
                <w:i/>
                <w:iCs/>
                <w:color w:val="000000" w:themeColor="text1"/>
                <w:spacing w:val="-7"/>
                <w:position w:val="-1"/>
                <w:sz w:val="21"/>
                <w:szCs w:val="21"/>
                <w:highlight w:val="none"/>
                <w:vertAlign w:val="subscript"/>
                <w14:textFill>
                  <w14:solidFill>
                    <w14:schemeClr w14:val="tx1"/>
                  </w14:solidFill>
                </w14:textFill>
              </w:rPr>
              <w:t>d</w:t>
            </w:r>
            <w:r>
              <w:rPr>
                <w:rFonts w:hint="eastAsia" w:cs="Times New Roman"/>
                <w:color w:val="000000" w:themeColor="text1"/>
                <w:spacing w:val="12"/>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23"/>
                <w:sz w:val="21"/>
                <w:szCs w:val="21"/>
                <w:highlight w:val="none"/>
                <w14:textFill>
                  <w14:solidFill>
                    <w14:schemeClr w14:val="tx1"/>
                  </w14:solidFill>
                </w14:textFill>
              </w:rPr>
              <w:t>夜间等效声级</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i/>
                <w:iCs/>
                <w:color w:val="000000" w:themeColor="text1"/>
                <w:sz w:val="21"/>
                <w:szCs w:val="21"/>
                <w:highlight w:val="none"/>
                <w14:textFill>
                  <w14:solidFill>
                    <w14:schemeClr w14:val="tx1"/>
                  </w14:solidFill>
                </w14:textFill>
              </w:rPr>
              <w:t>L</w:t>
            </w:r>
            <w:r>
              <w:rPr>
                <w:rFonts w:hint="default" w:ascii="Times New Roman" w:hAnsi="Times New Roman" w:cs="Times New Roman"/>
                <w:i/>
                <w:iCs/>
                <w:color w:val="000000" w:themeColor="text1"/>
                <w:position w:val="-1"/>
                <w:sz w:val="21"/>
                <w:szCs w:val="21"/>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1"/>
                <w:sz w:val="21"/>
                <w:szCs w:val="21"/>
                <w:highlight w:val="none"/>
                <w14:textFill>
                  <w14:solidFill>
                    <w14:schemeClr w14:val="tx1"/>
                  </w14:solidFill>
                </w14:textFill>
              </w:rPr>
              <w:t>）</w:t>
            </w:r>
            <w:bookmarkEnd w:id="128"/>
          </w:p>
        </w:tc>
      </w:tr>
      <w:tr w14:paraId="79BD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503" w:type="pct"/>
            <w:vMerge w:val="restart"/>
            <w:tcBorders>
              <w:bottom w:val="nil"/>
            </w:tcBorders>
            <w:vAlign w:val="center"/>
          </w:tcPr>
          <w:p w14:paraId="2329DB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油气处理工程</w:t>
            </w:r>
          </w:p>
        </w:tc>
        <w:tc>
          <w:tcPr>
            <w:tcW w:w="612" w:type="pct"/>
            <w:vAlign w:val="center"/>
          </w:tcPr>
          <w:p w14:paraId="37B121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施工期</w:t>
            </w:r>
          </w:p>
        </w:tc>
        <w:tc>
          <w:tcPr>
            <w:tcW w:w="612" w:type="pct"/>
            <w:tcBorders>
              <w:top w:val="single" w:color="auto" w:sz="4" w:space="0"/>
            </w:tcBorders>
            <w:vAlign w:val="center"/>
          </w:tcPr>
          <w:p w14:paraId="56AA4D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颗粒物</w:t>
            </w:r>
          </w:p>
        </w:tc>
        <w:tc>
          <w:tcPr>
            <w:tcW w:w="612" w:type="pct"/>
            <w:tcBorders>
              <w:top w:val="single" w:color="auto" w:sz="4" w:space="0"/>
            </w:tcBorders>
            <w:vAlign w:val="center"/>
          </w:tcPr>
          <w:p w14:paraId="025659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tcBorders>
              <w:top w:val="single" w:color="auto" w:sz="4" w:space="0"/>
            </w:tcBorders>
            <w:vAlign w:val="center"/>
          </w:tcPr>
          <w:p w14:paraId="372484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bookmarkStart w:id="129" w:name="OLE_LINK36"/>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耗氧量、氨</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氮、</w:t>
            </w:r>
            <w:bookmarkEnd w:id="129"/>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石油类</w:t>
            </w:r>
            <w:r>
              <w:rPr>
                <w:rFonts w:hint="default" w:ascii="Times New Roman" w:hAnsi="Times New Roman" w:eastAsia="宋体" w:cs="Times New Roman"/>
                <w:color w:val="000000" w:themeColor="text1"/>
                <w:sz w:val="21"/>
                <w:szCs w:val="21"/>
                <w:highlight w:val="none"/>
                <w14:textFill>
                  <w14:solidFill>
                    <w14:schemeClr w14:val="tx1"/>
                  </w14:solidFill>
                </w14:textFill>
              </w:rPr>
              <w:t>等</w:t>
            </w:r>
          </w:p>
        </w:tc>
        <w:tc>
          <w:tcPr>
            <w:tcW w:w="822" w:type="pct"/>
            <w:vAlign w:val="center"/>
          </w:tcPr>
          <w:p w14:paraId="48909C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bookmarkStart w:id="130" w:name="OLE_LINK34"/>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bookmarkEnd w:id="130"/>
          </w:p>
        </w:tc>
        <w:tc>
          <w:tcPr>
            <w:tcW w:w="612" w:type="pct"/>
            <w:vAlign w:val="center"/>
          </w:tcPr>
          <w:p w14:paraId="603C5C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地表扰动面积及类型、生物量损失、物种多样性、生态系统完整性等</w:t>
            </w:r>
          </w:p>
        </w:tc>
        <w:tc>
          <w:tcPr>
            <w:tcW w:w="613" w:type="pct"/>
            <w:vAlign w:val="center"/>
          </w:tcPr>
          <w:p w14:paraId="1E2DB8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r>
      <w:tr w14:paraId="6E70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503" w:type="pct"/>
            <w:vMerge w:val="continue"/>
            <w:tcBorders>
              <w:top w:val="nil"/>
            </w:tcBorders>
            <w:vAlign w:val="center"/>
          </w:tcPr>
          <w:p w14:paraId="23493D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c>
          <w:tcPr>
            <w:tcW w:w="612" w:type="pct"/>
            <w:vAlign w:val="center"/>
          </w:tcPr>
          <w:p w14:paraId="2A1E79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运营期</w:t>
            </w:r>
          </w:p>
        </w:tc>
        <w:tc>
          <w:tcPr>
            <w:tcW w:w="612" w:type="pct"/>
            <w:vAlign w:val="center"/>
          </w:tcPr>
          <w:p w14:paraId="3A89D1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硫化氢</w:t>
            </w:r>
            <w:r>
              <w:rPr>
                <w:rFonts w:hint="eastAsia" w:eastAsia="宋体" w:cs="Times New Roman"/>
                <w:snapToGrid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非甲烷总烃</w:t>
            </w:r>
          </w:p>
        </w:tc>
        <w:tc>
          <w:tcPr>
            <w:tcW w:w="612" w:type="pct"/>
            <w:vAlign w:val="center"/>
          </w:tcPr>
          <w:p w14:paraId="36FDCC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p>
        </w:tc>
        <w:tc>
          <w:tcPr>
            <w:tcW w:w="612" w:type="pct"/>
            <w:vAlign w:val="center"/>
          </w:tcPr>
          <w:p w14:paraId="09F33C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pH值、</w:t>
            </w:r>
            <w:r>
              <w:rPr>
                <w:rFonts w:hint="eastAsia" w:eastAsia="宋体" w:cs="Times New Roman"/>
                <w:color w:val="000000" w:themeColor="text1"/>
                <w:spacing w:val="5"/>
                <w:sz w:val="21"/>
                <w:szCs w:val="21"/>
                <w:highlight w:val="none"/>
                <w:lang w:val="en-US" w:eastAsia="zh-CN"/>
                <w14:textFill>
                  <w14:solidFill>
                    <w14:schemeClr w14:val="tx1"/>
                  </w14:solidFill>
                </w14:textFill>
              </w:rPr>
              <w:t>挥发酚、</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耗氧量、氨</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氮、</w:t>
            </w:r>
            <w:r>
              <w:rPr>
                <w:rFonts w:hint="eastAsia" w:eastAsia="宋体" w:cs="Times New Roman"/>
                <w:color w:val="000000" w:themeColor="text1"/>
                <w:spacing w:val="8"/>
                <w:sz w:val="21"/>
                <w:szCs w:val="21"/>
                <w:highlight w:val="none"/>
                <w:lang w:val="en-US" w:eastAsia="zh-CN"/>
                <w14:textFill>
                  <w14:solidFill>
                    <w14:schemeClr w14:val="tx1"/>
                  </w14:solidFill>
                </w14:textFill>
              </w:rPr>
              <w:t>硫化物、氯化物、石油类、总硬度、溶解性总固体、钡、汞、砷、六价铬等</w:t>
            </w:r>
          </w:p>
        </w:tc>
        <w:tc>
          <w:tcPr>
            <w:tcW w:w="822" w:type="pct"/>
            <w:vAlign w:val="center"/>
          </w:tcPr>
          <w:p w14:paraId="364CF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pPr>
            <w:bookmarkStart w:id="131" w:name="OLE_LINK35"/>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pH值、</w:t>
            </w:r>
            <w:bookmarkEnd w:id="131"/>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石油类、石油烃（C</w:t>
            </w:r>
            <w:r>
              <w:rPr>
                <w:rFonts w:hint="default" w:ascii="Times New Roman" w:hAnsi="Times New Roman" w:eastAsia="宋体" w:cs="Times New Roman"/>
                <w:color w:val="000000" w:themeColor="text1"/>
                <w:spacing w:val="5"/>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pacing w:val="5"/>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pacing w:val="5"/>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pacing w:val="5"/>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）、汞、砷、六价铬、土壤盐分含量等</w:t>
            </w:r>
          </w:p>
        </w:tc>
        <w:tc>
          <w:tcPr>
            <w:tcW w:w="612" w:type="pct"/>
            <w:vAlign w:val="center"/>
          </w:tcPr>
          <w:p w14:paraId="419088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bookmarkStart w:id="132" w:name="OLE_LINK37"/>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bookmarkEnd w:id="132"/>
          </w:p>
        </w:tc>
        <w:tc>
          <w:tcPr>
            <w:tcW w:w="613" w:type="pct"/>
            <w:vAlign w:val="center"/>
          </w:tcPr>
          <w:p w14:paraId="76D0EA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昼</w:t>
            </w:r>
            <w:r>
              <w:rPr>
                <w:rFonts w:hint="eastAsia" w:cs="Times New Roman"/>
                <w:color w:val="000000" w:themeColor="text1"/>
                <w:spacing w:val="12"/>
                <w:sz w:val="21"/>
                <w:szCs w:val="21"/>
                <w:highlight w:val="none"/>
                <w:lang w:val="en-US" w:eastAsia="zh-CN"/>
                <w14:textFill>
                  <w14:solidFill>
                    <w14:schemeClr w14:val="tx1"/>
                  </w14:solidFill>
                </w14:textFill>
              </w:rPr>
              <w:t>间等效声级（</w:t>
            </w:r>
            <w:r>
              <w:rPr>
                <w:rFonts w:hint="default" w:ascii="Times New Roman" w:hAnsi="Times New Roman" w:cs="Times New Roman"/>
                <w:i/>
                <w:iCs/>
                <w:color w:val="000000" w:themeColor="text1"/>
                <w:spacing w:val="-7"/>
                <w:sz w:val="21"/>
                <w:szCs w:val="21"/>
                <w:highlight w:val="none"/>
                <w14:textFill>
                  <w14:solidFill>
                    <w14:schemeClr w14:val="tx1"/>
                  </w14:solidFill>
                </w14:textFill>
              </w:rPr>
              <w:t>L</w:t>
            </w:r>
            <w:r>
              <w:rPr>
                <w:rFonts w:hint="default" w:ascii="Times New Roman" w:hAnsi="Times New Roman" w:cs="Times New Roman"/>
                <w:i/>
                <w:iCs/>
                <w:color w:val="000000" w:themeColor="text1"/>
                <w:spacing w:val="-7"/>
                <w:position w:val="-1"/>
                <w:sz w:val="21"/>
                <w:szCs w:val="21"/>
                <w:highlight w:val="none"/>
                <w:vertAlign w:val="subscript"/>
                <w14:textFill>
                  <w14:solidFill>
                    <w14:schemeClr w14:val="tx1"/>
                  </w14:solidFill>
                </w14:textFill>
              </w:rPr>
              <w:t>d</w:t>
            </w:r>
            <w:r>
              <w:rPr>
                <w:rFonts w:hint="eastAsia" w:cs="Times New Roman"/>
                <w:color w:val="000000" w:themeColor="text1"/>
                <w:spacing w:val="12"/>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23"/>
                <w:sz w:val="21"/>
                <w:szCs w:val="21"/>
                <w:highlight w:val="none"/>
                <w14:textFill>
                  <w14:solidFill>
                    <w14:schemeClr w14:val="tx1"/>
                  </w14:solidFill>
                </w14:textFill>
              </w:rPr>
              <w:t>夜间等效声级</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i/>
                <w:iCs/>
                <w:color w:val="000000" w:themeColor="text1"/>
                <w:sz w:val="21"/>
                <w:szCs w:val="21"/>
                <w:highlight w:val="none"/>
                <w14:textFill>
                  <w14:solidFill>
                    <w14:schemeClr w14:val="tx1"/>
                  </w14:solidFill>
                </w14:textFill>
              </w:rPr>
              <w:t>L</w:t>
            </w:r>
            <w:r>
              <w:rPr>
                <w:rFonts w:hint="default" w:ascii="Times New Roman" w:hAnsi="Times New Roman" w:cs="Times New Roman"/>
                <w:i/>
                <w:iCs/>
                <w:color w:val="000000" w:themeColor="text1"/>
                <w:position w:val="-1"/>
                <w:sz w:val="21"/>
                <w:szCs w:val="21"/>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1"/>
                <w:sz w:val="21"/>
                <w:szCs w:val="21"/>
                <w:highlight w:val="none"/>
                <w14:textFill>
                  <w14:solidFill>
                    <w14:schemeClr w14:val="tx1"/>
                  </w14:solidFill>
                </w14:textFill>
              </w:rPr>
              <w:t>）</w:t>
            </w:r>
          </w:p>
        </w:tc>
      </w:tr>
    </w:tbl>
    <w:p w14:paraId="5B762394">
      <w:pPr>
        <w:pStyle w:val="26"/>
        <w:rPr>
          <w:rFonts w:hint="default"/>
          <w:color w:val="000000" w:themeColor="text1"/>
          <w:highlight w:val="none"/>
          <w14:textFill>
            <w14:solidFill>
              <w14:schemeClr w14:val="tx1"/>
            </w14:solidFill>
          </w14:textFill>
        </w:rPr>
        <w:sectPr>
          <w:headerReference r:id="rId4" w:type="default"/>
          <w:footerReference r:id="rId5" w:type="default"/>
          <w:pgSz w:w="11905" w:h="16838"/>
          <w:pgMar w:top="1440" w:right="1800" w:bottom="1440" w:left="1800" w:header="935" w:footer="1134" w:gutter="0"/>
          <w:pgBorders>
            <w:top w:val="none" w:sz="0" w:space="0"/>
            <w:left w:val="none" w:sz="0" w:space="0"/>
            <w:bottom w:val="none" w:sz="0" w:space="0"/>
            <w:right w:val="none" w:sz="0" w:space="0"/>
          </w:pgBorders>
          <w:pgNumType w:fmt="decimal" w:start="1"/>
          <w:cols w:space="720" w:num="1"/>
          <w:rtlGutter w:val="0"/>
          <w:docGrid w:linePitch="312" w:charSpace="0"/>
        </w:sectPr>
      </w:pPr>
    </w:p>
    <w:p w14:paraId="4BBD3C01">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133" w:name="_Toc297590772"/>
      <w:bookmarkStart w:id="134" w:name="_Toc353966730"/>
      <w:bookmarkStart w:id="135" w:name="_Toc280954903"/>
      <w:bookmarkStart w:id="136" w:name="_Toc361761822"/>
      <w:bookmarkStart w:id="137" w:name="_Toc30807"/>
      <w:bookmarkStart w:id="138" w:name="_Toc297590925"/>
      <w:bookmarkStart w:id="139" w:name="_Toc508291878"/>
      <w:bookmarkStart w:id="140" w:name="_Toc280954980"/>
      <w:bookmarkStart w:id="141" w:name="_Toc374724176"/>
      <w:bookmarkStart w:id="142" w:name="_Toc68025005"/>
      <w:bookmarkStart w:id="143" w:name="_Toc93507157"/>
      <w:bookmarkStart w:id="144" w:name="_Toc27337"/>
      <w:r>
        <w:rPr>
          <w:rFonts w:hint="default" w:ascii="Times New Roman" w:hAnsi="Times New Roman" w:eastAsia="宋体" w:cs="Times New Roman"/>
          <w:color w:val="000000" w:themeColor="text1"/>
          <w:highlight w:val="none"/>
          <w14:textFill>
            <w14:solidFill>
              <w14:schemeClr w14:val="tx1"/>
            </w14:solidFill>
          </w14:textFill>
        </w:rPr>
        <w:t>2.4</w:t>
      </w:r>
      <w:bookmarkEnd w:id="133"/>
      <w:bookmarkEnd w:id="134"/>
      <w:bookmarkEnd w:id="135"/>
      <w:bookmarkEnd w:id="136"/>
      <w:bookmarkEnd w:id="137"/>
      <w:bookmarkEnd w:id="138"/>
      <w:bookmarkEnd w:id="139"/>
      <w:bookmarkEnd w:id="140"/>
      <w:bookmarkEnd w:id="141"/>
      <w:bookmarkEnd w:id="142"/>
      <w:bookmarkEnd w:id="143"/>
      <w:r>
        <w:rPr>
          <w:rFonts w:hint="default" w:ascii="Times New Roman" w:hAnsi="Times New Roman" w:eastAsia="宋体" w:cs="Times New Roman"/>
          <w:color w:val="000000" w:themeColor="text1"/>
          <w:highlight w:val="none"/>
          <w14:textFill>
            <w14:solidFill>
              <w14:schemeClr w14:val="tx1"/>
            </w14:solidFill>
          </w14:textFill>
        </w:rPr>
        <w:t>环境功能区划及评价标准</w:t>
      </w:r>
      <w:bookmarkEnd w:id="144"/>
    </w:p>
    <w:p w14:paraId="25D9CC38">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45" w:name="OLE_LINK475"/>
      <w:r>
        <w:rPr>
          <w:rFonts w:hint="default" w:ascii="Times New Roman" w:hAnsi="Times New Roman" w:cs="Times New Roman"/>
          <w:color w:val="000000" w:themeColor="text1"/>
          <w:highlight w:val="none"/>
          <w14:textFill>
            <w14:solidFill>
              <w14:schemeClr w14:val="tx1"/>
            </w14:solidFill>
          </w14:textFill>
        </w:rPr>
        <w:t>2.4.1环境功能区划</w:t>
      </w:r>
    </w:p>
    <w:bookmarkEnd w:id="145"/>
    <w:p w14:paraId="57F51E63">
      <w:pPr>
        <w:pStyle w:val="58"/>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生态环境</w:t>
      </w:r>
    </w:p>
    <w:p w14:paraId="2276F3B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val="0"/>
          <w:color w:val="000000" w:themeColor="text1"/>
          <w:highlight w:val="none"/>
          <w:lang w:eastAsia="zh-CN"/>
          <w14:textFill>
            <w14:solidFill>
              <w14:schemeClr w14:val="tx1"/>
            </w14:solidFill>
          </w14:textFill>
        </w:rPr>
      </w:pPr>
      <w:r>
        <w:rPr>
          <w:rFonts w:hint="default" w:ascii="Times New Roman" w:hAnsi="Times New Roman" w:cs="Times New Roman"/>
          <w:b w:val="0"/>
          <w:bCs/>
          <w:snapToGrid w:val="0"/>
          <w:color w:val="000000" w:themeColor="text1"/>
          <w:highlight w:val="none"/>
          <w14:textFill>
            <w14:solidFill>
              <w14:schemeClr w14:val="tx1"/>
            </w14:solidFill>
          </w14:textFill>
        </w:rPr>
        <w:t>根据《</w:t>
      </w:r>
      <w:bookmarkStart w:id="146" w:name="OLE_LINK44"/>
      <w:r>
        <w:rPr>
          <w:rFonts w:hint="default" w:ascii="Times New Roman" w:hAnsi="Times New Roman" w:cs="Times New Roman"/>
          <w:b w:val="0"/>
          <w:bCs/>
          <w:snapToGrid w:val="0"/>
          <w:color w:val="000000" w:themeColor="text1"/>
          <w:highlight w:val="none"/>
          <w14:textFill>
            <w14:solidFill>
              <w14:schemeClr w14:val="tx1"/>
            </w14:solidFill>
          </w14:textFill>
        </w:rPr>
        <w:t>新疆生态功能区划</w:t>
      </w:r>
      <w:bookmarkEnd w:id="146"/>
      <w:r>
        <w:rPr>
          <w:rFonts w:hint="default" w:ascii="Times New Roman" w:hAnsi="Times New Roman" w:cs="Times New Roman"/>
          <w:b w:val="0"/>
          <w:bCs/>
          <w:snapToGrid w:val="0"/>
          <w:color w:val="000000" w:themeColor="text1"/>
          <w:highlight w:val="none"/>
          <w14:textFill>
            <w14:solidFill>
              <w14:schemeClr w14:val="tx1"/>
            </w14:solidFill>
          </w14:textFill>
        </w:rPr>
        <w:t>》</w:t>
      </w:r>
      <w:r>
        <w:rPr>
          <w:rFonts w:hint="default" w:ascii="Times New Roman" w:hAnsi="Times New Roman" w:cs="Times New Roman"/>
          <w:b w:val="0"/>
          <w:bCs/>
          <w:snapToGrid w:val="0"/>
          <w:color w:val="000000" w:themeColor="text1"/>
          <w:kern w:val="0"/>
          <w:sz w:val="24"/>
          <w:szCs w:val="24"/>
          <w:highlight w:val="none"/>
          <w14:textFill>
            <w14:solidFill>
              <w14:schemeClr w14:val="tx1"/>
            </w14:solidFill>
          </w14:textFill>
        </w:rPr>
        <w:t>（2005版）</w:t>
      </w:r>
      <w:r>
        <w:rPr>
          <w:rFonts w:hint="default" w:ascii="Times New Roman" w:hAnsi="Times New Roman" w:cs="Times New Roman"/>
          <w:b w:val="0"/>
          <w:bCs/>
          <w:snapToGrid w:val="0"/>
          <w:color w:val="000000" w:themeColor="text1"/>
          <w:highlight w:val="none"/>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本工程所在区域属于</w:t>
      </w:r>
      <w:bookmarkStart w:id="147" w:name="OLE_LINK45"/>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塔里木盆地暖温带极干旱沙漠</w:t>
      </w:r>
      <w:bookmarkEnd w:id="147"/>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、戈壁及绿洲农业生态区</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Ⅳ</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，塔里木盆地西部和北部荒漠、绿洲农业生态亚区</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Ⅳ1</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，渭干河三角洲荒漠—绿洲农业、盐渍化敏感生态功能区</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lang w:eastAsia="zh-CN"/>
          <w14:textFill>
            <w14:solidFill>
              <w14:schemeClr w14:val="tx1"/>
            </w14:solidFill>
          </w14:textFill>
        </w:rPr>
        <w:t>55</w:t>
      </w:r>
      <w:r>
        <w:rPr>
          <w:rFonts w:hint="eastAsia" w:ascii="Times New Roman" w:hAnsi="Times New Roman" w:cs="Times New Roman"/>
          <w:b w:val="0"/>
          <w:bCs/>
          <w:snapToGrid w:val="0"/>
          <w:color w:val="000000" w:themeColor="text1"/>
          <w:highlight w:val="none"/>
          <w:lang w:eastAsia="zh-CN"/>
          <w14:textFill>
            <w14:solidFill>
              <w14:schemeClr w14:val="tx1"/>
            </w14:solidFill>
          </w14:textFill>
        </w:rPr>
        <w:t>）</w:t>
      </w:r>
      <w:r>
        <w:rPr>
          <w:rFonts w:hint="default" w:ascii="Times New Roman" w:hAnsi="Times New Roman" w:cs="Times New Roman"/>
          <w:b w:val="0"/>
          <w:bCs/>
          <w:snapToGrid w:val="0"/>
          <w:color w:val="000000" w:themeColor="text1"/>
          <w:highlight w:val="none"/>
          <w14:textFill>
            <w14:solidFill>
              <w14:schemeClr w14:val="tx1"/>
            </w14:solidFill>
          </w14:textFill>
        </w:rPr>
        <w:t>。</w:t>
      </w:r>
    </w:p>
    <w:p w14:paraId="398E984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根据</w:t>
      </w:r>
      <w:bookmarkStart w:id="148" w:name="OLE_LINK47"/>
      <w:r>
        <w:rPr>
          <w:rFonts w:hint="default" w:ascii="Times New Roman" w:hAnsi="Times New Roman" w:cs="Times New Roman"/>
          <w:color w:val="000000" w:themeColor="text1"/>
          <w:highlight w:val="none"/>
          <w:lang w:eastAsia="zh-CN"/>
          <w14:textFill>
            <w14:solidFill>
              <w14:schemeClr w14:val="tx1"/>
            </w14:solidFill>
          </w14:textFill>
        </w:rPr>
        <w:t>新水水保</w:t>
      </w:r>
      <w:bookmarkStart w:id="149" w:name="OLE_LINK46"/>
      <w:r>
        <w:rPr>
          <w:rFonts w:hint="default" w:ascii="Times New Roman" w:hAnsi="Times New Roman" w:cs="Times New Roman"/>
          <w:color w:val="000000" w:themeColor="text1"/>
          <w:highlight w:val="none"/>
          <w:lang w:eastAsia="zh-CN"/>
          <w14:textFill>
            <w14:solidFill>
              <w14:schemeClr w14:val="tx1"/>
            </w14:solidFill>
          </w14:textFill>
        </w:rPr>
        <w:t>〔2019〕4号</w:t>
      </w:r>
      <w:bookmarkEnd w:id="148"/>
      <w:bookmarkEnd w:id="149"/>
      <w:r>
        <w:rPr>
          <w:rFonts w:hint="default" w:ascii="Times New Roman" w:hAnsi="Times New Roman" w:cs="Times New Roman"/>
          <w:color w:val="000000" w:themeColor="text1"/>
          <w:highlight w:val="none"/>
          <w:lang w:eastAsia="zh-CN"/>
          <w14:textFill>
            <w14:solidFill>
              <w14:schemeClr w14:val="tx1"/>
            </w14:solidFill>
          </w14:textFill>
        </w:rPr>
        <w:t>，水土流失重点预防区和重点治理区复核划分成果，本工程所在区域新和县属于塔里木河流域水土流失重点治理区范围</w:t>
      </w:r>
      <w:r>
        <w:rPr>
          <w:rFonts w:hint="default" w:ascii="Times New Roman" w:hAnsi="Times New Roman" w:cs="Times New Roman"/>
          <w:snapToGrid w:val="0"/>
          <w:color w:val="000000" w:themeColor="text1"/>
          <w:highlight w:val="none"/>
          <w14:textFill>
            <w14:solidFill>
              <w14:schemeClr w14:val="tx1"/>
            </w14:solidFill>
          </w14:textFill>
        </w:rPr>
        <w:t>。</w:t>
      </w:r>
    </w:p>
    <w:p w14:paraId="56F5E7B5">
      <w:pPr>
        <w:pStyle w:val="58"/>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水环境</w:t>
      </w:r>
    </w:p>
    <w:p w14:paraId="455A098E">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val="0"/>
          <w:bCs/>
          <w:color w:val="000000" w:themeColor="text1"/>
          <w:highlight w:val="none"/>
          <w:lang w:val="en-US" w:eastAsia="zh-CN"/>
          <w14:textFill>
            <w14:solidFill>
              <w14:schemeClr w14:val="tx1"/>
            </w14:solidFill>
          </w14:textFill>
        </w:rPr>
      </w:pPr>
      <w:bookmarkStart w:id="150" w:name="OLE_LINK41"/>
      <w:r>
        <w:rPr>
          <w:rFonts w:hint="eastAsia" w:cs="Times New Roman"/>
          <w:b w:val="0"/>
          <w:bCs/>
          <w:color w:val="000000" w:themeColor="text1"/>
          <w:highlight w:val="none"/>
          <w:lang w:val="en-US" w:eastAsia="zh-CN"/>
          <w14:textFill>
            <w14:solidFill>
              <w14:schemeClr w14:val="tx1"/>
            </w14:solidFill>
          </w14:textFill>
        </w:rPr>
        <w:t>本工程</w:t>
      </w:r>
      <w:bookmarkEnd w:id="150"/>
      <w:r>
        <w:rPr>
          <w:rFonts w:hint="default" w:ascii="Times New Roman" w:hAnsi="Times New Roman" w:cs="Times New Roman"/>
          <w:b w:val="0"/>
          <w:bCs/>
          <w:color w:val="000000" w:themeColor="text1"/>
          <w:highlight w:val="none"/>
          <w:lang w:val="en-US" w:eastAsia="zh-CN"/>
          <w14:textFill>
            <w14:solidFill>
              <w14:schemeClr w14:val="tx1"/>
            </w14:solidFill>
          </w14:textFill>
        </w:rPr>
        <w:t>距离</w:t>
      </w:r>
      <w:r>
        <w:rPr>
          <w:rFonts w:hint="eastAsia" w:cs="Times New Roman"/>
          <w:b w:val="0"/>
          <w:bCs/>
          <w:color w:val="000000" w:themeColor="text1"/>
          <w:highlight w:val="none"/>
          <w:lang w:val="en-US" w:eastAsia="zh-CN"/>
          <w14:textFill>
            <w14:solidFill>
              <w14:schemeClr w14:val="tx1"/>
            </w14:solidFill>
          </w14:textFill>
        </w:rPr>
        <w:t>渭干河</w:t>
      </w:r>
      <w:r>
        <w:rPr>
          <w:rFonts w:hint="default" w:ascii="Times New Roman" w:hAnsi="Times New Roman" w:cs="Times New Roman"/>
          <w:b w:val="0"/>
          <w:bCs/>
          <w:color w:val="000000" w:themeColor="text1"/>
          <w:highlight w:val="none"/>
          <w:lang w:val="en-US" w:eastAsia="zh-CN"/>
          <w14:textFill>
            <w14:solidFill>
              <w14:schemeClr w14:val="tx1"/>
            </w14:solidFill>
          </w14:textFill>
        </w:rPr>
        <w:t>约</w:t>
      </w:r>
      <w:r>
        <w:rPr>
          <w:rFonts w:hint="eastAsia" w:cs="Times New Roman"/>
          <w:b w:val="0"/>
          <w:bCs/>
          <w:color w:val="000000" w:themeColor="text1"/>
          <w:highlight w:val="none"/>
          <w:lang w:val="en-US" w:eastAsia="zh-CN"/>
          <w14:textFill>
            <w14:solidFill>
              <w14:schemeClr w14:val="tx1"/>
            </w14:solidFill>
          </w14:textFill>
        </w:rPr>
        <w:t>38</w:t>
      </w:r>
      <w:r>
        <w:rPr>
          <w:rFonts w:hint="default" w:ascii="Times New Roman" w:hAnsi="Times New Roman" w:cs="Times New Roman"/>
          <w:b w:val="0"/>
          <w:bCs/>
          <w:color w:val="000000" w:themeColor="text1"/>
          <w:highlight w:val="none"/>
          <w:lang w:val="en-US" w:eastAsia="zh-CN"/>
          <w14:textFill>
            <w14:solidFill>
              <w14:schemeClr w14:val="tx1"/>
            </w14:solidFill>
          </w14:textFill>
        </w:rPr>
        <w:t>km</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cs="Times New Roman"/>
          <w:b w:val="0"/>
          <w:bCs/>
          <w:color w:val="000000" w:themeColor="text1"/>
          <w:highlight w:val="none"/>
          <w:lang w:val="en-US" w:eastAsia="zh-CN"/>
          <w14:textFill>
            <w14:solidFill>
              <w14:schemeClr w14:val="tx1"/>
            </w14:solidFill>
          </w14:textFill>
        </w:rPr>
        <w:t>不对区域内地表水进行现状调查。</w:t>
      </w:r>
    </w:p>
    <w:p w14:paraId="6D10BF5D">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val="0"/>
          <w:bCs/>
          <w:color w:val="000000" w:themeColor="text1"/>
          <w:highlight w:val="none"/>
          <w14:textFill>
            <w14:solidFill>
              <w14:schemeClr w14:val="tx1"/>
            </w14:solidFill>
          </w14:textFill>
        </w:rPr>
      </w:pPr>
      <w:r>
        <w:rPr>
          <w:rFonts w:hint="default" w:ascii="Times New Roman" w:hAnsi="Times New Roman" w:cs="Times New Roman"/>
          <w:b w:val="0"/>
          <w:bCs/>
          <w:color w:val="000000" w:themeColor="text1"/>
          <w:highlight w:val="none"/>
          <w:lang w:val="en-US" w:eastAsia="zh-CN"/>
          <w14:textFill>
            <w14:solidFill>
              <w14:schemeClr w14:val="tx1"/>
            </w14:solidFill>
          </w14:textFill>
        </w:rPr>
        <w:t>根据《</w:t>
      </w:r>
      <w:bookmarkStart w:id="151" w:name="OLE_LINK40"/>
      <w:r>
        <w:rPr>
          <w:rFonts w:hint="default" w:ascii="Times New Roman" w:hAnsi="Times New Roman" w:cs="Times New Roman"/>
          <w:b w:val="0"/>
          <w:bCs/>
          <w:color w:val="000000" w:themeColor="text1"/>
          <w:highlight w:val="none"/>
          <w:lang w:val="en-US" w:eastAsia="zh-CN"/>
          <w14:textFill>
            <w14:solidFill>
              <w14:schemeClr w14:val="tx1"/>
            </w14:solidFill>
          </w14:textFill>
        </w:rPr>
        <w:t>地下水质量标准</w:t>
      </w:r>
      <w:bookmarkEnd w:id="151"/>
      <w:r>
        <w:rPr>
          <w:rFonts w:hint="default" w:ascii="Times New Roman" w:hAnsi="Times New Roman" w:cs="Times New Roman"/>
          <w:b w:val="0"/>
          <w:bCs/>
          <w:color w:val="000000" w:themeColor="text1"/>
          <w:highlight w:val="none"/>
          <w:lang w:val="en-US" w:eastAsia="zh-CN"/>
          <w14:textFill>
            <w14:solidFill>
              <w14:schemeClr w14:val="tx1"/>
            </w14:solidFill>
          </w14:textFill>
        </w:rPr>
        <w:t>》（GB/T14848-2017）中地下水</w:t>
      </w:r>
      <w:r>
        <w:rPr>
          <w:rFonts w:hint="eastAsia" w:cs="Times New Roman"/>
          <w:b w:val="0"/>
          <w:bCs/>
          <w:color w:val="000000" w:themeColor="text1"/>
          <w:highlight w:val="none"/>
          <w:lang w:val="en-US" w:eastAsia="zh-CN"/>
          <w14:textFill>
            <w14:solidFill>
              <w14:schemeClr w14:val="tx1"/>
            </w14:solidFill>
          </w14:textFill>
        </w:rPr>
        <w:t>质量</w:t>
      </w:r>
      <w:r>
        <w:rPr>
          <w:rFonts w:hint="default" w:ascii="Times New Roman" w:hAnsi="Times New Roman" w:cs="Times New Roman"/>
          <w:b w:val="0"/>
          <w:bCs/>
          <w:color w:val="000000" w:themeColor="text1"/>
          <w:highlight w:val="none"/>
          <w:lang w:val="en-US" w:eastAsia="zh-CN"/>
          <w14:textFill>
            <w14:solidFill>
              <w14:schemeClr w14:val="tx1"/>
            </w14:solidFill>
          </w14:textFill>
        </w:rPr>
        <w:t>分类标准，</w:t>
      </w:r>
      <w:r>
        <w:rPr>
          <w:rFonts w:hint="eastAsia" w:cs="Times New Roman"/>
          <w:b w:val="0"/>
          <w:bCs/>
          <w:color w:val="000000" w:themeColor="text1"/>
          <w:highlight w:val="none"/>
          <w:lang w:val="en-US" w:eastAsia="zh-CN"/>
          <w14:textFill>
            <w14:solidFill>
              <w14:schemeClr w14:val="tx1"/>
            </w14:solidFill>
          </w14:textFill>
        </w:rPr>
        <w:t>本工程</w:t>
      </w:r>
      <w:r>
        <w:rPr>
          <w:rFonts w:hint="default" w:ascii="Times New Roman" w:hAnsi="Times New Roman" w:cs="Times New Roman"/>
          <w:b w:val="0"/>
          <w:bCs/>
          <w:color w:val="000000" w:themeColor="text1"/>
          <w:highlight w:val="none"/>
          <w:lang w:val="en-US" w:eastAsia="zh-CN"/>
          <w14:textFill>
            <w14:solidFill>
              <w14:schemeClr w14:val="tx1"/>
            </w14:solidFill>
          </w14:textFill>
        </w:rPr>
        <w:t>所在区域</w:t>
      </w:r>
      <w:r>
        <w:rPr>
          <w:rFonts w:hint="default" w:ascii="Times New Roman" w:hAnsi="Times New Roman" w:cs="Times New Roman"/>
          <w:b w:val="0"/>
          <w:bCs/>
          <w:color w:val="000000" w:themeColor="text1"/>
          <w:sz w:val="24"/>
          <w:highlight w:val="none"/>
          <w14:textFill>
            <w14:solidFill>
              <w14:schemeClr w14:val="tx1"/>
            </w14:solidFill>
          </w14:textFill>
        </w:rPr>
        <w:t>的</w:t>
      </w:r>
      <w:r>
        <w:rPr>
          <w:rFonts w:hint="default" w:ascii="Times New Roman" w:hAnsi="Times New Roman" w:cs="Times New Roman"/>
          <w:b w:val="0"/>
          <w:bCs/>
          <w:color w:val="000000" w:themeColor="text1"/>
          <w:highlight w:val="none"/>
          <w:lang w:val="en-US" w:eastAsia="zh-CN"/>
          <w14:textFill>
            <w14:solidFill>
              <w14:schemeClr w14:val="tx1"/>
            </w14:solidFill>
          </w14:textFill>
        </w:rPr>
        <w:t>地下水</w:t>
      </w:r>
      <w:r>
        <w:rPr>
          <w:rFonts w:hint="eastAsia" w:cs="Times New Roman"/>
          <w:b w:val="0"/>
          <w:bCs/>
          <w:color w:val="000000" w:themeColor="text1"/>
          <w:highlight w:val="none"/>
          <w:lang w:val="en-US" w:eastAsia="zh-CN"/>
          <w14:textFill>
            <w14:solidFill>
              <w14:schemeClr w14:val="tx1"/>
            </w14:solidFill>
          </w14:textFill>
        </w:rPr>
        <w:t>质量属于</w:t>
      </w:r>
      <w:r>
        <w:rPr>
          <w:rFonts w:hint="default" w:ascii="Times New Roman" w:hAnsi="Times New Roman" w:cs="Times New Roman"/>
          <w:b w:val="0"/>
          <w:bCs/>
          <w:color w:val="000000" w:themeColor="text1"/>
          <w:highlight w:val="none"/>
          <w:lang w:val="en-US" w:eastAsia="zh-CN"/>
          <w14:textFill>
            <w14:solidFill>
              <w14:schemeClr w14:val="tx1"/>
            </w14:solidFill>
          </w14:textFill>
        </w:rPr>
        <w:t>Ⅲ类功能区</w:t>
      </w:r>
      <w:r>
        <w:rPr>
          <w:rFonts w:hint="default" w:ascii="Times New Roman" w:hAnsi="Times New Roman" w:cs="Times New Roman"/>
          <w:b w:val="0"/>
          <w:bCs/>
          <w:color w:val="000000" w:themeColor="text1"/>
          <w:highlight w:val="none"/>
          <w14:textFill>
            <w14:solidFill>
              <w14:schemeClr w14:val="tx1"/>
            </w14:solidFill>
          </w14:textFill>
        </w:rPr>
        <w:t>。</w:t>
      </w:r>
    </w:p>
    <w:p w14:paraId="5CE6ADE3">
      <w:pPr>
        <w:pStyle w:val="58"/>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（3）大气环境</w:t>
      </w:r>
    </w:p>
    <w:p w14:paraId="20C95C96">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000000" w:themeColor="text1"/>
          <w:highlight w:val="none"/>
          <w14:textFill>
            <w14:solidFill>
              <w14:schemeClr w14:val="tx1"/>
            </w14:solidFill>
          </w14:textFill>
        </w:rPr>
      </w:pPr>
      <w:r>
        <w:rPr>
          <w:rFonts w:hint="default" w:ascii="Times New Roman" w:hAnsi="Times New Roman" w:cs="Times New Roman"/>
          <w:b w:val="0"/>
          <w:bCs/>
          <w:color w:val="000000" w:themeColor="text1"/>
          <w:sz w:val="24"/>
          <w:highlight w:val="none"/>
          <w:lang w:eastAsia="zh-CN"/>
          <w14:textFill>
            <w14:solidFill>
              <w14:schemeClr w14:val="tx1"/>
            </w14:solidFill>
          </w14:textFill>
        </w:rPr>
        <w:t>本</w:t>
      </w:r>
      <w:r>
        <w:rPr>
          <w:rFonts w:hint="eastAsia" w:cs="Times New Roman"/>
          <w:b w:val="0"/>
          <w:bCs/>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b w:val="0"/>
          <w:bCs/>
          <w:color w:val="000000" w:themeColor="text1"/>
          <w:sz w:val="24"/>
          <w:highlight w:val="none"/>
          <w14:textFill>
            <w14:solidFill>
              <w14:schemeClr w14:val="tx1"/>
            </w14:solidFill>
          </w14:textFill>
        </w:rPr>
        <w:t>所在地位于新疆维吾尔自治区阿克苏地区</w:t>
      </w:r>
      <w:r>
        <w:rPr>
          <w:rFonts w:hint="eastAsia" w:cs="Times New Roman"/>
          <w:b w:val="0"/>
          <w:bCs/>
          <w:color w:val="000000" w:themeColor="text1"/>
          <w:sz w:val="24"/>
          <w:highlight w:val="none"/>
          <w:lang w:val="en-US" w:eastAsia="zh-CN"/>
          <w14:textFill>
            <w14:solidFill>
              <w14:schemeClr w14:val="tx1"/>
            </w14:solidFill>
          </w14:textFill>
        </w:rPr>
        <w:t>新和</w:t>
      </w:r>
      <w:r>
        <w:rPr>
          <w:rFonts w:hint="default" w:ascii="Times New Roman" w:hAnsi="Times New Roman" w:cs="Times New Roman"/>
          <w:b w:val="0"/>
          <w:bCs/>
          <w:color w:val="000000" w:themeColor="text1"/>
          <w:sz w:val="24"/>
          <w:highlight w:val="none"/>
          <w:lang w:val="en-US" w:eastAsia="zh-CN"/>
          <w14:textFill>
            <w14:solidFill>
              <w14:schemeClr w14:val="tx1"/>
            </w14:solidFill>
          </w14:textFill>
        </w:rPr>
        <w:t>县</w:t>
      </w:r>
      <w:r>
        <w:rPr>
          <w:rFonts w:hint="default" w:ascii="Times New Roman" w:hAnsi="Times New Roman" w:cs="Times New Roman"/>
          <w:b w:val="0"/>
          <w:bCs/>
          <w:color w:val="000000" w:themeColor="text1"/>
          <w:sz w:val="24"/>
          <w:highlight w:val="none"/>
          <w14:textFill>
            <w14:solidFill>
              <w14:schemeClr w14:val="tx1"/>
            </w14:solidFill>
          </w14:textFill>
        </w:rPr>
        <w:t>境内，属于</w:t>
      </w:r>
      <w:bookmarkStart w:id="152" w:name="OLE_LINK43"/>
      <w:r>
        <w:rPr>
          <w:rFonts w:hint="default" w:ascii="Times New Roman" w:hAnsi="Times New Roman" w:cs="Times New Roman"/>
          <w:b w:val="0"/>
          <w:bCs/>
          <w:color w:val="000000" w:themeColor="text1"/>
          <w:sz w:val="24"/>
          <w:highlight w:val="none"/>
          <w14:textFill>
            <w14:solidFill>
              <w14:schemeClr w14:val="tx1"/>
            </w14:solidFill>
          </w14:textFill>
        </w:rPr>
        <w:t>油气勘探开发区域</w:t>
      </w:r>
      <w:bookmarkEnd w:id="152"/>
      <w:r>
        <w:rPr>
          <w:rFonts w:hint="default" w:ascii="Times New Roman" w:hAnsi="Times New Roman" w:cs="Times New Roman"/>
          <w:b w:val="0"/>
          <w:bCs/>
          <w:color w:val="000000" w:themeColor="text1"/>
          <w:sz w:val="24"/>
          <w:highlight w:val="none"/>
          <w14:textFill>
            <w14:solidFill>
              <w14:schemeClr w14:val="tx1"/>
            </w14:solidFill>
          </w14:textFill>
        </w:rPr>
        <w:t>，按照</w:t>
      </w:r>
      <w:r>
        <w:rPr>
          <w:rFonts w:hint="default" w:ascii="Times New Roman" w:hAnsi="Times New Roman" w:cs="Times New Roman"/>
          <w:b w:val="0"/>
          <w:bCs/>
          <w:color w:val="000000" w:themeColor="text1"/>
          <w:sz w:val="24"/>
          <w:highlight w:val="none"/>
          <w:lang w:eastAsia="zh-CN"/>
          <w14:textFill>
            <w14:solidFill>
              <w14:schemeClr w14:val="tx1"/>
            </w14:solidFill>
          </w14:textFill>
        </w:rPr>
        <w:t>《</w:t>
      </w:r>
      <w:bookmarkStart w:id="153" w:name="OLE_LINK39"/>
      <w:r>
        <w:rPr>
          <w:rFonts w:hint="default" w:ascii="Times New Roman" w:hAnsi="Times New Roman" w:cs="Times New Roman"/>
          <w:b w:val="0"/>
          <w:bCs/>
          <w:color w:val="000000" w:themeColor="text1"/>
          <w:sz w:val="24"/>
          <w:highlight w:val="none"/>
          <w14:textFill>
            <w14:solidFill>
              <w14:schemeClr w14:val="tx1"/>
            </w14:solidFill>
          </w14:textFill>
        </w:rPr>
        <w:t>环境空气质量标准</w:t>
      </w:r>
      <w:bookmarkEnd w:id="153"/>
      <w:r>
        <w:rPr>
          <w:rFonts w:hint="default" w:ascii="Times New Roman" w:hAnsi="Times New Roman"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highlight w:val="none"/>
          <w14:textFill>
            <w14:solidFill>
              <w14:schemeClr w14:val="tx1"/>
            </w14:solidFill>
          </w14:textFill>
        </w:rPr>
        <w:t>GB3095-2012</w:t>
      </w:r>
      <w:r>
        <w:rPr>
          <w:rFonts w:hint="default" w:ascii="Times New Roman" w:hAnsi="Times New Roman"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要求</w:t>
      </w:r>
      <w:r>
        <w:rPr>
          <w:rFonts w:hint="default" w:ascii="Times New Roman" w:hAnsi="Times New Roman" w:cs="Times New Roman"/>
          <w:b w:val="0"/>
          <w:bCs/>
          <w:color w:val="000000" w:themeColor="text1"/>
          <w:sz w:val="24"/>
          <w:highlight w:val="none"/>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本工程所在</w:t>
      </w:r>
      <w:r>
        <w:rPr>
          <w:rFonts w:hint="default" w:ascii="Times New Roman" w:hAnsi="Times New Roman" w:cs="Times New Roman"/>
          <w:b w:val="0"/>
          <w:bCs/>
          <w:color w:val="000000" w:themeColor="text1"/>
          <w:sz w:val="24"/>
          <w:highlight w:val="none"/>
          <w14:textFill>
            <w14:solidFill>
              <w14:schemeClr w14:val="tx1"/>
            </w14:solidFill>
          </w14:textFill>
        </w:rPr>
        <w:t>区域</w:t>
      </w:r>
      <w:bookmarkStart w:id="154" w:name="OLE_LINK42"/>
      <w:r>
        <w:rPr>
          <w:rFonts w:hint="default" w:ascii="Times New Roman" w:hAnsi="Times New Roman" w:cs="Times New Roman"/>
          <w:b w:val="0"/>
          <w:bCs/>
          <w:color w:val="000000" w:themeColor="text1"/>
          <w:sz w:val="24"/>
          <w:highlight w:val="none"/>
          <w14:textFill>
            <w14:solidFill>
              <w14:schemeClr w14:val="tx1"/>
            </w14:solidFill>
          </w14:textFill>
        </w:rPr>
        <w:t>的</w:t>
      </w:r>
      <w:bookmarkEnd w:id="154"/>
      <w:r>
        <w:rPr>
          <w:rFonts w:hint="default" w:ascii="Times New Roman" w:hAnsi="Times New Roman" w:cs="Times New Roman"/>
          <w:b w:val="0"/>
          <w:bCs/>
          <w:color w:val="000000" w:themeColor="text1"/>
          <w:sz w:val="24"/>
          <w:highlight w:val="none"/>
          <w14:textFill>
            <w14:solidFill>
              <w14:schemeClr w14:val="tx1"/>
            </w14:solidFill>
          </w14:textFill>
        </w:rPr>
        <w:t>环境空气功能区属于二类功能区。</w:t>
      </w:r>
    </w:p>
    <w:p w14:paraId="4E26E108">
      <w:pPr>
        <w:pStyle w:val="58"/>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bidi="ar-SA"/>
          <w14:textFill>
            <w14:solidFill>
              <w14:schemeClr w14:val="tx1"/>
            </w14:solidFill>
          </w14:textFill>
        </w:rPr>
        <w:t>声环境</w:t>
      </w:r>
    </w:p>
    <w:p w14:paraId="251BA40C">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val="0"/>
          <w:bCs/>
          <w:color w:val="000000" w:themeColor="text1"/>
          <w:highlight w:val="none"/>
          <w14:textFill>
            <w14:solidFill>
              <w14:schemeClr w14:val="tx1"/>
            </w14:solidFill>
          </w14:textFill>
        </w:rPr>
      </w:pPr>
      <w:r>
        <w:rPr>
          <w:rFonts w:hint="eastAsia" w:cs="Times New Roman"/>
          <w:b w:val="0"/>
          <w:bCs/>
          <w:color w:val="000000" w:themeColor="text1"/>
          <w:highlight w:val="none"/>
          <w:lang w:val="en-US" w:eastAsia="zh-CN"/>
          <w14:textFill>
            <w14:solidFill>
              <w14:schemeClr w14:val="tx1"/>
            </w14:solidFill>
          </w14:textFill>
        </w:rPr>
        <w:t>本工程</w:t>
      </w:r>
      <w:r>
        <w:rPr>
          <w:rFonts w:hint="default" w:ascii="Times New Roman" w:hAnsi="Times New Roman" w:cs="Times New Roman"/>
          <w:b w:val="0"/>
          <w:bCs/>
          <w:color w:val="000000" w:themeColor="text1"/>
          <w:highlight w:val="none"/>
          <w:lang w:val="en-US" w:eastAsia="zh-CN"/>
          <w14:textFill>
            <w14:solidFill>
              <w14:schemeClr w14:val="tx1"/>
            </w14:solidFill>
          </w14:textFill>
        </w:rPr>
        <w:t>所在区域</w:t>
      </w:r>
      <w:r>
        <w:rPr>
          <w:rFonts w:hint="default" w:ascii="Times New Roman" w:hAnsi="Times New Roman" w:cs="Times New Roman"/>
          <w:b w:val="0"/>
          <w:bCs/>
          <w:color w:val="000000" w:themeColor="text1"/>
          <w:highlight w:val="none"/>
          <w14:textFill>
            <w14:solidFill>
              <w14:schemeClr w14:val="tx1"/>
            </w14:solidFill>
          </w14:textFill>
        </w:rPr>
        <w:t>为</w:t>
      </w:r>
      <w:r>
        <w:rPr>
          <w:rFonts w:hint="default" w:ascii="Times New Roman" w:hAnsi="Times New Roman" w:cs="Times New Roman"/>
          <w:b w:val="0"/>
          <w:bCs/>
          <w:color w:val="000000" w:themeColor="text1"/>
          <w:sz w:val="24"/>
          <w:highlight w:val="none"/>
          <w14:textFill>
            <w14:solidFill>
              <w14:schemeClr w14:val="tx1"/>
            </w14:solidFill>
          </w14:textFill>
        </w:rPr>
        <w:t>油气勘探开发区域</w:t>
      </w:r>
      <w:r>
        <w:rPr>
          <w:rFonts w:hint="default" w:ascii="Times New Roman" w:hAnsi="Times New Roman" w:cs="Times New Roman"/>
          <w:b w:val="0"/>
          <w:bCs/>
          <w:color w:val="000000" w:themeColor="text1"/>
          <w:highlight w:val="none"/>
          <w14:textFill>
            <w14:solidFill>
              <w14:schemeClr w14:val="tx1"/>
            </w14:solidFill>
          </w14:textFill>
        </w:rPr>
        <w:t>，目前暂未进行声环境功能区划，根据</w:t>
      </w:r>
      <w:bookmarkStart w:id="155" w:name="OLE_LINK124"/>
      <w:r>
        <w:rPr>
          <w:rFonts w:hint="default" w:ascii="Times New Roman" w:hAnsi="Times New Roman" w:cs="Times New Roman"/>
          <w:b w:val="0"/>
          <w:bCs/>
          <w:color w:val="000000" w:themeColor="text1"/>
          <w:highlight w:val="none"/>
          <w14:textFill>
            <w14:solidFill>
              <w14:schemeClr w14:val="tx1"/>
            </w14:solidFill>
          </w14:textFill>
        </w:rPr>
        <w:t>《声环境质量标准》（GB3096-2008）要求，划定为2类声环境功能区</w:t>
      </w:r>
      <w:bookmarkEnd w:id="155"/>
      <w:r>
        <w:rPr>
          <w:rFonts w:hint="default" w:ascii="Times New Roman" w:hAnsi="Times New Roman" w:cs="Times New Roman"/>
          <w:b w:val="0"/>
          <w:bCs/>
          <w:color w:val="000000" w:themeColor="text1"/>
          <w:highlight w:val="none"/>
          <w14:textFill>
            <w14:solidFill>
              <w14:schemeClr w14:val="tx1"/>
            </w14:solidFill>
          </w14:textFill>
        </w:rPr>
        <w:t>。</w:t>
      </w:r>
    </w:p>
    <w:p w14:paraId="267837F9">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4.2</w:t>
      </w:r>
      <w:r>
        <w:rPr>
          <w:rFonts w:hint="default" w:ascii="Times New Roman" w:hAnsi="Times New Roman" w:cs="Times New Roman"/>
          <w:color w:val="000000" w:themeColor="text1"/>
          <w:highlight w:val="none"/>
          <w14:textFill>
            <w14:solidFill>
              <w14:schemeClr w14:val="tx1"/>
            </w14:solidFill>
          </w14:textFill>
        </w:rPr>
        <w:t>环境质量标准</w:t>
      </w:r>
    </w:p>
    <w:p w14:paraId="6B05D035">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所在区域的自然环境特点，采用以下评价因子及环境标准。</w:t>
      </w:r>
    </w:p>
    <w:p w14:paraId="31B73BC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水环境</w:t>
      </w:r>
    </w:p>
    <w:p w14:paraId="37F99D44">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位于新疆维吾尔自治区</w:t>
      </w:r>
      <w:r>
        <w:rPr>
          <w:rFonts w:hint="eastAsia" w:cs="Times New Roman"/>
          <w:color w:val="000000" w:themeColor="text1"/>
          <w:highlight w:val="none"/>
          <w:lang w:val="en-US" w:eastAsia="zh-CN"/>
          <w14:textFill>
            <w14:solidFill>
              <w14:schemeClr w14:val="tx1"/>
            </w14:solidFill>
          </w14:textFill>
        </w:rPr>
        <w:t>阿克苏地区新和</w:t>
      </w:r>
      <w:r>
        <w:rPr>
          <w:rFonts w:hint="default" w:ascii="Times New Roman" w:hAnsi="Times New Roman" w:cs="Times New Roman"/>
          <w:color w:val="000000" w:themeColor="text1"/>
          <w:highlight w:val="none"/>
          <w:lang w:val="en-US" w:eastAsia="zh-CN"/>
          <w14:textFill>
            <w14:solidFill>
              <w14:schemeClr w14:val="tx1"/>
            </w14:solidFill>
          </w14:textFill>
        </w:rPr>
        <w:t>县</w:t>
      </w:r>
      <w:r>
        <w:rPr>
          <w:rFonts w:hint="default" w:ascii="Times New Roman" w:hAnsi="Times New Roman" w:cs="Times New Roman"/>
          <w:color w:val="000000" w:themeColor="text1"/>
          <w:highlight w:val="none"/>
          <w14:textFill>
            <w14:solidFill>
              <w14:schemeClr w14:val="tx1"/>
            </w14:solidFill>
          </w14:textFill>
        </w:rPr>
        <w:t>境内。地下水执行《</w:t>
      </w:r>
      <w:bookmarkStart w:id="156" w:name="OLE_LINK52"/>
      <w:r>
        <w:rPr>
          <w:rFonts w:hint="default" w:ascii="Times New Roman" w:hAnsi="Times New Roman" w:cs="Times New Roman"/>
          <w:color w:val="000000" w:themeColor="text1"/>
          <w:highlight w:val="none"/>
          <w14:textFill>
            <w14:solidFill>
              <w14:schemeClr w14:val="tx1"/>
            </w14:solidFill>
          </w14:textFill>
        </w:rPr>
        <w:t>地下水质量标准</w:t>
      </w:r>
      <w:bookmarkEnd w:id="156"/>
      <w:r>
        <w:rPr>
          <w:rFonts w:hint="default" w:ascii="Times New Roman" w:hAnsi="Times New Roman" w:cs="Times New Roman"/>
          <w:color w:val="000000" w:themeColor="text1"/>
          <w:highlight w:val="none"/>
          <w14:textFill>
            <w14:solidFill>
              <w14:schemeClr w14:val="tx1"/>
            </w14:solidFill>
          </w14:textFill>
        </w:rPr>
        <w:t>》（GB/T14848-2017）</w:t>
      </w:r>
      <w:r>
        <w:rPr>
          <w:rFonts w:hint="eastAsia" w:cs="Times New Roman"/>
          <w:color w:val="000000" w:themeColor="text1"/>
          <w:highlight w:val="none"/>
          <w:lang w:val="en-US" w:eastAsia="zh-CN"/>
          <w14:textFill>
            <w14:solidFill>
              <w14:schemeClr w14:val="tx1"/>
            </w14:solidFill>
          </w14:textFill>
        </w:rPr>
        <w:t>表1</w:t>
      </w:r>
      <w:r>
        <w:rPr>
          <w:rFonts w:hint="default" w:ascii="Times New Roman" w:hAnsi="Times New Roman" w:cs="Times New Roman"/>
          <w:color w:val="000000" w:themeColor="text1"/>
          <w:highlight w:val="none"/>
          <w14:textFill>
            <w14:solidFill>
              <w14:schemeClr w14:val="tx1"/>
            </w14:solidFill>
          </w14:textFill>
        </w:rPr>
        <w:t>中的</w:t>
      </w:r>
      <w:bookmarkStart w:id="157" w:name="OLE_LINK66"/>
      <w:r>
        <w:rPr>
          <w:rFonts w:hint="default" w:ascii="Times New Roman" w:hAnsi="Times New Roman" w:cs="Times New Roman"/>
          <w:color w:val="000000" w:themeColor="text1"/>
          <w:highlight w:val="none"/>
          <w14:textFill>
            <w14:solidFill>
              <w14:schemeClr w14:val="tx1"/>
            </w14:solidFill>
          </w14:textFill>
        </w:rPr>
        <w:t>Ⅲ类水质标准</w:t>
      </w:r>
      <w:bookmarkEnd w:id="157"/>
      <w:r>
        <w:rPr>
          <w:rFonts w:hint="default" w:ascii="Times New Roman" w:hAnsi="Times New Roman" w:cs="Times New Roman"/>
          <w:color w:val="000000" w:themeColor="text1"/>
          <w:highlight w:val="none"/>
          <w14:textFill>
            <w14:solidFill>
              <w14:schemeClr w14:val="tx1"/>
            </w14:solidFill>
          </w14:textFill>
        </w:rPr>
        <w:t>。石油类参照《地表水环境质量标准》（GB3838-2002）</w:t>
      </w:r>
      <w:bookmarkStart w:id="158" w:name="OLE_LINK61"/>
      <w:r>
        <w:rPr>
          <w:rFonts w:hint="eastAsia" w:cs="Times New Roman"/>
          <w:color w:val="000000" w:themeColor="text1"/>
          <w:highlight w:val="none"/>
          <w:lang w:val="en-US" w:eastAsia="zh-CN"/>
          <w14:textFill>
            <w14:solidFill>
              <w14:schemeClr w14:val="tx1"/>
            </w14:solidFill>
          </w14:textFill>
        </w:rPr>
        <w:t>表1</w:t>
      </w:r>
      <w:r>
        <w:rPr>
          <w:rFonts w:hint="default" w:ascii="Times New Roman" w:hAnsi="Times New Roman" w:cs="Times New Roman"/>
          <w:color w:val="000000" w:themeColor="text1"/>
          <w:highlight w:val="none"/>
          <w14:textFill>
            <w14:solidFill>
              <w14:schemeClr w14:val="tx1"/>
            </w14:solidFill>
          </w14:textFill>
        </w:rPr>
        <w:t>中的</w:t>
      </w:r>
      <w:bookmarkEnd w:id="158"/>
      <w:bookmarkStart w:id="159" w:name="OLE_LINK65"/>
      <w:r>
        <w:rPr>
          <w:rFonts w:hint="default" w:ascii="Times New Roman" w:hAnsi="Times New Roman" w:cs="Times New Roman"/>
          <w:color w:val="000000" w:themeColor="text1"/>
          <w:highlight w:val="none"/>
          <w14:textFill>
            <w14:solidFill>
              <w14:schemeClr w14:val="tx1"/>
            </w14:solidFill>
          </w14:textFill>
        </w:rPr>
        <w:t>Ⅲ类标准</w:t>
      </w:r>
      <w:bookmarkEnd w:id="159"/>
      <w:r>
        <w:rPr>
          <w:rFonts w:hint="default" w:ascii="Times New Roman" w:hAnsi="Times New Roman" w:cs="Times New Roman"/>
          <w:color w:val="000000" w:themeColor="text1"/>
          <w:highlight w:val="none"/>
          <w14:textFill>
            <w14:solidFill>
              <w14:schemeClr w14:val="tx1"/>
            </w14:solidFill>
          </w14:textFill>
        </w:rPr>
        <w:t>。有关标准限值见表2.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和</w:t>
      </w:r>
      <w:r>
        <w:rPr>
          <w:rFonts w:hint="default" w:ascii="Times New Roman" w:hAnsi="Times New Roman" w:cs="Times New Roman"/>
          <w:color w:val="000000" w:themeColor="text1"/>
          <w:highlight w:val="none"/>
          <w14:textFill>
            <w14:solidFill>
              <w14:schemeClr w14:val="tx1"/>
            </w14:solidFill>
          </w14:textFill>
        </w:rPr>
        <w:t>表2.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p>
    <w:p w14:paraId="167362A3">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4</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1</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 xml:space="preserve">   《</w:t>
      </w:r>
      <w:bookmarkStart w:id="160" w:name="OLE_LINK58"/>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地表水环境质量标准</w:t>
      </w:r>
      <w:bookmarkEnd w:id="160"/>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》（GB3838-2002）</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Ⅲ类</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标准  单位：mg/L</w:t>
      </w:r>
      <w:r>
        <w:rPr>
          <w:rFonts w:hint="default" w:ascii="Times New Roman" w:hAnsi="Times New Roman" w:cs="Times New Roman"/>
          <w:b/>
          <w:bCs w:val="0"/>
          <w:color w:val="000000" w:themeColor="text1"/>
          <w:highlight w:val="none"/>
          <w14:textFill>
            <w14:solidFill>
              <w14:schemeClr w14:val="tx1"/>
            </w14:solidFill>
          </w14:textFill>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443"/>
        <w:gridCol w:w="1150"/>
        <w:gridCol w:w="653"/>
        <w:gridCol w:w="2165"/>
        <w:gridCol w:w="1437"/>
      </w:tblGrid>
      <w:tr w14:paraId="3515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5E52D68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351FE08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监测项目</w:t>
            </w:r>
          </w:p>
        </w:tc>
        <w:tc>
          <w:tcPr>
            <w:tcW w:w="1150" w:type="dxa"/>
            <w:tcBorders>
              <w:top w:val="single" w:color="auto" w:sz="4" w:space="0"/>
              <w:left w:val="single" w:color="auto" w:sz="4" w:space="0"/>
            </w:tcBorders>
            <w:noWrap w:val="0"/>
            <w:vAlign w:val="center"/>
          </w:tcPr>
          <w:p w14:paraId="2ADE7A42">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标准值</w:t>
            </w:r>
          </w:p>
        </w:tc>
        <w:tc>
          <w:tcPr>
            <w:tcW w:w="653" w:type="dxa"/>
            <w:tcBorders>
              <w:top w:val="single" w:color="auto" w:sz="4" w:space="0"/>
              <w:left w:val="single" w:color="auto" w:sz="4" w:space="0"/>
            </w:tcBorders>
            <w:noWrap w:val="0"/>
            <w:vAlign w:val="center"/>
          </w:tcPr>
          <w:p w14:paraId="0728501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2165" w:type="dxa"/>
            <w:tcBorders>
              <w:top w:val="single" w:color="auto" w:sz="4" w:space="0"/>
              <w:left w:val="single" w:color="auto" w:sz="4" w:space="0"/>
            </w:tcBorders>
            <w:noWrap w:val="0"/>
            <w:vAlign w:val="center"/>
          </w:tcPr>
          <w:p w14:paraId="4B3E54C4">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监测项目</w:t>
            </w:r>
          </w:p>
        </w:tc>
        <w:tc>
          <w:tcPr>
            <w:tcW w:w="1437" w:type="dxa"/>
            <w:tcBorders>
              <w:top w:val="single" w:color="auto" w:sz="4" w:space="0"/>
              <w:left w:val="single" w:color="auto" w:sz="4" w:space="0"/>
            </w:tcBorders>
            <w:noWrap w:val="0"/>
            <w:vAlign w:val="center"/>
          </w:tcPr>
          <w:p w14:paraId="4201C55B">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标准值</w:t>
            </w:r>
          </w:p>
        </w:tc>
      </w:tr>
      <w:tr w14:paraId="5A64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31F5EF3A">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508A8D9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pH</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无量纲</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F6CB1D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6</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9</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7AB934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13</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676FE0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砷</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028176F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0.05</w:t>
            </w:r>
          </w:p>
        </w:tc>
      </w:tr>
      <w:tr w14:paraId="302D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721DE23A">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193B5A8B">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溶解氧</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082414">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E35EB4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14</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C4CE3E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汞</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207BD68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0.0001</w:t>
            </w:r>
          </w:p>
        </w:tc>
      </w:tr>
      <w:tr w14:paraId="5BF0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0BE713AD">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3</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08263D24">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高锰酸盐指数</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F927BC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6</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838F75D">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15</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3171D6A2">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镉</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3BF1232D">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0.005</w:t>
            </w:r>
          </w:p>
        </w:tc>
      </w:tr>
      <w:tr w14:paraId="0FC8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744C2996">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4</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15108918">
            <w:pPr>
              <w:pStyle w:val="47"/>
              <w:ind w:firstLine="0" w:firstLineChars="0"/>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五日生化需氧量</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9FB8CDD">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bookmarkStart w:id="161" w:name="OLE_LINK115"/>
            <w:r>
              <w:rPr>
                <w:rFonts w:hint="eastAsia" w:ascii="宋体" w:hAnsi="宋体"/>
                <w:color w:val="000000" w:themeColor="text1"/>
                <w:sz w:val="21"/>
                <w:szCs w:val="21"/>
                <w:highlight w:val="none"/>
                <w14:textFill>
                  <w14:solidFill>
                    <w14:schemeClr w14:val="tx1"/>
                  </w14:solidFill>
                </w14:textFill>
              </w:rPr>
              <w:t>≤</w:t>
            </w:r>
            <w:bookmarkEnd w:id="161"/>
            <w:r>
              <w:rPr>
                <w:rFonts w:hint="default" w:ascii="Times New Roman" w:hAnsi="Times New Roman" w:eastAsia="宋体" w:cs="Times New Roman"/>
                <w:bCs/>
                <w:color w:val="000000" w:themeColor="text1"/>
                <w:sz w:val="21"/>
                <w:szCs w:val="21"/>
                <w:highlight w:val="none"/>
                <w14:textFill>
                  <w14:solidFill>
                    <w14:schemeClr w14:val="tx1"/>
                  </w14:solidFill>
                </w14:textFill>
              </w:rPr>
              <w:t>4</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4F38270">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16</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5B9F995">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铬</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六价</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13C6215D">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0.05</w:t>
            </w:r>
          </w:p>
        </w:tc>
      </w:tr>
      <w:tr w14:paraId="49A3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6519CAA3">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5</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297CADA1">
            <w:pPr>
              <w:pStyle w:val="47"/>
              <w:ind w:firstLine="0" w:firstLineChars="0"/>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氨氮</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NH</w:t>
            </w:r>
            <w:r>
              <w:rPr>
                <w:rFonts w:hint="eastAsia" w:cs="Times New Roman"/>
                <w:bCs/>
                <w:color w:val="000000" w:themeColor="text1"/>
                <w:sz w:val="21"/>
                <w:szCs w:val="21"/>
                <w:highlight w:val="none"/>
                <w:vertAlign w:val="subscript"/>
                <w:lang w:val="en-US" w:eastAsia="zh-CN"/>
                <w14:textFill>
                  <w14:solidFill>
                    <w14:schemeClr w14:val="tx1"/>
                  </w14:solidFill>
                </w14:textFill>
              </w:rPr>
              <w:t>3</w:t>
            </w:r>
            <w:r>
              <w:rPr>
                <w:rFonts w:hint="eastAsia" w:cs="Times New Roman"/>
                <w:bCs/>
                <w:color w:val="000000" w:themeColor="text1"/>
                <w:sz w:val="21"/>
                <w:szCs w:val="21"/>
                <w:highlight w:val="none"/>
                <w:lang w:val="en-US" w:eastAsia="zh-CN"/>
                <w14:textFill>
                  <w14:solidFill>
                    <w14:schemeClr w14:val="tx1"/>
                  </w14:solidFill>
                </w14:textFill>
              </w:rPr>
              <w:t>-N</w:t>
            </w:r>
            <w:r>
              <w:rPr>
                <w:rFonts w:hint="eastAsia" w:cs="Times New Roman"/>
                <w:bCs/>
                <w:color w:val="000000" w:themeColor="text1"/>
                <w:sz w:val="21"/>
                <w:szCs w:val="21"/>
                <w:highlight w:val="none"/>
                <w:lang w:eastAsia="zh-CN"/>
                <w14:textFill>
                  <w14:solidFill>
                    <w14:schemeClr w14:val="tx1"/>
                  </w14:solidFill>
                </w14:textFill>
              </w:rPr>
              <w:t>）</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7FEE3CD5">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AD1BC6B">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17</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79E9B1E2">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铅</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5A0EC7AB">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0.05</w:t>
            </w:r>
          </w:p>
        </w:tc>
      </w:tr>
      <w:tr w14:paraId="6032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3EEF402B">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6</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34468DB2">
            <w:pPr>
              <w:pStyle w:val="47"/>
              <w:ind w:firstLine="0" w:firstLineChars="0"/>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化学需氧量</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14:textFill>
                  <w14:solidFill>
                    <w14:schemeClr w14:val="tx1"/>
                  </w14:solidFill>
                </w14:textFill>
              </w:rPr>
              <w:t>OD</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C9D93AE">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20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E0240E9">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18</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6F4E007C">
            <w:pPr>
              <w:pStyle w:val="47"/>
              <w:ind w:firstLine="0" w:firstLineChars="0"/>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氰化物</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5164B1B1">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0.2</w:t>
            </w:r>
          </w:p>
        </w:tc>
      </w:tr>
      <w:tr w14:paraId="7D63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22CB22FE">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7</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7CA0AEAC">
            <w:pPr>
              <w:pStyle w:val="47"/>
              <w:ind w:firstLine="0" w:firstLineChars="0"/>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总磷</w:t>
            </w:r>
            <w:bookmarkStart w:id="162" w:name="OLE_LINK59"/>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以P计</w:t>
            </w:r>
            <w:r>
              <w:rPr>
                <w:rFonts w:hint="eastAsia" w:cs="Times New Roman"/>
                <w:bCs/>
                <w:color w:val="000000" w:themeColor="text1"/>
                <w:sz w:val="21"/>
                <w:szCs w:val="21"/>
                <w:highlight w:val="none"/>
                <w:lang w:eastAsia="zh-CN"/>
                <w14:textFill>
                  <w14:solidFill>
                    <w14:schemeClr w14:val="tx1"/>
                  </w14:solidFill>
                </w14:textFill>
              </w:rPr>
              <w:t>）</w:t>
            </w:r>
            <w:bookmarkEnd w:id="162"/>
          </w:p>
        </w:tc>
        <w:tc>
          <w:tcPr>
            <w:tcW w:w="1150" w:type="dxa"/>
            <w:tcBorders>
              <w:top w:val="single" w:color="auto" w:sz="4" w:space="0"/>
              <w:left w:val="single" w:color="auto" w:sz="4" w:space="0"/>
              <w:bottom w:val="single" w:color="auto" w:sz="4" w:space="0"/>
              <w:right w:val="single" w:color="auto" w:sz="4" w:space="0"/>
            </w:tcBorders>
            <w:noWrap w:val="0"/>
            <w:vAlign w:val="center"/>
          </w:tcPr>
          <w:p w14:paraId="24B9660E">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0.2</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C84F4A4">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19</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E0D208C">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挥发酚</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2DDC4DDE">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0.005</w:t>
            </w:r>
          </w:p>
        </w:tc>
      </w:tr>
      <w:tr w14:paraId="6AAB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6E3B7AD3">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8</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45D16CDA">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总氮</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B21F4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FD25AE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20</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126610EE">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石油类</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4E99FAB8">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0.05</w:t>
            </w:r>
          </w:p>
        </w:tc>
      </w:tr>
      <w:tr w14:paraId="4266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3E1F0C50">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9</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3ED98983">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铜</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12397E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F5ABABF">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21</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3445EF19">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阴离子表面活性剂</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18B375F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0.2</w:t>
            </w:r>
          </w:p>
        </w:tc>
      </w:tr>
      <w:tr w14:paraId="1313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60C52A8C">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6024660C">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锌</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12E6EF2">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054FB6D">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22</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08D93197">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硫化物</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486A3195">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0.2</w:t>
            </w:r>
          </w:p>
        </w:tc>
      </w:tr>
      <w:tr w14:paraId="78B2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62C02923">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11</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5DB2B8DB">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氟化物</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以F</w:t>
            </w:r>
            <w:r>
              <w:rPr>
                <w:rFonts w:hint="eastAsia" w:cs="Times New Roman"/>
                <w:bCs/>
                <w:color w:val="000000" w:themeColor="text1"/>
                <w:sz w:val="21"/>
                <w:szCs w:val="21"/>
                <w:highlight w:val="none"/>
                <w:vertAlign w:val="superscript"/>
                <w:lang w:val="en-US"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计</w:t>
            </w:r>
            <w:r>
              <w:rPr>
                <w:rFonts w:hint="eastAsia" w:cs="Times New Roman"/>
                <w:bCs/>
                <w:color w:val="000000" w:themeColor="text1"/>
                <w:sz w:val="21"/>
                <w:szCs w:val="21"/>
                <w:highlight w:val="none"/>
                <w:lang w:eastAsia="zh-CN"/>
                <w14:textFill>
                  <w14:solidFill>
                    <w14:schemeClr w14:val="tx1"/>
                  </w14:solidFill>
                </w14:textFill>
              </w:rPr>
              <w:t>）</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57A9643">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60AA1C9A">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23</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30FC91FC">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粪大肠杆菌数（个/L）</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0F7ED5F8">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10000</w:t>
            </w:r>
          </w:p>
        </w:tc>
      </w:tr>
      <w:tr w14:paraId="0AA0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661" w:type="dxa"/>
            <w:tcBorders>
              <w:top w:val="single" w:color="auto" w:sz="4" w:space="0"/>
              <w:left w:val="single" w:color="auto" w:sz="4" w:space="0"/>
              <w:bottom w:val="single" w:color="auto" w:sz="4" w:space="0"/>
              <w:right w:val="single" w:color="auto" w:sz="4" w:space="0"/>
            </w:tcBorders>
            <w:noWrap w:val="0"/>
            <w:vAlign w:val="center"/>
          </w:tcPr>
          <w:p w14:paraId="2D4C40CA">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12</w:t>
            </w:r>
          </w:p>
        </w:tc>
        <w:tc>
          <w:tcPr>
            <w:tcW w:w="2443" w:type="dxa"/>
            <w:tcBorders>
              <w:top w:val="single" w:color="auto" w:sz="4" w:space="0"/>
              <w:left w:val="single" w:color="auto" w:sz="4" w:space="0"/>
              <w:bottom w:val="single" w:color="auto" w:sz="4" w:space="0"/>
              <w:right w:val="single" w:color="auto" w:sz="4" w:space="0"/>
            </w:tcBorders>
            <w:noWrap w:val="0"/>
            <w:vAlign w:val="center"/>
          </w:tcPr>
          <w:p w14:paraId="544053D5">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硒</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49DBBA4">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85800F7">
            <w:pPr>
              <w:pStyle w:val="47"/>
              <w:ind w:firstLine="0" w:firstLineChars="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24</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4D947B42">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水温</w:t>
            </w:r>
          </w:p>
        </w:tc>
        <w:tc>
          <w:tcPr>
            <w:tcW w:w="1437" w:type="dxa"/>
            <w:tcBorders>
              <w:top w:val="single" w:color="auto" w:sz="4" w:space="0"/>
              <w:left w:val="single" w:color="auto" w:sz="4" w:space="0"/>
              <w:bottom w:val="single" w:color="auto" w:sz="4" w:space="0"/>
              <w:right w:val="single" w:color="auto" w:sz="4" w:space="0"/>
            </w:tcBorders>
            <w:noWrap w:val="0"/>
            <w:vAlign w:val="center"/>
          </w:tcPr>
          <w:p w14:paraId="2E1B0FFC">
            <w:pPr>
              <w:pStyle w:val="47"/>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升</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1；降</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r>
    </w:tbl>
    <w:p w14:paraId="1E07A86F">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4</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2</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 xml:space="preserve">   《</w:t>
      </w:r>
      <w:bookmarkStart w:id="163" w:name="OLE_LINK60"/>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地下水质量标准</w:t>
      </w:r>
      <w:bookmarkEnd w:id="163"/>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》（GB/T14848-2017）Ⅲ类水质标准   单位：mg/L</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830"/>
        <w:gridCol w:w="940"/>
        <w:gridCol w:w="670"/>
        <w:gridCol w:w="2526"/>
        <w:gridCol w:w="917"/>
      </w:tblGrid>
      <w:tr w14:paraId="6756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639" w:type="dxa"/>
            <w:noWrap w:val="0"/>
            <w:vAlign w:val="center"/>
          </w:tcPr>
          <w:p w14:paraId="42CF2C0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2830" w:type="dxa"/>
            <w:noWrap w:val="0"/>
            <w:vAlign w:val="center"/>
          </w:tcPr>
          <w:p w14:paraId="39F802F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监测项目</w:t>
            </w:r>
          </w:p>
        </w:tc>
        <w:tc>
          <w:tcPr>
            <w:tcW w:w="940" w:type="dxa"/>
            <w:noWrap w:val="0"/>
            <w:vAlign w:val="center"/>
          </w:tcPr>
          <w:p w14:paraId="445B081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标准值</w:t>
            </w:r>
          </w:p>
        </w:tc>
        <w:tc>
          <w:tcPr>
            <w:tcW w:w="670" w:type="dxa"/>
            <w:noWrap w:val="0"/>
            <w:vAlign w:val="center"/>
          </w:tcPr>
          <w:p w14:paraId="0E56CAA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2526" w:type="dxa"/>
            <w:noWrap w:val="0"/>
            <w:vAlign w:val="center"/>
          </w:tcPr>
          <w:p w14:paraId="3ED4E1D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监测项目</w:t>
            </w:r>
          </w:p>
        </w:tc>
        <w:tc>
          <w:tcPr>
            <w:tcW w:w="917" w:type="dxa"/>
            <w:noWrap w:val="0"/>
            <w:vAlign w:val="center"/>
          </w:tcPr>
          <w:p w14:paraId="6368981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标准值</w:t>
            </w:r>
          </w:p>
        </w:tc>
      </w:tr>
      <w:tr w14:paraId="6DA3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1E31B8C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2830" w:type="dxa"/>
            <w:noWrap w:val="0"/>
            <w:vAlign w:val="center"/>
          </w:tcPr>
          <w:p w14:paraId="78C2F3F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色</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铂钴色度单位</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2D0703B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15</w:t>
            </w:r>
          </w:p>
        </w:tc>
        <w:tc>
          <w:tcPr>
            <w:tcW w:w="670" w:type="dxa"/>
            <w:noWrap w:val="0"/>
            <w:vAlign w:val="center"/>
          </w:tcPr>
          <w:p w14:paraId="2BB1E0E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21</w:t>
            </w:r>
          </w:p>
        </w:tc>
        <w:tc>
          <w:tcPr>
            <w:tcW w:w="2526" w:type="dxa"/>
            <w:noWrap w:val="0"/>
            <w:vAlign w:val="center"/>
          </w:tcPr>
          <w:p w14:paraId="0BF2FE36">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总大肠菌群</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MPN</w:t>
            </w:r>
            <w:r>
              <w:rPr>
                <w:rFonts w:hint="eastAsia" w:cs="Times New Roman"/>
                <w:color w:val="000000" w:themeColor="text1"/>
                <w:sz w:val="21"/>
                <w:szCs w:val="21"/>
                <w:highlight w:val="none"/>
                <w:vertAlign w:val="superscript"/>
                <w:lang w:val="en-US" w:eastAsia="zh-CN"/>
                <w14:textFill>
                  <w14:solidFill>
                    <w14:schemeClr w14:val="tx1"/>
                  </w14:solidFill>
                </w14:textFill>
              </w:rPr>
              <w:t>b</w:t>
            </w:r>
            <w:r>
              <w:rPr>
                <w:rFonts w:hint="default" w:ascii="Times New Roman" w:hAnsi="Times New Roman" w:cs="Times New Roman"/>
                <w:color w:val="000000" w:themeColor="text1"/>
                <w:sz w:val="21"/>
                <w:szCs w:val="21"/>
                <w:highlight w:val="none"/>
                <w14:textFill>
                  <w14:solidFill>
                    <w14:schemeClr w14:val="tx1"/>
                  </w14:solidFill>
                </w14:textFill>
              </w:rPr>
              <w:t>/100mL或CFU</w:t>
            </w:r>
            <w:r>
              <w:rPr>
                <w:rFonts w:hint="eastAsia" w:cs="Times New Roman"/>
                <w:color w:val="000000" w:themeColor="text1"/>
                <w:sz w:val="21"/>
                <w:szCs w:val="21"/>
                <w:highlight w:val="none"/>
                <w:vertAlign w:val="superscript"/>
                <w:lang w:val="en-US" w:eastAsia="zh-CN"/>
                <w14:textFill>
                  <w14:solidFill>
                    <w14:schemeClr w14:val="tx1"/>
                  </w14:solidFill>
                </w14:textFill>
              </w:rPr>
              <w:t>c</w:t>
            </w:r>
            <w:r>
              <w:rPr>
                <w:rFonts w:hint="default" w:ascii="Times New Roman" w:hAnsi="Times New Roman" w:cs="Times New Roman"/>
                <w:color w:val="000000" w:themeColor="text1"/>
                <w:sz w:val="21"/>
                <w:szCs w:val="21"/>
                <w:highlight w:val="none"/>
                <w14:textFill>
                  <w14:solidFill>
                    <w14:schemeClr w14:val="tx1"/>
                  </w14:solidFill>
                </w14:textFill>
              </w:rPr>
              <w:t>/100mL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557CA52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3.0</w:t>
            </w:r>
          </w:p>
        </w:tc>
      </w:tr>
      <w:tr w14:paraId="6A9C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EE4807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2830" w:type="dxa"/>
            <w:noWrap w:val="0"/>
            <w:vAlign w:val="center"/>
          </w:tcPr>
          <w:p w14:paraId="5EB63E4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嗅和味</w:t>
            </w:r>
          </w:p>
        </w:tc>
        <w:tc>
          <w:tcPr>
            <w:tcW w:w="940" w:type="dxa"/>
            <w:noWrap w:val="0"/>
            <w:vAlign w:val="center"/>
          </w:tcPr>
          <w:p w14:paraId="42D8E7D8">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w:t>
            </w:r>
          </w:p>
        </w:tc>
        <w:tc>
          <w:tcPr>
            <w:tcW w:w="670" w:type="dxa"/>
            <w:noWrap w:val="0"/>
            <w:vAlign w:val="center"/>
          </w:tcPr>
          <w:p w14:paraId="6787414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22</w:t>
            </w:r>
          </w:p>
        </w:tc>
        <w:tc>
          <w:tcPr>
            <w:tcW w:w="2526" w:type="dxa"/>
            <w:noWrap w:val="0"/>
            <w:vAlign w:val="center"/>
          </w:tcPr>
          <w:p w14:paraId="171DC54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菌落总数</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CFU/mL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7E614A6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100</w:t>
            </w:r>
          </w:p>
        </w:tc>
      </w:tr>
      <w:tr w14:paraId="7D95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33F8760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2830" w:type="dxa"/>
            <w:noWrap w:val="0"/>
            <w:vAlign w:val="center"/>
          </w:tcPr>
          <w:p w14:paraId="77D06F7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浑浊度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NTU</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78290B0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670" w:type="dxa"/>
            <w:noWrap w:val="0"/>
            <w:vAlign w:val="center"/>
          </w:tcPr>
          <w:p w14:paraId="45A36BA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23</w:t>
            </w:r>
          </w:p>
        </w:tc>
        <w:tc>
          <w:tcPr>
            <w:tcW w:w="2526" w:type="dxa"/>
            <w:noWrap w:val="0"/>
            <w:vAlign w:val="center"/>
          </w:tcPr>
          <w:p w14:paraId="05B948BB">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亚硝酸盐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w:t>
            </w:r>
            <w:r>
              <w:rPr>
                <w:rFonts w:hint="eastAsia" w:cs="Times New Roman"/>
                <w:color w:val="000000" w:themeColor="text1"/>
                <w:sz w:val="21"/>
                <w:szCs w:val="21"/>
                <w:highlight w:val="none"/>
                <w:lang w:eastAsia="zh-CN"/>
                <w14:textFill>
                  <w14:solidFill>
                    <w14:schemeClr w14:val="tx1"/>
                  </w14:solidFill>
                </w14:textFill>
              </w:rPr>
              <w:t>N</w:t>
            </w:r>
            <w:r>
              <w:rPr>
                <w:rFonts w:hint="default" w:ascii="Times New Roman" w:hAnsi="Times New Roman" w:cs="Times New Roman"/>
                <w:color w:val="000000" w:themeColor="text1"/>
                <w:sz w:val="21"/>
                <w:szCs w:val="21"/>
                <w:highlight w:val="none"/>
                <w14:textFill>
                  <w14:solidFill>
                    <w14:schemeClr w14:val="tx1"/>
                  </w14:solidFill>
                </w14:textFill>
              </w:rPr>
              <w:t>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57CE98B4">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0</w:t>
            </w:r>
          </w:p>
        </w:tc>
      </w:tr>
      <w:tr w14:paraId="053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39" w:type="dxa"/>
            <w:noWrap w:val="0"/>
            <w:vAlign w:val="center"/>
          </w:tcPr>
          <w:p w14:paraId="739AB05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2830" w:type="dxa"/>
            <w:noWrap w:val="0"/>
            <w:vAlign w:val="center"/>
          </w:tcPr>
          <w:p w14:paraId="3054AD8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肉眼可见物</w:t>
            </w:r>
          </w:p>
        </w:tc>
        <w:tc>
          <w:tcPr>
            <w:tcW w:w="940" w:type="dxa"/>
            <w:noWrap w:val="0"/>
            <w:vAlign w:val="center"/>
          </w:tcPr>
          <w:p w14:paraId="6E21646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w:t>
            </w:r>
          </w:p>
        </w:tc>
        <w:tc>
          <w:tcPr>
            <w:tcW w:w="670" w:type="dxa"/>
            <w:noWrap w:val="0"/>
            <w:vAlign w:val="center"/>
          </w:tcPr>
          <w:p w14:paraId="4BC9664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w:t>
            </w:r>
          </w:p>
        </w:tc>
        <w:tc>
          <w:tcPr>
            <w:tcW w:w="2526" w:type="dxa"/>
            <w:noWrap w:val="0"/>
            <w:vAlign w:val="center"/>
          </w:tcPr>
          <w:p w14:paraId="2F715D19">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硝酸盐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w:t>
            </w:r>
            <w:r>
              <w:rPr>
                <w:rFonts w:hint="eastAsia" w:cs="Times New Roman"/>
                <w:color w:val="000000" w:themeColor="text1"/>
                <w:sz w:val="21"/>
                <w:szCs w:val="21"/>
                <w:highlight w:val="none"/>
                <w:lang w:eastAsia="zh-CN"/>
                <w14:textFill>
                  <w14:solidFill>
                    <w14:schemeClr w14:val="tx1"/>
                  </w14:solidFill>
                </w14:textFill>
              </w:rPr>
              <w:t>N</w:t>
            </w:r>
            <w:r>
              <w:rPr>
                <w:rFonts w:hint="default" w:ascii="Times New Roman" w:hAnsi="Times New Roman" w:cs="Times New Roman"/>
                <w:color w:val="000000" w:themeColor="text1"/>
                <w:sz w:val="21"/>
                <w:szCs w:val="21"/>
                <w:highlight w:val="none"/>
                <w14:textFill>
                  <w14:solidFill>
                    <w14:schemeClr w14:val="tx1"/>
                  </w14:solidFill>
                </w14:textFill>
              </w:rPr>
              <w:t>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4742C40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20.0</w:t>
            </w:r>
          </w:p>
        </w:tc>
      </w:tr>
      <w:tr w14:paraId="3987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1EAC9B8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2830" w:type="dxa"/>
            <w:noWrap w:val="0"/>
            <w:vAlign w:val="center"/>
          </w:tcPr>
          <w:p w14:paraId="1D04D06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无量纲</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6B2011C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.5</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pH</w:t>
            </w:r>
            <w:r>
              <w:rPr>
                <w:rFonts w:hint="eastAsia" w:cs="Times New Roman"/>
                <w:color w:val="000000" w:themeColor="text1"/>
                <w:sz w:val="21"/>
                <w:szCs w:val="21"/>
                <w:highlight w:val="none"/>
                <w:lang w:eastAsia="zh-CN"/>
                <w14:textFill>
                  <w14:solidFill>
                    <w14:schemeClr w14:val="tx1"/>
                  </w14:solidFill>
                </w14:textFill>
              </w:rPr>
              <w:t>&lt;</w:t>
            </w:r>
            <w:r>
              <w:rPr>
                <w:rFonts w:hint="eastAsia"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670" w:type="dxa"/>
            <w:noWrap w:val="0"/>
            <w:vAlign w:val="center"/>
          </w:tcPr>
          <w:p w14:paraId="52B9DE0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25</w:t>
            </w:r>
          </w:p>
        </w:tc>
        <w:tc>
          <w:tcPr>
            <w:tcW w:w="2526" w:type="dxa"/>
            <w:noWrap w:val="0"/>
            <w:vAlign w:val="center"/>
          </w:tcPr>
          <w:p w14:paraId="4792BC14">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氰化物</w:t>
            </w:r>
          </w:p>
        </w:tc>
        <w:tc>
          <w:tcPr>
            <w:tcW w:w="917" w:type="dxa"/>
            <w:noWrap w:val="0"/>
            <w:vAlign w:val="center"/>
          </w:tcPr>
          <w:p w14:paraId="73D68CD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0.05</w:t>
            </w:r>
          </w:p>
        </w:tc>
      </w:tr>
      <w:tr w14:paraId="60DB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7A31940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2830" w:type="dxa"/>
            <w:noWrap w:val="0"/>
            <w:vAlign w:val="center"/>
          </w:tcPr>
          <w:p w14:paraId="5AEFE77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总硬度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以CaCO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7DE42EE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450</w:t>
            </w:r>
          </w:p>
        </w:tc>
        <w:tc>
          <w:tcPr>
            <w:tcW w:w="670" w:type="dxa"/>
            <w:noWrap w:val="0"/>
            <w:vAlign w:val="center"/>
          </w:tcPr>
          <w:p w14:paraId="054C0C2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26</w:t>
            </w:r>
          </w:p>
        </w:tc>
        <w:tc>
          <w:tcPr>
            <w:tcW w:w="2526" w:type="dxa"/>
            <w:noWrap w:val="0"/>
            <w:vAlign w:val="center"/>
          </w:tcPr>
          <w:p w14:paraId="605224A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氟化物</w:t>
            </w:r>
          </w:p>
        </w:tc>
        <w:tc>
          <w:tcPr>
            <w:tcW w:w="917" w:type="dxa"/>
            <w:noWrap w:val="0"/>
            <w:vAlign w:val="center"/>
          </w:tcPr>
          <w:p w14:paraId="520026FB">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w:t>
            </w:r>
          </w:p>
        </w:tc>
      </w:tr>
      <w:tr w14:paraId="1902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9748A7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w:t>
            </w:r>
          </w:p>
        </w:tc>
        <w:tc>
          <w:tcPr>
            <w:tcW w:w="2830" w:type="dxa"/>
            <w:noWrap w:val="0"/>
            <w:vAlign w:val="center"/>
          </w:tcPr>
          <w:p w14:paraId="6180EAB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溶解性总固体</w:t>
            </w:r>
          </w:p>
        </w:tc>
        <w:tc>
          <w:tcPr>
            <w:tcW w:w="940" w:type="dxa"/>
            <w:noWrap w:val="0"/>
            <w:vAlign w:val="center"/>
          </w:tcPr>
          <w:p w14:paraId="11A3986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1000</w:t>
            </w:r>
          </w:p>
        </w:tc>
        <w:tc>
          <w:tcPr>
            <w:tcW w:w="670" w:type="dxa"/>
            <w:noWrap w:val="0"/>
            <w:vAlign w:val="center"/>
          </w:tcPr>
          <w:p w14:paraId="452A3B91">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27</w:t>
            </w:r>
          </w:p>
        </w:tc>
        <w:tc>
          <w:tcPr>
            <w:tcW w:w="2526" w:type="dxa"/>
            <w:noWrap w:val="0"/>
            <w:vAlign w:val="center"/>
          </w:tcPr>
          <w:p w14:paraId="69E0463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碘化物</w:t>
            </w:r>
          </w:p>
        </w:tc>
        <w:tc>
          <w:tcPr>
            <w:tcW w:w="917" w:type="dxa"/>
            <w:noWrap w:val="0"/>
            <w:vAlign w:val="center"/>
          </w:tcPr>
          <w:p w14:paraId="2BE621B2">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0.08</w:t>
            </w:r>
          </w:p>
        </w:tc>
      </w:tr>
      <w:tr w14:paraId="44EE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144CAE6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w:t>
            </w:r>
          </w:p>
        </w:tc>
        <w:tc>
          <w:tcPr>
            <w:tcW w:w="2830" w:type="dxa"/>
            <w:noWrap w:val="0"/>
            <w:vAlign w:val="center"/>
          </w:tcPr>
          <w:p w14:paraId="7210C7C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硫酸盐</w:t>
            </w:r>
          </w:p>
        </w:tc>
        <w:tc>
          <w:tcPr>
            <w:tcW w:w="940" w:type="dxa"/>
            <w:noWrap w:val="0"/>
            <w:vAlign w:val="center"/>
          </w:tcPr>
          <w:p w14:paraId="72FAD54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250</w:t>
            </w:r>
          </w:p>
        </w:tc>
        <w:tc>
          <w:tcPr>
            <w:tcW w:w="670" w:type="dxa"/>
            <w:noWrap w:val="0"/>
            <w:vAlign w:val="center"/>
          </w:tcPr>
          <w:p w14:paraId="328F343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28</w:t>
            </w:r>
          </w:p>
        </w:tc>
        <w:tc>
          <w:tcPr>
            <w:tcW w:w="2526" w:type="dxa"/>
            <w:noWrap w:val="0"/>
            <w:vAlign w:val="center"/>
          </w:tcPr>
          <w:p w14:paraId="2AA2E98B">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汞</w:t>
            </w:r>
          </w:p>
        </w:tc>
        <w:tc>
          <w:tcPr>
            <w:tcW w:w="917" w:type="dxa"/>
            <w:noWrap w:val="0"/>
            <w:vAlign w:val="center"/>
          </w:tcPr>
          <w:p w14:paraId="6B665EFF">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0.001</w:t>
            </w:r>
          </w:p>
        </w:tc>
      </w:tr>
      <w:tr w14:paraId="0751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33BDD0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w:t>
            </w:r>
          </w:p>
        </w:tc>
        <w:tc>
          <w:tcPr>
            <w:tcW w:w="2830" w:type="dxa"/>
            <w:noWrap w:val="0"/>
            <w:vAlign w:val="center"/>
          </w:tcPr>
          <w:p w14:paraId="2FC06B3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氯化物</w:t>
            </w:r>
          </w:p>
        </w:tc>
        <w:tc>
          <w:tcPr>
            <w:tcW w:w="940" w:type="dxa"/>
            <w:noWrap w:val="0"/>
            <w:vAlign w:val="center"/>
          </w:tcPr>
          <w:p w14:paraId="026943E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250</w:t>
            </w:r>
          </w:p>
        </w:tc>
        <w:tc>
          <w:tcPr>
            <w:tcW w:w="670" w:type="dxa"/>
            <w:noWrap w:val="0"/>
            <w:vAlign w:val="center"/>
          </w:tcPr>
          <w:p w14:paraId="6169E116">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29</w:t>
            </w:r>
          </w:p>
        </w:tc>
        <w:tc>
          <w:tcPr>
            <w:tcW w:w="2526" w:type="dxa"/>
            <w:noWrap w:val="0"/>
            <w:vAlign w:val="center"/>
          </w:tcPr>
          <w:p w14:paraId="7AAF41D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砷</w:t>
            </w:r>
          </w:p>
        </w:tc>
        <w:tc>
          <w:tcPr>
            <w:tcW w:w="917" w:type="dxa"/>
            <w:noWrap w:val="0"/>
            <w:vAlign w:val="center"/>
          </w:tcPr>
          <w:p w14:paraId="549E4BDF">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0.01</w:t>
            </w:r>
          </w:p>
        </w:tc>
      </w:tr>
      <w:tr w14:paraId="19EA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0D00322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w:t>
            </w:r>
          </w:p>
        </w:tc>
        <w:tc>
          <w:tcPr>
            <w:tcW w:w="2830" w:type="dxa"/>
            <w:noWrap w:val="0"/>
            <w:vAlign w:val="center"/>
          </w:tcPr>
          <w:p w14:paraId="258928B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铁</w:t>
            </w:r>
          </w:p>
        </w:tc>
        <w:tc>
          <w:tcPr>
            <w:tcW w:w="940" w:type="dxa"/>
            <w:noWrap w:val="0"/>
            <w:vAlign w:val="center"/>
          </w:tcPr>
          <w:p w14:paraId="29F61EF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0.3</w:t>
            </w:r>
          </w:p>
        </w:tc>
        <w:tc>
          <w:tcPr>
            <w:tcW w:w="670" w:type="dxa"/>
            <w:noWrap w:val="0"/>
            <w:vAlign w:val="center"/>
          </w:tcPr>
          <w:p w14:paraId="16C1CB7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w:t>
            </w:r>
          </w:p>
        </w:tc>
        <w:tc>
          <w:tcPr>
            <w:tcW w:w="2526" w:type="dxa"/>
            <w:noWrap w:val="0"/>
            <w:vAlign w:val="center"/>
          </w:tcPr>
          <w:p w14:paraId="38EDDF1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硒</w:t>
            </w:r>
          </w:p>
        </w:tc>
        <w:tc>
          <w:tcPr>
            <w:tcW w:w="917" w:type="dxa"/>
            <w:noWrap w:val="0"/>
            <w:vAlign w:val="center"/>
          </w:tcPr>
          <w:p w14:paraId="16D34700">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0.01</w:t>
            </w:r>
          </w:p>
        </w:tc>
      </w:tr>
      <w:tr w14:paraId="6379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466EC81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11</w:t>
            </w:r>
          </w:p>
        </w:tc>
        <w:tc>
          <w:tcPr>
            <w:tcW w:w="2830" w:type="dxa"/>
            <w:noWrap w:val="0"/>
            <w:vAlign w:val="center"/>
          </w:tcPr>
          <w:p w14:paraId="40C6F42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锰</w:t>
            </w:r>
          </w:p>
        </w:tc>
        <w:tc>
          <w:tcPr>
            <w:tcW w:w="940" w:type="dxa"/>
            <w:noWrap w:val="0"/>
            <w:vAlign w:val="center"/>
          </w:tcPr>
          <w:p w14:paraId="6F64423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0.10</w:t>
            </w:r>
          </w:p>
        </w:tc>
        <w:tc>
          <w:tcPr>
            <w:tcW w:w="670" w:type="dxa"/>
            <w:noWrap w:val="0"/>
            <w:vAlign w:val="center"/>
          </w:tcPr>
          <w:p w14:paraId="474C05C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31</w:t>
            </w:r>
          </w:p>
        </w:tc>
        <w:tc>
          <w:tcPr>
            <w:tcW w:w="2526" w:type="dxa"/>
            <w:noWrap w:val="0"/>
            <w:vAlign w:val="center"/>
          </w:tcPr>
          <w:p w14:paraId="1FD320D2">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镉</w:t>
            </w:r>
          </w:p>
        </w:tc>
        <w:tc>
          <w:tcPr>
            <w:tcW w:w="917" w:type="dxa"/>
            <w:noWrap w:val="0"/>
            <w:vAlign w:val="center"/>
          </w:tcPr>
          <w:p w14:paraId="74EB348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0.005</w:t>
            </w:r>
          </w:p>
        </w:tc>
      </w:tr>
      <w:tr w14:paraId="271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35ED2E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2830" w:type="dxa"/>
            <w:noWrap w:val="0"/>
            <w:vAlign w:val="center"/>
          </w:tcPr>
          <w:p w14:paraId="4231B25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铜</w:t>
            </w:r>
          </w:p>
        </w:tc>
        <w:tc>
          <w:tcPr>
            <w:tcW w:w="940" w:type="dxa"/>
            <w:noWrap w:val="0"/>
            <w:vAlign w:val="center"/>
          </w:tcPr>
          <w:p w14:paraId="1EAEA2C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1.00</w:t>
            </w:r>
          </w:p>
        </w:tc>
        <w:tc>
          <w:tcPr>
            <w:tcW w:w="670" w:type="dxa"/>
            <w:noWrap w:val="0"/>
            <w:vAlign w:val="center"/>
          </w:tcPr>
          <w:p w14:paraId="23B42E3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w:t>
            </w:r>
          </w:p>
        </w:tc>
        <w:tc>
          <w:tcPr>
            <w:tcW w:w="2526" w:type="dxa"/>
            <w:noWrap w:val="0"/>
            <w:vAlign w:val="center"/>
          </w:tcPr>
          <w:p w14:paraId="3C709A3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铬</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六价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7DFD7FD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0.05</w:t>
            </w:r>
          </w:p>
        </w:tc>
      </w:tr>
      <w:tr w14:paraId="4CC9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2733C1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13</w:t>
            </w:r>
          </w:p>
        </w:tc>
        <w:tc>
          <w:tcPr>
            <w:tcW w:w="2830" w:type="dxa"/>
            <w:noWrap w:val="0"/>
            <w:vAlign w:val="center"/>
          </w:tcPr>
          <w:p w14:paraId="6A40FA58">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锌</w:t>
            </w:r>
          </w:p>
        </w:tc>
        <w:tc>
          <w:tcPr>
            <w:tcW w:w="940" w:type="dxa"/>
            <w:noWrap w:val="0"/>
            <w:vAlign w:val="center"/>
          </w:tcPr>
          <w:p w14:paraId="3217307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1.00</w:t>
            </w:r>
          </w:p>
        </w:tc>
        <w:tc>
          <w:tcPr>
            <w:tcW w:w="670" w:type="dxa"/>
            <w:noWrap w:val="0"/>
            <w:vAlign w:val="center"/>
          </w:tcPr>
          <w:p w14:paraId="464FE62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33</w:t>
            </w:r>
          </w:p>
        </w:tc>
        <w:tc>
          <w:tcPr>
            <w:tcW w:w="2526" w:type="dxa"/>
            <w:noWrap w:val="0"/>
            <w:vAlign w:val="center"/>
          </w:tcPr>
          <w:p w14:paraId="321861F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铅</w:t>
            </w:r>
          </w:p>
        </w:tc>
        <w:tc>
          <w:tcPr>
            <w:tcW w:w="917" w:type="dxa"/>
            <w:noWrap w:val="0"/>
            <w:vAlign w:val="center"/>
          </w:tcPr>
          <w:p w14:paraId="6BB0131F">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0.01</w:t>
            </w:r>
          </w:p>
        </w:tc>
      </w:tr>
      <w:tr w14:paraId="7D07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C2C3058">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14</w:t>
            </w:r>
          </w:p>
        </w:tc>
        <w:tc>
          <w:tcPr>
            <w:tcW w:w="2830" w:type="dxa"/>
            <w:noWrap w:val="0"/>
            <w:vAlign w:val="center"/>
          </w:tcPr>
          <w:p w14:paraId="5849CB4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铝</w:t>
            </w:r>
          </w:p>
        </w:tc>
        <w:tc>
          <w:tcPr>
            <w:tcW w:w="940" w:type="dxa"/>
            <w:noWrap w:val="0"/>
            <w:vAlign w:val="center"/>
          </w:tcPr>
          <w:p w14:paraId="2F35559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0.20</w:t>
            </w:r>
          </w:p>
        </w:tc>
        <w:tc>
          <w:tcPr>
            <w:tcW w:w="670" w:type="dxa"/>
            <w:noWrap w:val="0"/>
            <w:vAlign w:val="center"/>
          </w:tcPr>
          <w:p w14:paraId="049AE48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34</w:t>
            </w:r>
          </w:p>
        </w:tc>
        <w:tc>
          <w:tcPr>
            <w:tcW w:w="2526" w:type="dxa"/>
            <w:noWrap w:val="0"/>
            <w:vAlign w:val="center"/>
          </w:tcPr>
          <w:p w14:paraId="35860FD0">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三氯甲烷/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4"/>
                <w:sz w:val="21"/>
                <w:szCs w:val="21"/>
                <w:highlight w:val="none"/>
                <w14:textFill>
                  <w14:solidFill>
                    <w14:schemeClr w14:val="tx1"/>
                  </w14:solidFill>
                </w14:textFill>
              </w:rPr>
              <w:t>μg/L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0FC99F7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0</w:t>
            </w:r>
          </w:p>
        </w:tc>
      </w:tr>
      <w:tr w14:paraId="680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34C14EA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w:t>
            </w:r>
          </w:p>
        </w:tc>
        <w:tc>
          <w:tcPr>
            <w:tcW w:w="2830" w:type="dxa"/>
            <w:noWrap w:val="0"/>
            <w:vAlign w:val="center"/>
          </w:tcPr>
          <w:p w14:paraId="037537B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挥发性酚类</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以苯酚计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tc>
        <w:tc>
          <w:tcPr>
            <w:tcW w:w="940" w:type="dxa"/>
            <w:noWrap w:val="0"/>
            <w:vAlign w:val="center"/>
          </w:tcPr>
          <w:p w14:paraId="7314C6A2">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0.002</w:t>
            </w:r>
          </w:p>
        </w:tc>
        <w:tc>
          <w:tcPr>
            <w:tcW w:w="670" w:type="dxa"/>
            <w:noWrap w:val="0"/>
            <w:vAlign w:val="center"/>
          </w:tcPr>
          <w:p w14:paraId="376E409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35</w:t>
            </w:r>
          </w:p>
        </w:tc>
        <w:tc>
          <w:tcPr>
            <w:tcW w:w="2526" w:type="dxa"/>
            <w:noWrap w:val="0"/>
            <w:vAlign w:val="center"/>
          </w:tcPr>
          <w:p w14:paraId="73434B4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四氯化碳/</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4"/>
                <w:sz w:val="21"/>
                <w:szCs w:val="21"/>
                <w:highlight w:val="none"/>
                <w14:textFill>
                  <w14:solidFill>
                    <w14:schemeClr w14:val="tx1"/>
                  </w14:solidFill>
                </w14:textFill>
              </w:rPr>
              <w:t>μg/L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30E124B3">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w:t>
            </w:r>
          </w:p>
        </w:tc>
      </w:tr>
      <w:tr w14:paraId="003A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0F019FA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16</w:t>
            </w:r>
          </w:p>
        </w:tc>
        <w:tc>
          <w:tcPr>
            <w:tcW w:w="2830" w:type="dxa"/>
            <w:noWrap w:val="0"/>
            <w:vAlign w:val="center"/>
          </w:tcPr>
          <w:p w14:paraId="15DD8DD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阴离子表面活性剂</w:t>
            </w:r>
          </w:p>
        </w:tc>
        <w:tc>
          <w:tcPr>
            <w:tcW w:w="940" w:type="dxa"/>
            <w:noWrap w:val="0"/>
            <w:vAlign w:val="center"/>
          </w:tcPr>
          <w:p w14:paraId="4EC6617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0.3</w:t>
            </w:r>
          </w:p>
        </w:tc>
        <w:tc>
          <w:tcPr>
            <w:tcW w:w="670" w:type="dxa"/>
            <w:noWrap w:val="0"/>
            <w:vAlign w:val="center"/>
          </w:tcPr>
          <w:p w14:paraId="10E0DBD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w:t>
            </w:r>
          </w:p>
        </w:tc>
        <w:tc>
          <w:tcPr>
            <w:tcW w:w="2526" w:type="dxa"/>
            <w:noWrap w:val="0"/>
            <w:vAlign w:val="center"/>
          </w:tcPr>
          <w:p w14:paraId="49FE4BA3">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苯</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4"/>
                <w:sz w:val="21"/>
                <w:szCs w:val="21"/>
                <w:highlight w:val="none"/>
                <w14:textFill>
                  <w14:solidFill>
                    <w14:schemeClr w14:val="tx1"/>
                  </w14:solidFill>
                </w14:textFill>
              </w:rPr>
              <w:t>μg/L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00EB03D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0</w:t>
            </w:r>
          </w:p>
        </w:tc>
      </w:tr>
      <w:tr w14:paraId="64F8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4BC7BE9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17</w:t>
            </w:r>
          </w:p>
        </w:tc>
        <w:tc>
          <w:tcPr>
            <w:tcW w:w="2830" w:type="dxa"/>
            <w:noWrap w:val="0"/>
            <w:vAlign w:val="center"/>
          </w:tcPr>
          <w:p w14:paraId="50709E2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耗氧量</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COD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Mn</w:t>
            </w:r>
            <w:r>
              <w:rPr>
                <w:rFonts w:hint="default" w:ascii="Times New Roman" w:hAnsi="Times New Roman" w:cs="Times New Roman"/>
                <w:color w:val="000000" w:themeColor="text1"/>
                <w:sz w:val="21"/>
                <w:szCs w:val="21"/>
                <w:highlight w:val="none"/>
                <w14:textFill>
                  <w14:solidFill>
                    <w14:schemeClr w14:val="tx1"/>
                  </w14:solidFill>
                </w14:textFill>
              </w:rPr>
              <w:t>法，以O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774B2EB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3.0</w:t>
            </w:r>
          </w:p>
        </w:tc>
        <w:tc>
          <w:tcPr>
            <w:tcW w:w="670" w:type="dxa"/>
            <w:noWrap w:val="0"/>
            <w:vAlign w:val="center"/>
          </w:tcPr>
          <w:p w14:paraId="7AC729F4">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w:t>
            </w:r>
          </w:p>
        </w:tc>
        <w:tc>
          <w:tcPr>
            <w:tcW w:w="2526" w:type="dxa"/>
            <w:noWrap w:val="0"/>
            <w:vAlign w:val="center"/>
          </w:tcPr>
          <w:p w14:paraId="71B94B3A">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甲苯</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4"/>
                <w:sz w:val="21"/>
                <w:szCs w:val="21"/>
                <w:highlight w:val="none"/>
                <w14:textFill>
                  <w14:solidFill>
                    <w14:schemeClr w14:val="tx1"/>
                  </w14:solidFill>
                </w14:textFill>
              </w:rPr>
              <w:t>μg/L</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17" w:type="dxa"/>
            <w:noWrap w:val="0"/>
            <w:vAlign w:val="center"/>
          </w:tcPr>
          <w:p w14:paraId="3C48DFB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164" w:name="OLE_LINK56"/>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700</w:t>
            </w:r>
            <w:bookmarkEnd w:id="164"/>
          </w:p>
        </w:tc>
      </w:tr>
      <w:tr w14:paraId="7300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5188686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165" w:name="OLE_LINK53" w:colFirst="3" w:colLast="4"/>
            <w:bookmarkStart w:id="166" w:name="OLE_LINK55" w:colFirst="3" w:colLast="5"/>
            <w:bookmarkStart w:id="167" w:name="OLE_LINK54" w:colFirst="4" w:colLast="5"/>
            <w:r>
              <w:rPr>
                <w:rFonts w:hint="default" w:ascii="Times New Roman" w:hAnsi="Times New Roman" w:cs="Times New Roman"/>
                <w:color w:val="000000" w:themeColor="text1"/>
                <w:sz w:val="21"/>
                <w:szCs w:val="21"/>
                <w:highlight w:val="none"/>
                <w14:textFill>
                  <w14:solidFill>
                    <w14:schemeClr w14:val="tx1"/>
                  </w14:solidFill>
                </w14:textFill>
              </w:rPr>
              <w:t>18</w:t>
            </w:r>
          </w:p>
        </w:tc>
        <w:tc>
          <w:tcPr>
            <w:tcW w:w="2830" w:type="dxa"/>
            <w:noWrap w:val="0"/>
            <w:vAlign w:val="center"/>
          </w:tcPr>
          <w:p w14:paraId="724A0CD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氨氮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w:t>
            </w:r>
            <w:r>
              <w:rPr>
                <w:rFonts w:hint="eastAsia" w:cs="Times New Roman"/>
                <w:color w:val="000000" w:themeColor="text1"/>
                <w:sz w:val="21"/>
                <w:szCs w:val="21"/>
                <w:highlight w:val="none"/>
                <w:lang w:eastAsia="zh-CN"/>
                <w14:textFill>
                  <w14:solidFill>
                    <w14:schemeClr w14:val="tx1"/>
                  </w14:solidFill>
                </w14:textFill>
              </w:rPr>
              <w:t>N</w:t>
            </w:r>
            <w:r>
              <w:rPr>
                <w:rFonts w:hint="default" w:ascii="Times New Roman" w:hAnsi="Times New Roman" w:cs="Times New Roman"/>
                <w:color w:val="000000" w:themeColor="text1"/>
                <w:sz w:val="21"/>
                <w:szCs w:val="21"/>
                <w:highlight w:val="none"/>
                <w14:textFill>
                  <w14:solidFill>
                    <w14:schemeClr w14:val="tx1"/>
                  </w14:solidFill>
                </w14:textFill>
              </w:rPr>
              <w:t>计</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940" w:type="dxa"/>
            <w:noWrap w:val="0"/>
            <w:vAlign w:val="center"/>
          </w:tcPr>
          <w:p w14:paraId="2B956F2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0.50</w:t>
            </w:r>
          </w:p>
        </w:tc>
        <w:tc>
          <w:tcPr>
            <w:tcW w:w="670" w:type="dxa"/>
            <w:noWrap w:val="0"/>
            <w:vAlign w:val="center"/>
          </w:tcPr>
          <w:p w14:paraId="5006366C">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38</w:t>
            </w:r>
          </w:p>
        </w:tc>
        <w:tc>
          <w:tcPr>
            <w:tcW w:w="2526" w:type="dxa"/>
            <w:noWrap w:val="0"/>
            <w:vAlign w:val="center"/>
          </w:tcPr>
          <w:p w14:paraId="4C48F23F">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168" w:name="OLE_LINK57"/>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总α放射性/（Bq/L）</w:t>
            </w:r>
            <w:bookmarkEnd w:id="168"/>
          </w:p>
        </w:tc>
        <w:tc>
          <w:tcPr>
            <w:tcW w:w="917" w:type="dxa"/>
            <w:noWrap w:val="0"/>
            <w:vAlign w:val="center"/>
          </w:tcPr>
          <w:p w14:paraId="141543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0.5</w:t>
            </w:r>
          </w:p>
        </w:tc>
      </w:tr>
      <w:bookmarkEnd w:id="165"/>
      <w:bookmarkEnd w:id="166"/>
      <w:tr w14:paraId="3CDD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4B564576">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19</w:t>
            </w:r>
          </w:p>
        </w:tc>
        <w:tc>
          <w:tcPr>
            <w:tcW w:w="2830" w:type="dxa"/>
            <w:noWrap w:val="0"/>
            <w:vAlign w:val="center"/>
          </w:tcPr>
          <w:p w14:paraId="6323004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硫化物</w:t>
            </w:r>
          </w:p>
        </w:tc>
        <w:tc>
          <w:tcPr>
            <w:tcW w:w="940" w:type="dxa"/>
            <w:noWrap w:val="0"/>
            <w:vAlign w:val="center"/>
          </w:tcPr>
          <w:p w14:paraId="51342D4F">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0.02</w:t>
            </w:r>
          </w:p>
        </w:tc>
        <w:tc>
          <w:tcPr>
            <w:tcW w:w="670" w:type="dxa"/>
            <w:noWrap w:val="0"/>
            <w:vAlign w:val="center"/>
          </w:tcPr>
          <w:p w14:paraId="41D5B6B5">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w:t>
            </w:r>
          </w:p>
        </w:tc>
        <w:tc>
          <w:tcPr>
            <w:tcW w:w="2526" w:type="dxa"/>
            <w:noWrap w:val="0"/>
            <w:vAlign w:val="center"/>
          </w:tcPr>
          <w:p w14:paraId="06C47B92">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总β放射性/（Bq/L）</w:t>
            </w:r>
          </w:p>
        </w:tc>
        <w:tc>
          <w:tcPr>
            <w:tcW w:w="917" w:type="dxa"/>
            <w:noWrap w:val="0"/>
            <w:vAlign w:val="center"/>
          </w:tcPr>
          <w:p w14:paraId="44CC99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0</w:t>
            </w:r>
          </w:p>
        </w:tc>
      </w:tr>
      <w:tr w14:paraId="20EE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39" w:type="dxa"/>
            <w:noWrap w:val="0"/>
            <w:vAlign w:val="center"/>
          </w:tcPr>
          <w:p w14:paraId="1204DE83">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w:t>
            </w:r>
          </w:p>
        </w:tc>
        <w:tc>
          <w:tcPr>
            <w:tcW w:w="2830" w:type="dxa"/>
            <w:noWrap w:val="0"/>
            <w:vAlign w:val="center"/>
          </w:tcPr>
          <w:p w14:paraId="7BC46EE7">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钠</w:t>
            </w:r>
          </w:p>
        </w:tc>
        <w:tc>
          <w:tcPr>
            <w:tcW w:w="940" w:type="dxa"/>
            <w:noWrap w:val="0"/>
            <w:vAlign w:val="center"/>
          </w:tcPr>
          <w:p w14:paraId="29FB7D3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169" w:name="OLE_LINK1112"/>
            <w:r>
              <w:rPr>
                <w:rFonts w:hint="eastAsia" w:ascii="宋体" w:hAnsi="宋体"/>
                <w:color w:val="000000" w:themeColor="text1"/>
                <w:sz w:val="21"/>
                <w:szCs w:val="21"/>
                <w:highlight w:val="none"/>
                <w14:textFill>
                  <w14:solidFill>
                    <w14:schemeClr w14:val="tx1"/>
                  </w14:solidFill>
                </w14:textFill>
              </w:rPr>
              <w:t>≤</w:t>
            </w:r>
            <w:bookmarkEnd w:id="169"/>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670" w:type="dxa"/>
            <w:noWrap w:val="0"/>
            <w:vAlign w:val="center"/>
          </w:tcPr>
          <w:p w14:paraId="1D5A2648">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cs="Times New Roman"/>
                <w:color w:val="000000" w:themeColor="text1"/>
                <w:sz w:val="21"/>
                <w:szCs w:val="21"/>
                <w:highlight w:val="none"/>
                <w:lang w:val="en-US" w:eastAsia="zh-CN"/>
                <w14:textFill>
                  <w14:solidFill>
                    <w14:schemeClr w14:val="tx1"/>
                  </w14:solidFill>
                </w14:textFill>
              </w:rPr>
            </w:pPr>
          </w:p>
        </w:tc>
        <w:tc>
          <w:tcPr>
            <w:tcW w:w="2526" w:type="dxa"/>
            <w:noWrap w:val="0"/>
            <w:vAlign w:val="center"/>
          </w:tcPr>
          <w:p w14:paraId="4F1D043E">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917" w:type="dxa"/>
            <w:noWrap w:val="0"/>
            <w:vAlign w:val="center"/>
          </w:tcPr>
          <w:p w14:paraId="035DC1ED">
            <w:pPr>
              <w:pStyle w:val="47"/>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bookmarkEnd w:id="167"/>
    </w:tbl>
    <w:p w14:paraId="3A9147B9">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）土壤环境</w:t>
      </w:r>
    </w:p>
    <w:p w14:paraId="3C5748CD">
      <w:pPr>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根据《</w:t>
      </w:r>
      <w:bookmarkStart w:id="170" w:name="OLE_LINK63"/>
      <w:r>
        <w:rPr>
          <w:rFonts w:hint="default" w:ascii="Times New Roman" w:hAnsi="Times New Roman" w:cs="Times New Roman"/>
          <w:color w:val="000000" w:themeColor="text1"/>
          <w:highlight w:val="none"/>
          <w:lang w:eastAsia="zh-CN"/>
          <w14:textFill>
            <w14:solidFill>
              <w14:schemeClr w14:val="tx1"/>
            </w14:solidFill>
          </w14:textFill>
        </w:rPr>
        <w:t>土壤环境质量 建设用地土壤污染风险管控标准</w:t>
      </w:r>
      <w:bookmarkEnd w:id="170"/>
      <w:r>
        <w:rPr>
          <w:rFonts w:hint="default" w:ascii="Times New Roman" w:hAnsi="Times New Roman" w:cs="Times New Roman"/>
          <w:color w:val="000000" w:themeColor="text1"/>
          <w:highlight w:val="none"/>
          <w:lang w:eastAsia="zh-CN"/>
          <w14:textFill>
            <w14:solidFill>
              <w14:schemeClr w14:val="tx1"/>
            </w14:solidFill>
          </w14:textFill>
        </w:rPr>
        <w:t>（试行）》</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GB36600-2018</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，油田内井场建设用地为第二类用地</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结合</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lang w:eastAsia="zh-CN"/>
          <w14:textFill>
            <w14:solidFill>
              <w14:schemeClr w14:val="tx1"/>
            </w14:solidFill>
          </w14:textFill>
        </w:rPr>
        <w:t>所在区域环境特征，本工程占地范围内执行《</w:t>
      </w:r>
      <w:bookmarkStart w:id="171" w:name="OLE_LINK1111"/>
      <w:bookmarkStart w:id="172" w:name="OLE_LINK69"/>
      <w:r>
        <w:rPr>
          <w:rFonts w:hint="default" w:ascii="Times New Roman" w:hAnsi="Times New Roman" w:cs="Times New Roman"/>
          <w:color w:val="000000" w:themeColor="text1"/>
          <w:highlight w:val="none"/>
          <w:lang w:eastAsia="zh-CN"/>
          <w14:textFill>
            <w14:solidFill>
              <w14:schemeClr w14:val="tx1"/>
            </w14:solidFill>
          </w14:textFill>
        </w:rPr>
        <w:t>土壤环境质量 建设用地土壤污染风险管控标准（试行</w:t>
      </w:r>
      <w:bookmarkEnd w:id="171"/>
      <w:r>
        <w:rPr>
          <w:rFonts w:hint="default" w:ascii="Times New Roman" w:hAnsi="Times New Roman" w:cs="Times New Roman"/>
          <w:color w:val="000000" w:themeColor="text1"/>
          <w:highlight w:val="none"/>
          <w:lang w:eastAsia="zh-CN"/>
          <w14:textFill>
            <w14:solidFill>
              <w14:schemeClr w14:val="tx1"/>
            </w14:solidFill>
          </w14:textFill>
        </w:rPr>
        <w:t>）</w:t>
      </w:r>
      <w:bookmarkEnd w:id="172"/>
      <w:r>
        <w:rPr>
          <w:rFonts w:hint="default" w:ascii="Times New Roman" w:hAnsi="Times New Roman" w:cs="Times New Roman"/>
          <w:color w:val="000000" w:themeColor="text1"/>
          <w:highlight w:val="none"/>
          <w:lang w:eastAsia="zh-CN"/>
          <w14:textFill>
            <w14:solidFill>
              <w14:schemeClr w14:val="tx1"/>
            </w14:solidFill>
          </w14:textFill>
        </w:rPr>
        <w:t>》（GB36600-2018）表1第二类用地筛选值标准</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见表2.4-3。占地范围外执行《</w:t>
      </w:r>
      <w:bookmarkStart w:id="173" w:name="OLE_LINK1110"/>
      <w:r>
        <w:rPr>
          <w:rFonts w:hint="eastAsia" w:cs="Times New Roman"/>
          <w:color w:val="000000" w:themeColor="text1"/>
          <w:highlight w:val="none"/>
          <w:lang w:val="en-US" w:eastAsia="zh-CN"/>
          <w14:textFill>
            <w14:solidFill>
              <w14:schemeClr w14:val="tx1"/>
            </w14:solidFill>
          </w14:textFill>
        </w:rPr>
        <w:t>土壤环境质量 农用地土壤污染风险管控标准（试行）</w:t>
      </w:r>
      <w:bookmarkEnd w:id="173"/>
      <w:r>
        <w:rPr>
          <w:rFonts w:hint="eastAsia" w:cs="Times New Roman"/>
          <w:color w:val="000000" w:themeColor="text1"/>
          <w:highlight w:val="none"/>
          <w:lang w:val="en-US" w:eastAsia="zh-CN"/>
          <w14:textFill>
            <w14:solidFill>
              <w14:schemeClr w14:val="tx1"/>
            </w14:solidFill>
          </w14:textFill>
        </w:rPr>
        <w:t>》（GB15618-2018）中表1农用地土壤污染风险筛选值（基本工程）风险筛选值。</w:t>
      </w:r>
      <w:r>
        <w:rPr>
          <w:rFonts w:hint="eastAsia" w:ascii="Times New Roman" w:hAnsi="Times New Roman" w:cs="Times New Roman"/>
          <w:color w:val="000000" w:themeColor="text1"/>
          <w:highlight w:val="none"/>
          <w:lang w:val="en-US" w:eastAsia="zh-CN"/>
          <w14:textFill>
            <w14:solidFill>
              <w14:schemeClr w14:val="tx1"/>
            </w14:solidFill>
          </w14:textFill>
        </w:rPr>
        <w:t>根据监测结果，在监测期间，本工程所在区域土壤</w:t>
      </w:r>
      <w:bookmarkStart w:id="174" w:name="OLE_LINK1113"/>
      <w:r>
        <w:rPr>
          <w:rFonts w:hint="default" w:ascii="Times New Roman" w:hAnsi="Times New Roman" w:cs="Times New Roman"/>
          <w:color w:val="000000" w:themeColor="text1"/>
          <w:highlight w:val="none"/>
          <w:lang w:val="en-US" w:eastAsia="zh-CN"/>
          <w14:textFill>
            <w14:solidFill>
              <w14:schemeClr w14:val="tx1"/>
            </w14:solidFill>
          </w14:textFill>
        </w:rPr>
        <w:t>6.5&lt;pH</w:t>
      </w:r>
      <w:r>
        <w:rPr>
          <w:rFonts w:hint="eastAsia" w:ascii="Times New Roman" w:hAnsi="Times New Roman" w:cs="Times New Roman"/>
          <w:color w:val="000000" w:themeColor="text1"/>
          <w:highlight w:val="none"/>
          <w:lang w:val="en-US" w:eastAsia="zh-CN"/>
          <w14:textFill>
            <w14:solidFill>
              <w14:schemeClr w14:val="tx1"/>
            </w14:solidFill>
          </w14:textFill>
        </w:rPr>
        <w:t>≤7.5</w:t>
      </w:r>
      <w:bookmarkEnd w:id="174"/>
      <w:r>
        <w:rPr>
          <w:rFonts w:hint="eastAsia" w:ascii="Times New Roman" w:hAnsi="Times New Roman" w:cs="Times New Roman"/>
          <w:color w:val="000000" w:themeColor="text1"/>
          <w:highlight w:val="none"/>
          <w:lang w:val="en-US" w:eastAsia="zh-CN"/>
          <w14:textFill>
            <w14:solidFill>
              <w14:schemeClr w14:val="tx1"/>
            </w14:solidFill>
          </w14:textFill>
        </w:rPr>
        <w:t>，因此占地范围外土壤执行《土壤环境质量 农用地土壤污染风险管控标准（试行）》（GB15618-2018）表1中</w:t>
      </w:r>
      <w:bookmarkStart w:id="175" w:name="OLE_LINK1115"/>
      <w:r>
        <w:rPr>
          <w:rFonts w:hint="default" w:ascii="Times New Roman" w:hAnsi="Times New Roman" w:cs="Times New Roman"/>
          <w:color w:val="000000" w:themeColor="text1"/>
          <w:highlight w:val="none"/>
          <w:lang w:val="en-US" w:eastAsia="zh-CN"/>
          <w14:textFill>
            <w14:solidFill>
              <w14:schemeClr w14:val="tx1"/>
            </w14:solidFill>
          </w14:textFill>
        </w:rPr>
        <w:t>6.5&lt;pH</w:t>
      </w:r>
      <w:r>
        <w:rPr>
          <w:rFonts w:hint="eastAsia" w:ascii="Times New Roman" w:hAnsi="Times New Roman" w:cs="Times New Roman"/>
          <w:color w:val="000000" w:themeColor="text1"/>
          <w:highlight w:val="none"/>
          <w:lang w:val="en-US" w:eastAsia="zh-CN"/>
          <w14:textFill>
            <w14:solidFill>
              <w14:schemeClr w14:val="tx1"/>
            </w14:solidFill>
          </w14:textFill>
        </w:rPr>
        <w:t>≤7.5</w:t>
      </w:r>
      <w:bookmarkEnd w:id="175"/>
      <w:r>
        <w:rPr>
          <w:rFonts w:hint="eastAsia" w:ascii="Times New Roman" w:hAnsi="Times New Roman" w:cs="Times New Roman"/>
          <w:color w:val="000000" w:themeColor="text1"/>
          <w:highlight w:val="none"/>
          <w:lang w:val="en-US" w:eastAsia="zh-CN"/>
          <w14:textFill>
            <w14:solidFill>
              <w14:schemeClr w14:val="tx1"/>
            </w14:solidFill>
          </w14:textFill>
        </w:rPr>
        <w:t>所列筛选值标准，见表2.4-4。石油烃执行《土壤环境质量 建设用地土壤污染风险管控标准（试行）》（GB36600-2018）表2第二类用地筛选值标准</w:t>
      </w:r>
      <w:r>
        <w:rPr>
          <w:rFonts w:hint="default" w:ascii="Times New Roman" w:hAnsi="Times New Roman" w:cs="Times New Roman"/>
          <w:color w:val="000000" w:themeColor="text1"/>
          <w:highlight w:val="none"/>
          <w:lang w:eastAsia="zh-CN"/>
          <w14:textFill>
            <w14:solidFill>
              <w14:schemeClr w14:val="tx1"/>
            </w14:solidFill>
          </w14:textFill>
        </w:rPr>
        <w:t>。</w:t>
      </w:r>
    </w:p>
    <w:p w14:paraId="79957183">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pPr>
      <w:bookmarkStart w:id="176" w:name="OLE_LINK62"/>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w:t>
      </w:r>
      <w:bookmarkEnd w:id="176"/>
      <w:r>
        <w:rPr>
          <w:rFonts w:hint="eastAsia"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4-3</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 xml:space="preserve">  《土壤环境质量 建设用地土壤污染风险管控标准（试行）》第二类用地筛选值</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819"/>
        <w:gridCol w:w="904"/>
        <w:gridCol w:w="904"/>
        <w:gridCol w:w="679"/>
        <w:gridCol w:w="1933"/>
        <w:gridCol w:w="804"/>
        <w:gridCol w:w="901"/>
      </w:tblGrid>
      <w:tr w14:paraId="763E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94" w:type="pct"/>
            <w:noWrap w:val="0"/>
            <w:vAlign w:val="center"/>
          </w:tcPr>
          <w:p w14:paraId="7E5A3DA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序号</w:t>
            </w:r>
          </w:p>
        </w:tc>
        <w:tc>
          <w:tcPr>
            <w:tcW w:w="1055" w:type="pct"/>
            <w:noWrap w:val="0"/>
            <w:vAlign w:val="center"/>
          </w:tcPr>
          <w:p w14:paraId="71329C4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监测项目</w:t>
            </w:r>
          </w:p>
        </w:tc>
        <w:tc>
          <w:tcPr>
            <w:tcW w:w="524" w:type="pct"/>
            <w:noWrap w:val="0"/>
            <w:vAlign w:val="center"/>
          </w:tcPr>
          <w:p w14:paraId="08A82DC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单位</w:t>
            </w:r>
          </w:p>
        </w:tc>
        <w:tc>
          <w:tcPr>
            <w:tcW w:w="524" w:type="pct"/>
            <w:noWrap w:val="0"/>
            <w:vAlign w:val="center"/>
          </w:tcPr>
          <w:p w14:paraId="1D6661E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标准值</w:t>
            </w:r>
          </w:p>
        </w:tc>
        <w:tc>
          <w:tcPr>
            <w:tcW w:w="394" w:type="pct"/>
            <w:noWrap w:val="0"/>
            <w:vAlign w:val="center"/>
          </w:tcPr>
          <w:p w14:paraId="61BAF83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序号</w:t>
            </w:r>
          </w:p>
        </w:tc>
        <w:tc>
          <w:tcPr>
            <w:tcW w:w="1121" w:type="pct"/>
            <w:noWrap w:val="0"/>
            <w:vAlign w:val="center"/>
          </w:tcPr>
          <w:p w14:paraId="1A28979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监测项目</w:t>
            </w:r>
          </w:p>
        </w:tc>
        <w:tc>
          <w:tcPr>
            <w:tcW w:w="466" w:type="pct"/>
            <w:noWrap w:val="0"/>
            <w:vAlign w:val="center"/>
          </w:tcPr>
          <w:p w14:paraId="1576325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单位</w:t>
            </w:r>
          </w:p>
        </w:tc>
        <w:tc>
          <w:tcPr>
            <w:tcW w:w="522" w:type="pct"/>
            <w:noWrap w:val="0"/>
            <w:vAlign w:val="center"/>
          </w:tcPr>
          <w:p w14:paraId="3CAA5FD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标准值</w:t>
            </w:r>
          </w:p>
        </w:tc>
      </w:tr>
      <w:tr w14:paraId="1576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3EA2C4B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055" w:type="pct"/>
            <w:noWrap w:val="0"/>
            <w:vAlign w:val="center"/>
          </w:tcPr>
          <w:p w14:paraId="7534899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pH</w:t>
            </w:r>
          </w:p>
        </w:tc>
        <w:tc>
          <w:tcPr>
            <w:tcW w:w="524" w:type="pct"/>
            <w:noWrap w:val="0"/>
            <w:vAlign w:val="center"/>
          </w:tcPr>
          <w:p w14:paraId="3BA5EC8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无量纲</w:t>
            </w:r>
          </w:p>
        </w:tc>
        <w:tc>
          <w:tcPr>
            <w:tcW w:w="524" w:type="pct"/>
            <w:noWrap w:val="0"/>
            <w:vAlign w:val="center"/>
          </w:tcPr>
          <w:p w14:paraId="2A91B48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394" w:type="pct"/>
            <w:noWrap w:val="0"/>
            <w:vAlign w:val="center"/>
          </w:tcPr>
          <w:p w14:paraId="41AE5F5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w:t>
            </w:r>
          </w:p>
        </w:tc>
        <w:tc>
          <w:tcPr>
            <w:tcW w:w="1121" w:type="pct"/>
            <w:noWrap w:val="0"/>
            <w:vAlign w:val="center"/>
          </w:tcPr>
          <w:p w14:paraId="4152FF9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1,2,3-三氯丙烷</w:t>
            </w:r>
          </w:p>
        </w:tc>
        <w:tc>
          <w:tcPr>
            <w:tcW w:w="466" w:type="pct"/>
            <w:noWrap w:val="0"/>
            <w:vAlign w:val="center"/>
          </w:tcPr>
          <w:p w14:paraId="7A61D67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398C2C28">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r>
      <w:tr w14:paraId="4776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4" w:type="pct"/>
            <w:noWrap w:val="0"/>
            <w:vAlign w:val="center"/>
          </w:tcPr>
          <w:p w14:paraId="5F094D2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055" w:type="pct"/>
            <w:noWrap w:val="0"/>
            <w:vAlign w:val="center"/>
          </w:tcPr>
          <w:p w14:paraId="0D1F07B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砷</w:t>
            </w:r>
          </w:p>
        </w:tc>
        <w:tc>
          <w:tcPr>
            <w:tcW w:w="524" w:type="pct"/>
            <w:noWrap w:val="0"/>
            <w:vAlign w:val="center"/>
          </w:tcPr>
          <w:p w14:paraId="71B4F7B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40CCA56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60</w:t>
            </w:r>
          </w:p>
        </w:tc>
        <w:tc>
          <w:tcPr>
            <w:tcW w:w="394" w:type="pct"/>
            <w:noWrap w:val="0"/>
            <w:vAlign w:val="center"/>
          </w:tcPr>
          <w:p w14:paraId="4691D48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26</w:t>
            </w:r>
          </w:p>
        </w:tc>
        <w:tc>
          <w:tcPr>
            <w:tcW w:w="1121" w:type="pct"/>
            <w:noWrap w:val="0"/>
            <w:vAlign w:val="center"/>
          </w:tcPr>
          <w:p w14:paraId="41F187D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氯乙烯</w:t>
            </w:r>
          </w:p>
        </w:tc>
        <w:tc>
          <w:tcPr>
            <w:tcW w:w="466" w:type="pct"/>
            <w:noWrap w:val="0"/>
            <w:vAlign w:val="center"/>
          </w:tcPr>
          <w:p w14:paraId="514DFF3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11B9AA2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0.43</w:t>
            </w:r>
          </w:p>
        </w:tc>
      </w:tr>
      <w:tr w14:paraId="3113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51EF0E2">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055" w:type="pct"/>
            <w:noWrap w:val="0"/>
            <w:vAlign w:val="center"/>
          </w:tcPr>
          <w:p w14:paraId="7984F51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镉</w:t>
            </w:r>
          </w:p>
        </w:tc>
        <w:tc>
          <w:tcPr>
            <w:tcW w:w="524" w:type="pct"/>
            <w:noWrap w:val="0"/>
            <w:vAlign w:val="center"/>
          </w:tcPr>
          <w:p w14:paraId="49FD852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1740842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65</w:t>
            </w:r>
          </w:p>
        </w:tc>
        <w:tc>
          <w:tcPr>
            <w:tcW w:w="394" w:type="pct"/>
            <w:noWrap w:val="0"/>
            <w:vAlign w:val="center"/>
          </w:tcPr>
          <w:p w14:paraId="7CF55B1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27</w:t>
            </w:r>
          </w:p>
        </w:tc>
        <w:tc>
          <w:tcPr>
            <w:tcW w:w="1121" w:type="pct"/>
            <w:noWrap w:val="0"/>
            <w:vAlign w:val="center"/>
          </w:tcPr>
          <w:p w14:paraId="54A6020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w:t>
            </w:r>
          </w:p>
        </w:tc>
        <w:tc>
          <w:tcPr>
            <w:tcW w:w="466" w:type="pct"/>
            <w:noWrap w:val="0"/>
            <w:vAlign w:val="center"/>
          </w:tcPr>
          <w:p w14:paraId="564E55E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9A6123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r>
      <w:tr w14:paraId="75CB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3C48E7B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055" w:type="pct"/>
            <w:noWrap w:val="0"/>
            <w:vAlign w:val="center"/>
          </w:tcPr>
          <w:p w14:paraId="2F03BA8D">
            <w:pPr>
              <w:pStyle w:val="47"/>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铬</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六价</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524" w:type="pct"/>
            <w:noWrap w:val="0"/>
            <w:vAlign w:val="center"/>
          </w:tcPr>
          <w:p w14:paraId="7B2CDC4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69B7C2E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5.7</w:t>
            </w:r>
          </w:p>
        </w:tc>
        <w:tc>
          <w:tcPr>
            <w:tcW w:w="394" w:type="pct"/>
            <w:noWrap w:val="0"/>
            <w:vAlign w:val="center"/>
          </w:tcPr>
          <w:p w14:paraId="1C05B4B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1121" w:type="pct"/>
            <w:noWrap w:val="0"/>
            <w:vAlign w:val="center"/>
          </w:tcPr>
          <w:p w14:paraId="6C4F0EF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氯苯</w:t>
            </w:r>
          </w:p>
        </w:tc>
        <w:tc>
          <w:tcPr>
            <w:tcW w:w="466" w:type="pct"/>
            <w:noWrap w:val="0"/>
            <w:vAlign w:val="center"/>
          </w:tcPr>
          <w:p w14:paraId="4187111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3D79191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270</w:t>
            </w:r>
          </w:p>
        </w:tc>
      </w:tr>
      <w:tr w14:paraId="59CE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3A35A1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055" w:type="pct"/>
            <w:noWrap w:val="0"/>
            <w:vAlign w:val="center"/>
          </w:tcPr>
          <w:p w14:paraId="269A153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铜</w:t>
            </w:r>
          </w:p>
        </w:tc>
        <w:tc>
          <w:tcPr>
            <w:tcW w:w="524" w:type="pct"/>
            <w:noWrap w:val="0"/>
            <w:vAlign w:val="center"/>
          </w:tcPr>
          <w:p w14:paraId="53A988A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74335AD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18000</w:t>
            </w:r>
          </w:p>
        </w:tc>
        <w:tc>
          <w:tcPr>
            <w:tcW w:w="394" w:type="pct"/>
            <w:noWrap w:val="0"/>
            <w:vAlign w:val="center"/>
          </w:tcPr>
          <w:p w14:paraId="40476FC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29</w:t>
            </w:r>
          </w:p>
        </w:tc>
        <w:tc>
          <w:tcPr>
            <w:tcW w:w="1121" w:type="pct"/>
            <w:noWrap w:val="0"/>
            <w:vAlign w:val="center"/>
          </w:tcPr>
          <w:p w14:paraId="0D47DC3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1,2-二氯苯</w:t>
            </w:r>
          </w:p>
        </w:tc>
        <w:tc>
          <w:tcPr>
            <w:tcW w:w="466" w:type="pct"/>
            <w:noWrap w:val="0"/>
            <w:vAlign w:val="center"/>
          </w:tcPr>
          <w:p w14:paraId="192388D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51A97F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560</w:t>
            </w:r>
          </w:p>
        </w:tc>
      </w:tr>
      <w:tr w14:paraId="1238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7614BF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055" w:type="pct"/>
            <w:noWrap w:val="0"/>
            <w:vAlign w:val="center"/>
          </w:tcPr>
          <w:p w14:paraId="1881E48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铅</w:t>
            </w:r>
          </w:p>
        </w:tc>
        <w:tc>
          <w:tcPr>
            <w:tcW w:w="524" w:type="pct"/>
            <w:noWrap w:val="0"/>
            <w:vAlign w:val="center"/>
          </w:tcPr>
          <w:p w14:paraId="64939B1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254C745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800</w:t>
            </w:r>
          </w:p>
        </w:tc>
        <w:tc>
          <w:tcPr>
            <w:tcW w:w="394" w:type="pct"/>
            <w:noWrap w:val="0"/>
            <w:vAlign w:val="center"/>
          </w:tcPr>
          <w:p w14:paraId="305DBD6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w:t>
            </w:r>
          </w:p>
        </w:tc>
        <w:tc>
          <w:tcPr>
            <w:tcW w:w="1121" w:type="pct"/>
            <w:noWrap w:val="0"/>
            <w:vAlign w:val="center"/>
          </w:tcPr>
          <w:p w14:paraId="7DD9C16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1,4-二氯苯</w:t>
            </w:r>
          </w:p>
        </w:tc>
        <w:tc>
          <w:tcPr>
            <w:tcW w:w="466" w:type="pct"/>
            <w:noWrap w:val="0"/>
            <w:vAlign w:val="center"/>
          </w:tcPr>
          <w:p w14:paraId="4BF54CB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4415C9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r>
      <w:tr w14:paraId="1737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675108A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055" w:type="pct"/>
            <w:noWrap w:val="0"/>
            <w:vAlign w:val="center"/>
          </w:tcPr>
          <w:p w14:paraId="4EFB5AE2">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汞</w:t>
            </w:r>
          </w:p>
        </w:tc>
        <w:tc>
          <w:tcPr>
            <w:tcW w:w="524" w:type="pct"/>
            <w:noWrap w:val="0"/>
            <w:vAlign w:val="center"/>
          </w:tcPr>
          <w:p w14:paraId="134EF97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277A5CC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38</w:t>
            </w:r>
          </w:p>
        </w:tc>
        <w:tc>
          <w:tcPr>
            <w:tcW w:w="394" w:type="pct"/>
            <w:noWrap w:val="0"/>
            <w:vAlign w:val="center"/>
          </w:tcPr>
          <w:p w14:paraId="6B110C0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31</w:t>
            </w:r>
          </w:p>
        </w:tc>
        <w:tc>
          <w:tcPr>
            <w:tcW w:w="1121" w:type="pct"/>
            <w:noWrap w:val="0"/>
            <w:vAlign w:val="center"/>
          </w:tcPr>
          <w:p w14:paraId="20A0407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乙苯</w:t>
            </w:r>
          </w:p>
        </w:tc>
        <w:tc>
          <w:tcPr>
            <w:tcW w:w="466" w:type="pct"/>
            <w:noWrap w:val="0"/>
            <w:vAlign w:val="center"/>
          </w:tcPr>
          <w:p w14:paraId="79A02B5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2711720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r>
      <w:tr w14:paraId="112D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4" w:type="pct"/>
            <w:noWrap w:val="0"/>
            <w:vAlign w:val="center"/>
          </w:tcPr>
          <w:p w14:paraId="55B2742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055" w:type="pct"/>
            <w:noWrap w:val="0"/>
            <w:vAlign w:val="center"/>
          </w:tcPr>
          <w:p w14:paraId="3FBD0F6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镍</w:t>
            </w:r>
          </w:p>
        </w:tc>
        <w:tc>
          <w:tcPr>
            <w:tcW w:w="524" w:type="pct"/>
            <w:noWrap w:val="0"/>
            <w:vAlign w:val="center"/>
          </w:tcPr>
          <w:p w14:paraId="0C558C0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06514CE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900</w:t>
            </w:r>
          </w:p>
        </w:tc>
        <w:tc>
          <w:tcPr>
            <w:tcW w:w="394" w:type="pct"/>
            <w:noWrap w:val="0"/>
            <w:vAlign w:val="center"/>
          </w:tcPr>
          <w:p w14:paraId="33CA479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32</w:t>
            </w:r>
          </w:p>
        </w:tc>
        <w:tc>
          <w:tcPr>
            <w:tcW w:w="1121" w:type="pct"/>
            <w:noWrap w:val="0"/>
            <w:vAlign w:val="center"/>
          </w:tcPr>
          <w:p w14:paraId="70102A8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苯乙烯</w:t>
            </w:r>
          </w:p>
        </w:tc>
        <w:tc>
          <w:tcPr>
            <w:tcW w:w="466" w:type="pct"/>
            <w:noWrap w:val="0"/>
            <w:vAlign w:val="center"/>
          </w:tcPr>
          <w:p w14:paraId="46E7C27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2CB376F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1290</w:t>
            </w:r>
          </w:p>
        </w:tc>
      </w:tr>
      <w:tr w14:paraId="2990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3C92792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055" w:type="pct"/>
            <w:noWrap w:val="0"/>
            <w:vAlign w:val="center"/>
          </w:tcPr>
          <w:p w14:paraId="584B667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四氯化碳</w:t>
            </w:r>
          </w:p>
        </w:tc>
        <w:tc>
          <w:tcPr>
            <w:tcW w:w="524" w:type="pct"/>
            <w:noWrap w:val="0"/>
            <w:vAlign w:val="center"/>
          </w:tcPr>
          <w:p w14:paraId="13773DE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55B6207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394" w:type="pct"/>
            <w:noWrap w:val="0"/>
            <w:vAlign w:val="center"/>
          </w:tcPr>
          <w:p w14:paraId="2025B97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33</w:t>
            </w:r>
          </w:p>
        </w:tc>
        <w:tc>
          <w:tcPr>
            <w:tcW w:w="1121" w:type="pct"/>
            <w:noWrap w:val="0"/>
            <w:vAlign w:val="center"/>
          </w:tcPr>
          <w:p w14:paraId="7CEC6DE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甲苯</w:t>
            </w:r>
          </w:p>
        </w:tc>
        <w:tc>
          <w:tcPr>
            <w:tcW w:w="466" w:type="pct"/>
            <w:noWrap w:val="0"/>
            <w:vAlign w:val="center"/>
          </w:tcPr>
          <w:p w14:paraId="16E86E9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6F299AE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1200</w:t>
            </w:r>
          </w:p>
        </w:tc>
      </w:tr>
      <w:tr w14:paraId="592F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0287877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055" w:type="pct"/>
            <w:noWrap w:val="0"/>
            <w:vAlign w:val="center"/>
          </w:tcPr>
          <w:p w14:paraId="09B7969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氯仿</w:t>
            </w:r>
          </w:p>
        </w:tc>
        <w:tc>
          <w:tcPr>
            <w:tcW w:w="524" w:type="pct"/>
            <w:noWrap w:val="0"/>
            <w:vAlign w:val="center"/>
          </w:tcPr>
          <w:p w14:paraId="14957D7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532ED78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0.9</w:t>
            </w:r>
          </w:p>
        </w:tc>
        <w:tc>
          <w:tcPr>
            <w:tcW w:w="394" w:type="pct"/>
            <w:noWrap w:val="0"/>
            <w:vAlign w:val="center"/>
          </w:tcPr>
          <w:p w14:paraId="3169458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34</w:t>
            </w:r>
          </w:p>
        </w:tc>
        <w:tc>
          <w:tcPr>
            <w:tcW w:w="1121" w:type="pct"/>
            <w:noWrap w:val="0"/>
            <w:vAlign w:val="center"/>
          </w:tcPr>
          <w:p w14:paraId="1676B7E9">
            <w:pPr>
              <w:pStyle w:val="47"/>
              <w:rPr>
                <w:rFonts w:hint="default" w:ascii="Times New Roman" w:hAnsi="Times New Roman" w:cs="Times New Roman"/>
                <w:color w:val="000000" w:themeColor="text1"/>
                <w:spacing w:val="-12"/>
                <w:highlight w:val="none"/>
                <w14:textFill>
                  <w14:solidFill>
                    <w14:schemeClr w14:val="tx1"/>
                  </w14:solidFill>
                </w14:textFill>
              </w:rPr>
            </w:pPr>
            <w:r>
              <w:rPr>
                <w:rFonts w:hint="default" w:ascii="Times New Roman" w:hAnsi="Times New Roman" w:cs="Times New Roman"/>
                <w:color w:val="000000" w:themeColor="text1"/>
                <w:spacing w:val="-12"/>
                <w:highlight w:val="none"/>
                <w14:textFill>
                  <w14:solidFill>
                    <w14:schemeClr w14:val="tx1"/>
                  </w14:solidFill>
                </w14:textFill>
              </w:rPr>
              <w:t>间二甲苯+对二甲苯</w:t>
            </w:r>
          </w:p>
        </w:tc>
        <w:tc>
          <w:tcPr>
            <w:tcW w:w="466" w:type="pct"/>
            <w:noWrap w:val="0"/>
            <w:vAlign w:val="center"/>
          </w:tcPr>
          <w:p w14:paraId="5608453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39DB8D7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570</w:t>
            </w:r>
          </w:p>
        </w:tc>
      </w:tr>
      <w:tr w14:paraId="4CB1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4F1BE4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w:t>
            </w:r>
          </w:p>
        </w:tc>
        <w:tc>
          <w:tcPr>
            <w:tcW w:w="1055" w:type="pct"/>
            <w:noWrap w:val="0"/>
            <w:vAlign w:val="center"/>
          </w:tcPr>
          <w:p w14:paraId="4EA2995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氯甲烷</w:t>
            </w:r>
          </w:p>
        </w:tc>
        <w:tc>
          <w:tcPr>
            <w:tcW w:w="524" w:type="pct"/>
            <w:noWrap w:val="0"/>
            <w:vAlign w:val="center"/>
          </w:tcPr>
          <w:p w14:paraId="54960C3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029CD65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37</w:t>
            </w:r>
          </w:p>
        </w:tc>
        <w:tc>
          <w:tcPr>
            <w:tcW w:w="394" w:type="pct"/>
            <w:noWrap w:val="0"/>
            <w:vAlign w:val="center"/>
          </w:tcPr>
          <w:p w14:paraId="1B6102E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35</w:t>
            </w:r>
          </w:p>
        </w:tc>
        <w:tc>
          <w:tcPr>
            <w:tcW w:w="1121" w:type="pct"/>
            <w:noWrap w:val="0"/>
            <w:vAlign w:val="center"/>
          </w:tcPr>
          <w:p w14:paraId="68F13A9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邻二甲苯</w:t>
            </w:r>
          </w:p>
        </w:tc>
        <w:tc>
          <w:tcPr>
            <w:tcW w:w="466" w:type="pct"/>
            <w:noWrap w:val="0"/>
            <w:vAlign w:val="center"/>
          </w:tcPr>
          <w:p w14:paraId="72135D8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DFF9A0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640</w:t>
            </w:r>
          </w:p>
        </w:tc>
      </w:tr>
      <w:tr w14:paraId="7309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0EECB9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w:t>
            </w:r>
          </w:p>
        </w:tc>
        <w:tc>
          <w:tcPr>
            <w:tcW w:w="1055" w:type="pct"/>
            <w:noWrap w:val="0"/>
            <w:vAlign w:val="center"/>
          </w:tcPr>
          <w:p w14:paraId="38E0E0E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1,1-二氯乙烷</w:t>
            </w:r>
          </w:p>
        </w:tc>
        <w:tc>
          <w:tcPr>
            <w:tcW w:w="524" w:type="pct"/>
            <w:noWrap w:val="0"/>
            <w:vAlign w:val="center"/>
          </w:tcPr>
          <w:p w14:paraId="76BA038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37DD8F6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394" w:type="pct"/>
            <w:noWrap w:val="0"/>
            <w:vAlign w:val="center"/>
          </w:tcPr>
          <w:p w14:paraId="4AE2CD7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36</w:t>
            </w:r>
          </w:p>
        </w:tc>
        <w:tc>
          <w:tcPr>
            <w:tcW w:w="1121" w:type="pct"/>
            <w:noWrap w:val="0"/>
            <w:vAlign w:val="center"/>
          </w:tcPr>
          <w:p w14:paraId="596134B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硝基苯</w:t>
            </w:r>
          </w:p>
        </w:tc>
        <w:tc>
          <w:tcPr>
            <w:tcW w:w="466" w:type="pct"/>
            <w:noWrap w:val="0"/>
            <w:vAlign w:val="center"/>
          </w:tcPr>
          <w:p w14:paraId="597BD10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B20319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76</w:t>
            </w:r>
          </w:p>
        </w:tc>
      </w:tr>
      <w:tr w14:paraId="2C67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08FE89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w:t>
            </w:r>
          </w:p>
        </w:tc>
        <w:tc>
          <w:tcPr>
            <w:tcW w:w="1055" w:type="pct"/>
            <w:noWrap w:val="0"/>
            <w:vAlign w:val="center"/>
          </w:tcPr>
          <w:p w14:paraId="0C68F4B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1,2-二氯乙烷</w:t>
            </w:r>
          </w:p>
        </w:tc>
        <w:tc>
          <w:tcPr>
            <w:tcW w:w="524" w:type="pct"/>
            <w:noWrap w:val="0"/>
            <w:vAlign w:val="center"/>
          </w:tcPr>
          <w:p w14:paraId="3100F40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2061023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394" w:type="pct"/>
            <w:noWrap w:val="0"/>
            <w:vAlign w:val="center"/>
          </w:tcPr>
          <w:p w14:paraId="7DCAF1F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37</w:t>
            </w:r>
          </w:p>
        </w:tc>
        <w:tc>
          <w:tcPr>
            <w:tcW w:w="1121" w:type="pct"/>
            <w:noWrap w:val="0"/>
            <w:vAlign w:val="center"/>
          </w:tcPr>
          <w:p w14:paraId="4CB5F80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苯胺</w:t>
            </w:r>
          </w:p>
        </w:tc>
        <w:tc>
          <w:tcPr>
            <w:tcW w:w="466" w:type="pct"/>
            <w:noWrap w:val="0"/>
            <w:vAlign w:val="center"/>
          </w:tcPr>
          <w:p w14:paraId="59D866B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F8824E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260</w:t>
            </w:r>
          </w:p>
        </w:tc>
      </w:tr>
      <w:tr w14:paraId="0636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D42D50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w:t>
            </w:r>
          </w:p>
        </w:tc>
        <w:tc>
          <w:tcPr>
            <w:tcW w:w="1055" w:type="pct"/>
            <w:noWrap w:val="0"/>
            <w:vAlign w:val="center"/>
          </w:tcPr>
          <w:p w14:paraId="51439CF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1,1-二氯乙烯</w:t>
            </w:r>
          </w:p>
        </w:tc>
        <w:tc>
          <w:tcPr>
            <w:tcW w:w="524" w:type="pct"/>
            <w:noWrap w:val="0"/>
            <w:vAlign w:val="center"/>
          </w:tcPr>
          <w:p w14:paraId="0509953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6A658CB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66</w:t>
            </w:r>
          </w:p>
        </w:tc>
        <w:tc>
          <w:tcPr>
            <w:tcW w:w="394" w:type="pct"/>
            <w:noWrap w:val="0"/>
            <w:vAlign w:val="center"/>
          </w:tcPr>
          <w:p w14:paraId="01907F9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38</w:t>
            </w:r>
          </w:p>
        </w:tc>
        <w:tc>
          <w:tcPr>
            <w:tcW w:w="1121" w:type="pct"/>
            <w:noWrap w:val="0"/>
            <w:vAlign w:val="center"/>
          </w:tcPr>
          <w:p w14:paraId="3EA5889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2-氯酚</w:t>
            </w:r>
          </w:p>
        </w:tc>
        <w:tc>
          <w:tcPr>
            <w:tcW w:w="466" w:type="pct"/>
            <w:noWrap w:val="0"/>
            <w:vAlign w:val="center"/>
          </w:tcPr>
          <w:p w14:paraId="51F46F4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0F35876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2256</w:t>
            </w:r>
          </w:p>
        </w:tc>
      </w:tr>
      <w:tr w14:paraId="6D8E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E2DCD7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c>
          <w:tcPr>
            <w:tcW w:w="1055" w:type="pct"/>
            <w:noWrap w:val="0"/>
            <w:vAlign w:val="center"/>
          </w:tcPr>
          <w:p w14:paraId="2293950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顺 1,2-二氯乙烯</w:t>
            </w:r>
          </w:p>
        </w:tc>
        <w:tc>
          <w:tcPr>
            <w:tcW w:w="524" w:type="pct"/>
            <w:noWrap w:val="0"/>
            <w:vAlign w:val="center"/>
          </w:tcPr>
          <w:p w14:paraId="3652D2B2">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17FE00E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596</w:t>
            </w:r>
          </w:p>
        </w:tc>
        <w:tc>
          <w:tcPr>
            <w:tcW w:w="394" w:type="pct"/>
            <w:noWrap w:val="0"/>
            <w:vAlign w:val="center"/>
          </w:tcPr>
          <w:p w14:paraId="3232041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39</w:t>
            </w:r>
          </w:p>
        </w:tc>
        <w:tc>
          <w:tcPr>
            <w:tcW w:w="1121" w:type="pct"/>
            <w:noWrap w:val="0"/>
            <w:vAlign w:val="center"/>
          </w:tcPr>
          <w:p w14:paraId="68962E2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蒽</w:t>
            </w:r>
          </w:p>
        </w:tc>
        <w:tc>
          <w:tcPr>
            <w:tcW w:w="466" w:type="pct"/>
            <w:noWrap w:val="0"/>
            <w:vAlign w:val="center"/>
          </w:tcPr>
          <w:p w14:paraId="05305A5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4CBF9BA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62FB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A036E8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16</w:t>
            </w:r>
          </w:p>
        </w:tc>
        <w:tc>
          <w:tcPr>
            <w:tcW w:w="1055" w:type="pct"/>
            <w:noWrap w:val="0"/>
            <w:vAlign w:val="center"/>
          </w:tcPr>
          <w:p w14:paraId="552F80F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反-1,2-二氯乙烯</w:t>
            </w:r>
          </w:p>
        </w:tc>
        <w:tc>
          <w:tcPr>
            <w:tcW w:w="524" w:type="pct"/>
            <w:noWrap w:val="0"/>
            <w:vAlign w:val="center"/>
          </w:tcPr>
          <w:p w14:paraId="04B44A6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322CECB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54</w:t>
            </w:r>
          </w:p>
        </w:tc>
        <w:tc>
          <w:tcPr>
            <w:tcW w:w="394" w:type="pct"/>
            <w:noWrap w:val="0"/>
            <w:vAlign w:val="center"/>
          </w:tcPr>
          <w:p w14:paraId="4DAF664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40</w:t>
            </w:r>
          </w:p>
        </w:tc>
        <w:tc>
          <w:tcPr>
            <w:tcW w:w="1121" w:type="pct"/>
            <w:noWrap w:val="0"/>
            <w:vAlign w:val="center"/>
          </w:tcPr>
          <w:p w14:paraId="25D2710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芘</w:t>
            </w:r>
          </w:p>
        </w:tc>
        <w:tc>
          <w:tcPr>
            <w:tcW w:w="466" w:type="pct"/>
            <w:noWrap w:val="0"/>
            <w:vAlign w:val="center"/>
          </w:tcPr>
          <w:p w14:paraId="050FABE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19DB56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3DB7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DC04D92">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17</w:t>
            </w:r>
          </w:p>
        </w:tc>
        <w:tc>
          <w:tcPr>
            <w:tcW w:w="1055" w:type="pct"/>
            <w:noWrap w:val="0"/>
            <w:vAlign w:val="center"/>
          </w:tcPr>
          <w:p w14:paraId="6A0F2DA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二氯甲烷</w:t>
            </w:r>
          </w:p>
        </w:tc>
        <w:tc>
          <w:tcPr>
            <w:tcW w:w="524" w:type="pct"/>
            <w:noWrap w:val="0"/>
            <w:vAlign w:val="center"/>
          </w:tcPr>
          <w:p w14:paraId="7A65DAA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7E04EDD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616</w:t>
            </w:r>
          </w:p>
        </w:tc>
        <w:tc>
          <w:tcPr>
            <w:tcW w:w="394" w:type="pct"/>
            <w:noWrap w:val="0"/>
            <w:vAlign w:val="center"/>
          </w:tcPr>
          <w:p w14:paraId="3783B1F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41</w:t>
            </w:r>
          </w:p>
        </w:tc>
        <w:tc>
          <w:tcPr>
            <w:tcW w:w="1121" w:type="pct"/>
            <w:noWrap w:val="0"/>
            <w:vAlign w:val="center"/>
          </w:tcPr>
          <w:p w14:paraId="6F820B6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荧蒽</w:t>
            </w:r>
          </w:p>
        </w:tc>
        <w:tc>
          <w:tcPr>
            <w:tcW w:w="466" w:type="pct"/>
            <w:noWrap w:val="0"/>
            <w:vAlign w:val="center"/>
          </w:tcPr>
          <w:p w14:paraId="79FDF21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6A7FBBF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1942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09FCDE7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w:t>
            </w:r>
          </w:p>
        </w:tc>
        <w:tc>
          <w:tcPr>
            <w:tcW w:w="1055" w:type="pct"/>
            <w:noWrap w:val="0"/>
            <w:vAlign w:val="center"/>
          </w:tcPr>
          <w:p w14:paraId="1E17219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1,2-二氯乙烷</w:t>
            </w:r>
          </w:p>
        </w:tc>
        <w:tc>
          <w:tcPr>
            <w:tcW w:w="524" w:type="pct"/>
            <w:noWrap w:val="0"/>
            <w:vAlign w:val="center"/>
          </w:tcPr>
          <w:p w14:paraId="6246FE5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51D705F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394" w:type="pct"/>
            <w:noWrap w:val="0"/>
            <w:vAlign w:val="center"/>
          </w:tcPr>
          <w:p w14:paraId="10B5614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42</w:t>
            </w:r>
          </w:p>
        </w:tc>
        <w:tc>
          <w:tcPr>
            <w:tcW w:w="1121" w:type="pct"/>
            <w:noWrap w:val="0"/>
            <w:vAlign w:val="center"/>
          </w:tcPr>
          <w:p w14:paraId="7314C88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k</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荧蒽</w:t>
            </w:r>
          </w:p>
        </w:tc>
        <w:tc>
          <w:tcPr>
            <w:tcW w:w="466" w:type="pct"/>
            <w:noWrap w:val="0"/>
            <w:vAlign w:val="center"/>
          </w:tcPr>
          <w:p w14:paraId="4E6E7AC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476B51C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151</w:t>
            </w:r>
          </w:p>
        </w:tc>
      </w:tr>
      <w:tr w14:paraId="3EFA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74F1D92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19</w:t>
            </w:r>
          </w:p>
        </w:tc>
        <w:tc>
          <w:tcPr>
            <w:tcW w:w="1055" w:type="pct"/>
            <w:noWrap w:val="0"/>
            <w:vAlign w:val="center"/>
          </w:tcPr>
          <w:p w14:paraId="0521AAD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1,1,1,2-四氯乙烷</w:t>
            </w:r>
          </w:p>
        </w:tc>
        <w:tc>
          <w:tcPr>
            <w:tcW w:w="524" w:type="pct"/>
            <w:noWrap w:val="0"/>
            <w:vAlign w:val="center"/>
          </w:tcPr>
          <w:p w14:paraId="6F18D91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5C74061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394" w:type="pct"/>
            <w:noWrap w:val="0"/>
            <w:vAlign w:val="center"/>
          </w:tcPr>
          <w:p w14:paraId="7A3AE09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43</w:t>
            </w:r>
          </w:p>
        </w:tc>
        <w:tc>
          <w:tcPr>
            <w:tcW w:w="1121" w:type="pct"/>
            <w:noWrap w:val="0"/>
            <w:vAlign w:val="center"/>
          </w:tcPr>
          <w:p w14:paraId="4591CBC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䓛</w:t>
            </w:r>
          </w:p>
        </w:tc>
        <w:tc>
          <w:tcPr>
            <w:tcW w:w="466" w:type="pct"/>
            <w:noWrap w:val="0"/>
            <w:vAlign w:val="center"/>
          </w:tcPr>
          <w:p w14:paraId="1F20C42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1BC3571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1293</w:t>
            </w:r>
          </w:p>
        </w:tc>
      </w:tr>
      <w:tr w14:paraId="0F20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1EB4434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1055" w:type="pct"/>
            <w:noWrap w:val="0"/>
            <w:vAlign w:val="center"/>
          </w:tcPr>
          <w:p w14:paraId="52EBB92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1,1,2,2-四氯乙烷</w:t>
            </w:r>
          </w:p>
        </w:tc>
        <w:tc>
          <w:tcPr>
            <w:tcW w:w="524" w:type="pct"/>
            <w:noWrap w:val="0"/>
            <w:vAlign w:val="center"/>
          </w:tcPr>
          <w:p w14:paraId="62AEA64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6669548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6.8</w:t>
            </w:r>
          </w:p>
        </w:tc>
        <w:tc>
          <w:tcPr>
            <w:tcW w:w="394" w:type="pct"/>
            <w:noWrap w:val="0"/>
            <w:vAlign w:val="center"/>
          </w:tcPr>
          <w:p w14:paraId="6F6A554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w:t>
            </w:r>
          </w:p>
        </w:tc>
        <w:tc>
          <w:tcPr>
            <w:tcW w:w="1121" w:type="pct"/>
            <w:noWrap w:val="0"/>
            <w:vAlign w:val="center"/>
          </w:tcPr>
          <w:p w14:paraId="2CD1591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二苯并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a、h</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蒽</w:t>
            </w:r>
          </w:p>
        </w:tc>
        <w:tc>
          <w:tcPr>
            <w:tcW w:w="466" w:type="pct"/>
            <w:noWrap w:val="0"/>
            <w:vAlign w:val="center"/>
          </w:tcPr>
          <w:p w14:paraId="0F40A22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1518BC1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6A11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5B5EDC1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w:t>
            </w:r>
          </w:p>
        </w:tc>
        <w:tc>
          <w:tcPr>
            <w:tcW w:w="1055" w:type="pct"/>
            <w:noWrap w:val="0"/>
            <w:vAlign w:val="center"/>
          </w:tcPr>
          <w:p w14:paraId="2960BFF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四氯乙烯</w:t>
            </w:r>
          </w:p>
        </w:tc>
        <w:tc>
          <w:tcPr>
            <w:tcW w:w="524" w:type="pct"/>
            <w:noWrap w:val="0"/>
            <w:vAlign w:val="center"/>
          </w:tcPr>
          <w:p w14:paraId="6EBE3A6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5E022D6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53</w:t>
            </w:r>
          </w:p>
        </w:tc>
        <w:tc>
          <w:tcPr>
            <w:tcW w:w="394" w:type="pct"/>
            <w:noWrap w:val="0"/>
            <w:vAlign w:val="center"/>
          </w:tcPr>
          <w:p w14:paraId="0DE5875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45</w:t>
            </w:r>
          </w:p>
        </w:tc>
        <w:tc>
          <w:tcPr>
            <w:tcW w:w="1121" w:type="pct"/>
            <w:noWrap w:val="0"/>
            <w:vAlign w:val="center"/>
          </w:tcPr>
          <w:p w14:paraId="45F1A2E7">
            <w:pPr>
              <w:pStyle w:val="47"/>
              <w:rPr>
                <w:rFonts w:hint="default" w:ascii="Times New Roman" w:hAnsi="Times New Roman" w:cs="Times New Roman"/>
                <w:color w:val="000000" w:themeColor="text1"/>
                <w:spacing w:val="-24"/>
                <w:highlight w:val="none"/>
                <w14:textFill>
                  <w14:solidFill>
                    <w14:schemeClr w14:val="tx1"/>
                  </w14:solidFill>
                </w14:textFill>
              </w:rPr>
            </w:pPr>
            <w:r>
              <w:rPr>
                <w:rFonts w:hint="default" w:ascii="Times New Roman" w:hAnsi="Times New Roman" w:cs="Times New Roman"/>
                <w:color w:val="000000" w:themeColor="text1"/>
                <w:spacing w:val="-24"/>
                <w:highlight w:val="none"/>
                <w14:textFill>
                  <w14:solidFill>
                    <w14:schemeClr w14:val="tx1"/>
                  </w14:solidFill>
                </w14:textFill>
              </w:rPr>
              <w:t>茚并</w:t>
            </w:r>
            <w:r>
              <w:rPr>
                <w:rFonts w:hint="default" w:ascii="Times New Roman" w:hAnsi="Times New Roman" w:cs="Times New Roman"/>
                <w:color w:val="000000" w:themeColor="text1"/>
                <w:spacing w:val="-24"/>
                <w:highlight w:val="none"/>
                <w:lang w:eastAsia="zh-CN"/>
                <w14:textFill>
                  <w14:solidFill>
                    <w14:schemeClr w14:val="tx1"/>
                  </w14:solidFill>
                </w14:textFill>
              </w:rPr>
              <w:t>〔</w:t>
            </w:r>
            <w:r>
              <w:rPr>
                <w:rFonts w:hint="default" w:ascii="Times New Roman" w:hAnsi="Times New Roman" w:cs="Times New Roman"/>
                <w:color w:val="000000" w:themeColor="text1"/>
                <w:spacing w:val="-24"/>
                <w:highlight w:val="none"/>
                <w14:textFill>
                  <w14:solidFill>
                    <w14:schemeClr w14:val="tx1"/>
                  </w14:solidFill>
                </w14:textFill>
              </w:rPr>
              <w:t>1、2、3-cd</w:t>
            </w:r>
            <w:r>
              <w:rPr>
                <w:rFonts w:hint="default" w:ascii="Times New Roman" w:hAnsi="Times New Roman" w:cs="Times New Roman"/>
                <w:color w:val="000000" w:themeColor="text1"/>
                <w:spacing w:val="-24"/>
                <w:highlight w:val="none"/>
                <w:lang w:eastAsia="zh-CN"/>
                <w14:textFill>
                  <w14:solidFill>
                    <w14:schemeClr w14:val="tx1"/>
                  </w14:solidFill>
                </w14:textFill>
              </w:rPr>
              <w:t>〕</w:t>
            </w:r>
            <w:r>
              <w:rPr>
                <w:rFonts w:hint="default" w:ascii="Times New Roman" w:hAnsi="Times New Roman" w:cs="Times New Roman"/>
                <w:color w:val="000000" w:themeColor="text1"/>
                <w:spacing w:val="-24"/>
                <w:highlight w:val="none"/>
                <w14:textFill>
                  <w14:solidFill>
                    <w14:schemeClr w14:val="tx1"/>
                  </w14:solidFill>
                </w14:textFill>
              </w:rPr>
              <w:t>芘</w:t>
            </w:r>
          </w:p>
        </w:tc>
        <w:tc>
          <w:tcPr>
            <w:tcW w:w="466" w:type="pct"/>
            <w:noWrap w:val="0"/>
            <w:vAlign w:val="center"/>
          </w:tcPr>
          <w:p w14:paraId="7AC34EF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5456FDD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5ACE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211802A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22</w:t>
            </w:r>
          </w:p>
        </w:tc>
        <w:tc>
          <w:tcPr>
            <w:tcW w:w="1055" w:type="pct"/>
            <w:noWrap w:val="0"/>
            <w:vAlign w:val="center"/>
          </w:tcPr>
          <w:p w14:paraId="141C4B2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1,1,1-三氯乙烷</w:t>
            </w:r>
          </w:p>
        </w:tc>
        <w:tc>
          <w:tcPr>
            <w:tcW w:w="524" w:type="pct"/>
            <w:noWrap w:val="0"/>
            <w:vAlign w:val="center"/>
          </w:tcPr>
          <w:p w14:paraId="3B2600D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7D5C03B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840</w:t>
            </w:r>
          </w:p>
        </w:tc>
        <w:tc>
          <w:tcPr>
            <w:tcW w:w="394" w:type="pct"/>
            <w:noWrap w:val="0"/>
            <w:vAlign w:val="center"/>
          </w:tcPr>
          <w:p w14:paraId="472843BB">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w:t>
            </w:r>
          </w:p>
        </w:tc>
        <w:tc>
          <w:tcPr>
            <w:tcW w:w="1121" w:type="pct"/>
            <w:noWrap w:val="0"/>
            <w:vAlign w:val="center"/>
          </w:tcPr>
          <w:p w14:paraId="74B9781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萘</w:t>
            </w:r>
          </w:p>
        </w:tc>
        <w:tc>
          <w:tcPr>
            <w:tcW w:w="466" w:type="pct"/>
            <w:noWrap w:val="0"/>
            <w:vAlign w:val="center"/>
          </w:tcPr>
          <w:p w14:paraId="23471F6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11C983A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w:t>
            </w:r>
          </w:p>
        </w:tc>
      </w:tr>
      <w:tr w14:paraId="00E7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42F3F9E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23</w:t>
            </w:r>
          </w:p>
        </w:tc>
        <w:tc>
          <w:tcPr>
            <w:tcW w:w="1055" w:type="pct"/>
            <w:noWrap w:val="0"/>
            <w:vAlign w:val="center"/>
          </w:tcPr>
          <w:p w14:paraId="3A4DD6A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1,1,2-三氯乙烷</w:t>
            </w:r>
          </w:p>
        </w:tc>
        <w:tc>
          <w:tcPr>
            <w:tcW w:w="524" w:type="pct"/>
            <w:noWrap w:val="0"/>
            <w:vAlign w:val="center"/>
          </w:tcPr>
          <w:p w14:paraId="621A398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36B851F6">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394" w:type="pct"/>
            <w:noWrap w:val="0"/>
            <w:vAlign w:val="center"/>
          </w:tcPr>
          <w:p w14:paraId="1D488C5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47</w:t>
            </w:r>
          </w:p>
        </w:tc>
        <w:tc>
          <w:tcPr>
            <w:tcW w:w="1121" w:type="pct"/>
            <w:noWrap w:val="0"/>
            <w:vAlign w:val="center"/>
          </w:tcPr>
          <w:p w14:paraId="21C5F91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石油烃</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C</w:t>
            </w:r>
            <w:r>
              <w:rPr>
                <w:rFonts w:hint="default" w:ascii="Times New Roman" w:hAnsi="Times New Roman" w:cs="Times New Roman"/>
                <w:color w:val="000000" w:themeColor="text1"/>
                <w:highlight w:val="none"/>
                <w:vertAlign w:val="subscript"/>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-C</w:t>
            </w:r>
            <w:r>
              <w:rPr>
                <w:rFonts w:hint="default" w:ascii="Times New Roman" w:hAnsi="Times New Roman" w:cs="Times New Roman"/>
                <w:color w:val="000000" w:themeColor="text1"/>
                <w:highlight w:val="none"/>
                <w:vertAlign w:val="subscript"/>
                <w14:textFill>
                  <w14:solidFill>
                    <w14:schemeClr w14:val="tx1"/>
                  </w14:solidFill>
                </w14:textFill>
              </w:rPr>
              <w:t>40</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466" w:type="pct"/>
            <w:noWrap w:val="0"/>
            <w:vAlign w:val="center"/>
          </w:tcPr>
          <w:p w14:paraId="1E08FDD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2" w:type="pct"/>
            <w:noWrap w:val="0"/>
            <w:vAlign w:val="center"/>
          </w:tcPr>
          <w:p w14:paraId="7A19A0B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4500</w:t>
            </w:r>
          </w:p>
        </w:tc>
      </w:tr>
      <w:tr w14:paraId="1912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94" w:type="pct"/>
            <w:noWrap w:val="0"/>
            <w:vAlign w:val="center"/>
          </w:tcPr>
          <w:p w14:paraId="47FA3197">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24</w:t>
            </w:r>
          </w:p>
        </w:tc>
        <w:tc>
          <w:tcPr>
            <w:tcW w:w="1055" w:type="pct"/>
            <w:noWrap w:val="0"/>
            <w:vAlign w:val="center"/>
          </w:tcPr>
          <w:p w14:paraId="48B43FA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三氯乙烯</w:t>
            </w:r>
          </w:p>
        </w:tc>
        <w:tc>
          <w:tcPr>
            <w:tcW w:w="524" w:type="pct"/>
            <w:noWrap w:val="0"/>
            <w:vAlign w:val="center"/>
          </w:tcPr>
          <w:p w14:paraId="235B3EC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524" w:type="pct"/>
            <w:noWrap w:val="0"/>
            <w:vAlign w:val="center"/>
          </w:tcPr>
          <w:p w14:paraId="7881596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394" w:type="pct"/>
            <w:noWrap w:val="0"/>
            <w:vAlign w:val="center"/>
          </w:tcPr>
          <w:p w14:paraId="4C658ABF">
            <w:pPr>
              <w:pStyle w:val="47"/>
              <w:rPr>
                <w:rFonts w:hint="default" w:ascii="Times New Roman" w:hAnsi="Times New Roman" w:cs="Times New Roman"/>
                <w:color w:val="000000" w:themeColor="text1"/>
                <w:highlight w:val="none"/>
                <w14:textFill>
                  <w14:solidFill>
                    <w14:schemeClr w14:val="tx1"/>
                  </w14:solidFill>
                </w14:textFill>
              </w:rPr>
            </w:pPr>
          </w:p>
        </w:tc>
        <w:tc>
          <w:tcPr>
            <w:tcW w:w="1121" w:type="pct"/>
            <w:noWrap w:val="0"/>
            <w:vAlign w:val="center"/>
          </w:tcPr>
          <w:p w14:paraId="11321F7D">
            <w:pPr>
              <w:pStyle w:val="47"/>
              <w:rPr>
                <w:rFonts w:hint="default" w:ascii="Times New Roman" w:hAnsi="Times New Roman" w:cs="Times New Roman"/>
                <w:color w:val="000000" w:themeColor="text1"/>
                <w:highlight w:val="none"/>
                <w14:textFill>
                  <w14:solidFill>
                    <w14:schemeClr w14:val="tx1"/>
                  </w14:solidFill>
                </w14:textFill>
              </w:rPr>
            </w:pPr>
          </w:p>
        </w:tc>
        <w:tc>
          <w:tcPr>
            <w:tcW w:w="466" w:type="pct"/>
            <w:noWrap w:val="0"/>
            <w:vAlign w:val="center"/>
          </w:tcPr>
          <w:p w14:paraId="4D77376B">
            <w:pPr>
              <w:pStyle w:val="47"/>
              <w:rPr>
                <w:rFonts w:hint="default" w:ascii="Times New Roman" w:hAnsi="Times New Roman" w:cs="Times New Roman"/>
                <w:color w:val="000000" w:themeColor="text1"/>
                <w:highlight w:val="none"/>
                <w14:textFill>
                  <w14:solidFill>
                    <w14:schemeClr w14:val="tx1"/>
                  </w14:solidFill>
                </w14:textFill>
              </w:rPr>
            </w:pPr>
          </w:p>
        </w:tc>
        <w:tc>
          <w:tcPr>
            <w:tcW w:w="522" w:type="pct"/>
            <w:noWrap w:val="0"/>
            <w:vAlign w:val="center"/>
          </w:tcPr>
          <w:p w14:paraId="214F2577">
            <w:pPr>
              <w:pStyle w:val="47"/>
              <w:rPr>
                <w:rFonts w:hint="default" w:ascii="Times New Roman" w:hAnsi="Times New Roman" w:cs="Times New Roman"/>
                <w:color w:val="000000" w:themeColor="text1"/>
                <w:highlight w:val="none"/>
                <w14:textFill>
                  <w14:solidFill>
                    <w14:schemeClr w14:val="tx1"/>
                  </w14:solidFill>
                </w14:textFill>
              </w:rPr>
            </w:pPr>
          </w:p>
        </w:tc>
      </w:tr>
    </w:tbl>
    <w:p w14:paraId="2352CB5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highlight w:val="none"/>
          <w:lang w:val="en-US"/>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4-4</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 xml:space="preserve">   《</w:t>
      </w:r>
      <w:bookmarkStart w:id="177" w:name="OLE_LINK67"/>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土壤环境质量 农用地土壤污染风险管控标准（试行）</w:t>
      </w:r>
      <w:bookmarkEnd w:id="177"/>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》表1筛选值</w:t>
      </w:r>
      <w:r>
        <w:rPr>
          <w:rFonts w:hint="eastAsia" w:eastAsia="黑体" w:cs="Times New Roman"/>
          <w:b/>
          <w:bCs w:val="0"/>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6.5&lt;pH≤</w:t>
      </w:r>
      <w:bookmarkStart w:id="178" w:name="OLE_LINK1114"/>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7.5</w:t>
      </w:r>
      <w:bookmarkEnd w:id="178"/>
      <w:r>
        <w:rPr>
          <w:rFonts w:hint="eastAsia" w:eastAsia="黑体" w:cs="Times New Roman"/>
          <w:b/>
          <w:bCs w:val="0"/>
          <w:color w:val="000000" w:themeColor="text1"/>
          <w:sz w:val="21"/>
          <w:szCs w:val="21"/>
          <w:highlight w:val="none"/>
          <w:lang w:val="en-US" w:eastAsia="zh-CN" w:bidi="ar-SA"/>
          <w14:textFill>
            <w14:solidFill>
              <w14:schemeClr w14:val="tx1"/>
            </w14:solidFill>
          </w14:textFill>
        </w:rPr>
        <w:t>）</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153"/>
        <w:gridCol w:w="1577"/>
        <w:gridCol w:w="4068"/>
      </w:tblGrid>
      <w:tr w14:paraId="7F86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ign w:val="center"/>
          </w:tcPr>
          <w:p w14:paraId="5ACE7F4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bookmarkStart w:id="179" w:name="OLE_LINK68"/>
            <w:r>
              <w:rPr>
                <w:rFonts w:hint="default" w:ascii="Times New Roman" w:hAnsi="Times New Roman" w:cs="Times New Roman"/>
                <w:b/>
                <w:bCs w:val="0"/>
                <w:color w:val="000000" w:themeColor="text1"/>
                <w:highlight w:val="none"/>
                <w14:textFill>
                  <w14:solidFill>
                    <w14:schemeClr w14:val="tx1"/>
                  </w14:solidFill>
                </w14:textFill>
              </w:rPr>
              <w:t>序号</w:t>
            </w:r>
          </w:p>
        </w:tc>
        <w:tc>
          <w:tcPr>
            <w:tcW w:w="1248" w:type="pct"/>
            <w:noWrap/>
            <w:vAlign w:val="center"/>
          </w:tcPr>
          <w:p w14:paraId="316E9AF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监测因子</w:t>
            </w:r>
          </w:p>
        </w:tc>
        <w:tc>
          <w:tcPr>
            <w:tcW w:w="914" w:type="pct"/>
            <w:noWrap w:val="0"/>
            <w:vAlign w:val="top"/>
          </w:tcPr>
          <w:p w14:paraId="3051810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单位</w:t>
            </w:r>
          </w:p>
        </w:tc>
        <w:tc>
          <w:tcPr>
            <w:tcW w:w="2358" w:type="pct"/>
            <w:noWrap/>
            <w:vAlign w:val="center"/>
          </w:tcPr>
          <w:p w14:paraId="20F5C9D1">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标准值</w:t>
            </w:r>
          </w:p>
        </w:tc>
      </w:tr>
      <w:tr w14:paraId="5893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09AD09B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248" w:type="pct"/>
            <w:noWrap w:val="0"/>
            <w:vAlign w:val="top"/>
          </w:tcPr>
          <w:p w14:paraId="29E61AE4">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pH值</w:t>
            </w:r>
          </w:p>
        </w:tc>
        <w:tc>
          <w:tcPr>
            <w:tcW w:w="914" w:type="pct"/>
            <w:noWrap w:val="0"/>
            <w:vAlign w:val="center"/>
          </w:tcPr>
          <w:p w14:paraId="6564C0D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无量纲</w:t>
            </w:r>
          </w:p>
        </w:tc>
        <w:tc>
          <w:tcPr>
            <w:tcW w:w="2358" w:type="pct"/>
            <w:noWrap w:val="0"/>
            <w:vAlign w:val="center"/>
          </w:tcPr>
          <w:p w14:paraId="4AD355B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6.5&lt;pH≤7.5</w:t>
            </w:r>
          </w:p>
        </w:tc>
      </w:tr>
      <w:tr w14:paraId="6511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24BDD245">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248" w:type="pct"/>
            <w:noWrap w:val="0"/>
            <w:vAlign w:val="top"/>
          </w:tcPr>
          <w:p w14:paraId="43C1722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砷</w:t>
            </w:r>
          </w:p>
        </w:tc>
        <w:tc>
          <w:tcPr>
            <w:tcW w:w="914" w:type="pct"/>
            <w:noWrap w:val="0"/>
            <w:vAlign w:val="center"/>
          </w:tcPr>
          <w:p w14:paraId="3C15DFA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703122C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w:t>
            </w:r>
          </w:p>
        </w:tc>
      </w:tr>
      <w:tr w14:paraId="5CDB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5EAB3D9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248" w:type="pct"/>
            <w:noWrap w:val="0"/>
            <w:vAlign w:val="top"/>
          </w:tcPr>
          <w:p w14:paraId="237D718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镉</w:t>
            </w:r>
          </w:p>
        </w:tc>
        <w:tc>
          <w:tcPr>
            <w:tcW w:w="914" w:type="pct"/>
            <w:noWrap w:val="0"/>
            <w:vAlign w:val="center"/>
          </w:tcPr>
          <w:p w14:paraId="1B161CB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1873F35B">
            <w:pPr>
              <w:pStyle w:val="47"/>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3</w:t>
            </w:r>
          </w:p>
        </w:tc>
      </w:tr>
      <w:tr w14:paraId="777D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7307B6E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248" w:type="pct"/>
            <w:noWrap w:val="0"/>
            <w:vAlign w:val="top"/>
          </w:tcPr>
          <w:p w14:paraId="37CFAAE5">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铬</w:t>
            </w:r>
          </w:p>
        </w:tc>
        <w:tc>
          <w:tcPr>
            <w:tcW w:w="914" w:type="pct"/>
            <w:noWrap w:val="0"/>
            <w:vAlign w:val="center"/>
          </w:tcPr>
          <w:p w14:paraId="410C7A9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18FFDA9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0</w:t>
            </w:r>
          </w:p>
        </w:tc>
      </w:tr>
      <w:tr w14:paraId="5871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0341553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248" w:type="pct"/>
            <w:noWrap w:val="0"/>
            <w:vAlign w:val="top"/>
          </w:tcPr>
          <w:p w14:paraId="1DF27A2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铜</w:t>
            </w:r>
          </w:p>
        </w:tc>
        <w:tc>
          <w:tcPr>
            <w:tcW w:w="914" w:type="pct"/>
            <w:noWrap w:val="0"/>
            <w:vAlign w:val="center"/>
          </w:tcPr>
          <w:p w14:paraId="3188F2E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4E76219A">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w:t>
            </w:r>
          </w:p>
        </w:tc>
      </w:tr>
      <w:tr w14:paraId="32A4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12366ED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248" w:type="pct"/>
            <w:noWrap w:val="0"/>
            <w:vAlign w:val="top"/>
          </w:tcPr>
          <w:p w14:paraId="61A6F7A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铅</w:t>
            </w:r>
          </w:p>
        </w:tc>
        <w:tc>
          <w:tcPr>
            <w:tcW w:w="914" w:type="pct"/>
            <w:noWrap w:val="0"/>
            <w:vAlign w:val="center"/>
          </w:tcPr>
          <w:p w14:paraId="1A294A0E">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186D824F">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0</w:t>
            </w:r>
          </w:p>
        </w:tc>
      </w:tr>
      <w:tr w14:paraId="3FBE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7EC490A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248" w:type="pct"/>
            <w:noWrap w:val="0"/>
            <w:vAlign w:val="top"/>
          </w:tcPr>
          <w:p w14:paraId="76D9AA9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汞</w:t>
            </w:r>
          </w:p>
        </w:tc>
        <w:tc>
          <w:tcPr>
            <w:tcW w:w="914" w:type="pct"/>
            <w:noWrap w:val="0"/>
            <w:vAlign w:val="center"/>
          </w:tcPr>
          <w:p w14:paraId="12F7F3B1">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2A313A4C">
            <w:pPr>
              <w:pStyle w:val="47"/>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.4</w:t>
            </w:r>
          </w:p>
        </w:tc>
      </w:tr>
      <w:tr w14:paraId="6159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center"/>
          </w:tcPr>
          <w:p w14:paraId="2E9CC112">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248" w:type="pct"/>
            <w:noWrap w:val="0"/>
            <w:vAlign w:val="top"/>
          </w:tcPr>
          <w:p w14:paraId="01FF555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镍</w:t>
            </w:r>
          </w:p>
        </w:tc>
        <w:tc>
          <w:tcPr>
            <w:tcW w:w="914" w:type="pct"/>
            <w:noWrap w:val="0"/>
            <w:vAlign w:val="center"/>
          </w:tcPr>
          <w:p w14:paraId="7F58898D">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center"/>
          </w:tcPr>
          <w:p w14:paraId="32A8D17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0</w:t>
            </w:r>
          </w:p>
        </w:tc>
      </w:tr>
      <w:tr w14:paraId="6CB1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noWrap w:val="0"/>
            <w:vAlign w:val="top"/>
          </w:tcPr>
          <w:p w14:paraId="5F3A57E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248" w:type="pct"/>
            <w:noWrap w:val="0"/>
            <w:vAlign w:val="top"/>
          </w:tcPr>
          <w:p w14:paraId="40CC1FD3">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锌</w:t>
            </w:r>
          </w:p>
        </w:tc>
        <w:tc>
          <w:tcPr>
            <w:tcW w:w="914" w:type="pct"/>
            <w:noWrap w:val="0"/>
            <w:vAlign w:val="center"/>
          </w:tcPr>
          <w:p w14:paraId="314E8209">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mg/kg</w:t>
            </w:r>
          </w:p>
        </w:tc>
        <w:tc>
          <w:tcPr>
            <w:tcW w:w="2358" w:type="pct"/>
            <w:noWrap w:val="0"/>
            <w:vAlign w:val="top"/>
          </w:tcPr>
          <w:p w14:paraId="66F2805C">
            <w:pPr>
              <w:pStyle w:val="47"/>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25</w:t>
            </w:r>
            <w:r>
              <w:rPr>
                <w:rFonts w:hint="default" w:ascii="Times New Roman" w:hAnsi="Times New Roman" w:cs="Times New Roman"/>
                <w:color w:val="000000" w:themeColor="text1"/>
                <w:highlight w:val="none"/>
                <w14:textFill>
                  <w14:solidFill>
                    <w14:schemeClr w14:val="tx1"/>
                  </w14:solidFill>
                </w14:textFill>
              </w:rPr>
              <w:t>0</w:t>
            </w:r>
          </w:p>
        </w:tc>
      </w:tr>
      <w:bookmarkEnd w:id="179"/>
    </w:tbl>
    <w:p w14:paraId="7D32195F">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大气环境</w:t>
      </w:r>
    </w:p>
    <w:p w14:paraId="32A2B69C">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环境空气质量评价中SO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、NO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14:textFill>
            <w14:solidFill>
              <w14:schemeClr w14:val="tx1"/>
            </w14:solidFill>
          </w14:textFill>
        </w:rPr>
        <w:t>2.5</w:t>
      </w: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、CO、O</w:t>
      </w:r>
      <w:r>
        <w:rPr>
          <w:rFonts w:hint="default" w:ascii="Times New Roman" w:hAnsi="Times New Roman" w:cs="Times New Roman"/>
          <w:color w:val="000000" w:themeColor="text1"/>
          <w:highlight w:val="none"/>
          <w:vertAlign w:val="sub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六项指标执行</w:t>
      </w:r>
      <w:r>
        <w:rPr>
          <w:rFonts w:hint="default" w:ascii="Times New Roman" w:hAnsi="Times New Roman" w:cs="Times New Roman"/>
          <w:color w:val="000000" w:themeColor="text1"/>
          <w:highlight w:val="none"/>
          <w:lang w:eastAsia="zh-CN"/>
          <w14:textFill>
            <w14:solidFill>
              <w14:schemeClr w14:val="tx1"/>
            </w14:solidFill>
          </w14:textFill>
        </w:rPr>
        <w:t>《</w:t>
      </w:r>
      <w:bookmarkStart w:id="180" w:name="OLE_LINK48"/>
      <w:r>
        <w:rPr>
          <w:rFonts w:hint="default" w:ascii="Times New Roman" w:hAnsi="Times New Roman" w:cs="Times New Roman"/>
          <w:color w:val="000000" w:themeColor="text1"/>
          <w:highlight w:val="none"/>
          <w14:textFill>
            <w14:solidFill>
              <w14:schemeClr w14:val="tx1"/>
            </w14:solidFill>
          </w14:textFill>
        </w:rPr>
        <w:t>环境空气质量标准</w:t>
      </w:r>
      <w:bookmarkEnd w:id="180"/>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GB3095-2012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表1中</w:t>
      </w:r>
      <w:r>
        <w:rPr>
          <w:rFonts w:hint="default" w:ascii="Times New Roman" w:hAnsi="Times New Roman" w:cs="Times New Roman"/>
          <w:color w:val="000000" w:themeColor="text1"/>
          <w:highlight w:val="none"/>
          <w14:textFill>
            <w14:solidFill>
              <w14:schemeClr w14:val="tx1"/>
            </w14:solidFill>
          </w14:textFill>
        </w:rPr>
        <w:t>二级标准。</w:t>
      </w:r>
      <w:r>
        <w:rPr>
          <w:color w:val="000000" w:themeColor="text1"/>
          <w:highlight w:val="none"/>
          <w14:textFill>
            <w14:solidFill>
              <w14:schemeClr w14:val="tx1"/>
            </w14:solidFill>
          </w14:textFill>
        </w:rPr>
        <w:t>对于未作出规定的</w:t>
      </w:r>
      <w:r>
        <w:rPr>
          <w:rFonts w:hint="eastAsia"/>
          <w:color w:val="000000" w:themeColor="text1"/>
          <w:highlight w:val="none"/>
          <w:lang w:val="en-US" w:eastAsia="zh-CN"/>
          <w14:textFill>
            <w14:solidFill>
              <w14:schemeClr w14:val="tx1"/>
            </w14:solidFill>
          </w14:textFill>
        </w:rPr>
        <w:t>非甲烷总烃</w:t>
      </w:r>
      <w:r>
        <w:rPr>
          <w:color w:val="000000" w:themeColor="text1"/>
          <w:highlight w:val="none"/>
          <w14:textFill>
            <w14:solidFill>
              <w14:schemeClr w14:val="tx1"/>
            </w14:solidFill>
          </w14:textFill>
        </w:rPr>
        <w:t>参照执行《</w:t>
      </w:r>
      <w:bookmarkStart w:id="181" w:name="OLE_LINK49"/>
      <w:r>
        <w:rPr>
          <w:color w:val="000000" w:themeColor="text1"/>
          <w:highlight w:val="none"/>
          <w14:textFill>
            <w14:solidFill>
              <w14:schemeClr w14:val="tx1"/>
            </w14:solidFill>
          </w14:textFill>
        </w:rPr>
        <w:t>大气污染物综合排放标准详解</w:t>
      </w:r>
      <w:bookmarkEnd w:id="181"/>
      <w:r>
        <w:rPr>
          <w:color w:val="000000" w:themeColor="text1"/>
          <w:highlight w:val="none"/>
          <w14:textFill>
            <w14:solidFill>
              <w14:schemeClr w14:val="tx1"/>
            </w14:solidFill>
          </w14:textFill>
        </w:rPr>
        <w:t>》2.0mg/m</w:t>
      </w:r>
      <w:r>
        <w:rPr>
          <w:rFonts w:hint="eastAsia"/>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的标准</w:t>
      </w:r>
      <w:r>
        <w:rPr>
          <w:rFonts w:hint="eastAsia"/>
          <w:snapToGrid w:val="0"/>
          <w:color w:val="000000" w:themeColor="text1"/>
          <w:szCs w:val="24"/>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S参考执行《</w:t>
      </w:r>
      <w:bookmarkStart w:id="182" w:name="OLE_LINK50"/>
      <w:r>
        <w:rPr>
          <w:color w:val="000000" w:themeColor="text1"/>
          <w:highlight w:val="none"/>
          <w14:textFill>
            <w14:solidFill>
              <w14:schemeClr w14:val="tx1"/>
            </w14:solidFill>
          </w14:textFill>
        </w:rPr>
        <w:t>环境影响评价技术导则</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大气环境</w:t>
      </w:r>
      <w:bookmarkEnd w:id="182"/>
      <w:r>
        <w:rPr>
          <w:color w:val="000000" w:themeColor="text1"/>
          <w:highlight w:val="none"/>
          <w14:textFill>
            <w14:solidFill>
              <w14:schemeClr w14:val="tx1"/>
            </w14:solidFill>
          </w14:textFill>
        </w:rPr>
        <w:t>》（HJ2.2-2018）附录D中的1h平均浓度限值10μg/m</w:t>
      </w:r>
      <w:r>
        <w:rPr>
          <w:rFonts w:hint="eastAsia"/>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。环境空气指标标准取值见表2.</w:t>
      </w: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cs="Times New Roman"/>
          <w:color w:val="000000" w:themeColor="text1"/>
          <w:highlight w:val="none"/>
          <w14:textFill>
            <w14:solidFill>
              <w14:schemeClr w14:val="tx1"/>
            </w14:solidFill>
          </w14:textFill>
        </w:rPr>
        <w:t>。</w:t>
      </w:r>
    </w:p>
    <w:p w14:paraId="6E9AC058">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4-5</w:t>
      </w:r>
      <w:r>
        <w:rPr>
          <w:rFonts w:hint="default" w:ascii="Times New Roman" w:hAnsi="Times New Roman" w:eastAsia="黑体" w:cs="Times New Roman"/>
          <w:b/>
          <w:bCs w:val="0"/>
          <w:color w:val="000000" w:themeColor="text1"/>
          <w:sz w:val="21"/>
          <w:szCs w:val="21"/>
          <w:highlight w:val="none"/>
          <w:lang w:val="en-US" w:eastAsia="zh-CN" w:bidi="ar-SA"/>
          <w14:textFill>
            <w14:solidFill>
              <w14:schemeClr w14:val="tx1"/>
            </w14:solidFill>
          </w14:textFill>
        </w:rPr>
        <w:t xml:space="preserve">   环境空气质量标准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039"/>
        <w:gridCol w:w="779"/>
        <w:gridCol w:w="1126"/>
        <w:gridCol w:w="1127"/>
        <w:gridCol w:w="2788"/>
      </w:tblGrid>
      <w:tr w14:paraId="1E55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7" w:type="dxa"/>
            <w:vMerge w:val="restart"/>
            <w:vAlign w:val="center"/>
          </w:tcPr>
          <w:p w14:paraId="1D83E89B">
            <w:pPr>
              <w:spacing w:line="240" w:lineRule="exact"/>
              <w:ind w:left="-105" w:right="-105"/>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2039" w:type="dxa"/>
            <w:vMerge w:val="restart"/>
            <w:vAlign w:val="center"/>
          </w:tcPr>
          <w:p w14:paraId="38977E87">
            <w:pPr>
              <w:spacing w:line="240" w:lineRule="exact"/>
              <w:ind w:left="-105" w:right="-105"/>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评价因子</w:t>
            </w:r>
          </w:p>
        </w:tc>
        <w:tc>
          <w:tcPr>
            <w:tcW w:w="3032" w:type="dxa"/>
            <w:gridSpan w:val="3"/>
            <w:vAlign w:val="center"/>
          </w:tcPr>
          <w:p w14:paraId="4567D44B">
            <w:pPr>
              <w:spacing w:line="240" w:lineRule="exact"/>
              <w:ind w:left="-105" w:right="-105"/>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标准限值（</w:t>
            </w:r>
            <w:r>
              <w:rPr>
                <w:rFonts w:hint="default" w:ascii="Times New Roman" w:hAnsi="Times New Roman" w:eastAsia="宋体" w:cs="Times New Roman"/>
                <w:b/>
                <w:bCs w:val="0"/>
                <w:color w:val="000000" w:themeColor="text1"/>
                <w:kern w:val="24"/>
                <w:sz w:val="21"/>
                <w:szCs w:val="21"/>
                <w:highlight w:val="none"/>
                <w14:textFill>
                  <w14:solidFill>
                    <w14:schemeClr w14:val="tx1"/>
                  </w14:solidFill>
                </w14:textFill>
              </w:rPr>
              <w:t>μg</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/m³）</w:t>
            </w:r>
          </w:p>
        </w:tc>
        <w:tc>
          <w:tcPr>
            <w:tcW w:w="2788" w:type="dxa"/>
            <w:vMerge w:val="restart"/>
            <w:vAlign w:val="center"/>
          </w:tcPr>
          <w:p w14:paraId="6E074426">
            <w:pPr>
              <w:spacing w:line="240" w:lineRule="exact"/>
              <w:ind w:left="-105" w:right="-79" w:rightChars="-33"/>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标准来源</w:t>
            </w:r>
          </w:p>
        </w:tc>
      </w:tr>
      <w:tr w14:paraId="5772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7" w:type="dxa"/>
            <w:vMerge w:val="continue"/>
            <w:vAlign w:val="center"/>
          </w:tcPr>
          <w:p w14:paraId="16525B0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2039" w:type="dxa"/>
            <w:vMerge w:val="continue"/>
            <w:vAlign w:val="center"/>
          </w:tcPr>
          <w:p w14:paraId="238100E6">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79" w:type="dxa"/>
            <w:vAlign w:val="center"/>
          </w:tcPr>
          <w:p w14:paraId="568F6F69">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年平均</w:t>
            </w:r>
          </w:p>
        </w:tc>
        <w:tc>
          <w:tcPr>
            <w:tcW w:w="1126" w:type="dxa"/>
            <w:vAlign w:val="center"/>
          </w:tcPr>
          <w:p w14:paraId="3D23D77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24小时平均</w:t>
            </w:r>
          </w:p>
        </w:tc>
        <w:tc>
          <w:tcPr>
            <w:tcW w:w="1127" w:type="dxa"/>
            <w:vAlign w:val="center"/>
          </w:tcPr>
          <w:p w14:paraId="4A185714">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1小时平均</w:t>
            </w:r>
          </w:p>
        </w:tc>
        <w:tc>
          <w:tcPr>
            <w:tcW w:w="2788" w:type="dxa"/>
            <w:vMerge w:val="continue"/>
            <w:vAlign w:val="center"/>
          </w:tcPr>
          <w:p w14:paraId="39F19CC0">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101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1DDE7F61">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w:t>
            </w:r>
          </w:p>
        </w:tc>
        <w:tc>
          <w:tcPr>
            <w:tcW w:w="2039" w:type="dxa"/>
            <w:vAlign w:val="center"/>
          </w:tcPr>
          <w:p w14:paraId="2CBD407E">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二氧化硫（SO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779" w:type="dxa"/>
            <w:vAlign w:val="center"/>
          </w:tcPr>
          <w:p w14:paraId="30F319B7">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60</w:t>
            </w:r>
          </w:p>
        </w:tc>
        <w:tc>
          <w:tcPr>
            <w:tcW w:w="1126" w:type="dxa"/>
            <w:vAlign w:val="center"/>
          </w:tcPr>
          <w:p w14:paraId="6F154FA2">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150</w:t>
            </w:r>
          </w:p>
        </w:tc>
        <w:tc>
          <w:tcPr>
            <w:tcW w:w="1127" w:type="dxa"/>
            <w:vAlign w:val="center"/>
          </w:tcPr>
          <w:p w14:paraId="640255DF">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500</w:t>
            </w:r>
          </w:p>
        </w:tc>
        <w:tc>
          <w:tcPr>
            <w:tcW w:w="2788" w:type="dxa"/>
            <w:vMerge w:val="restart"/>
            <w:vAlign w:val="center"/>
          </w:tcPr>
          <w:p w14:paraId="1CF1E21C">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bookmarkStart w:id="183" w:name="OLE_LINK51"/>
            <w:r>
              <w:rPr>
                <w:rFonts w:hint="default" w:ascii="Times New Roman" w:hAnsi="Times New Roman" w:eastAsia="宋体" w:cs="Times New Roman"/>
                <w:bCs/>
                <w:color w:val="000000" w:themeColor="text1"/>
                <w:sz w:val="21"/>
                <w:szCs w:val="21"/>
                <w:highlight w:val="none"/>
                <w14:textFill>
                  <w14:solidFill>
                    <w14:schemeClr w14:val="tx1"/>
                  </w14:solidFill>
                </w14:textFill>
              </w:rPr>
              <w:t>环境空气质量标准</w:t>
            </w:r>
            <w:bookmarkEnd w:id="183"/>
            <w:r>
              <w:rPr>
                <w:rFonts w:hint="default" w:ascii="Times New Roman" w:hAnsi="Times New Roman" w:eastAsia="宋体" w:cs="Times New Roman"/>
                <w:bCs/>
                <w:color w:val="000000" w:themeColor="text1"/>
                <w:sz w:val="21"/>
                <w:szCs w:val="21"/>
                <w:highlight w:val="none"/>
                <w14:textFill>
                  <w14:solidFill>
                    <w14:schemeClr w14:val="tx1"/>
                  </w14:solidFill>
                </w14:textFill>
              </w:rPr>
              <w:t>》（GB3095-2012）</w:t>
            </w:r>
            <w:r>
              <w:rPr>
                <w:rFonts w:hint="default" w:ascii="Times New Roman" w:hAnsi="Times New Roman" w:eastAsia="宋体" w:cs="Times New Roman"/>
                <w:color w:val="000000" w:themeColor="text1"/>
                <w:sz w:val="21"/>
                <w:szCs w:val="21"/>
                <w:highlight w:val="none"/>
                <w14:textFill>
                  <w14:solidFill>
                    <w14:schemeClr w14:val="tx1"/>
                  </w14:solidFill>
                </w14:textFill>
              </w:rPr>
              <w:t>二级标准</w:t>
            </w:r>
          </w:p>
        </w:tc>
      </w:tr>
      <w:tr w14:paraId="55B7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C37E54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w:t>
            </w:r>
          </w:p>
        </w:tc>
        <w:tc>
          <w:tcPr>
            <w:tcW w:w="2039" w:type="dxa"/>
            <w:vAlign w:val="center"/>
          </w:tcPr>
          <w:p w14:paraId="15741FDF">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二氧化氮（NO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779" w:type="dxa"/>
            <w:noWrap/>
            <w:vAlign w:val="center"/>
          </w:tcPr>
          <w:p w14:paraId="039448B2">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14:textFill>
                  <w14:solidFill>
                    <w14:schemeClr w14:val="tx1"/>
                  </w14:solidFill>
                </w14:textFill>
              </w:rPr>
              <w:t>0</w:t>
            </w:r>
          </w:p>
        </w:tc>
        <w:tc>
          <w:tcPr>
            <w:tcW w:w="1126" w:type="dxa"/>
            <w:noWrap/>
            <w:vAlign w:val="center"/>
          </w:tcPr>
          <w:p w14:paraId="59CFD2BC">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80</w:t>
            </w:r>
          </w:p>
        </w:tc>
        <w:tc>
          <w:tcPr>
            <w:tcW w:w="1127" w:type="dxa"/>
            <w:noWrap/>
            <w:vAlign w:val="center"/>
          </w:tcPr>
          <w:p w14:paraId="340B3A4D">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200</w:t>
            </w:r>
          </w:p>
        </w:tc>
        <w:tc>
          <w:tcPr>
            <w:tcW w:w="2788" w:type="dxa"/>
            <w:vMerge w:val="continue"/>
            <w:vAlign w:val="center"/>
          </w:tcPr>
          <w:p w14:paraId="12188841">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72D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3DF1F20">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3</w:t>
            </w:r>
          </w:p>
        </w:tc>
        <w:tc>
          <w:tcPr>
            <w:tcW w:w="2039" w:type="dxa"/>
            <w:vAlign w:val="center"/>
          </w:tcPr>
          <w:p w14:paraId="3DB1193B">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细颗粒物（PM</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779" w:type="dxa"/>
            <w:noWrap/>
            <w:vAlign w:val="center"/>
          </w:tcPr>
          <w:p w14:paraId="5A262FB9">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35</w:t>
            </w:r>
          </w:p>
        </w:tc>
        <w:tc>
          <w:tcPr>
            <w:tcW w:w="1126" w:type="dxa"/>
            <w:noWrap/>
            <w:vAlign w:val="center"/>
          </w:tcPr>
          <w:p w14:paraId="6DE07635">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75</w:t>
            </w:r>
          </w:p>
        </w:tc>
        <w:tc>
          <w:tcPr>
            <w:tcW w:w="1127" w:type="dxa"/>
            <w:noWrap/>
            <w:vAlign w:val="center"/>
          </w:tcPr>
          <w:p w14:paraId="07BDC557">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2788" w:type="dxa"/>
            <w:vMerge w:val="continue"/>
            <w:vAlign w:val="center"/>
          </w:tcPr>
          <w:p w14:paraId="39A68E37">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365B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0810A202">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4</w:t>
            </w:r>
          </w:p>
        </w:tc>
        <w:tc>
          <w:tcPr>
            <w:tcW w:w="2039" w:type="dxa"/>
            <w:vAlign w:val="center"/>
          </w:tcPr>
          <w:p w14:paraId="2C378AE9">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可吸入颗粒物（PM</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779" w:type="dxa"/>
            <w:noWrap/>
            <w:vAlign w:val="center"/>
          </w:tcPr>
          <w:p w14:paraId="0A4108F8">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70</w:t>
            </w:r>
          </w:p>
        </w:tc>
        <w:tc>
          <w:tcPr>
            <w:tcW w:w="1126" w:type="dxa"/>
            <w:noWrap/>
            <w:vAlign w:val="center"/>
          </w:tcPr>
          <w:p w14:paraId="6F0FDAD7">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150</w:t>
            </w:r>
          </w:p>
        </w:tc>
        <w:tc>
          <w:tcPr>
            <w:tcW w:w="1127" w:type="dxa"/>
            <w:vAlign w:val="center"/>
          </w:tcPr>
          <w:p w14:paraId="17955190">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2788" w:type="dxa"/>
            <w:vMerge w:val="continue"/>
            <w:vAlign w:val="center"/>
          </w:tcPr>
          <w:p w14:paraId="573923F3">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737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614077CC">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5</w:t>
            </w:r>
          </w:p>
        </w:tc>
        <w:tc>
          <w:tcPr>
            <w:tcW w:w="2039" w:type="dxa"/>
            <w:vAlign w:val="center"/>
          </w:tcPr>
          <w:p w14:paraId="0F6A182D">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一氧化碳（CO）</w:t>
            </w:r>
          </w:p>
        </w:tc>
        <w:tc>
          <w:tcPr>
            <w:tcW w:w="779" w:type="dxa"/>
            <w:noWrap/>
            <w:vAlign w:val="center"/>
          </w:tcPr>
          <w:p w14:paraId="1C930670">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126" w:type="dxa"/>
            <w:noWrap/>
            <w:vAlign w:val="center"/>
          </w:tcPr>
          <w:p w14:paraId="7E497915">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4000</w:t>
            </w:r>
          </w:p>
        </w:tc>
        <w:tc>
          <w:tcPr>
            <w:tcW w:w="1127" w:type="dxa"/>
            <w:vAlign w:val="center"/>
          </w:tcPr>
          <w:p w14:paraId="2F098401">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10000</w:t>
            </w:r>
          </w:p>
        </w:tc>
        <w:tc>
          <w:tcPr>
            <w:tcW w:w="2788" w:type="dxa"/>
            <w:vMerge w:val="continue"/>
            <w:vAlign w:val="center"/>
          </w:tcPr>
          <w:p w14:paraId="4C23DAE6">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781A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dxa"/>
            <w:vAlign w:val="center"/>
          </w:tcPr>
          <w:p w14:paraId="765E5772">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6</w:t>
            </w:r>
          </w:p>
        </w:tc>
        <w:tc>
          <w:tcPr>
            <w:tcW w:w="2039" w:type="dxa"/>
            <w:vAlign w:val="center"/>
          </w:tcPr>
          <w:p w14:paraId="7BAC3AD6">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臭氧（O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779" w:type="dxa"/>
            <w:noWrap/>
            <w:vAlign w:val="center"/>
          </w:tcPr>
          <w:p w14:paraId="03F272D7">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126" w:type="dxa"/>
            <w:noWrap/>
            <w:vAlign w:val="center"/>
          </w:tcPr>
          <w:p w14:paraId="71C9F6FF">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127" w:type="dxa"/>
            <w:vAlign w:val="center"/>
          </w:tcPr>
          <w:p w14:paraId="6DB51591">
            <w:pPr>
              <w:spacing w:line="240" w:lineRule="exact"/>
              <w:ind w:left="-105" w:leftChars="0" w:right="-105"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200</w:t>
            </w:r>
          </w:p>
        </w:tc>
        <w:tc>
          <w:tcPr>
            <w:tcW w:w="2788" w:type="dxa"/>
            <w:vMerge w:val="continue"/>
            <w:vAlign w:val="center"/>
          </w:tcPr>
          <w:p w14:paraId="0A1F3A62">
            <w:pPr>
              <w:spacing w:line="240" w:lineRule="exact"/>
              <w:ind w:left="-105" w:right="-79" w:rightChars="-33"/>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2C7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37" w:type="dxa"/>
            <w:vAlign w:val="center"/>
          </w:tcPr>
          <w:p w14:paraId="436D3279">
            <w:pPr>
              <w:spacing w:line="240" w:lineRule="exact"/>
              <w:ind w:left="-105" w:right="-105"/>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7</w:t>
            </w:r>
          </w:p>
        </w:tc>
        <w:tc>
          <w:tcPr>
            <w:tcW w:w="2039" w:type="dxa"/>
            <w:vAlign w:val="center"/>
          </w:tcPr>
          <w:p w14:paraId="378E1DD1">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非甲烷总烃（NMHC）</w:t>
            </w:r>
          </w:p>
        </w:tc>
        <w:tc>
          <w:tcPr>
            <w:tcW w:w="779" w:type="dxa"/>
            <w:vAlign w:val="center"/>
          </w:tcPr>
          <w:p w14:paraId="4A3F327F">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126" w:type="dxa"/>
            <w:vAlign w:val="center"/>
          </w:tcPr>
          <w:p w14:paraId="124B4D96">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2000</w:t>
            </w:r>
          </w:p>
        </w:tc>
        <w:tc>
          <w:tcPr>
            <w:tcW w:w="1127" w:type="dxa"/>
            <w:vAlign w:val="center"/>
          </w:tcPr>
          <w:p w14:paraId="76F09511">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2788" w:type="dxa"/>
            <w:vAlign w:val="center"/>
          </w:tcPr>
          <w:p w14:paraId="1269FE9F">
            <w:pPr>
              <w:pStyle w:val="64"/>
              <w:keepNext w:val="0"/>
              <w:keepLines w:val="0"/>
              <w:pageBreakBefore w:val="0"/>
              <w:widowControl w:val="0"/>
              <w:kinsoku/>
              <w:wordWrap/>
              <w:overflowPunct/>
              <w:topLinePunct w:val="0"/>
              <w:autoSpaceDE/>
              <w:autoSpaceDN/>
              <w:bidi w:val="0"/>
              <w:snapToGrid/>
              <w:spacing w:line="240" w:lineRule="auto"/>
              <w:ind w:left="0" w:leftChars="0" w:right="-79" w:rightChars="-33"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GB16297-1996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详解</w:t>
            </w:r>
          </w:p>
        </w:tc>
      </w:tr>
      <w:tr w14:paraId="53C2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37" w:type="dxa"/>
            <w:vAlign w:val="center"/>
          </w:tcPr>
          <w:p w14:paraId="25F219AB">
            <w:pPr>
              <w:spacing w:line="240" w:lineRule="exact"/>
              <w:ind w:left="-105" w:right="-105"/>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8</w:t>
            </w:r>
          </w:p>
        </w:tc>
        <w:tc>
          <w:tcPr>
            <w:tcW w:w="2039" w:type="dxa"/>
            <w:vAlign w:val="center"/>
          </w:tcPr>
          <w:p w14:paraId="4993AAA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硫化氢（H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S）</w:t>
            </w:r>
          </w:p>
        </w:tc>
        <w:tc>
          <w:tcPr>
            <w:tcW w:w="779" w:type="dxa"/>
            <w:vAlign w:val="center"/>
          </w:tcPr>
          <w:p w14:paraId="27938480">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126" w:type="dxa"/>
            <w:vAlign w:val="center"/>
          </w:tcPr>
          <w:p w14:paraId="15F8A45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127" w:type="dxa"/>
            <w:vAlign w:val="center"/>
          </w:tcPr>
          <w:p w14:paraId="6E609873">
            <w:pPr>
              <w:spacing w:line="240" w:lineRule="exact"/>
              <w:ind w:left="-105" w:right="-105"/>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c>
          <w:tcPr>
            <w:tcW w:w="2788" w:type="dxa"/>
            <w:vAlign w:val="center"/>
          </w:tcPr>
          <w:p w14:paraId="2A8CE5BB">
            <w:pPr>
              <w:pStyle w:val="64"/>
              <w:keepNext w:val="0"/>
              <w:keepLines w:val="0"/>
              <w:pageBreakBefore w:val="0"/>
              <w:widowControl w:val="0"/>
              <w:kinsoku/>
              <w:wordWrap/>
              <w:overflowPunct/>
              <w:topLinePunct w:val="0"/>
              <w:autoSpaceDE/>
              <w:autoSpaceDN/>
              <w:bidi w:val="0"/>
              <w:snapToGrid/>
              <w:spacing w:line="240" w:lineRule="auto"/>
              <w:ind w:left="0" w:leftChars="0" w:right="-79" w:rightChars="-33"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参考执行</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环境影响评价技术导则 大气环境</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HJ2.2-2018</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附录D中的1h平均浓度限值</w:t>
            </w:r>
          </w:p>
        </w:tc>
      </w:tr>
    </w:tbl>
    <w:p w14:paraId="154F5C02">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）声环境</w:t>
      </w:r>
    </w:p>
    <w:p w14:paraId="0DC2F175">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工程所在</w:t>
      </w:r>
      <w:r>
        <w:rPr>
          <w:rFonts w:hint="default" w:ascii="Times New Roman" w:hAnsi="Times New Roman" w:cs="Times New Roman"/>
          <w:color w:val="000000" w:themeColor="text1"/>
          <w:highlight w:val="none"/>
          <w:lang w:eastAsia="zh-CN"/>
          <w14:textFill>
            <w14:solidFill>
              <w14:schemeClr w14:val="tx1"/>
            </w14:solidFill>
          </w14:textFill>
        </w:rPr>
        <w:t>区域属于油田生产区，执行《声环境质量标准》（GB3096-2008）2类标准，即昼间60dB（A），夜间50dB（A）。</w:t>
      </w:r>
    </w:p>
    <w:p w14:paraId="3377BB07">
      <w:pPr>
        <w:pStyle w:val="5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污染物排放标准</w:t>
      </w:r>
    </w:p>
    <w:p w14:paraId="30672A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）废水</w:t>
      </w:r>
    </w:p>
    <w:p w14:paraId="6ED6A0F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24"/>
          <w:highlight w:val="none"/>
          <w14:textFill>
            <w14:solidFill>
              <w14:schemeClr w14:val="tx1"/>
            </w14:solidFill>
          </w14:textFill>
        </w:rPr>
      </w:pPr>
      <w:bookmarkStart w:id="184" w:name="OLE_LINK1081"/>
      <w:bookmarkStart w:id="185" w:name="OLE_LINK1044"/>
      <w:r>
        <w:rPr>
          <w:rFonts w:hint="default" w:ascii="Times New Roman" w:hAnsi="Times New Roman" w:cs="Times New Roman"/>
          <w:color w:val="000000" w:themeColor="text1"/>
          <w:highlight w:val="none"/>
          <w14:textFill>
            <w14:solidFill>
              <w14:schemeClr w14:val="tx1"/>
            </w14:solidFill>
          </w14:textFill>
        </w:rPr>
        <w:t>施工期</w:t>
      </w:r>
      <w:bookmarkStart w:id="186" w:name="OLE_LINK1042"/>
      <w:r>
        <w:rPr>
          <w:rFonts w:hint="default" w:ascii="Times New Roman" w:hAnsi="Times New Roman" w:cs="Times New Roman"/>
          <w:color w:val="000000" w:themeColor="text1"/>
          <w:highlight w:val="none"/>
          <w14:textFill>
            <w14:solidFill>
              <w14:schemeClr w14:val="tx1"/>
            </w14:solidFill>
          </w14:textFill>
        </w:rPr>
        <w:t>生活污水</w:t>
      </w:r>
      <w:bookmarkEnd w:id="186"/>
      <w:r>
        <w:rPr>
          <w:rFonts w:hint="eastAsia" w:cs="Times New Roman"/>
          <w:color w:val="000000" w:themeColor="text1"/>
          <w:highlight w:val="none"/>
          <w:lang w:val="en-US" w:eastAsia="zh-CN"/>
          <w14:textFill>
            <w14:solidFill>
              <w14:schemeClr w14:val="tx1"/>
            </w14:solidFill>
          </w14:textFill>
        </w:rPr>
        <w:t>经井场</w:t>
      </w:r>
      <w:r>
        <w:rPr>
          <w:rFonts w:hint="default" w:ascii="Times New Roman" w:hAnsi="Times New Roman" w:cs="Times New Roman"/>
          <w:color w:val="000000" w:themeColor="text1"/>
          <w:highlight w:val="none"/>
          <w14:textFill>
            <w14:solidFill>
              <w14:schemeClr w14:val="tx1"/>
            </w14:solidFill>
          </w14:textFill>
        </w:rPr>
        <w:t>一体化污水处理装置处理后，水质达到《农村生活污水处理排放标准》（DB65 4275-2019）表二的B级标准</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《农田灌溉水质标准》（GB 5084-2021）表一旱地作物标准后用于井场及道路降尘</w:t>
      </w:r>
      <w:bookmarkEnd w:id="184"/>
      <w:r>
        <w:rPr>
          <w:rFonts w:hint="default" w:ascii="Times New Roman" w:hAnsi="Times New Roman" w:cs="Times New Roman"/>
          <w:color w:val="000000" w:themeColor="text1"/>
          <w:highlight w:val="none"/>
          <w14:textFill>
            <w14:solidFill>
              <w14:schemeClr w14:val="tx1"/>
            </w14:solidFill>
          </w14:textFill>
        </w:rPr>
        <w:t>。</w:t>
      </w:r>
      <w:bookmarkEnd w:id="185"/>
      <w:r>
        <w:rPr>
          <w:rFonts w:hint="default" w:ascii="Times New Roman" w:hAnsi="Times New Roman" w:cs="Times New Roman"/>
          <w:color w:val="000000" w:themeColor="text1"/>
          <w:highlight w:val="none"/>
          <w14:textFill>
            <w14:solidFill>
              <w14:schemeClr w14:val="tx1"/>
            </w14:solidFill>
          </w14:textFill>
        </w:rPr>
        <w:t>运营期工作人员由油田内部调剂，不新增工作人员，不新增生活污水。运营期产生的生产废水</w:t>
      </w:r>
      <w:r>
        <w:rPr>
          <w:rFonts w:hint="eastAsia" w:ascii="Times New Roman" w:hAnsi="Times New Roman" w:cs="Times New Roman"/>
          <w:color w:val="000000" w:themeColor="text1"/>
          <w:kern w:val="2"/>
          <w:sz w:val="24"/>
          <w:szCs w:val="20"/>
          <w:highlight w:val="none"/>
          <w:lang w:val="en-US" w:eastAsia="zh-CN" w:bidi="ar"/>
          <w14:textFill>
            <w14:solidFill>
              <w14:schemeClr w14:val="tx1"/>
            </w14:solidFill>
          </w14:textFill>
        </w:rPr>
        <w:t>由罐车拉运至阿克苏塔河环保工程有限公司绿色环保工作站处理</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井下作业废水自带回收罐回收</w:t>
      </w:r>
      <w:r>
        <w:rPr>
          <w:rFonts w:hint="eastAsia"/>
          <w:color w:val="000000" w:themeColor="text1"/>
          <w:highlight w:val="none"/>
          <w14:textFill>
            <w14:solidFill>
              <w14:schemeClr w14:val="tx1"/>
            </w14:solidFill>
          </w14:textFill>
        </w:rPr>
        <w:t>井下作业</w:t>
      </w:r>
      <w:r>
        <w:rPr>
          <w:rFonts w:hint="default" w:ascii="Times New Roman" w:hAnsi="Times New Roman" w:cs="Times New Roman"/>
          <w:color w:val="000000" w:themeColor="text1"/>
          <w:szCs w:val="24"/>
          <w:highlight w:val="none"/>
          <w14:textFill>
            <w14:solidFill>
              <w14:schemeClr w14:val="tx1"/>
            </w14:solidFill>
          </w14:textFill>
        </w:rPr>
        <w:t>废水，</w:t>
      </w:r>
      <w:r>
        <w:rPr>
          <w:rFonts w:hint="eastAsia" w:cs="Times New Roman"/>
          <w:color w:val="000000" w:themeColor="text1"/>
          <w:szCs w:val="24"/>
          <w:highlight w:val="none"/>
          <w:lang w:val="en-US" w:eastAsia="zh-CN"/>
          <w14:textFill>
            <w14:solidFill>
              <w14:schemeClr w14:val="tx1"/>
            </w14:solidFill>
          </w14:textFill>
        </w:rPr>
        <w:t>依托</w:t>
      </w:r>
      <w:r>
        <w:rPr>
          <w:rFonts w:hint="default" w:ascii="Times New Roman" w:hAnsi="Times New Roman" w:cs="Times New Roman"/>
          <w:color w:val="000000" w:themeColor="text1"/>
          <w:szCs w:val="24"/>
          <w:highlight w:val="none"/>
          <w14:textFill>
            <w14:solidFill>
              <w14:schemeClr w14:val="tx1"/>
            </w14:solidFill>
          </w14:textFill>
        </w:rPr>
        <w:t>阿克苏塔河环保工程有限公司绿色环保工作站处理</w:t>
      </w:r>
      <w:r>
        <w:rPr>
          <w:rFonts w:hint="eastAsia"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试油</w:t>
      </w:r>
      <w:r>
        <w:rPr>
          <w:rFonts w:hint="default" w:ascii="Times New Roman" w:hAnsi="Times New Roman" w:cs="Times New Roman"/>
          <w:color w:val="000000" w:themeColor="text1"/>
          <w:highlight w:val="none"/>
          <w14:textFill>
            <w14:solidFill>
              <w14:schemeClr w14:val="tx1"/>
            </w14:solidFill>
          </w14:textFill>
        </w:rPr>
        <w:t>采出水依托</w:t>
      </w:r>
      <w:r>
        <w:rPr>
          <w:rFonts w:hint="default" w:ascii="Times New Roman" w:hAnsi="Times New Roman" w:cs="Times New Roman"/>
          <w:color w:val="000000" w:themeColor="text1"/>
          <w:szCs w:val="24"/>
          <w:highlight w:val="none"/>
          <w14:textFill>
            <w14:solidFill>
              <w14:schemeClr w14:val="tx1"/>
            </w14:solidFill>
          </w14:textFill>
        </w:rPr>
        <w:t>阿克苏塔河环保工程有限公司绿色环保工作站</w:t>
      </w:r>
      <w:r>
        <w:rPr>
          <w:rFonts w:hint="default" w:ascii="Times New Roman" w:hAnsi="Times New Roman" w:cs="Times New Roman"/>
          <w:color w:val="000000" w:themeColor="text1"/>
          <w:highlight w:val="none"/>
          <w14:textFill>
            <w14:solidFill>
              <w14:schemeClr w14:val="tx1"/>
            </w14:solidFill>
          </w14:textFill>
        </w:rPr>
        <w:t>处理达标后回注油层，不向外环境排放，回注水执行</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24"/>
          <w:sz w:val="24"/>
          <w:szCs w:val="24"/>
          <w:highlight w:val="none"/>
          <w14:textFill>
            <w14:solidFill>
              <w14:schemeClr w14:val="tx1"/>
            </w14:solidFill>
          </w14:textFill>
        </w:rPr>
        <w:t>碎屑岩油藏注水水质指标技术要求及分析方法</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24"/>
          <w:sz w:val="24"/>
          <w:szCs w:val="24"/>
          <w:highlight w:val="none"/>
          <w14:textFill>
            <w14:solidFill>
              <w14:schemeClr w14:val="tx1"/>
            </w14:solidFill>
          </w14:textFill>
        </w:rPr>
        <w:t>SY/T5329-2022</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24"/>
          <w:sz w:val="24"/>
          <w:szCs w:val="24"/>
          <w:highlight w:val="none"/>
          <w14:textFill>
            <w14:solidFill>
              <w14:schemeClr w14:val="tx1"/>
            </w14:solidFill>
          </w14:textFill>
        </w:rPr>
        <w:t>储层空气渗透率≥2.0μm²的标准，标准值见表2.</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4-6</w:t>
      </w:r>
      <w:r>
        <w:rPr>
          <w:rFonts w:hint="default" w:ascii="Times New Roman" w:hAnsi="Times New Roman" w:cs="Times New Roman"/>
          <w:color w:val="000000" w:themeColor="text1"/>
          <w:highlight w:val="none"/>
          <w14:textFill>
            <w14:solidFill>
              <w14:schemeClr w14:val="tx1"/>
            </w14:solidFill>
          </w14:textFill>
        </w:rPr>
        <w:t>。</w:t>
      </w:r>
    </w:p>
    <w:p w14:paraId="422AF44A">
      <w:pPr>
        <w:pStyle w:val="62"/>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cs="Times New Roman"/>
          <w:b/>
          <w:bCs w:val="0"/>
          <w:color w:val="000000" w:themeColor="text1"/>
          <w:kern w:val="0"/>
          <w:sz w:val="21"/>
          <w:szCs w:val="21"/>
          <w:highlight w:val="none"/>
          <w:lang w:val="en-US" w:eastAsia="zh-CN" w:bidi="ar-SA"/>
          <w14:textFill>
            <w14:solidFill>
              <w14:schemeClr w14:val="tx1"/>
            </w14:solidFill>
          </w14:textFill>
        </w:rPr>
        <w:t>4-6</w:t>
      </w:r>
      <w:r>
        <w:rPr>
          <w:rFonts w:hint="default" w:ascii="Times New Roman" w:hAnsi="Times New Roman" w:eastAsia="黑体"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《碎屑岩油藏注水水质指标技术要求及分析方法》（SY/T</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5329-2022）</w:t>
      </w:r>
    </w:p>
    <w:tbl>
      <w:tblPr>
        <w:tblStyle w:val="3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892"/>
        <w:gridCol w:w="1376"/>
        <w:gridCol w:w="1344"/>
        <w:gridCol w:w="1238"/>
        <w:gridCol w:w="868"/>
      </w:tblGrid>
      <w:tr w14:paraId="6FC9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79EC1ED5">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储层</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空气渗透率（μm²）</w:t>
            </w:r>
          </w:p>
        </w:tc>
        <w:tc>
          <w:tcPr>
            <w:tcW w:w="892" w:type="dxa"/>
            <w:noWrap w:val="0"/>
            <w:vAlign w:val="center"/>
          </w:tcPr>
          <w:p w14:paraId="13ADF3D5">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&lt;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0.01</w:t>
            </w:r>
          </w:p>
        </w:tc>
        <w:tc>
          <w:tcPr>
            <w:tcW w:w="1376" w:type="dxa"/>
            <w:noWrap w:val="0"/>
            <w:vAlign w:val="center"/>
          </w:tcPr>
          <w:p w14:paraId="128E6751">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bookmarkStart w:id="187" w:name="OLE_LINK1168"/>
            <w:r>
              <w:rPr>
                <w:rFonts w:hint="eastAsia" w:cs="Times New Roman"/>
                <w:b/>
                <w:bCs w:val="0"/>
                <w:color w:val="000000" w:themeColor="text1"/>
                <w:sz w:val="21"/>
                <w:szCs w:val="21"/>
                <w:highlight w:val="none"/>
                <w:lang w:val="en-US" w:eastAsia="zh-CN"/>
                <w14:textFill>
                  <w14:solidFill>
                    <w14:schemeClr w14:val="tx1"/>
                  </w14:solidFill>
                </w14:textFill>
              </w:rPr>
              <w:t>(</w:t>
            </w:r>
            <w:bookmarkEnd w:id="187"/>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0.01</w:t>
            </w:r>
            <w:r>
              <w:rPr>
                <w:rFonts w:hint="eastAsia"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0.05</w:t>
            </w:r>
            <w:r>
              <w:rPr>
                <w:rFonts w:hint="eastAsia" w:cs="Times New Roman"/>
                <w:b/>
                <w:bCs w:val="0"/>
                <w:color w:val="000000" w:themeColor="text1"/>
                <w:sz w:val="21"/>
                <w:szCs w:val="21"/>
                <w:highlight w:val="none"/>
                <w:lang w:val="en-US" w:eastAsia="zh-CN"/>
                <w14:textFill>
                  <w14:solidFill>
                    <w14:schemeClr w14:val="tx1"/>
                  </w14:solidFill>
                </w14:textFill>
              </w:rPr>
              <w:t>)</w:t>
            </w:r>
          </w:p>
        </w:tc>
        <w:tc>
          <w:tcPr>
            <w:tcW w:w="1344" w:type="dxa"/>
            <w:noWrap w:val="0"/>
            <w:vAlign w:val="center"/>
          </w:tcPr>
          <w:p w14:paraId="10108A4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0.05</w:t>
            </w:r>
            <w:r>
              <w:rPr>
                <w:rFonts w:hint="eastAsia"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0.5</w:t>
            </w:r>
            <w:r>
              <w:rPr>
                <w:rFonts w:hint="eastAsia" w:cs="Times New Roman"/>
                <w:b/>
                <w:bCs w:val="0"/>
                <w:color w:val="000000" w:themeColor="text1"/>
                <w:sz w:val="21"/>
                <w:szCs w:val="21"/>
                <w:highlight w:val="none"/>
                <w:lang w:val="en-US" w:eastAsia="zh-CN"/>
                <w14:textFill>
                  <w14:solidFill>
                    <w14:schemeClr w14:val="tx1"/>
                  </w14:solidFill>
                </w14:textFill>
              </w:rPr>
              <w:t>)</w:t>
            </w:r>
          </w:p>
        </w:tc>
        <w:tc>
          <w:tcPr>
            <w:tcW w:w="1238" w:type="dxa"/>
            <w:noWrap w:val="0"/>
            <w:vAlign w:val="center"/>
          </w:tcPr>
          <w:p w14:paraId="675827C1">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0.5</w:t>
            </w:r>
            <w:r>
              <w:rPr>
                <w:rFonts w:hint="eastAsia"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2.0</w:t>
            </w:r>
            <w:r>
              <w:rPr>
                <w:rFonts w:hint="eastAsia" w:cs="Times New Roman"/>
                <w:b/>
                <w:bCs w:val="0"/>
                <w:color w:val="000000" w:themeColor="text1"/>
                <w:sz w:val="21"/>
                <w:szCs w:val="21"/>
                <w:highlight w:val="none"/>
                <w:lang w:val="en-US" w:eastAsia="zh-CN"/>
                <w14:textFill>
                  <w14:solidFill>
                    <w14:schemeClr w14:val="tx1"/>
                  </w14:solidFill>
                </w14:textFill>
              </w:rPr>
              <w:t>)</w:t>
            </w:r>
          </w:p>
        </w:tc>
        <w:tc>
          <w:tcPr>
            <w:tcW w:w="868" w:type="dxa"/>
            <w:noWrap w:val="0"/>
            <w:vAlign w:val="center"/>
          </w:tcPr>
          <w:p w14:paraId="2988FE5D">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≥2.0</w:t>
            </w:r>
          </w:p>
        </w:tc>
      </w:tr>
      <w:tr w14:paraId="6873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7680C0F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水质标准分级</w:t>
            </w:r>
          </w:p>
        </w:tc>
        <w:tc>
          <w:tcPr>
            <w:tcW w:w="892" w:type="dxa"/>
            <w:noWrap w:val="0"/>
            <w:vAlign w:val="center"/>
          </w:tcPr>
          <w:p w14:paraId="3DFF154F">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Ⅰ</w:t>
            </w:r>
          </w:p>
        </w:tc>
        <w:tc>
          <w:tcPr>
            <w:tcW w:w="1376" w:type="dxa"/>
            <w:noWrap w:val="0"/>
            <w:vAlign w:val="center"/>
          </w:tcPr>
          <w:p w14:paraId="659C0DD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Ⅱ</w:t>
            </w:r>
          </w:p>
        </w:tc>
        <w:tc>
          <w:tcPr>
            <w:tcW w:w="1344" w:type="dxa"/>
            <w:noWrap w:val="0"/>
            <w:vAlign w:val="center"/>
          </w:tcPr>
          <w:p w14:paraId="0EB58AE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Ⅲ</w:t>
            </w:r>
          </w:p>
        </w:tc>
        <w:tc>
          <w:tcPr>
            <w:tcW w:w="1238" w:type="dxa"/>
            <w:noWrap w:val="0"/>
            <w:vAlign w:val="center"/>
          </w:tcPr>
          <w:p w14:paraId="4354AD45">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Ⅳ</w:t>
            </w:r>
          </w:p>
        </w:tc>
        <w:tc>
          <w:tcPr>
            <w:tcW w:w="868" w:type="dxa"/>
            <w:noWrap w:val="0"/>
            <w:vAlign w:val="center"/>
          </w:tcPr>
          <w:p w14:paraId="0724B01B">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Ⅴ</w:t>
            </w:r>
          </w:p>
        </w:tc>
      </w:tr>
      <w:tr w14:paraId="2889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6F722CBF">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悬浮固体含量mg/L</w:t>
            </w:r>
          </w:p>
        </w:tc>
        <w:tc>
          <w:tcPr>
            <w:tcW w:w="892" w:type="dxa"/>
            <w:noWrap w:val="0"/>
            <w:vAlign w:val="center"/>
          </w:tcPr>
          <w:p w14:paraId="3F9D1D59">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376" w:type="dxa"/>
            <w:noWrap w:val="0"/>
            <w:vAlign w:val="center"/>
          </w:tcPr>
          <w:p w14:paraId="628AE03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1344" w:type="dxa"/>
            <w:noWrap w:val="0"/>
            <w:vAlign w:val="center"/>
          </w:tcPr>
          <w:p w14:paraId="35551DA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1238" w:type="dxa"/>
            <w:noWrap w:val="0"/>
            <w:vAlign w:val="center"/>
          </w:tcPr>
          <w:p w14:paraId="7F9CAE70">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w:t>
            </w:r>
          </w:p>
        </w:tc>
        <w:tc>
          <w:tcPr>
            <w:tcW w:w="868" w:type="dxa"/>
            <w:noWrap w:val="0"/>
            <w:vAlign w:val="center"/>
          </w:tcPr>
          <w:p w14:paraId="31C3158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≤35.0</w:t>
            </w:r>
          </w:p>
        </w:tc>
      </w:tr>
      <w:tr w14:paraId="56E1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68D53F65">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悬浮物颗粒直径中值㎛</w:t>
            </w:r>
          </w:p>
        </w:tc>
        <w:tc>
          <w:tcPr>
            <w:tcW w:w="892" w:type="dxa"/>
            <w:noWrap w:val="0"/>
            <w:vAlign w:val="center"/>
          </w:tcPr>
          <w:p w14:paraId="471D0B1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376" w:type="dxa"/>
            <w:noWrap w:val="0"/>
            <w:vAlign w:val="center"/>
          </w:tcPr>
          <w:p w14:paraId="1A0C1F1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344" w:type="dxa"/>
            <w:noWrap w:val="0"/>
            <w:vAlign w:val="center"/>
          </w:tcPr>
          <w:p w14:paraId="6652248A">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238" w:type="dxa"/>
            <w:noWrap w:val="0"/>
            <w:vAlign w:val="center"/>
          </w:tcPr>
          <w:p w14:paraId="273E0AC0">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868" w:type="dxa"/>
            <w:noWrap w:val="0"/>
            <w:vAlign w:val="center"/>
          </w:tcPr>
          <w:p w14:paraId="66265EC1">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r>
      <w:tr w14:paraId="7164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18" w:type="dxa"/>
            <w:noWrap w:val="0"/>
            <w:vAlign w:val="center"/>
          </w:tcPr>
          <w:p w14:paraId="0FE2211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含油量mg/L</w:t>
            </w:r>
          </w:p>
        </w:tc>
        <w:tc>
          <w:tcPr>
            <w:tcW w:w="892" w:type="dxa"/>
            <w:noWrap w:val="0"/>
            <w:vAlign w:val="center"/>
          </w:tcPr>
          <w:p w14:paraId="2E561D41">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376" w:type="dxa"/>
            <w:noWrap w:val="0"/>
            <w:vAlign w:val="center"/>
          </w:tcPr>
          <w:p w14:paraId="309DED54">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344" w:type="dxa"/>
            <w:noWrap w:val="0"/>
            <w:vAlign w:val="center"/>
          </w:tcPr>
          <w:p w14:paraId="2B0C37C4">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1238" w:type="dxa"/>
            <w:noWrap w:val="0"/>
            <w:vAlign w:val="center"/>
          </w:tcPr>
          <w:p w14:paraId="24147D8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868" w:type="dxa"/>
            <w:noWrap w:val="0"/>
            <w:vAlign w:val="center"/>
          </w:tcPr>
          <w:p w14:paraId="250928B2">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r>
      <w:tr w14:paraId="6342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818" w:type="dxa"/>
            <w:noWrap w:val="0"/>
            <w:vAlign w:val="center"/>
          </w:tcPr>
          <w:p w14:paraId="53BC10D5">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平均腐蚀率mm/a</w:t>
            </w:r>
          </w:p>
        </w:tc>
        <w:tc>
          <w:tcPr>
            <w:tcW w:w="5718" w:type="dxa"/>
            <w:gridSpan w:val="5"/>
            <w:noWrap w:val="0"/>
            <w:vAlign w:val="center"/>
          </w:tcPr>
          <w:p w14:paraId="09F0743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≤0.076</w:t>
            </w:r>
          </w:p>
        </w:tc>
      </w:tr>
    </w:tbl>
    <w:p w14:paraId="1FDB9CF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固体废物</w:t>
      </w:r>
    </w:p>
    <w:p w14:paraId="0F4D839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产生的各种固体废物的性质和去向，一般工业固体废物贮存执行《一般工业固体废物贮存和填埋污染控制标准》（GB 18599-2020）；危险废物</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执行《危险废物贮存污染控制标准》（GB18597-2023）要求及《危险废物收集 贮存 运输技术规范》（HJ2025-2012）</w:t>
      </w:r>
      <w:r>
        <w:rPr>
          <w:rFonts w:hint="default" w:ascii="Times New Roman" w:hAnsi="Times New Roman" w:cs="Times New Roman"/>
          <w:color w:val="000000" w:themeColor="text1"/>
          <w:highlight w:val="none"/>
          <w:lang w:eastAsia="zh-CN"/>
          <w14:textFill>
            <w14:solidFill>
              <w14:schemeClr w14:val="tx1"/>
            </w14:solidFill>
          </w14:textFill>
        </w:rPr>
        <w:t>。</w:t>
      </w:r>
    </w:p>
    <w:p w14:paraId="52B4F5F5">
      <w:pPr>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cs="Times New Roman"/>
          <w:color w:val="000000" w:themeColor="text1"/>
          <w:spacing w:val="6"/>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lang w:eastAsia="zh-CN"/>
          <w14:textFill>
            <w14:solidFill>
              <w14:schemeClr w14:val="tx1"/>
            </w14:solidFill>
          </w14:textFill>
        </w:rPr>
        <w:t>（</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3</w:t>
      </w:r>
      <w:r>
        <w:rPr>
          <w:rFonts w:hint="default" w:ascii="Times New Roman" w:hAnsi="Times New Roman" w:cs="Times New Roman"/>
          <w:color w:val="000000" w:themeColor="text1"/>
          <w:spacing w:val="6"/>
          <w:sz w:val="24"/>
          <w:highlight w:val="none"/>
          <w:lang w:eastAsia="zh-CN"/>
          <w14:textFill>
            <w14:solidFill>
              <w14:schemeClr w14:val="tx1"/>
            </w14:solidFill>
          </w14:textFill>
        </w:rPr>
        <w:t>）</w:t>
      </w:r>
      <w:r>
        <w:rPr>
          <w:rFonts w:hint="default" w:ascii="Times New Roman" w:hAnsi="Times New Roman" w:cs="Times New Roman"/>
          <w:color w:val="000000" w:themeColor="text1"/>
          <w:spacing w:val="6"/>
          <w:sz w:val="24"/>
          <w:highlight w:val="none"/>
          <w14:textFill>
            <w14:solidFill>
              <w14:schemeClr w14:val="tx1"/>
            </w14:solidFill>
          </w14:textFill>
        </w:rPr>
        <w:t>废气</w:t>
      </w:r>
    </w:p>
    <w:p w14:paraId="5662FF14">
      <w:pPr>
        <w:pStyle w:val="65"/>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本工程施工期无组织排放扬尘执行</w:t>
      </w:r>
      <w:bookmarkStart w:id="188" w:name="OLE_LINK71"/>
      <w:r>
        <w:rPr>
          <w:rFonts w:hint="eastAsia" w:cs="Times New Roman"/>
          <w:color w:val="000000" w:themeColor="text1"/>
          <w:highlight w:val="none"/>
          <w:lang w:val="en-US" w:eastAsia="zh-CN"/>
          <w14:textFill>
            <w14:solidFill>
              <w14:schemeClr w14:val="tx1"/>
            </w14:solidFill>
          </w14:textFill>
        </w:rPr>
        <w:t>《大气污染物综合排放标准》（GB16297-1996）</w:t>
      </w:r>
      <w:bookmarkEnd w:id="188"/>
      <w:bookmarkStart w:id="189" w:name="OLE_LINK72"/>
      <w:r>
        <w:rPr>
          <w:rFonts w:hint="eastAsia" w:cs="Times New Roman"/>
          <w:color w:val="000000" w:themeColor="text1"/>
          <w:highlight w:val="none"/>
          <w:lang w:val="en-US" w:eastAsia="zh-CN"/>
          <w14:textFill>
            <w14:solidFill>
              <w14:schemeClr w14:val="tx1"/>
            </w14:solidFill>
          </w14:textFill>
        </w:rPr>
        <w:t>表2无组织排放监控浓度限值</w:t>
      </w:r>
      <w:bookmarkEnd w:id="189"/>
      <w:r>
        <w:rPr>
          <w:rFonts w:hint="eastAsia" w:cs="Times New Roman"/>
          <w:color w:val="000000" w:themeColor="text1"/>
          <w:highlight w:val="none"/>
          <w:lang w:val="en-US" w:eastAsia="zh-CN"/>
          <w14:textFill>
            <w14:solidFill>
              <w14:schemeClr w14:val="tx1"/>
            </w14:solidFill>
          </w14:textFill>
        </w:rPr>
        <w:t>。本工程运营期</w:t>
      </w:r>
      <w:r>
        <w:rPr>
          <w:rFonts w:hint="default" w:ascii="Times New Roman" w:hAnsi="Times New Roman" w:cs="Times New Roman"/>
          <w:color w:val="000000" w:themeColor="text1"/>
          <w:highlight w:val="none"/>
          <w14:textFill>
            <w14:solidFill>
              <w14:schemeClr w14:val="tx1"/>
            </w14:solidFill>
          </w14:textFill>
        </w:rPr>
        <w:t>井场油气开采过程中</w:t>
      </w:r>
      <w:bookmarkStart w:id="190" w:name="OLE_LINK78"/>
      <w:r>
        <w:rPr>
          <w:rFonts w:hint="default" w:ascii="Times New Roman" w:hAnsi="Times New Roman" w:cs="Times New Roman"/>
          <w:color w:val="000000" w:themeColor="text1"/>
          <w:highlight w:val="none"/>
          <w14:textFill>
            <w14:solidFill>
              <w14:schemeClr w14:val="tx1"/>
            </w14:solidFill>
          </w14:textFill>
        </w:rPr>
        <w:t>井场</w:t>
      </w:r>
      <w:r>
        <w:rPr>
          <w:rFonts w:hint="eastAsia" w:ascii="宋体" w:hAnsi="宋体" w:eastAsia="宋体" w:cs="宋体"/>
          <w:color w:val="000000" w:themeColor="text1"/>
          <w:sz w:val="24"/>
          <w:szCs w:val="24"/>
          <w:highlight w:val="none"/>
          <w:lang w:val="en-US" w:eastAsia="zh-CN"/>
          <w14:textFill>
            <w14:solidFill>
              <w14:schemeClr w14:val="tx1"/>
            </w14:solidFill>
          </w14:textFill>
        </w:rPr>
        <w:t>厂界内</w:t>
      </w:r>
      <w:r>
        <w:rPr>
          <w:rFonts w:hint="default" w:ascii="Times New Roman" w:hAnsi="Times New Roman" w:cs="Times New Roman"/>
          <w:color w:val="000000" w:themeColor="text1"/>
          <w:highlight w:val="none"/>
          <w14:textFill>
            <w14:solidFill>
              <w14:schemeClr w14:val="tx1"/>
            </w14:solidFill>
          </w14:textFill>
        </w:rPr>
        <w:t>无组织排放的非甲烷总烃</w:t>
      </w:r>
      <w:r>
        <w:rPr>
          <w:rFonts w:hint="eastAsia" w:cs="Times New Roman"/>
          <w:color w:val="000000" w:themeColor="text1"/>
          <w:highlight w:val="none"/>
          <w:lang w:val="en-US" w:eastAsia="zh-CN"/>
          <w14:textFill>
            <w14:solidFill>
              <w14:schemeClr w14:val="tx1"/>
            </w14:solidFill>
          </w14:textFill>
        </w:rPr>
        <w:t>执行</w:t>
      </w:r>
      <w:bookmarkEnd w:id="190"/>
      <w:r>
        <w:rPr>
          <w:rFonts w:hint="default" w:ascii="Times New Roman" w:hAnsi="Times New Roman" w:cs="Times New Roman"/>
          <w:color w:val="000000" w:themeColor="text1"/>
          <w:highlight w:val="none"/>
          <w14:textFill>
            <w14:solidFill>
              <w14:schemeClr w14:val="tx1"/>
            </w14:solidFill>
          </w14:textFill>
        </w:rPr>
        <w:t>《</w:t>
      </w:r>
      <w:bookmarkStart w:id="191" w:name="OLE_LINK73"/>
      <w:r>
        <w:rPr>
          <w:rFonts w:hint="default" w:ascii="Times New Roman" w:hAnsi="Times New Roman" w:cs="Times New Roman"/>
          <w:color w:val="000000" w:themeColor="text1"/>
          <w:highlight w:val="none"/>
          <w14:textFill>
            <w14:solidFill>
              <w14:schemeClr w14:val="tx1"/>
            </w14:solidFill>
          </w14:textFill>
        </w:rPr>
        <w:t>挥发性有机物无组织排放控制标准</w:t>
      </w:r>
      <w:bookmarkEnd w:id="191"/>
      <w:r>
        <w:rPr>
          <w:rFonts w:hint="default" w:ascii="Times New Roman" w:hAnsi="Times New Roman" w:cs="Times New Roman"/>
          <w:color w:val="000000" w:themeColor="text1"/>
          <w:highlight w:val="none"/>
          <w14:textFill>
            <w14:solidFill>
              <w14:schemeClr w14:val="tx1"/>
            </w14:solidFill>
          </w14:textFill>
        </w:rPr>
        <w:t>》（GB37822-2019）</w:t>
      </w:r>
      <w:bookmarkStart w:id="192" w:name="OLE_LINK83"/>
      <w:r>
        <w:rPr>
          <w:rFonts w:hint="default" w:ascii="Times New Roman" w:hAnsi="Times New Roman" w:cs="Times New Roman"/>
          <w:color w:val="000000" w:themeColor="text1"/>
          <w:highlight w:val="none"/>
          <w14:textFill>
            <w14:solidFill>
              <w14:schemeClr w14:val="tx1"/>
            </w14:solidFill>
          </w14:textFill>
        </w:rPr>
        <w:t>表A.1厂区内</w:t>
      </w:r>
      <w:r>
        <w:rPr>
          <w:rFonts w:hint="eastAsia" w:cs="Times New Roman"/>
          <w:color w:val="000000" w:themeColor="text1"/>
          <w:highlight w:val="none"/>
          <w:lang w:val="en-US" w:eastAsia="zh-CN"/>
          <w14:textFill>
            <w14:solidFill>
              <w14:schemeClr w14:val="tx1"/>
            </w14:solidFill>
          </w14:textFill>
        </w:rPr>
        <w:t>VOCs</w:t>
      </w:r>
      <w:r>
        <w:rPr>
          <w:rFonts w:hint="default" w:ascii="Times New Roman" w:hAnsi="Times New Roman" w:cs="Times New Roman"/>
          <w:color w:val="000000" w:themeColor="text1"/>
          <w:highlight w:val="none"/>
          <w14:textFill>
            <w14:solidFill>
              <w14:schemeClr w14:val="tx1"/>
            </w14:solidFill>
          </w14:textFill>
        </w:rPr>
        <w:t>无组织排放限值</w:t>
      </w:r>
      <w:bookmarkEnd w:id="192"/>
      <w:r>
        <w:rPr>
          <w:rFonts w:hint="default" w:ascii="Times New Roman" w:hAnsi="Times New Roman" w:cs="Times New Roman"/>
          <w:color w:val="000000" w:themeColor="text1"/>
          <w:highlight w:val="none"/>
          <w14:textFill>
            <w14:solidFill>
              <w14:schemeClr w14:val="tx1"/>
            </w14:solidFill>
          </w14:textFill>
        </w:rPr>
        <w:t>；井场</w:t>
      </w:r>
      <w:bookmarkStart w:id="193" w:name="OLE_LINK79"/>
      <w:r>
        <w:rPr>
          <w:rFonts w:hint="eastAsia" w:ascii="宋体" w:hAnsi="宋体" w:eastAsia="宋体" w:cs="宋体"/>
          <w:color w:val="000000" w:themeColor="text1"/>
          <w:sz w:val="24"/>
          <w:szCs w:val="24"/>
          <w:highlight w:val="none"/>
          <w:lang w:val="en-US" w:eastAsia="zh-CN"/>
          <w14:textFill>
            <w14:solidFill>
              <w14:schemeClr w14:val="tx1"/>
            </w14:solidFill>
          </w14:textFill>
        </w:rPr>
        <w:t>厂界外</w:t>
      </w:r>
      <w:bookmarkEnd w:id="193"/>
      <w:r>
        <w:rPr>
          <w:rFonts w:hint="default" w:ascii="Times New Roman" w:hAnsi="Times New Roman" w:cs="Times New Roman"/>
          <w:color w:val="000000" w:themeColor="text1"/>
          <w:highlight w:val="none"/>
          <w14:textFill>
            <w14:solidFill>
              <w14:schemeClr w14:val="tx1"/>
            </w14:solidFill>
          </w14:textFill>
        </w:rPr>
        <w:t>无组织排放的非甲烷总烃</w:t>
      </w:r>
      <w:r>
        <w:rPr>
          <w:rFonts w:hint="eastAsia" w:cs="Times New Roman"/>
          <w:color w:val="000000" w:themeColor="text1"/>
          <w:highlight w:val="none"/>
          <w:lang w:val="en-US" w:eastAsia="zh-CN"/>
          <w14:textFill>
            <w14:solidFill>
              <w14:schemeClr w14:val="tx1"/>
            </w14:solidFill>
          </w14:textFill>
        </w:rPr>
        <w:t>执行</w:t>
      </w:r>
      <w:r>
        <w:rPr>
          <w:rFonts w:hint="default" w:ascii="Times New Roman" w:hAnsi="Times New Roman" w:cs="Times New Roman"/>
          <w:color w:val="000000" w:themeColor="text1"/>
          <w:highlight w:val="none"/>
          <w:lang w:eastAsia="zh-CN"/>
          <w14:textFill>
            <w14:solidFill>
              <w14:schemeClr w14:val="tx1"/>
            </w14:solidFill>
          </w14:textFill>
        </w:rPr>
        <w:t>《陆上石油天然气开采工业大气污染物排放标准》（GB39728-2020）</w:t>
      </w:r>
      <w:r>
        <w:rPr>
          <w:rFonts w:hint="default" w:ascii="Times New Roman" w:hAnsi="Times New Roman" w:cs="Times New Roman"/>
          <w:color w:val="000000" w:themeColor="text1"/>
          <w:highlight w:val="none"/>
          <w14:textFill>
            <w14:solidFill>
              <w14:schemeClr w14:val="tx1"/>
            </w14:solidFill>
          </w14:textFill>
        </w:rPr>
        <w:t>企业边界污染物控制要求</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无组织排放</w:t>
      </w:r>
      <w:r>
        <w:rPr>
          <w:rFonts w:hint="eastAsia" w:cs="Times New Roman"/>
          <w:color w:val="000000" w:themeColor="text1"/>
          <w:highlight w:val="none"/>
          <w:lang w:val="en-US" w:eastAsia="zh-CN"/>
          <w14:textFill>
            <w14:solidFill>
              <w14:schemeClr w14:val="tx1"/>
            </w14:solidFill>
          </w14:textFill>
        </w:rPr>
        <w:t>的硫化氢</w:t>
      </w:r>
      <w:r>
        <w:rPr>
          <w:rFonts w:hint="default" w:ascii="Times New Roman" w:hAnsi="Times New Roman" w:cs="Times New Roman"/>
          <w:color w:val="000000" w:themeColor="text1"/>
          <w:highlight w:val="none"/>
          <w14:textFill>
            <w14:solidFill>
              <w14:schemeClr w14:val="tx1"/>
            </w14:solidFill>
          </w14:textFill>
        </w:rPr>
        <w:t>执行</w:t>
      </w:r>
      <w:bookmarkStart w:id="194" w:name="OLE_LINK86"/>
      <w:r>
        <w:rPr>
          <w:rFonts w:hint="default" w:ascii="Times New Roman" w:hAnsi="Times New Roman" w:cs="Times New Roman"/>
          <w:color w:val="000000" w:themeColor="text1"/>
          <w:highlight w:val="none"/>
          <w:lang w:eastAsia="zh-CN"/>
          <w14:textFill>
            <w14:solidFill>
              <w14:schemeClr w14:val="tx1"/>
            </w14:solidFill>
          </w14:textFill>
        </w:rPr>
        <w:t>《</w:t>
      </w:r>
      <w:bookmarkStart w:id="195" w:name="OLE_LINK84"/>
      <w:r>
        <w:rPr>
          <w:rFonts w:hint="default" w:ascii="Times New Roman" w:hAnsi="Times New Roman" w:cs="Times New Roman"/>
          <w:color w:val="000000" w:themeColor="text1"/>
          <w:highlight w:val="none"/>
          <w14:textFill>
            <w14:solidFill>
              <w14:schemeClr w14:val="tx1"/>
            </w14:solidFill>
          </w14:textFill>
        </w:rPr>
        <w:t>恶臭污染物排放标准</w:t>
      </w:r>
      <w:bookmarkEnd w:id="195"/>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GB14554-93</w:t>
      </w:r>
      <w:r>
        <w:rPr>
          <w:rFonts w:hint="default" w:ascii="Times New Roman" w:hAnsi="Times New Roman" w:cs="Times New Roman"/>
          <w:color w:val="000000" w:themeColor="text1"/>
          <w:highlight w:val="none"/>
          <w:lang w:eastAsia="zh-CN"/>
          <w14:textFill>
            <w14:solidFill>
              <w14:schemeClr w14:val="tx1"/>
            </w14:solidFill>
          </w14:textFill>
        </w:rPr>
        <w:t>）</w:t>
      </w:r>
      <w:bookmarkEnd w:id="194"/>
      <w:bookmarkStart w:id="196" w:name="OLE_LINK85"/>
      <w:r>
        <w:rPr>
          <w:rFonts w:hint="eastAsia" w:cs="Times New Roman"/>
          <w:color w:val="000000" w:themeColor="text1"/>
          <w:highlight w:val="none"/>
          <w:lang w:val="en-US" w:eastAsia="zh-CN"/>
          <w14:textFill>
            <w14:solidFill>
              <w14:schemeClr w14:val="tx1"/>
            </w14:solidFill>
          </w14:textFill>
        </w:rPr>
        <w:t>表1</w:t>
      </w:r>
      <w:r>
        <w:rPr>
          <w:rFonts w:hint="default" w:ascii="Times New Roman" w:hAnsi="Times New Roman" w:cs="Times New Roman"/>
          <w:color w:val="000000" w:themeColor="text1"/>
          <w:highlight w:val="none"/>
          <w14:textFill>
            <w14:solidFill>
              <w14:schemeClr w14:val="tx1"/>
            </w14:solidFill>
          </w14:textFill>
        </w:rPr>
        <w:t>新</w:t>
      </w:r>
      <w:r>
        <w:rPr>
          <w:rFonts w:hint="eastAsia" w:cs="Times New Roman"/>
          <w:color w:val="000000" w:themeColor="text1"/>
          <w:highlight w:val="none"/>
          <w:lang w:val="en-US" w:eastAsia="zh-CN"/>
          <w14:textFill>
            <w14:solidFill>
              <w14:schemeClr w14:val="tx1"/>
            </w14:solidFill>
          </w14:textFill>
        </w:rPr>
        <w:t>扩改</w:t>
      </w:r>
      <w:r>
        <w:rPr>
          <w:rFonts w:hint="default" w:ascii="Times New Roman" w:hAnsi="Times New Roman" w:cs="Times New Roman"/>
          <w:color w:val="000000" w:themeColor="text1"/>
          <w:highlight w:val="none"/>
          <w14:textFill>
            <w14:solidFill>
              <w14:schemeClr w14:val="tx1"/>
            </w14:solidFill>
          </w14:textFill>
        </w:rPr>
        <w:t>建</w:t>
      </w:r>
      <w:r>
        <w:rPr>
          <w:rFonts w:hint="eastAsia" w:cs="Times New Roman"/>
          <w:color w:val="000000" w:themeColor="text1"/>
          <w:highlight w:val="none"/>
          <w:lang w:val="en-US" w:eastAsia="zh-CN"/>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二级标准</w:t>
      </w:r>
      <w:bookmarkEnd w:id="196"/>
      <w:r>
        <w:rPr>
          <w:rFonts w:hint="default" w:ascii="Times New Roman" w:hAnsi="Times New Roman" w:cs="Times New Roman"/>
          <w:color w:val="000000" w:themeColor="text1"/>
          <w:highlight w:val="none"/>
          <w14:textFill>
            <w14:solidFill>
              <w14:schemeClr w14:val="tx1"/>
            </w14:solidFill>
          </w14:textFill>
        </w:rPr>
        <w:t>。具体标准限值要求见表2.</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p>
    <w:p w14:paraId="6A4A6A05">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b/>
          <w:bCs w:val="0"/>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eastAsia="黑体" w:cs="Times New Roman"/>
          <w:b/>
          <w:bCs w:val="0"/>
          <w:color w:val="000000" w:themeColor="text1"/>
          <w:spacing w:val="4"/>
          <w:sz w:val="21"/>
          <w:szCs w:val="21"/>
          <w:highlight w:val="none"/>
          <w14:textFill>
            <w14:solidFill>
              <w14:schemeClr w14:val="tx1"/>
            </w14:solidFill>
          </w14:textFill>
        </w:rPr>
        <w:t>表2.</w:t>
      </w:r>
      <w:r>
        <w:rPr>
          <w:rFonts w:hint="eastAsia" w:ascii="Times New Roman" w:hAnsi="Times New Roman" w:eastAsia="黑体" w:cs="Times New Roman"/>
          <w:b/>
          <w:bCs w:val="0"/>
          <w:color w:val="000000" w:themeColor="text1"/>
          <w:spacing w:val="4"/>
          <w:sz w:val="21"/>
          <w:szCs w:val="21"/>
          <w:highlight w:val="none"/>
          <w:lang w:val="en-US" w:eastAsia="zh-CN"/>
          <w14:textFill>
            <w14:solidFill>
              <w14:schemeClr w14:val="tx1"/>
            </w14:solidFill>
          </w14:textFill>
        </w:rPr>
        <w:t>4</w:t>
      </w:r>
      <w:r>
        <w:rPr>
          <w:rFonts w:hint="default" w:ascii="Times New Roman" w:hAnsi="Times New Roman" w:eastAsia="黑体" w:cs="Times New Roman"/>
          <w:b/>
          <w:bCs w:val="0"/>
          <w:color w:val="000000" w:themeColor="text1"/>
          <w:spacing w:val="4"/>
          <w:sz w:val="21"/>
          <w:szCs w:val="21"/>
          <w:highlight w:val="none"/>
          <w14:textFill>
            <w14:solidFill>
              <w14:schemeClr w14:val="tx1"/>
            </w14:solidFill>
          </w14:textFill>
        </w:rPr>
        <w:t>-</w:t>
      </w:r>
      <w:r>
        <w:rPr>
          <w:rFonts w:hint="eastAsia" w:eastAsia="黑体" w:cs="Times New Roman"/>
          <w:b/>
          <w:bCs w:val="0"/>
          <w:color w:val="000000" w:themeColor="text1"/>
          <w:spacing w:val="4"/>
          <w:sz w:val="21"/>
          <w:szCs w:val="21"/>
          <w:highlight w:val="none"/>
          <w:lang w:val="en-US" w:eastAsia="zh-CN"/>
          <w14:textFill>
            <w14:solidFill>
              <w14:schemeClr w14:val="tx1"/>
            </w14:solidFill>
          </w14:textFill>
        </w:rPr>
        <w:t>7</w:t>
      </w:r>
      <w:r>
        <w:rPr>
          <w:rFonts w:hint="default" w:ascii="Times New Roman" w:hAnsi="Times New Roman" w:eastAsia="黑体" w:cs="Times New Roman"/>
          <w:b/>
          <w:bCs w:val="0"/>
          <w:color w:val="000000" w:themeColor="text1"/>
          <w:spacing w:val="4"/>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val="0"/>
          <w:color w:val="000000" w:themeColor="text1"/>
          <w:spacing w:val="4"/>
          <w:sz w:val="21"/>
          <w:szCs w:val="21"/>
          <w:highlight w:val="none"/>
          <w14:textFill>
            <w14:solidFill>
              <w14:schemeClr w14:val="tx1"/>
            </w14:solidFill>
          </w14:textFill>
        </w:rPr>
        <w:t>大气污染物排放标准值</w:t>
      </w:r>
      <w:r>
        <w:rPr>
          <w:rFonts w:hint="eastAsia" w:eastAsia="黑体" w:cs="Times New Roman"/>
          <w:b/>
          <w:bCs w:val="0"/>
          <w:color w:val="000000" w:themeColor="text1"/>
          <w:spacing w:val="4"/>
          <w:sz w:val="21"/>
          <w:szCs w:val="21"/>
          <w:highlight w:val="none"/>
          <w:lang w:val="en-US" w:eastAsia="zh-CN"/>
          <w14:textFill>
            <w14:solidFill>
              <w14:schemeClr w14:val="tx1"/>
            </w14:solidFill>
          </w14:textFill>
        </w:rPr>
        <w:t xml:space="preserve">  单位：</w:t>
      </w:r>
      <w:r>
        <w:rPr>
          <w:rFonts w:hint="default" w:ascii="Times New Roman" w:hAnsi="Times New Roman" w:cs="Times New Roman"/>
          <w:b/>
          <w:bCs w:val="0"/>
          <w:color w:val="000000" w:themeColor="text1"/>
          <w:sz w:val="21"/>
          <w:szCs w:val="21"/>
          <w:highlight w:val="none"/>
          <w14:textFill>
            <w14:solidFill>
              <w14:schemeClr w14:val="tx1"/>
            </w14:solidFill>
          </w14:textFill>
        </w:rPr>
        <w:t>mg/m³</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091"/>
        <w:gridCol w:w="2372"/>
        <w:gridCol w:w="1594"/>
        <w:gridCol w:w="2702"/>
      </w:tblGrid>
      <w:tr w14:paraId="02F4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54" w:type="dxa"/>
            <w:noWrap w:val="0"/>
            <w:vAlign w:val="center"/>
          </w:tcPr>
          <w:p w14:paraId="414B429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时段</w:t>
            </w:r>
          </w:p>
        </w:tc>
        <w:tc>
          <w:tcPr>
            <w:tcW w:w="1078" w:type="dxa"/>
            <w:noWrap w:val="0"/>
            <w:vAlign w:val="center"/>
          </w:tcPr>
          <w:p w14:paraId="6B2D7A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污染源</w:t>
            </w:r>
          </w:p>
        </w:tc>
        <w:tc>
          <w:tcPr>
            <w:tcW w:w="2344" w:type="dxa"/>
            <w:noWrap w:val="0"/>
            <w:vAlign w:val="center"/>
          </w:tcPr>
          <w:p w14:paraId="7858B136">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污染物</w:t>
            </w:r>
          </w:p>
        </w:tc>
        <w:tc>
          <w:tcPr>
            <w:tcW w:w="1575" w:type="dxa"/>
            <w:noWrap w:val="0"/>
            <w:vAlign w:val="center"/>
          </w:tcPr>
          <w:p w14:paraId="1331AC3D">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最高允许</w:t>
            </w:r>
          </w:p>
          <w:p w14:paraId="28DD7C30">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排放浓度</w:t>
            </w:r>
          </w:p>
        </w:tc>
        <w:tc>
          <w:tcPr>
            <w:tcW w:w="2670" w:type="dxa"/>
            <w:noWrap w:val="0"/>
            <w:vAlign w:val="center"/>
          </w:tcPr>
          <w:p w14:paraId="233A94A3">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标准来源</w:t>
            </w:r>
          </w:p>
        </w:tc>
      </w:tr>
      <w:tr w14:paraId="3772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54" w:type="dxa"/>
            <w:noWrap w:val="0"/>
            <w:vAlign w:val="center"/>
          </w:tcPr>
          <w:p w14:paraId="0B909036">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078" w:type="dxa"/>
            <w:noWrap w:val="0"/>
            <w:vAlign w:val="center"/>
          </w:tcPr>
          <w:p w14:paraId="3ED57B6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97" w:name="OLE_LINK302"/>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施工场地</w:t>
            </w:r>
            <w:bookmarkEnd w:id="197"/>
          </w:p>
        </w:tc>
        <w:tc>
          <w:tcPr>
            <w:tcW w:w="2344" w:type="dxa"/>
            <w:noWrap w:val="0"/>
            <w:vAlign w:val="center"/>
          </w:tcPr>
          <w:p w14:paraId="65E2133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颗粒物</w:t>
            </w:r>
          </w:p>
        </w:tc>
        <w:tc>
          <w:tcPr>
            <w:tcW w:w="1575" w:type="dxa"/>
            <w:noWrap w:val="0"/>
            <w:vAlign w:val="center"/>
          </w:tcPr>
          <w:p w14:paraId="46EBD7B6">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2670" w:type="dxa"/>
            <w:noWrap w:val="0"/>
            <w:vAlign w:val="center"/>
          </w:tcPr>
          <w:p w14:paraId="234FD395">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198" w:name="OLE_LINK77"/>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《大气污染物综合排放标准》（GB16297-1996）表2</w:t>
            </w:r>
            <w:bookmarkEnd w:id="198"/>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无组织排放监控浓度限值</w:t>
            </w:r>
          </w:p>
        </w:tc>
      </w:tr>
      <w:tr w14:paraId="5386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54" w:type="dxa"/>
            <w:vMerge w:val="restart"/>
            <w:noWrap w:val="0"/>
            <w:vAlign w:val="center"/>
          </w:tcPr>
          <w:p w14:paraId="1C23953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运营期</w:t>
            </w:r>
          </w:p>
        </w:tc>
        <w:tc>
          <w:tcPr>
            <w:tcW w:w="1078" w:type="dxa"/>
            <w:vMerge w:val="restart"/>
            <w:noWrap w:val="0"/>
            <w:vAlign w:val="center"/>
          </w:tcPr>
          <w:p w14:paraId="3D1807BB">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无组织</w:t>
            </w:r>
          </w:p>
          <w:p w14:paraId="37ACB80B">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排放</w:t>
            </w:r>
          </w:p>
        </w:tc>
        <w:tc>
          <w:tcPr>
            <w:tcW w:w="2344" w:type="dxa"/>
            <w:shd w:val="clear" w:color="auto" w:fill="auto"/>
            <w:noWrap w:val="0"/>
            <w:vAlign w:val="center"/>
          </w:tcPr>
          <w:p w14:paraId="7934BABB">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非甲烷总烃</w:t>
            </w:r>
            <w:r>
              <w:rPr>
                <w:rFonts w:hint="eastAsia" w:ascii="Times New Roman" w:hAnsi="Times New Roman" w:cs="Times New Roman"/>
                <w:color w:val="000000" w:themeColor="text1"/>
                <w:sz w:val="21"/>
                <w:szCs w:val="21"/>
                <w:highlight w:val="none"/>
                <w:lang w:eastAsia="zh-CN"/>
                <w14:textFill>
                  <w14:solidFill>
                    <w14:schemeClr w14:val="tx1"/>
                  </w14:solidFill>
                </w14:textFill>
              </w:rPr>
              <w:t>（厂界外）</w:t>
            </w:r>
          </w:p>
        </w:tc>
        <w:tc>
          <w:tcPr>
            <w:tcW w:w="1575" w:type="dxa"/>
            <w:shd w:val="clear" w:color="auto" w:fill="auto"/>
            <w:noWrap w:val="0"/>
            <w:vAlign w:val="center"/>
          </w:tcPr>
          <w:p w14:paraId="4D496C2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w:t>
            </w:r>
          </w:p>
        </w:tc>
        <w:tc>
          <w:tcPr>
            <w:tcW w:w="2670" w:type="dxa"/>
            <w:shd w:val="clear" w:color="auto" w:fill="auto"/>
            <w:noWrap w:val="0"/>
            <w:vAlign w:val="center"/>
          </w:tcPr>
          <w:p w14:paraId="29F64C7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陆上石油天然气开采工业大气污染物排放标准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GB39728-2020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1A34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54" w:type="dxa"/>
            <w:vMerge w:val="continue"/>
            <w:noWrap w:val="0"/>
            <w:vAlign w:val="center"/>
          </w:tcPr>
          <w:p w14:paraId="2612135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78" w:type="dxa"/>
            <w:vMerge w:val="continue"/>
            <w:noWrap w:val="0"/>
            <w:vAlign w:val="center"/>
          </w:tcPr>
          <w:p w14:paraId="0B5D3EF5">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344" w:type="dxa"/>
            <w:noWrap w:val="0"/>
            <w:vAlign w:val="center"/>
          </w:tcPr>
          <w:p w14:paraId="32096A09">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非甲烷总烃</w:t>
            </w:r>
            <w:r>
              <w:rPr>
                <w:rFonts w:hint="eastAsia" w:ascii="Times New Roman" w:hAnsi="Times New Roman" w:cs="Times New Roman"/>
                <w:color w:val="000000" w:themeColor="text1"/>
                <w:sz w:val="21"/>
                <w:szCs w:val="21"/>
                <w:highlight w:val="none"/>
                <w:lang w:eastAsia="zh-CN"/>
                <w14:textFill>
                  <w14:solidFill>
                    <w14:schemeClr w14:val="tx1"/>
                  </w14:solidFill>
                </w14:textFill>
              </w:rPr>
              <w:t>（厂界</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内</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1575" w:type="dxa"/>
            <w:shd w:val="clear" w:color="auto" w:fill="auto"/>
            <w:noWrap w:val="0"/>
            <w:vAlign w:val="center"/>
          </w:tcPr>
          <w:p w14:paraId="2E1F9DE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10.0（监控点处1h平均浓度值）</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30.0（监控点处任意一次浓度值）</w:t>
            </w:r>
          </w:p>
        </w:tc>
        <w:tc>
          <w:tcPr>
            <w:tcW w:w="2670" w:type="dxa"/>
            <w:shd w:val="clear" w:color="auto" w:fill="auto"/>
            <w:noWrap w:val="0"/>
            <w:vAlign w:val="center"/>
          </w:tcPr>
          <w:p w14:paraId="4E7FFF80">
            <w:pPr>
              <w:pStyle w:val="6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《挥发性有机物无组织排放控制标准》（GB37822-2019）表A.1厂区内VOCs无组织排放限值</w:t>
            </w:r>
          </w:p>
        </w:tc>
      </w:tr>
      <w:tr w14:paraId="1AC8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54" w:type="dxa"/>
            <w:vMerge w:val="continue"/>
            <w:noWrap w:val="0"/>
            <w:vAlign w:val="center"/>
          </w:tcPr>
          <w:p w14:paraId="30AC9450">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199" w:name="OLE_LINK74" w:colFirst="1" w:colLast="1"/>
          </w:p>
        </w:tc>
        <w:tc>
          <w:tcPr>
            <w:tcW w:w="1078" w:type="dxa"/>
            <w:vMerge w:val="continue"/>
            <w:noWrap w:val="0"/>
            <w:vAlign w:val="center"/>
          </w:tcPr>
          <w:p w14:paraId="42896F81">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344" w:type="dxa"/>
            <w:noWrap w:val="0"/>
            <w:vAlign w:val="center"/>
          </w:tcPr>
          <w:p w14:paraId="148DE64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1575" w:type="dxa"/>
            <w:shd w:val="clear" w:color="auto" w:fill="auto"/>
            <w:noWrap w:val="0"/>
            <w:vAlign w:val="center"/>
          </w:tcPr>
          <w:p w14:paraId="034F40E6">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0.06</w:t>
            </w:r>
          </w:p>
        </w:tc>
        <w:tc>
          <w:tcPr>
            <w:tcW w:w="2670" w:type="dxa"/>
            <w:shd w:val="clear" w:color="auto" w:fill="auto"/>
            <w:noWrap w:val="0"/>
            <w:vAlign w:val="center"/>
          </w:tcPr>
          <w:p w14:paraId="2BE63B6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《恶臭污染物排放标准》（GB14554-93）</w:t>
            </w:r>
            <w:r>
              <w:rPr>
                <w:rFonts w:hint="default" w:ascii="Times New Roman" w:hAnsi="Times New Roman" w:cs="Times New Roman"/>
                <w:color w:val="000000" w:themeColor="text1"/>
                <w:sz w:val="21"/>
                <w:szCs w:val="21"/>
                <w:highlight w:val="none"/>
                <w14:textFill>
                  <w14:solidFill>
                    <w14:schemeClr w14:val="tx1"/>
                  </w14:solidFill>
                </w14:textFill>
              </w:rPr>
              <w:t>表1新扩改建项目二级标准</w:t>
            </w:r>
          </w:p>
        </w:tc>
      </w:tr>
      <w:bookmarkEnd w:id="199"/>
    </w:tbl>
    <w:p w14:paraId="46D738EB">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噪声</w:t>
      </w:r>
    </w:p>
    <w:p w14:paraId="03CF2381">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w:t>
      </w:r>
      <w:bookmarkStart w:id="200" w:name="OLE_LINK90"/>
      <w:r>
        <w:rPr>
          <w:rFonts w:hint="default" w:ascii="Times New Roman" w:hAnsi="Times New Roman" w:cs="Times New Roman"/>
          <w:color w:val="000000" w:themeColor="text1"/>
          <w:kern w:val="24"/>
          <w:sz w:val="24"/>
          <w:szCs w:val="24"/>
          <w:highlight w:val="none"/>
          <w14:textFill>
            <w14:solidFill>
              <w14:schemeClr w14:val="tx1"/>
            </w14:solidFill>
          </w14:textFill>
        </w:rPr>
        <w:t>执行</w:t>
      </w:r>
      <w:bookmarkEnd w:id="200"/>
      <w:bookmarkStart w:id="201" w:name="OLE_LINK92"/>
      <w:r>
        <w:rPr>
          <w:rFonts w:hint="default" w:ascii="Times New Roman" w:hAnsi="Times New Roman" w:cs="Times New Roman"/>
          <w:color w:val="000000" w:themeColor="text1"/>
          <w:highlight w:val="none"/>
          <w14:textFill>
            <w14:solidFill>
              <w14:schemeClr w14:val="tx1"/>
            </w14:solidFill>
          </w14:textFill>
        </w:rPr>
        <w:t>《</w:t>
      </w:r>
      <w:bookmarkStart w:id="202" w:name="OLE_LINK88"/>
      <w:r>
        <w:rPr>
          <w:rFonts w:hint="default" w:ascii="Times New Roman" w:hAnsi="Times New Roman" w:cs="Times New Roman"/>
          <w:color w:val="000000" w:themeColor="text1"/>
          <w:highlight w:val="none"/>
          <w14:textFill>
            <w14:solidFill>
              <w14:schemeClr w14:val="tx1"/>
            </w14:solidFill>
          </w14:textFill>
        </w:rPr>
        <w:t>建筑施工场界环境噪声排放标准</w:t>
      </w:r>
      <w:bookmarkEnd w:id="202"/>
      <w:r>
        <w:rPr>
          <w:rFonts w:hint="default" w:ascii="Times New Roman" w:hAnsi="Times New Roman" w:cs="Times New Roman"/>
          <w:color w:val="000000" w:themeColor="text1"/>
          <w:highlight w:val="none"/>
          <w14:textFill>
            <w14:solidFill>
              <w14:schemeClr w14:val="tx1"/>
            </w14:solidFill>
          </w14:textFill>
        </w:rPr>
        <w:t>》（GB12523-2011）</w:t>
      </w:r>
      <w:bookmarkEnd w:id="201"/>
      <w:r>
        <w:rPr>
          <w:rFonts w:hint="default" w:ascii="Times New Roman" w:hAnsi="Times New Roman" w:cs="Times New Roman"/>
          <w:color w:val="000000" w:themeColor="text1"/>
          <w:highlight w:val="none"/>
          <w14:textFill>
            <w14:solidFill>
              <w14:schemeClr w14:val="tx1"/>
            </w14:solidFill>
          </w14:textFill>
        </w:rPr>
        <w:t>表1建筑施工场界环境噪声排放限值；运营期</w:t>
      </w:r>
      <w:r>
        <w:rPr>
          <w:rFonts w:hint="default" w:ascii="Times New Roman" w:hAnsi="Times New Roman" w:cs="Times New Roman"/>
          <w:color w:val="000000" w:themeColor="text1"/>
          <w:kern w:val="24"/>
          <w:sz w:val="24"/>
          <w:szCs w:val="24"/>
          <w:highlight w:val="none"/>
          <w14:textFill>
            <w14:solidFill>
              <w14:schemeClr w14:val="tx1"/>
            </w14:solidFill>
          </w14:textFill>
        </w:rPr>
        <w:t>执行</w:t>
      </w:r>
      <w:bookmarkStart w:id="203" w:name="OLE_LINK93"/>
      <w:r>
        <w:rPr>
          <w:rFonts w:hint="default" w:ascii="Times New Roman" w:hAnsi="Times New Roman" w:cs="Times New Roman"/>
          <w:color w:val="000000" w:themeColor="text1"/>
          <w:highlight w:val="none"/>
          <w14:textFill>
            <w14:solidFill>
              <w14:schemeClr w14:val="tx1"/>
            </w14:solidFill>
          </w14:textFill>
        </w:rPr>
        <w:t>《</w:t>
      </w:r>
      <w:bookmarkStart w:id="204" w:name="OLE_LINK91"/>
      <w:r>
        <w:rPr>
          <w:rFonts w:hint="default" w:ascii="Times New Roman" w:hAnsi="Times New Roman" w:cs="Times New Roman"/>
          <w:color w:val="000000" w:themeColor="text1"/>
          <w:highlight w:val="none"/>
          <w14:textFill>
            <w14:solidFill>
              <w14:schemeClr w14:val="tx1"/>
            </w14:solidFill>
          </w14:textFill>
        </w:rPr>
        <w:t>工业企业厂界环境噪声排放标准</w:t>
      </w:r>
      <w:bookmarkEnd w:id="204"/>
      <w:r>
        <w:rPr>
          <w:rFonts w:hint="default" w:ascii="Times New Roman" w:hAnsi="Times New Roman" w:cs="Times New Roman"/>
          <w:color w:val="000000" w:themeColor="text1"/>
          <w:highlight w:val="none"/>
          <w14:textFill>
            <w14:solidFill>
              <w14:schemeClr w14:val="tx1"/>
            </w14:solidFill>
          </w14:textFill>
        </w:rPr>
        <w:t>》（GB12348-2008）</w:t>
      </w:r>
      <w:bookmarkEnd w:id="203"/>
      <w:r>
        <w:rPr>
          <w:rFonts w:hint="eastAsia" w:cs="Times New Roman"/>
          <w:color w:val="000000" w:themeColor="text1"/>
          <w:highlight w:val="none"/>
          <w:lang w:val="en-US" w:eastAsia="zh-CN"/>
          <w14:textFill>
            <w14:solidFill>
              <w14:schemeClr w14:val="tx1"/>
            </w14:solidFill>
          </w14:textFill>
        </w:rPr>
        <w:t>表1工业企业厂界环境噪声排放限值</w:t>
      </w:r>
      <w:r>
        <w:rPr>
          <w:rFonts w:hint="default" w:ascii="Times New Roman" w:hAnsi="Times New Roman" w:cs="Times New Roman"/>
          <w:color w:val="000000" w:themeColor="text1"/>
          <w:highlight w:val="none"/>
          <w14:textFill>
            <w14:solidFill>
              <w14:schemeClr w14:val="tx1"/>
            </w14:solidFill>
          </w14:textFill>
        </w:rPr>
        <w:t>2类标准。环境噪声排放标准限值见表2.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w:t>
      </w:r>
    </w:p>
    <w:p w14:paraId="209614F0">
      <w:pPr>
        <w:pStyle w:val="66"/>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bookmarkStart w:id="205" w:name="OLE_LINK94"/>
      <w:r>
        <w:rPr>
          <w:rFonts w:hint="default" w:ascii="Times New Roman" w:hAnsi="Times New Roman" w:eastAsia="黑体" w:cs="Times New Roman"/>
          <w:b/>
          <w:bCs/>
          <w:color w:val="000000" w:themeColor="text1"/>
          <w:sz w:val="21"/>
          <w:szCs w:val="21"/>
          <w:highlight w:val="none"/>
          <w14:textFill>
            <w14:solidFill>
              <w14:schemeClr w14:val="tx1"/>
            </w14:solidFill>
          </w14:textFill>
        </w:rPr>
        <w:t>环境噪声排放标准</w:t>
      </w:r>
      <w:bookmarkEnd w:id="205"/>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4"/>
        <w:gridCol w:w="628"/>
        <w:gridCol w:w="1415"/>
        <w:gridCol w:w="1416"/>
      </w:tblGrid>
      <w:tr w14:paraId="7ADC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93" w:type="pct"/>
            <w:vMerge w:val="restart"/>
            <w:noWrap w:val="0"/>
            <w:vAlign w:val="center"/>
          </w:tcPr>
          <w:p w14:paraId="6AB67F62">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标准来源</w:t>
            </w:r>
          </w:p>
        </w:tc>
        <w:tc>
          <w:tcPr>
            <w:tcW w:w="364" w:type="pct"/>
            <w:vMerge w:val="restart"/>
            <w:noWrap w:val="0"/>
            <w:vAlign w:val="center"/>
          </w:tcPr>
          <w:p w14:paraId="20CCC031">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1641" w:type="pct"/>
            <w:gridSpan w:val="2"/>
            <w:noWrap w:val="0"/>
            <w:vAlign w:val="center"/>
          </w:tcPr>
          <w:p w14:paraId="6C6B3DA9">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噪声限值dB</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tc>
      </w:tr>
      <w:tr w14:paraId="01D8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993" w:type="pct"/>
            <w:vMerge w:val="continue"/>
            <w:noWrap w:val="0"/>
            <w:vAlign w:val="center"/>
          </w:tcPr>
          <w:p w14:paraId="04C95C74">
            <w:pPr>
              <w:pStyle w:val="64"/>
              <w:keepNext w:val="0"/>
              <w:keepLines w:val="0"/>
              <w:pageBreakBefore w:val="0"/>
              <w:widowControl w:val="0"/>
              <w:kinsoku/>
              <w:wordWrap/>
              <w:overflowPunct/>
              <w:topLinePunct w:val="0"/>
              <w:autoSpaceDE/>
              <w:autoSpaceDN/>
              <w:bidi w:val="0"/>
              <w:snapToGrid/>
              <w:spacing w:line="240" w:lineRule="auto"/>
              <w:ind w:left="-105" w:right="-10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64" w:type="pct"/>
            <w:vMerge w:val="continue"/>
            <w:noWrap w:val="0"/>
            <w:vAlign w:val="center"/>
          </w:tcPr>
          <w:p w14:paraId="63C9988E">
            <w:pPr>
              <w:pStyle w:val="64"/>
              <w:keepNext w:val="0"/>
              <w:keepLines w:val="0"/>
              <w:pageBreakBefore w:val="0"/>
              <w:widowControl w:val="0"/>
              <w:kinsoku/>
              <w:wordWrap/>
              <w:overflowPunct/>
              <w:topLinePunct w:val="0"/>
              <w:autoSpaceDE/>
              <w:autoSpaceDN/>
              <w:bidi w:val="0"/>
              <w:snapToGrid/>
              <w:spacing w:line="240" w:lineRule="auto"/>
              <w:ind w:left="-105" w:right="-10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0" w:type="pct"/>
            <w:noWrap w:val="0"/>
            <w:vAlign w:val="center"/>
          </w:tcPr>
          <w:p w14:paraId="384C8805">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820" w:type="pct"/>
            <w:noWrap w:val="0"/>
            <w:vAlign w:val="center"/>
          </w:tcPr>
          <w:p w14:paraId="3C4B5855">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w:t>
            </w:r>
          </w:p>
        </w:tc>
      </w:tr>
      <w:tr w14:paraId="17FD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93" w:type="pct"/>
            <w:noWrap w:val="0"/>
            <w:vAlign w:val="center"/>
          </w:tcPr>
          <w:p w14:paraId="34475610">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《建筑施工场界环境噪声排放标准》（GB12523-2011）</w:t>
            </w:r>
          </w:p>
        </w:tc>
        <w:tc>
          <w:tcPr>
            <w:tcW w:w="364" w:type="pct"/>
            <w:noWrap w:val="0"/>
            <w:vAlign w:val="center"/>
          </w:tcPr>
          <w:p w14:paraId="29ACD194">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0" w:type="pct"/>
            <w:noWrap w:val="0"/>
            <w:vAlign w:val="center"/>
          </w:tcPr>
          <w:p w14:paraId="679D89AD">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820" w:type="pct"/>
            <w:noWrap w:val="0"/>
            <w:vAlign w:val="center"/>
          </w:tcPr>
          <w:p w14:paraId="753D0296">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55</w:t>
            </w:r>
          </w:p>
        </w:tc>
      </w:tr>
      <w:tr w14:paraId="4D20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93" w:type="pct"/>
            <w:noWrap w:val="0"/>
            <w:vAlign w:val="center"/>
          </w:tcPr>
          <w:p w14:paraId="376EB276">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《工业企业厂界环境噪声排放标准》（GB12348-2008）</w:t>
            </w:r>
          </w:p>
        </w:tc>
        <w:tc>
          <w:tcPr>
            <w:tcW w:w="364" w:type="pct"/>
            <w:noWrap w:val="0"/>
            <w:vAlign w:val="center"/>
          </w:tcPr>
          <w:p w14:paraId="49A36F81">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2类</w:t>
            </w:r>
          </w:p>
        </w:tc>
        <w:tc>
          <w:tcPr>
            <w:tcW w:w="820" w:type="pct"/>
            <w:noWrap w:val="0"/>
            <w:vAlign w:val="center"/>
          </w:tcPr>
          <w:p w14:paraId="35E9E22E">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820" w:type="pct"/>
            <w:noWrap w:val="0"/>
            <w:vAlign w:val="center"/>
          </w:tcPr>
          <w:p w14:paraId="4A7AA9F3">
            <w:pPr>
              <w:pStyle w:val="64"/>
              <w:keepNext w:val="0"/>
              <w:keepLines w:val="0"/>
              <w:pageBreakBefore w:val="0"/>
              <w:widowControl w:val="0"/>
              <w:kinsoku/>
              <w:wordWrap/>
              <w:overflowPunct/>
              <w:topLinePunct w:val="0"/>
              <w:autoSpaceDE/>
              <w:autoSpaceDN/>
              <w:bidi w:val="0"/>
              <w:snapToGrid/>
              <w:spacing w:line="240" w:lineRule="auto"/>
              <w:ind w:left="0" w:leftChars="0" w:right="-105"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bl>
    <w:p w14:paraId="153DA77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重大危险源识别标准</w:t>
      </w:r>
    </w:p>
    <w:p w14:paraId="00B713E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涉及危险物质主要是</w:t>
      </w:r>
      <w:r>
        <w:rPr>
          <w:rFonts w:hint="eastAsia" w:cs="Times New Roman"/>
          <w:color w:val="000000" w:themeColor="text1"/>
          <w:highlight w:val="none"/>
          <w:lang w:val="en-US" w:eastAsia="zh-CN"/>
          <w14:textFill>
            <w14:solidFill>
              <w14:schemeClr w14:val="tx1"/>
            </w14:solidFill>
          </w14:textFill>
        </w:rPr>
        <w:t>天然气</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凝析油</w:t>
      </w:r>
      <w:r>
        <w:rPr>
          <w:rFonts w:hint="default" w:ascii="Times New Roman" w:hAnsi="Times New Roman" w:cs="Times New Roman"/>
          <w:color w:val="000000" w:themeColor="text1"/>
          <w:highlight w:val="none"/>
          <w14:textFill>
            <w14:solidFill>
              <w14:schemeClr w14:val="tx1"/>
            </w14:solidFill>
          </w14:textFill>
        </w:rPr>
        <w:t>、硫化氢，其具体风险性执行《危险化学品重大危险源辨识》（GB18218-2018）相关标准</w:t>
      </w:r>
      <w:r>
        <w:rPr>
          <w:rFonts w:hint="default" w:ascii="Times New Roman" w:hAnsi="Times New Roman" w:cs="Times New Roman"/>
          <w:color w:val="000000" w:themeColor="text1"/>
          <w:highlight w:val="none"/>
          <w:lang w:eastAsia="zh-CN"/>
          <w14:textFill>
            <w14:solidFill>
              <w14:schemeClr w14:val="tx1"/>
            </w14:solidFill>
          </w14:textFill>
        </w:rPr>
        <w:t>。</w:t>
      </w:r>
    </w:p>
    <w:p w14:paraId="5E925333">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206" w:name="_Toc19227"/>
      <w:bookmarkStart w:id="207" w:name="_Toc227650568"/>
      <w:bookmarkStart w:id="208" w:name="_Toc68025007"/>
      <w:bookmarkStart w:id="209" w:name="_Toc149456020"/>
      <w:bookmarkStart w:id="210" w:name="_Toc146540977"/>
      <w:bookmarkStart w:id="211" w:name="_Toc161551976"/>
      <w:bookmarkStart w:id="212" w:name="_Toc255293762"/>
      <w:bookmarkStart w:id="213" w:name="_Toc297590924"/>
      <w:bookmarkStart w:id="214" w:name="_Toc297590771"/>
      <w:bookmarkStart w:id="215" w:name="_Toc280954979"/>
      <w:bookmarkStart w:id="216" w:name="_Toc93507159"/>
      <w:bookmarkStart w:id="217" w:name="_Toc353966729"/>
      <w:bookmarkStart w:id="218" w:name="_Toc374724173"/>
      <w:bookmarkStart w:id="219" w:name="_Toc361761821"/>
      <w:bookmarkStart w:id="220" w:name="_Toc508291875"/>
      <w:bookmarkStart w:id="221" w:name="_Toc280954902"/>
      <w:bookmarkStart w:id="222" w:name="_Toc18213"/>
      <w:bookmarkStart w:id="223" w:name="_Hlk48603730"/>
      <w:bookmarkStart w:id="224" w:name="OLE_LINK159"/>
      <w:r>
        <w:rPr>
          <w:rFonts w:hint="default"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Fonts w:hint="default" w:ascii="Times New Roman" w:hAnsi="Times New Roman" w:eastAsia="宋体" w:cs="Times New Roman"/>
          <w:color w:val="000000" w:themeColor="text1"/>
          <w:highlight w:val="none"/>
          <w14:textFill>
            <w14:solidFill>
              <w14:schemeClr w14:val="tx1"/>
            </w14:solidFill>
          </w14:textFill>
        </w:rPr>
        <w:t>评价工作等级和评价范围</w:t>
      </w:r>
      <w:bookmarkEnd w:id="222"/>
    </w:p>
    <w:bookmarkEnd w:id="223"/>
    <w:p w14:paraId="53904434">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225" w:name="_Hlk69832293"/>
      <w:bookmarkStart w:id="226" w:name="_Hlk68964072"/>
      <w:bookmarkStart w:id="227" w:name="_Hlk69381725"/>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5.1</w:t>
      </w:r>
      <w:r>
        <w:rPr>
          <w:rFonts w:hint="default" w:ascii="Times New Roman" w:hAnsi="Times New Roman" w:cs="Times New Roman"/>
          <w:color w:val="000000" w:themeColor="text1"/>
          <w:highlight w:val="none"/>
          <w14:textFill>
            <w14:solidFill>
              <w14:schemeClr w14:val="tx1"/>
            </w14:solidFill>
          </w14:textFill>
        </w:rPr>
        <w:t>生态</w:t>
      </w:r>
      <w:r>
        <w:rPr>
          <w:rFonts w:hint="eastAsia" w:cs="Times New Roman"/>
          <w:color w:val="000000" w:themeColor="text1"/>
          <w:highlight w:val="none"/>
          <w:lang w:val="en-US" w:eastAsia="zh-CN"/>
          <w14:textFill>
            <w14:solidFill>
              <w14:schemeClr w14:val="tx1"/>
            </w14:solidFill>
          </w14:textFill>
        </w:rPr>
        <w:t>环境</w:t>
      </w:r>
      <w:r>
        <w:rPr>
          <w:rFonts w:hint="default" w:ascii="Times New Roman" w:hAnsi="Times New Roman" w:cs="Times New Roman"/>
          <w:color w:val="000000" w:themeColor="text1"/>
          <w:highlight w:val="none"/>
          <w14:textFill>
            <w14:solidFill>
              <w14:schemeClr w14:val="tx1"/>
            </w14:solidFill>
          </w14:textFill>
        </w:rPr>
        <w:t>影响评价等级和评价范围</w:t>
      </w:r>
    </w:p>
    <w:bookmarkEnd w:id="225"/>
    <w:bookmarkEnd w:id="226"/>
    <w:p w14:paraId="7E468B71">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bookmarkStart w:id="228" w:name="OLE_LINK123"/>
      <w:r>
        <w:rPr>
          <w:rFonts w:hint="default" w:ascii="Times New Roman" w:hAnsi="Times New Roman" w:cs="Times New Roman"/>
          <w:color w:val="000000" w:themeColor="text1"/>
          <w:highlight w:val="none"/>
          <w:lang w:eastAsia="zh-CN"/>
          <w14:textFill>
            <w14:solidFill>
              <w14:schemeClr w14:val="tx1"/>
            </w14:solidFill>
          </w14:textFill>
        </w:rPr>
        <w:t>（1）评价等级</w:t>
      </w:r>
    </w:p>
    <w:bookmarkEnd w:id="228"/>
    <w:p w14:paraId="0678BE2A">
      <w:pPr>
        <w:keepNext w:val="0"/>
        <w:keepLines w:val="0"/>
        <w:pageBreakBefore w:val="0"/>
        <w:widowControl/>
        <w:kinsoku/>
        <w:wordWrap w:val="0"/>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根据《</w:t>
      </w:r>
      <w:bookmarkStart w:id="229" w:name="OLE_LINK119"/>
      <w:r>
        <w:rPr>
          <w:rFonts w:hint="default" w:ascii="Times New Roman" w:hAnsi="Times New Roman" w:cs="Times New Roman"/>
          <w:color w:val="000000" w:themeColor="text1"/>
          <w:highlight w:val="none"/>
          <w:lang w:eastAsia="zh-CN"/>
          <w14:textFill>
            <w14:solidFill>
              <w14:schemeClr w14:val="tx1"/>
            </w14:solidFill>
          </w14:textFill>
        </w:rPr>
        <w:t>环境影响评价技术导则 生态影响</w:t>
      </w:r>
      <w:bookmarkEnd w:id="229"/>
      <w:r>
        <w:rPr>
          <w:rFonts w:hint="default" w:ascii="Times New Roman" w:hAnsi="Times New Roman" w:cs="Times New Roman"/>
          <w:color w:val="000000" w:themeColor="text1"/>
          <w:highlight w:val="none"/>
          <w:lang w:eastAsia="zh-CN"/>
          <w14:textFill>
            <w14:solidFill>
              <w14:schemeClr w14:val="tx1"/>
            </w14:solidFill>
          </w14:textFill>
        </w:rPr>
        <w:t>》（HJ19-2022）</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评价区域内不涉及</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依法划定各类自然保护地和生态保护红线</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bookmarkStart w:id="230" w:name="OLE_LINK761"/>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新增</w:t>
      </w:r>
      <w:bookmarkStart w:id="231" w:name="OLE_LINK1274"/>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占地面积</w:t>
      </w:r>
      <w:bookmarkEnd w:id="231"/>
      <w:r>
        <w:rPr>
          <w:rFonts w:hint="eastAsia" w:cs="Times New Roman"/>
          <w:color w:val="000000" w:themeColor="text1"/>
          <w:kern w:val="0"/>
          <w:sz w:val="24"/>
          <w:szCs w:val="24"/>
          <w:highlight w:val="none"/>
          <w:lang w:val="en-US" w:eastAsia="zh-CN"/>
          <w14:textFill>
            <w14:solidFill>
              <w14:schemeClr w14:val="tx1"/>
            </w14:solidFill>
          </w14:textFill>
        </w:rPr>
        <w:t>2.4828</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hm</w:t>
      </w:r>
      <w:r>
        <w:rPr>
          <w:rFonts w:hint="default"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其中</w:t>
      </w:r>
      <w:bookmarkStart w:id="232" w:name="OLE_LINK1372"/>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永久</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占地</w:t>
      </w:r>
      <w:bookmarkEnd w:id="232"/>
      <w:r>
        <w:rPr>
          <w:rFonts w:hint="eastAsia" w:cs="Times New Roman"/>
          <w:color w:val="000000" w:themeColor="text1"/>
          <w:kern w:val="0"/>
          <w:sz w:val="24"/>
          <w:szCs w:val="24"/>
          <w:highlight w:val="none"/>
          <w:lang w:val="en-US" w:eastAsia="zh-CN"/>
          <w14:textFill>
            <w14:solidFill>
              <w14:schemeClr w14:val="tx1"/>
            </w14:solidFill>
          </w14:textFill>
        </w:rPr>
        <w:t>为1.4328hm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bookmarkStart w:id="233" w:name="OLE_LINK1275"/>
      <w:r>
        <w:rPr>
          <w:rFonts w:hint="eastAsia" w:cs="Times New Roman"/>
          <w:color w:val="000000" w:themeColor="text1"/>
          <w:kern w:val="0"/>
          <w:sz w:val="24"/>
          <w:szCs w:val="24"/>
          <w:highlight w:val="none"/>
          <w:lang w:val="en-US" w:eastAsia="zh-CN"/>
          <w14:textFill>
            <w14:solidFill>
              <w14:schemeClr w14:val="tx1"/>
            </w14:solidFill>
          </w14:textFill>
        </w:rPr>
        <w:t>临时占地</w:t>
      </w:r>
      <w:bookmarkEnd w:id="233"/>
      <w:r>
        <w:rPr>
          <w:rFonts w:hint="eastAsia" w:cs="Times New Roman"/>
          <w:color w:val="000000" w:themeColor="text1"/>
          <w:kern w:val="0"/>
          <w:sz w:val="24"/>
          <w:szCs w:val="24"/>
          <w:highlight w:val="none"/>
          <w:lang w:val="en-US" w:eastAsia="zh-CN"/>
          <w14:textFill>
            <w14:solidFill>
              <w14:schemeClr w14:val="tx1"/>
            </w14:solidFill>
          </w14:textFill>
        </w:rPr>
        <w:t>为1.05hm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w:t>
      </w:r>
      <w:bookmarkEnd w:id="230"/>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占地面积＜20km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p>
    <w:p w14:paraId="69A4FD4C">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生态影响》（HJ19-2022）的生态评价等级判定条件，</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生态环境影响评价工作等级确定为</w:t>
      </w:r>
      <w:r>
        <w:rPr>
          <w:rFonts w:hint="eastAsia" w:cs="Times New Roman"/>
          <w:color w:val="000000" w:themeColor="text1"/>
          <w:kern w:val="0"/>
          <w:sz w:val="24"/>
          <w:szCs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级。生态评价等级判定过程</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见</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表2.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5-1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72CDBF22">
      <w:pPr>
        <w:pStyle w:val="60"/>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bCs w:val="0"/>
          <w:color w:val="000000" w:themeColor="text1"/>
          <w:highlight w:val="none"/>
          <w14:textFill>
            <w14:solidFill>
              <w14:schemeClr w14:val="tx1"/>
            </w14:solidFill>
          </w14:textFill>
        </w:rPr>
      </w:pPr>
      <w:bookmarkStart w:id="234" w:name="OLE_LINK138"/>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w:t>
      </w:r>
      <w:bookmarkStart w:id="235" w:name="OLE_LINK164"/>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2.</w:t>
      </w:r>
      <w:bookmarkEnd w:id="235"/>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5-1</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生态环境评价等级判定</w:t>
      </w:r>
    </w:p>
    <w:bookmarkEnd w:id="234"/>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5330"/>
        <w:gridCol w:w="1831"/>
        <w:gridCol w:w="1099"/>
      </w:tblGrid>
      <w:tr w14:paraId="2356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33031121">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bidi="ar"/>
                <w14:textFill>
                  <w14:solidFill>
                    <w14:schemeClr w14:val="tx1"/>
                  </w14:solidFill>
                </w14:textFill>
              </w:rPr>
              <w:t>序号</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01D98000">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bidi="ar"/>
                <w14:textFill>
                  <w14:solidFill>
                    <w14:schemeClr w14:val="tx1"/>
                  </w14:solidFill>
                </w14:textFill>
              </w:rPr>
              <w:t>生态评价等级判定要求</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1DC55750">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kern w:val="2"/>
                <w:sz w:val="21"/>
                <w:szCs w:val="21"/>
                <w:highlight w:val="none"/>
                <w:lang w:eastAsia="zh-CN" w:bidi="ar"/>
                <w14:textFill>
                  <w14:solidFill>
                    <w14:schemeClr w14:val="tx1"/>
                  </w14:solidFill>
                </w14:textFill>
              </w:rPr>
              <w:t>本</w:t>
            </w:r>
            <w:r>
              <w:rPr>
                <w:rFonts w:hint="eastAsia" w:cs="Times New Roman"/>
                <w:b/>
                <w:bCs w:val="0"/>
                <w:color w:val="000000" w:themeColor="text1"/>
                <w:kern w:val="2"/>
                <w:sz w:val="21"/>
                <w:szCs w:val="21"/>
                <w:highlight w:val="none"/>
                <w:lang w:val="en-US" w:eastAsia="zh-CN" w:bidi="ar"/>
                <w14:textFill>
                  <w14:solidFill>
                    <w14:schemeClr w14:val="tx1"/>
                  </w14:solidFill>
                </w14:textFill>
              </w:rPr>
              <w:t>工程</w:t>
            </w:r>
            <w:r>
              <w:rPr>
                <w:rFonts w:hint="default" w:ascii="Times New Roman" w:hAnsi="Times New Roman" w:eastAsia="宋体" w:cs="Times New Roman"/>
                <w:b/>
                <w:bCs w:val="0"/>
                <w:color w:val="000000" w:themeColor="text1"/>
                <w:kern w:val="2"/>
                <w:sz w:val="21"/>
                <w:szCs w:val="21"/>
                <w:highlight w:val="none"/>
                <w:lang w:bidi="ar"/>
                <w14:textFill>
                  <w14:solidFill>
                    <w14:schemeClr w14:val="tx1"/>
                  </w14:solidFill>
                </w14:textFill>
              </w:rPr>
              <w:t>情况</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396AD46F">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bidi="ar"/>
                <w14:textFill>
                  <w14:solidFill>
                    <w14:schemeClr w14:val="tx1"/>
                  </w14:solidFill>
                </w14:textFill>
              </w:rPr>
              <w:t>生态影响评价等级</w:t>
            </w:r>
          </w:p>
        </w:tc>
      </w:tr>
      <w:tr w14:paraId="38CD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094FE983">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a</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7B7BB8AC">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涉及国家公园、自然保护区、世界自然遗产、重要生境时，评价等级为一级；</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74BD3692">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不涉及</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38212494">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2A5E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5095D022">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b</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617DB13F">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涉及自然公园时，评价等级为二级；</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7D775F28">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不涉及</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11E273E7">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3C63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58437DBE">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c</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6EF6DF5B">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涉及生态保护红线时，评价等级不低于二级；</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55BF0F5E">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236" w:name="OLE_LINK856"/>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不涉及</w:t>
            </w:r>
            <w:bookmarkEnd w:id="236"/>
          </w:p>
        </w:tc>
        <w:tc>
          <w:tcPr>
            <w:tcW w:w="637" w:type="pct"/>
            <w:tcBorders>
              <w:top w:val="single" w:color="auto" w:sz="4" w:space="0"/>
              <w:left w:val="single" w:color="auto" w:sz="4" w:space="0"/>
              <w:bottom w:val="single" w:color="auto" w:sz="4" w:space="0"/>
              <w:right w:val="single" w:color="auto" w:sz="4" w:space="0"/>
            </w:tcBorders>
            <w:noWrap w:val="0"/>
            <w:vAlign w:val="center"/>
          </w:tcPr>
          <w:p w14:paraId="2F7A9921">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259E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29C523B4">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d</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24B6F6AE">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根据HJ2.3判断属于水文要素影响型且地表水评价等级不低于二级的建设项目，生态影响评价等级不低于二级；</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0F49C047">
            <w:pPr>
              <w:pStyle w:val="33"/>
              <w:widowControl w:val="0"/>
              <w:adjustRightInd w:val="0"/>
              <w:spacing w:before="0" w:beforeAutospacing="0" w:after="0" w:afterAutospacing="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不涉及</w:t>
            </w:r>
            <w:r>
              <w:rPr>
                <w:rFonts w:hint="eastAsia" w:cs="Times New Roman"/>
                <w:color w:val="000000" w:themeColor="text1"/>
                <w:kern w:val="2"/>
                <w:sz w:val="21"/>
                <w:szCs w:val="21"/>
                <w:highlight w:val="none"/>
                <w:lang w:eastAsia="zh-CN" w:bidi="ar"/>
                <w14:textFill>
                  <w14:solidFill>
                    <w14:schemeClr w14:val="tx1"/>
                  </w14:solidFill>
                </w14:textFill>
              </w:rPr>
              <w:t>，地表水为三级B</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415AE517">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49F8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210" w:type="pct"/>
            <w:tcBorders>
              <w:top w:val="single" w:color="auto" w:sz="4" w:space="0"/>
              <w:left w:val="single" w:color="auto" w:sz="4" w:space="0"/>
              <w:right w:val="single" w:color="auto" w:sz="4" w:space="0"/>
            </w:tcBorders>
            <w:noWrap w:val="0"/>
            <w:vAlign w:val="center"/>
          </w:tcPr>
          <w:p w14:paraId="6F39B9F0">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e</w:t>
            </w:r>
          </w:p>
        </w:tc>
        <w:tc>
          <w:tcPr>
            <w:tcW w:w="3090" w:type="pct"/>
            <w:tcBorders>
              <w:top w:val="single" w:color="auto" w:sz="4" w:space="0"/>
              <w:left w:val="single" w:color="auto" w:sz="4" w:space="0"/>
              <w:right w:val="single" w:color="auto" w:sz="4" w:space="0"/>
            </w:tcBorders>
            <w:noWrap w:val="0"/>
            <w:vAlign w:val="center"/>
          </w:tcPr>
          <w:p w14:paraId="75DDAFBB">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根据</w:t>
            </w:r>
            <w:bookmarkStart w:id="237" w:name="OLE_LINK120"/>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HJ610</w:t>
            </w:r>
            <w:bookmarkEnd w:id="237"/>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、HJ964判断地下水水位或土壤影响范围内分布有天然林、公益林、湿地等生态保护目标的建设项目，生态影响评价等级不低于二级；</w:t>
            </w:r>
          </w:p>
        </w:tc>
        <w:tc>
          <w:tcPr>
            <w:tcW w:w="1062" w:type="pct"/>
            <w:tcBorders>
              <w:top w:val="single" w:color="auto" w:sz="4" w:space="0"/>
              <w:left w:val="single" w:color="auto" w:sz="4" w:space="0"/>
              <w:right w:val="single" w:color="auto" w:sz="4" w:space="0"/>
            </w:tcBorders>
            <w:noWrap w:val="0"/>
            <w:vAlign w:val="center"/>
          </w:tcPr>
          <w:p w14:paraId="7607FEFD">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kern w:val="2"/>
                <w:sz w:val="21"/>
                <w:szCs w:val="21"/>
                <w:highlight w:val="none"/>
                <w:lang w:val="en-US"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不涉及</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51F5EA7C">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color w:val="000000" w:themeColor="text1"/>
                <w:kern w:val="2"/>
                <w:sz w:val="21"/>
                <w:szCs w:val="21"/>
                <w:highlight w:val="none"/>
                <w:lang w:val="en-US" w:eastAsia="zh-CN" w:bidi="ar"/>
                <w14:textFill>
                  <w14:solidFill>
                    <w14:schemeClr w14:val="tx1"/>
                  </w14:solidFill>
                </w14:textFill>
              </w:rPr>
              <w:t>/</w:t>
            </w:r>
          </w:p>
        </w:tc>
      </w:tr>
      <w:tr w14:paraId="3BA5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3045471A">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f</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4EC186C2">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当工程占地规模大于20km</w:t>
            </w:r>
            <w:r>
              <w:rPr>
                <w:rFonts w:hint="default" w:ascii="Times New Roman" w:hAnsi="Times New Roman" w:eastAsia="宋体" w:cs="Times New Roman"/>
                <w:bCs/>
                <w:color w:val="000000" w:themeColor="text1"/>
                <w:kern w:val="2"/>
                <w:sz w:val="21"/>
                <w:szCs w:val="21"/>
                <w:highlight w:val="none"/>
                <w:vertAlign w:val="superscript"/>
                <w:lang w:bidi="ar"/>
                <w14:textFill>
                  <w14:solidFill>
                    <w14:schemeClr w14:val="tx1"/>
                  </w14:solidFill>
                </w14:textFill>
              </w:rPr>
              <w:t>2</w:t>
            </w: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时（包括永久和临时占用陆域和水域），评价等级不低于二级；改扩建项目的占地范围以新增占地（包括陆域和水域）确定；</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7E11ED15">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lang w:eastAsia="zh-CN" w:bidi="ar"/>
                <w14:textFill>
                  <w14:solidFill>
                    <w14:schemeClr w14:val="tx1"/>
                  </w14:solidFill>
                </w14:textFill>
              </w:rPr>
              <w:t>本</w:t>
            </w:r>
            <w:r>
              <w:rPr>
                <w:rFonts w:hint="eastAsia" w:cs="Times New Roman"/>
                <w:color w:val="000000" w:themeColor="text1"/>
                <w:kern w:val="2"/>
                <w:sz w:val="21"/>
                <w:szCs w:val="21"/>
                <w:highlight w:val="none"/>
                <w:lang w:val="en-US" w:eastAsia="zh-CN" w:bidi="ar"/>
                <w14:textFill>
                  <w14:solidFill>
                    <w14:schemeClr w14:val="tx1"/>
                  </w14:solidFill>
                </w14:textFill>
              </w:rPr>
              <w:t>工程</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占地面积为0.0</w:t>
            </w:r>
            <w:r>
              <w:rPr>
                <w:rFonts w:hint="eastAsia" w:cs="Times New Roman"/>
                <w:color w:val="000000" w:themeColor="text1"/>
                <w:kern w:val="2"/>
                <w:sz w:val="21"/>
                <w:szCs w:val="21"/>
                <w:highlight w:val="none"/>
                <w:lang w:val="en-US" w:eastAsia="zh-CN" w:bidi="ar"/>
                <w14:textFill>
                  <w14:solidFill>
                    <w14:schemeClr w14:val="tx1"/>
                  </w14:solidFill>
                </w14:textFill>
              </w:rPr>
              <w:t>248</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km</w:t>
            </w:r>
            <w:r>
              <w:rPr>
                <w:rFonts w:hint="default" w:ascii="Times New Roman" w:hAnsi="Times New Roman" w:eastAsia="宋体" w:cs="Times New Roman"/>
                <w:color w:val="000000" w:themeColor="text1"/>
                <w:kern w:val="2"/>
                <w:sz w:val="21"/>
                <w:szCs w:val="21"/>
                <w:highlight w:val="none"/>
                <w:vertAlign w:val="superscript"/>
                <w:lang w:bidi="ar"/>
                <w14:textFill>
                  <w14:solidFill>
                    <w14:schemeClr w14:val="tx1"/>
                  </w14:solidFill>
                </w14:textFill>
              </w:rPr>
              <w:t>2</w:t>
            </w:r>
            <w:r>
              <w:rPr>
                <w:rFonts w:hint="default" w:ascii="Times New Roman" w:hAnsi="Times New Roman" w:cs="Times New Roman"/>
                <w:color w:val="000000" w:themeColor="text1"/>
                <w:kern w:val="2"/>
                <w:sz w:val="21"/>
                <w:szCs w:val="21"/>
                <w:highlight w:val="none"/>
                <w:lang w:eastAsia="zh-CN" w:bidi="ar"/>
                <w14:textFill>
                  <w14:solidFill>
                    <w14:schemeClr w14:val="tx1"/>
                  </w14:solidFill>
                </w14:textFill>
              </w:rPr>
              <w:t>（</w:t>
            </w:r>
            <w:r>
              <w:rPr>
                <w:rFonts w:hint="eastAsia" w:cs="Times New Roman"/>
                <w:color w:val="000000" w:themeColor="text1"/>
                <w:kern w:val="2"/>
                <w:sz w:val="21"/>
                <w:szCs w:val="21"/>
                <w:highlight w:val="none"/>
                <w:lang w:val="en-US" w:eastAsia="zh-CN" w:bidi="ar"/>
                <w14:textFill>
                  <w14:solidFill>
                    <w14:schemeClr w14:val="tx1"/>
                  </w14:solidFill>
                </w14:textFill>
              </w:rPr>
              <w:t>2.48</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hm</w:t>
            </w:r>
            <w:r>
              <w:rPr>
                <w:rFonts w:hint="default" w:ascii="Times New Roman" w:hAnsi="Times New Roman" w:eastAsia="宋体" w:cs="Times New Roman"/>
                <w:color w:val="000000" w:themeColor="text1"/>
                <w:kern w:val="2"/>
                <w:sz w:val="21"/>
                <w:szCs w:val="21"/>
                <w:highlight w:val="none"/>
                <w:vertAlign w:val="superscript"/>
                <w:lang w:val="en-US" w:eastAsia="zh-CN" w:bidi="ar"/>
                <w14:textFill>
                  <w14:solidFill>
                    <w14:schemeClr w14:val="tx1"/>
                  </w14:solidFill>
                </w14:textFill>
              </w:rPr>
              <w:t>2</w:t>
            </w:r>
            <w:r>
              <w:rPr>
                <w:rFonts w:hint="default" w:ascii="Times New Roman" w:hAnsi="Times New Roman" w:cs="Times New Roman"/>
                <w:color w:val="000000" w:themeColor="text1"/>
                <w:kern w:val="2"/>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＜20km</w:t>
            </w:r>
            <w:r>
              <w:rPr>
                <w:rFonts w:hint="default" w:ascii="Times New Roman" w:hAnsi="Times New Roman" w:eastAsia="宋体" w:cs="Times New Roman"/>
                <w:color w:val="000000" w:themeColor="text1"/>
                <w:kern w:val="2"/>
                <w:sz w:val="21"/>
                <w:szCs w:val="21"/>
                <w:highlight w:val="none"/>
                <w:vertAlign w:val="superscript"/>
                <w:lang w:bidi="ar"/>
                <w14:textFill>
                  <w14:solidFill>
                    <w14:schemeClr w14:val="tx1"/>
                  </w14:solidFill>
                </w14:textFill>
              </w:rPr>
              <w:t>2</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336A4762">
            <w:pPr>
              <w:pStyle w:val="33"/>
              <w:widowControl w:val="0"/>
              <w:adjustRightIn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2EE6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0063A602">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g</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560CEB81">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除本条</w:t>
            </w:r>
            <w:bookmarkStart w:id="238" w:name="OLE_LINK128"/>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a）、b）、c）</w:t>
            </w:r>
            <w:bookmarkEnd w:id="238"/>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、d）、e）、f）以外的情况，评价等级为三级；</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6B8C82CF">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三级评价</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12D728A3">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
                <w14:textFill>
                  <w14:solidFill>
                    <w14:schemeClr w14:val="tx1"/>
                  </w14:solidFill>
                </w14:textFill>
              </w:rPr>
              <w:t>/</w:t>
            </w:r>
          </w:p>
        </w:tc>
      </w:tr>
      <w:tr w14:paraId="7380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0" w:type="pct"/>
            <w:tcBorders>
              <w:top w:val="single" w:color="auto" w:sz="4" w:space="0"/>
              <w:left w:val="single" w:color="auto" w:sz="4" w:space="0"/>
              <w:bottom w:val="single" w:color="auto" w:sz="4" w:space="0"/>
              <w:right w:val="single" w:color="auto" w:sz="4" w:space="0"/>
            </w:tcBorders>
            <w:noWrap w:val="0"/>
            <w:vAlign w:val="center"/>
          </w:tcPr>
          <w:p w14:paraId="40E8A40A">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h</w:t>
            </w:r>
          </w:p>
        </w:tc>
        <w:tc>
          <w:tcPr>
            <w:tcW w:w="3090" w:type="pct"/>
            <w:tcBorders>
              <w:top w:val="single" w:color="auto" w:sz="4" w:space="0"/>
              <w:left w:val="single" w:color="auto" w:sz="4" w:space="0"/>
              <w:bottom w:val="single" w:color="auto" w:sz="4" w:space="0"/>
              <w:right w:val="single" w:color="auto" w:sz="4" w:space="0"/>
            </w:tcBorders>
            <w:noWrap w:val="0"/>
            <w:vAlign w:val="center"/>
          </w:tcPr>
          <w:p w14:paraId="4BB07D9F">
            <w:pPr>
              <w:pStyle w:val="33"/>
              <w:widowControl w:val="0"/>
              <w:adjustRightInd w:val="0"/>
              <w:spacing w:before="0" w:beforeAutospacing="0" w:after="0" w:afterAutospacing="0"/>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当评价等级判定同时符合上述多种情况时，应采用其中最高的评价等级</w:t>
            </w:r>
            <w:r>
              <w:rPr>
                <w:rFonts w:hint="default" w:ascii="Times New Roman" w:hAnsi="Times New Roman" w:cs="Times New Roman"/>
                <w:bCs/>
                <w:color w:val="000000" w:themeColor="text1"/>
                <w:kern w:val="2"/>
                <w:sz w:val="21"/>
                <w:szCs w:val="21"/>
                <w:highlight w:val="none"/>
                <w:lang w:eastAsia="zh-CN" w:bidi="ar"/>
                <w14:textFill>
                  <w14:solidFill>
                    <w14:schemeClr w14:val="tx1"/>
                  </w14:solidFill>
                </w14:textFill>
              </w:rPr>
              <w:t>。</w:t>
            </w:r>
          </w:p>
        </w:tc>
        <w:tc>
          <w:tcPr>
            <w:tcW w:w="1062" w:type="pct"/>
            <w:tcBorders>
              <w:top w:val="single" w:color="auto" w:sz="4" w:space="0"/>
              <w:left w:val="single" w:color="auto" w:sz="4" w:space="0"/>
              <w:bottom w:val="single" w:color="auto" w:sz="4" w:space="0"/>
              <w:right w:val="single" w:color="auto" w:sz="4" w:space="0"/>
            </w:tcBorders>
            <w:noWrap w:val="0"/>
            <w:vAlign w:val="center"/>
          </w:tcPr>
          <w:p w14:paraId="2884D540">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t>/</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413539AE">
            <w:pPr>
              <w:pStyle w:val="33"/>
              <w:widowControl w:val="0"/>
              <w:adjustRightInd w:val="0"/>
              <w:spacing w:before="0" w:beforeAutospacing="0" w:after="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bl>
    <w:p w14:paraId="5320BC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bookmarkStart w:id="239" w:name="OLE_LINK125"/>
      <w:r>
        <w:rPr>
          <w:rFonts w:hint="default" w:ascii="Times New Roman" w:hAnsi="Times New Roman" w:cs="Times New Roman"/>
          <w:color w:val="000000" w:themeColor="text1"/>
          <w:sz w:val="24"/>
          <w:szCs w:val="24"/>
          <w:highlight w:val="none"/>
          <w14:textFill>
            <w14:solidFill>
              <w14:schemeClr w14:val="tx1"/>
            </w14:solidFill>
          </w14:textFill>
        </w:rPr>
        <w:t>评价范围</w:t>
      </w:r>
      <w:bookmarkEnd w:id="239"/>
    </w:p>
    <w:p w14:paraId="248FF4C6">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根据《环境影响评价技术导则 生态影响》（HJ19-2022）</w:t>
      </w:r>
      <w:r>
        <w:rPr>
          <w:rFonts w:hint="eastAsia" w:cs="Times New Roman"/>
          <w:caps w:val="0"/>
          <w:color w:val="000000" w:themeColor="text1"/>
          <w:kern w:val="2"/>
          <w:sz w:val="24"/>
          <w:szCs w:val="32"/>
          <w:highlight w:val="none"/>
          <w:lang w:val="en-US" w:eastAsia="zh-CN" w:bidi="ar"/>
          <w14:textFill>
            <w14:solidFill>
              <w14:schemeClr w14:val="tx1"/>
            </w14:solidFill>
          </w14:textFill>
        </w:rPr>
        <w:t>和</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《环境影响评价技术导则</w:t>
      </w:r>
      <w:r>
        <w:rPr>
          <w:rFonts w:hint="eastAsia"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陆地石油天然气开发建设项目》（HJ349-2023），考虑油气田整体开发对生态环境的影响，确定生态环境评价范围为井场</w:t>
      </w:r>
      <w:r>
        <w:rPr>
          <w:rFonts w:hint="eastAsia" w:cs="Times New Roman"/>
          <w:color w:val="000000" w:themeColor="text1"/>
          <w:sz w:val="24"/>
          <w:szCs w:val="24"/>
          <w:highlight w:val="none"/>
          <w:lang w:val="en-US" w:eastAsia="zh-CN"/>
          <w14:textFill>
            <w14:solidFill>
              <w14:schemeClr w14:val="tx1"/>
            </w14:solidFill>
          </w14:textFill>
        </w:rPr>
        <w:t>场界周围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50</w:t>
      </w:r>
      <w:r>
        <w:rPr>
          <w:rFonts w:hint="eastAsia" w:cs="Times New Roman"/>
          <w:color w:val="000000" w:themeColor="text1"/>
          <w:sz w:val="24"/>
          <w:szCs w:val="24"/>
          <w:highlight w:val="none"/>
          <w:lang w:val="en-US" w:eastAsia="zh-CN"/>
          <w14:textFill>
            <w14:solidFill>
              <w14:schemeClr w14:val="tx1"/>
            </w14:solidFill>
          </w14:textFill>
        </w:rPr>
        <w:t>米范围。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评价范围见</w:t>
      </w:r>
      <w:r>
        <w:rPr>
          <w:rFonts w:hint="eastAsia" w:cs="Times New Roman"/>
          <w:color w:val="000000" w:themeColor="text1"/>
          <w:szCs w:val="24"/>
          <w:highlight w:val="none"/>
          <w:lang w:val="en-US" w:eastAsia="zh-CN"/>
          <w14:textFill>
            <w14:solidFill>
              <w14:schemeClr w14:val="tx1"/>
            </w14:solidFill>
          </w14:textFill>
        </w:rPr>
        <w:t>附图1</w:t>
      </w:r>
      <w:r>
        <w:rPr>
          <w:rFonts w:hint="default" w:ascii="Times New Roman" w:hAnsi="Times New Roman" w:cs="Times New Roman"/>
          <w:color w:val="000000" w:themeColor="text1"/>
          <w:highlight w:val="none"/>
          <w14:textFill>
            <w14:solidFill>
              <w14:schemeClr w14:val="tx1"/>
            </w14:solidFill>
          </w14:textFill>
        </w:rPr>
        <w:t>。</w:t>
      </w:r>
    </w:p>
    <w:p w14:paraId="411139FD">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5.2</w:t>
      </w:r>
      <w:r>
        <w:rPr>
          <w:rFonts w:hint="default" w:ascii="Times New Roman" w:hAnsi="Times New Roman" w:cs="Times New Roman"/>
          <w:color w:val="000000" w:themeColor="text1"/>
          <w:highlight w:val="none"/>
          <w14:textFill>
            <w14:solidFill>
              <w14:schemeClr w14:val="tx1"/>
            </w14:solidFill>
          </w14:textFill>
        </w:rPr>
        <w:t>地下水环境影响评价等级和评价范围</w:t>
      </w:r>
    </w:p>
    <w:p w14:paraId="025B602F">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pPr>
      <w:r>
        <w:rPr>
          <w:rFonts w:hint="eastAsia" w:cs="Times New Roman"/>
          <w:color w:val="000000" w:themeColor="text1"/>
          <w:kern w:val="0"/>
          <w:sz w:val="24"/>
          <w:szCs w:val="20"/>
          <w:highlight w:val="none"/>
          <w:lang w:eastAsia="zh-CN"/>
          <w14:textFill>
            <w14:solidFill>
              <w14:schemeClr w14:val="tx1"/>
            </w14:solidFill>
          </w14:textFill>
        </w:rPr>
        <w:t>（</w:t>
      </w:r>
      <w:r>
        <w:rPr>
          <w:rFonts w:hint="eastAsia" w:cs="Times New Roman"/>
          <w:color w:val="000000" w:themeColor="text1"/>
          <w:kern w:val="0"/>
          <w:sz w:val="24"/>
          <w:szCs w:val="20"/>
          <w:highlight w:val="none"/>
          <w:lang w:val="en-US" w:eastAsia="zh-CN"/>
          <w14:textFill>
            <w14:solidFill>
              <w14:schemeClr w14:val="tx1"/>
            </w14:solidFill>
          </w14:textFill>
        </w:rPr>
        <w:t>1</w:t>
      </w:r>
      <w:r>
        <w:rPr>
          <w:rFonts w:hint="eastAsia"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评价等级</w:t>
      </w:r>
    </w:p>
    <w:p w14:paraId="08DD7D63">
      <w:pPr>
        <w:pageBreakBefore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default" w:ascii="Times New Roman" w:hAnsi="Times New Roman" w:cs="Times New Roman"/>
          <w:color w:val="000000" w:themeColor="text1"/>
          <w:highlight w:val="none"/>
          <w:lang w:eastAsia="zh-CN"/>
          <w14:textFill>
            <w14:solidFill>
              <w14:schemeClr w14:val="tx1"/>
            </w14:solidFill>
          </w14:textFill>
        </w:rPr>
        <w:t>《</w:t>
      </w:r>
      <w:bookmarkStart w:id="240" w:name="OLE_LINK1169"/>
      <w:r>
        <w:rPr>
          <w:rFonts w:hint="default" w:ascii="Times New Roman" w:hAnsi="Times New Roman" w:cs="Times New Roman"/>
          <w:color w:val="000000" w:themeColor="text1"/>
          <w:highlight w:val="none"/>
          <w14:textFill>
            <w14:solidFill>
              <w14:schemeClr w14:val="tx1"/>
            </w14:solidFill>
          </w14:textFill>
        </w:rPr>
        <w:t>环境影响评价技术导则 地下水环境</w:t>
      </w:r>
      <w:bookmarkEnd w:id="240"/>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HJ610-2016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中附录A地下水环境影响评价行业分类表</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属于</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F石油、天然气</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w:t>
      </w:r>
      <w:bookmarkStart w:id="241" w:name="OLE_LINK107"/>
      <w:r>
        <w:rPr>
          <w:rFonts w:hint="eastAsia" w:cs="Times New Roman"/>
          <w:color w:val="000000" w:themeColor="text1"/>
          <w:highlight w:val="none"/>
          <w:lang w:val="en-US" w:eastAsia="zh-CN"/>
          <w14:textFill>
            <w14:solidFill>
              <w14:schemeClr w14:val="tx1"/>
            </w14:solidFill>
          </w14:textFill>
        </w:rPr>
        <w:t>38、天然气、页岩气</w:t>
      </w:r>
      <w:r>
        <w:rPr>
          <w:rFonts w:hint="default" w:ascii="Times New Roman" w:hAnsi="Times New Roman" w:cs="Times New Roman"/>
          <w:color w:val="000000" w:themeColor="text1"/>
          <w:highlight w:val="none"/>
          <w14:textFill>
            <w14:solidFill>
              <w14:schemeClr w14:val="tx1"/>
            </w14:solidFill>
          </w14:textFill>
        </w:rPr>
        <w:t>开采</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含净化</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w:t>
      </w:r>
      <w:bookmarkEnd w:id="241"/>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，为类项目。</w:t>
      </w:r>
      <w:bookmarkStart w:id="242" w:name="OLE_LINK1531"/>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工程所在区域</w:t>
      </w:r>
      <w:r>
        <w:rPr>
          <w:rFonts w:hint="default" w:ascii="Times New Roman" w:hAnsi="Times New Roman" w:cs="Times New Roman"/>
          <w:color w:val="000000" w:themeColor="text1"/>
          <w:highlight w:val="none"/>
          <w14:textFill>
            <w14:solidFill>
              <w14:schemeClr w14:val="tx1"/>
            </w14:solidFill>
          </w14:textFill>
        </w:rPr>
        <w:t>不涉及集中式饮用水水源准保护区及其以外的补给径流区</w:t>
      </w:r>
      <w:r>
        <w:rPr>
          <w:rFonts w:hint="eastAsia" w:cs="Times New Roman"/>
          <w:color w:val="000000" w:themeColor="text1"/>
          <w:highlight w:val="none"/>
          <w:lang w:eastAsia="zh-CN"/>
          <w14:textFill>
            <w14:solidFill>
              <w14:schemeClr w14:val="tx1"/>
            </w14:solidFill>
          </w14:textFill>
        </w:rPr>
        <w:t>，亦无</w:t>
      </w:r>
      <w:r>
        <w:rPr>
          <w:rFonts w:hint="default" w:ascii="Times New Roman" w:hAnsi="Times New Roman" w:cs="Times New Roman"/>
          <w:color w:val="000000" w:themeColor="text1"/>
          <w:highlight w:val="none"/>
          <w14:textFill>
            <w14:solidFill>
              <w14:schemeClr w14:val="tx1"/>
            </w14:solidFill>
          </w14:textFill>
        </w:rPr>
        <w:t>国家或地方政府设定的与地下水环境</w:t>
      </w:r>
      <w:r>
        <w:rPr>
          <w:rFonts w:hint="eastAsia" w:cs="Times New Roman"/>
          <w:color w:val="000000" w:themeColor="text1"/>
          <w:highlight w:val="none"/>
          <w:lang w:eastAsia="zh-CN"/>
          <w14:textFill>
            <w14:solidFill>
              <w14:schemeClr w14:val="tx1"/>
            </w14:solidFill>
          </w14:textFill>
        </w:rPr>
        <w:t>相关的其他</w:t>
      </w:r>
      <w:r>
        <w:rPr>
          <w:rFonts w:hint="default" w:ascii="Times New Roman" w:hAnsi="Times New Roman" w:cs="Times New Roman"/>
          <w:color w:val="000000" w:themeColor="text1"/>
          <w:highlight w:val="none"/>
          <w14:textFill>
            <w14:solidFill>
              <w14:schemeClr w14:val="tx1"/>
            </w14:solidFill>
          </w14:textFill>
        </w:rPr>
        <w:t>保护区</w:t>
      </w:r>
      <w:r>
        <w:rPr>
          <w:rFonts w:hint="eastAsia"/>
          <w:color w:val="000000" w:themeColor="text1"/>
          <w:highlight w:val="none"/>
          <w14:textFill>
            <w14:solidFill>
              <w14:schemeClr w14:val="tx1"/>
            </w14:solidFill>
          </w14:textFill>
        </w:rPr>
        <w:t>，</w:t>
      </w:r>
      <w:bookmarkStart w:id="243" w:name="OLE_LINK113"/>
      <w:r>
        <w:rPr>
          <w:rFonts w:hint="eastAsia"/>
          <w:color w:val="000000" w:themeColor="text1"/>
          <w:highlight w:val="none"/>
          <w14:textFill>
            <w14:solidFill>
              <w14:schemeClr w14:val="tx1"/>
            </w14:solidFill>
          </w14:textFill>
        </w:rPr>
        <w:t>亦不属于</w:t>
      </w:r>
      <w:bookmarkEnd w:id="243"/>
      <w:r>
        <w:rPr>
          <w:rFonts w:hint="eastAsia"/>
          <w:color w:val="000000" w:themeColor="text1"/>
          <w:highlight w:val="none"/>
          <w14:textFill>
            <w14:solidFill>
              <w14:schemeClr w14:val="tx1"/>
            </w14:solidFill>
          </w14:textFill>
        </w:rPr>
        <w:t>未划定准保护区的集中式饮用水水源，其保护区以外的补给径流区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亦不属于分散式饮用水水源地</w:t>
      </w:r>
      <w:r>
        <w:rPr>
          <w:rFonts w:hint="eastAsia"/>
          <w:color w:val="000000" w:themeColor="text1"/>
          <w:highlight w:val="none"/>
          <w:lang w:val="en-US" w:eastAsia="zh-CN"/>
          <w14:textFill>
            <w14:solidFill>
              <w14:schemeClr w14:val="tx1"/>
            </w14:solidFill>
          </w14:textFill>
        </w:rPr>
        <w:t>及特殊地下水资源保护区以外的分布区等其他未列入上述敏感分级的环境敏感区</w:t>
      </w:r>
      <w:r>
        <w:rPr>
          <w:rFonts w:hint="default" w:ascii="Times New Roman" w:hAnsi="Times New Roman" w:cs="Times New Roman"/>
          <w:color w:val="000000" w:themeColor="text1"/>
          <w:highlight w:val="none"/>
          <w:lang w:eastAsia="zh-CN"/>
          <w14:textFill>
            <w14:solidFill>
              <w14:schemeClr w14:val="tx1"/>
            </w14:solidFill>
          </w14:textFill>
        </w:rPr>
        <w:t>。</w:t>
      </w:r>
      <w:bookmarkEnd w:id="242"/>
    </w:p>
    <w:p w14:paraId="331A0D07">
      <w:pPr>
        <w:pageBreakBefore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依据</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环境影响评价技术导则</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地下水环境</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HJ610-2016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中的地下水环境敏感程度分级表及建设项目评价工作等级分级表，确定</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地下水评价等级为</w:t>
      </w:r>
      <w:r>
        <w:rPr>
          <w:rFonts w:hint="eastAsia" w:cs="Times New Roman"/>
          <w:color w:val="000000" w:themeColor="text1"/>
          <w:highlight w:val="none"/>
          <w:lang w:val="en-US" w:eastAsia="zh-CN"/>
          <w14:textFill>
            <w14:solidFill>
              <w14:schemeClr w14:val="tx1"/>
            </w14:solidFill>
          </w14:textFill>
        </w:rPr>
        <w:t>三</w:t>
      </w:r>
      <w:r>
        <w:rPr>
          <w:rFonts w:hint="default" w:ascii="Times New Roman" w:hAnsi="Times New Roman" w:cs="Times New Roman"/>
          <w:color w:val="000000" w:themeColor="text1"/>
          <w:highlight w:val="none"/>
          <w14:textFill>
            <w14:solidFill>
              <w14:schemeClr w14:val="tx1"/>
            </w14:solidFill>
          </w14:textFill>
        </w:rPr>
        <w:t>级。</w:t>
      </w:r>
    </w:p>
    <w:p w14:paraId="527D076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5-2</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地下水环境影响评价行业分类表</w:t>
      </w:r>
    </w:p>
    <w:tbl>
      <w:tblPr>
        <w:tblStyle w:val="3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1"/>
        <w:gridCol w:w="1107"/>
        <w:gridCol w:w="1108"/>
        <w:gridCol w:w="1486"/>
        <w:gridCol w:w="1486"/>
      </w:tblGrid>
      <w:tr w14:paraId="79E7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341" w:type="dxa"/>
            <w:vMerge w:val="restart"/>
            <w:tcBorders>
              <w:tl2br w:val="single" w:color="auto" w:sz="4" w:space="0"/>
            </w:tcBorders>
            <w:noWrap w:val="0"/>
            <w:vAlign w:val="center"/>
          </w:tcPr>
          <w:p w14:paraId="734EFAF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 xml:space="preserve">         </w:t>
            </w:r>
            <w:r>
              <w:rPr>
                <w:rFonts w:hint="eastAsia" w:cs="Times New Roman"/>
                <w:b/>
                <w:bCs w:val="0"/>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bCs w:val="0"/>
                <w:color w:val="000000" w:themeColor="text1"/>
                <w:highlight w:val="none"/>
                <w14:textFill>
                  <w14:solidFill>
                    <w14:schemeClr w14:val="tx1"/>
                  </w14:solidFill>
                </w14:textFill>
              </w:rPr>
              <w:t>行业类别</w:t>
            </w:r>
          </w:p>
          <w:p w14:paraId="747A37FA">
            <w:pPr>
              <w:pStyle w:val="47"/>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环评类别</w:t>
            </w:r>
          </w:p>
        </w:tc>
        <w:tc>
          <w:tcPr>
            <w:tcW w:w="1107" w:type="dxa"/>
            <w:vMerge w:val="restart"/>
            <w:noWrap w:val="0"/>
            <w:vAlign w:val="center"/>
          </w:tcPr>
          <w:p w14:paraId="34D0A3E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报告书</w:t>
            </w:r>
          </w:p>
        </w:tc>
        <w:tc>
          <w:tcPr>
            <w:tcW w:w="1108" w:type="dxa"/>
            <w:vMerge w:val="restart"/>
            <w:noWrap w:val="0"/>
            <w:vAlign w:val="center"/>
          </w:tcPr>
          <w:p w14:paraId="18A660C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报告表</w:t>
            </w:r>
          </w:p>
        </w:tc>
        <w:tc>
          <w:tcPr>
            <w:tcW w:w="2972" w:type="dxa"/>
            <w:gridSpan w:val="2"/>
            <w:noWrap w:val="0"/>
            <w:vAlign w:val="center"/>
          </w:tcPr>
          <w:p w14:paraId="5A6A893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地下水环境影响评价项目类别</w:t>
            </w:r>
          </w:p>
        </w:tc>
      </w:tr>
      <w:tr w14:paraId="3AB2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341" w:type="dxa"/>
            <w:vMerge w:val="continue"/>
            <w:noWrap w:val="0"/>
            <w:vAlign w:val="center"/>
          </w:tcPr>
          <w:p w14:paraId="3A3F35C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07" w:type="dxa"/>
            <w:vMerge w:val="continue"/>
            <w:noWrap w:val="0"/>
            <w:vAlign w:val="center"/>
          </w:tcPr>
          <w:p w14:paraId="788BA8D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08" w:type="dxa"/>
            <w:vMerge w:val="continue"/>
            <w:noWrap w:val="0"/>
            <w:vAlign w:val="center"/>
          </w:tcPr>
          <w:p w14:paraId="238122B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486" w:type="dxa"/>
            <w:noWrap w:val="0"/>
            <w:vAlign w:val="center"/>
          </w:tcPr>
          <w:p w14:paraId="57116D9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报告书</w:t>
            </w:r>
          </w:p>
        </w:tc>
        <w:tc>
          <w:tcPr>
            <w:tcW w:w="1486" w:type="dxa"/>
            <w:noWrap w:val="0"/>
            <w:vAlign w:val="center"/>
          </w:tcPr>
          <w:p w14:paraId="2B89A64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报告表</w:t>
            </w:r>
          </w:p>
        </w:tc>
      </w:tr>
      <w:tr w14:paraId="553F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341" w:type="dxa"/>
            <w:noWrap w:val="0"/>
            <w:vAlign w:val="center"/>
          </w:tcPr>
          <w:p w14:paraId="40DE9A1A">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F石油、天然气</w:t>
            </w:r>
          </w:p>
        </w:tc>
        <w:tc>
          <w:tcPr>
            <w:tcW w:w="5187" w:type="dxa"/>
            <w:gridSpan w:val="4"/>
            <w:noWrap w:val="0"/>
            <w:vAlign w:val="center"/>
          </w:tcPr>
          <w:p w14:paraId="6C4D77C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14:paraId="04B7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341" w:type="dxa"/>
            <w:noWrap w:val="0"/>
            <w:vAlign w:val="center"/>
          </w:tcPr>
          <w:p w14:paraId="2C94D87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38</w:t>
            </w:r>
            <w:r>
              <w:rPr>
                <w:rFonts w:hint="default" w:ascii="Times New Roman" w:hAnsi="Times New Roman" w:cs="Times New Roman"/>
                <w:color w:val="000000" w:themeColor="text1"/>
                <w:highlight w:val="none"/>
                <w14:textFill>
                  <w14:solidFill>
                    <w14:schemeClr w14:val="tx1"/>
                  </w14:solidFill>
                </w14:textFill>
              </w:rPr>
              <w:t>、天然气、页岩气开采（含净化）</w:t>
            </w:r>
          </w:p>
        </w:tc>
        <w:tc>
          <w:tcPr>
            <w:tcW w:w="1107" w:type="dxa"/>
            <w:noWrap w:val="0"/>
            <w:vAlign w:val="center"/>
          </w:tcPr>
          <w:p w14:paraId="51CB2B7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全部</w:t>
            </w:r>
          </w:p>
        </w:tc>
        <w:tc>
          <w:tcPr>
            <w:tcW w:w="1108" w:type="dxa"/>
            <w:noWrap w:val="0"/>
            <w:vAlign w:val="center"/>
          </w:tcPr>
          <w:p w14:paraId="196F3C8F">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486" w:type="dxa"/>
            <w:noWrap w:val="0"/>
            <w:vAlign w:val="center"/>
          </w:tcPr>
          <w:p w14:paraId="5E0505EC">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Ⅱ类</w:t>
            </w:r>
          </w:p>
        </w:tc>
        <w:tc>
          <w:tcPr>
            <w:tcW w:w="1486" w:type="dxa"/>
            <w:noWrap w:val="0"/>
            <w:vAlign w:val="center"/>
          </w:tcPr>
          <w:p w14:paraId="697912D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bl>
    <w:p w14:paraId="652C354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val="0"/>
          <w:bCs/>
          <w:color w:val="000000" w:themeColor="text1"/>
          <w:kern w:val="0"/>
          <w:sz w:val="21"/>
          <w:szCs w:val="21"/>
          <w:highlight w:val="none"/>
          <w:lang w:val="en-US" w:eastAsia="zh-CN" w:bidi="ar-SA"/>
          <w14:textFill>
            <w14:solidFill>
              <w14:schemeClr w14:val="tx1"/>
            </w14:solidFill>
          </w14:textFill>
        </w:rPr>
      </w:pPr>
    </w:p>
    <w:p w14:paraId="6E646E08">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5-3</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地下水环境敏感程度分级</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表</w:t>
      </w:r>
    </w:p>
    <w:tbl>
      <w:tblPr>
        <w:tblStyle w:val="3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540"/>
      </w:tblGrid>
      <w:tr w14:paraId="5B6F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2F382BF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分级</w:t>
            </w:r>
          </w:p>
        </w:tc>
        <w:tc>
          <w:tcPr>
            <w:tcW w:w="7540" w:type="dxa"/>
            <w:noWrap w:val="0"/>
            <w:vAlign w:val="center"/>
          </w:tcPr>
          <w:p w14:paraId="01B93738">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项目场地的地下水环境敏感特征</w:t>
            </w:r>
          </w:p>
        </w:tc>
      </w:tr>
      <w:tr w14:paraId="699E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57C9E4F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敏感</w:t>
            </w:r>
          </w:p>
        </w:tc>
        <w:tc>
          <w:tcPr>
            <w:tcW w:w="7540" w:type="dxa"/>
            <w:noWrap w:val="0"/>
            <w:vAlign w:val="center"/>
          </w:tcPr>
          <w:p w14:paraId="7C9824DE">
            <w:pPr>
              <w:pStyle w:val="47"/>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集中式饮用水水源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包括已建成的在用、备用、应急水源地，在建和规划的饮用水水源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准保护区；</w:t>
            </w:r>
            <w:bookmarkStart w:id="244" w:name="OLE_LINK109"/>
            <w:r>
              <w:rPr>
                <w:rFonts w:hint="default" w:ascii="Times New Roman" w:hAnsi="Times New Roman" w:cs="Times New Roman"/>
                <w:color w:val="000000" w:themeColor="text1"/>
                <w:highlight w:val="none"/>
                <w14:textFill>
                  <w14:solidFill>
                    <w14:schemeClr w14:val="tx1"/>
                  </w14:solidFill>
                </w14:textFill>
              </w:rPr>
              <w:t>除集中式饮用水水源以外的国家或地方政府设定的与地下水环境</w:t>
            </w:r>
            <w:r>
              <w:rPr>
                <w:rFonts w:hint="eastAsia" w:cs="Times New Roman"/>
                <w:color w:val="000000" w:themeColor="text1"/>
                <w:highlight w:val="none"/>
                <w:lang w:eastAsia="zh-CN"/>
                <w14:textFill>
                  <w14:solidFill>
                    <w14:schemeClr w14:val="tx1"/>
                  </w14:solidFill>
                </w14:textFill>
              </w:rPr>
              <w:t>相关的其他</w:t>
            </w:r>
            <w:r>
              <w:rPr>
                <w:rFonts w:hint="default" w:ascii="Times New Roman" w:hAnsi="Times New Roman" w:cs="Times New Roman"/>
                <w:color w:val="000000" w:themeColor="text1"/>
                <w:highlight w:val="none"/>
                <w14:textFill>
                  <w14:solidFill>
                    <w14:schemeClr w14:val="tx1"/>
                  </w14:solidFill>
                </w14:textFill>
              </w:rPr>
              <w:t>保护区</w:t>
            </w:r>
            <w:bookmarkEnd w:id="244"/>
            <w:r>
              <w:rPr>
                <w:rFonts w:hint="default" w:ascii="Times New Roman" w:hAnsi="Times New Roman" w:cs="Times New Roman"/>
                <w:color w:val="000000" w:themeColor="text1"/>
                <w:highlight w:val="none"/>
                <w14:textFill>
                  <w14:solidFill>
                    <w14:schemeClr w14:val="tx1"/>
                  </w14:solidFill>
                </w14:textFill>
              </w:rPr>
              <w:t>，如热水、矿泉水、温泉等特殊地下水资源保护区。</w:t>
            </w:r>
          </w:p>
        </w:tc>
      </w:tr>
      <w:tr w14:paraId="51CD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306E8E3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较敏感</w:t>
            </w:r>
          </w:p>
        </w:tc>
        <w:tc>
          <w:tcPr>
            <w:tcW w:w="7540" w:type="dxa"/>
            <w:noWrap w:val="0"/>
            <w:vAlign w:val="center"/>
          </w:tcPr>
          <w:p w14:paraId="3C30D381">
            <w:pPr>
              <w:pStyle w:val="47"/>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245" w:name="OLE_LINK110"/>
            <w:r>
              <w:rPr>
                <w:rFonts w:hint="default" w:ascii="Times New Roman" w:hAnsi="Times New Roman" w:cs="Times New Roman"/>
                <w:color w:val="000000" w:themeColor="text1"/>
                <w:highlight w:val="none"/>
                <w14:textFill>
                  <w14:solidFill>
                    <w14:schemeClr w14:val="tx1"/>
                  </w14:solidFill>
                </w14:textFill>
              </w:rPr>
              <w:t>集中式饮用水水源</w:t>
            </w:r>
            <w:bookmarkEnd w:id="245"/>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包括已建成的在用、备用、应急水源，在建和规划的饮用水水源</w:t>
            </w:r>
            <w:r>
              <w:rPr>
                <w:rFonts w:hint="default" w:ascii="Times New Roman" w:hAnsi="Times New Roman" w:cs="Times New Roman"/>
                <w:color w:val="000000" w:themeColor="text1"/>
                <w:highlight w:val="none"/>
                <w:lang w:eastAsia="zh-CN"/>
                <w14:textFill>
                  <w14:solidFill>
                    <w14:schemeClr w14:val="tx1"/>
                  </w14:solidFill>
                </w14:textFill>
              </w:rPr>
              <w:t>）</w:t>
            </w:r>
            <w:bookmarkStart w:id="246" w:name="OLE_LINK111"/>
            <w:r>
              <w:rPr>
                <w:rFonts w:hint="default" w:ascii="Times New Roman" w:hAnsi="Times New Roman" w:cs="Times New Roman"/>
                <w:color w:val="000000" w:themeColor="text1"/>
                <w:highlight w:val="none"/>
                <w14:textFill>
                  <w14:solidFill>
                    <w14:schemeClr w14:val="tx1"/>
                  </w14:solidFill>
                </w14:textFill>
              </w:rPr>
              <w:t>准保护区</w:t>
            </w:r>
            <w:bookmarkStart w:id="247" w:name="OLE_LINK112"/>
            <w:r>
              <w:rPr>
                <w:rFonts w:hint="default" w:ascii="Times New Roman" w:hAnsi="Times New Roman" w:cs="Times New Roman"/>
                <w:color w:val="000000" w:themeColor="text1"/>
                <w:highlight w:val="none"/>
                <w14:textFill>
                  <w14:solidFill>
                    <w14:schemeClr w14:val="tx1"/>
                  </w14:solidFill>
                </w14:textFill>
              </w:rPr>
              <w:t>以外的补给径流区</w:t>
            </w:r>
            <w:bookmarkEnd w:id="247"/>
            <w:r>
              <w:rPr>
                <w:rFonts w:hint="default" w:ascii="Times New Roman" w:hAnsi="Times New Roman" w:cs="Times New Roman"/>
                <w:color w:val="000000" w:themeColor="text1"/>
                <w:highlight w:val="none"/>
                <w14:textFill>
                  <w14:solidFill>
                    <w14:schemeClr w14:val="tx1"/>
                  </w14:solidFill>
                </w14:textFill>
              </w:rPr>
              <w:t>；未划定准保护区的集中式饮用水水源，其保护区以外的补给径流区；分散式饮用水水源地；特殊地下水资源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矿泉水、温泉等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保护区以外的分布区等</w:t>
            </w:r>
            <w:r>
              <w:rPr>
                <w:rFonts w:hint="eastAsia" w:cs="Times New Roman"/>
                <w:color w:val="000000" w:themeColor="text1"/>
                <w:highlight w:val="none"/>
                <w:lang w:eastAsia="zh-CN"/>
                <w14:textFill>
                  <w14:solidFill>
                    <w14:schemeClr w14:val="tx1"/>
                  </w14:solidFill>
                </w14:textFill>
              </w:rPr>
              <w:t>其他未</w:t>
            </w:r>
            <w:r>
              <w:rPr>
                <w:rFonts w:hint="default" w:ascii="Times New Roman" w:hAnsi="Times New Roman" w:cs="Times New Roman"/>
                <w:color w:val="000000" w:themeColor="text1"/>
                <w:highlight w:val="none"/>
                <w14:textFill>
                  <w14:solidFill>
                    <w14:schemeClr w14:val="tx1"/>
                  </w14:solidFill>
                </w14:textFill>
              </w:rPr>
              <w:t>列入上述敏感分级的环境敏感区</w:t>
            </w:r>
            <w:bookmarkEnd w:id="246"/>
            <w:r>
              <w:rPr>
                <w:rFonts w:hint="default" w:ascii="Times New Roman" w:hAnsi="Times New Roman" w:cs="Times New Roman"/>
                <w:color w:val="000000" w:themeColor="text1"/>
                <w:highlight w:val="none"/>
                <w14:textFill>
                  <w14:solidFill>
                    <w14:schemeClr w14:val="tx1"/>
                  </w14:solidFill>
                </w14:textFill>
              </w:rPr>
              <w:t>。</w:t>
            </w:r>
          </w:p>
        </w:tc>
      </w:tr>
      <w:tr w14:paraId="62D9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noWrap w:val="0"/>
            <w:vAlign w:val="center"/>
          </w:tcPr>
          <w:p w14:paraId="740D5D7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不敏感</w:t>
            </w:r>
          </w:p>
        </w:tc>
        <w:tc>
          <w:tcPr>
            <w:tcW w:w="7540" w:type="dxa"/>
            <w:noWrap w:val="0"/>
            <w:vAlign w:val="center"/>
          </w:tcPr>
          <w:p w14:paraId="79DE4BB3">
            <w:pPr>
              <w:pStyle w:val="47"/>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上述地区之外</w:t>
            </w:r>
            <w:r>
              <w:rPr>
                <w:rFonts w:hint="eastAsia" w:cs="Times New Roman"/>
                <w:color w:val="000000" w:themeColor="text1"/>
                <w:highlight w:val="none"/>
                <w:lang w:eastAsia="zh-CN"/>
                <w14:textFill>
                  <w14:solidFill>
                    <w14:schemeClr w14:val="tx1"/>
                  </w14:solidFill>
                </w14:textFill>
              </w:rPr>
              <w:t>的其他</w:t>
            </w:r>
            <w:r>
              <w:rPr>
                <w:rFonts w:hint="default" w:ascii="Times New Roman" w:hAnsi="Times New Roman" w:cs="Times New Roman"/>
                <w:color w:val="000000" w:themeColor="text1"/>
                <w:highlight w:val="none"/>
                <w14:textFill>
                  <w14:solidFill>
                    <w14:schemeClr w14:val="tx1"/>
                  </w14:solidFill>
                </w14:textFill>
              </w:rPr>
              <w:t>地区。</w:t>
            </w:r>
          </w:p>
        </w:tc>
      </w:tr>
    </w:tbl>
    <w:p w14:paraId="0232E28C">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5-4</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地下水环境影响评价工作等级</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分级表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2156"/>
        <w:gridCol w:w="2156"/>
        <w:gridCol w:w="2156"/>
      </w:tblGrid>
      <w:tr w14:paraId="6AD9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50" w:type="pct"/>
            <w:tcBorders>
              <w:tl2br w:val="single" w:color="auto" w:sz="4" w:space="0"/>
            </w:tcBorders>
            <w:noWrap w:val="0"/>
            <w:vAlign w:val="center"/>
          </w:tcPr>
          <w:p w14:paraId="1EFF4B29">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bCs w:val="0"/>
                <w:color w:val="000000" w:themeColor="text1"/>
                <w:highlight w:val="none"/>
                <w14:textFill>
                  <w14:solidFill>
                    <w14:schemeClr w14:val="tx1"/>
                  </w14:solidFill>
                </w14:textFill>
              </w:rPr>
              <w:t>项目类别</w:t>
            </w:r>
          </w:p>
          <w:p w14:paraId="4BD37CD9">
            <w:pPr>
              <w:pStyle w:val="47"/>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环境敏感程度</w:t>
            </w:r>
          </w:p>
        </w:tc>
        <w:tc>
          <w:tcPr>
            <w:tcW w:w="1250" w:type="pct"/>
            <w:noWrap w:val="0"/>
            <w:vAlign w:val="center"/>
          </w:tcPr>
          <w:p w14:paraId="58AF58B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I类项目</w:t>
            </w:r>
          </w:p>
        </w:tc>
        <w:tc>
          <w:tcPr>
            <w:tcW w:w="1250" w:type="pct"/>
            <w:noWrap w:val="0"/>
            <w:vAlign w:val="center"/>
          </w:tcPr>
          <w:p w14:paraId="7F22A21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shd w:val="clear" w:color="FFFFFF" w:fill="D9D9D9"/>
                <w:lang w:eastAsia="zh-CN"/>
                <w14:textFill>
                  <w14:solidFill>
                    <w14:schemeClr w14:val="tx1"/>
                  </w14:solidFill>
                </w14:textFill>
              </w:rPr>
              <w:t>Ⅱ类</w:t>
            </w:r>
            <w:r>
              <w:rPr>
                <w:rFonts w:hint="default" w:ascii="Times New Roman" w:hAnsi="Times New Roman" w:cs="Times New Roman"/>
                <w:b/>
                <w:bCs w:val="0"/>
                <w:color w:val="000000" w:themeColor="text1"/>
                <w:highlight w:val="none"/>
                <w:shd w:val="clear" w:color="FFFFFF" w:fill="D9D9D9"/>
                <w14:textFill>
                  <w14:solidFill>
                    <w14:schemeClr w14:val="tx1"/>
                  </w14:solidFill>
                </w14:textFill>
              </w:rPr>
              <w:t>项目</w:t>
            </w:r>
          </w:p>
        </w:tc>
        <w:tc>
          <w:tcPr>
            <w:tcW w:w="1250" w:type="pct"/>
            <w:noWrap w:val="0"/>
            <w:vAlign w:val="center"/>
          </w:tcPr>
          <w:p w14:paraId="7C98738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Ⅲ</w:t>
            </w:r>
            <w:r>
              <w:rPr>
                <w:rFonts w:hint="default" w:ascii="Times New Roman" w:hAnsi="Times New Roman" w:cs="Times New Roman"/>
                <w:b/>
                <w:bCs w:val="0"/>
                <w:color w:val="000000" w:themeColor="text1"/>
                <w:highlight w:val="none"/>
                <w14:textFill>
                  <w14:solidFill>
                    <w14:schemeClr w14:val="tx1"/>
                  </w14:solidFill>
                </w14:textFill>
              </w:rPr>
              <w:t>类项目</w:t>
            </w:r>
          </w:p>
        </w:tc>
      </w:tr>
      <w:tr w14:paraId="391A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33F99A0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敏感</w:t>
            </w:r>
          </w:p>
        </w:tc>
        <w:tc>
          <w:tcPr>
            <w:tcW w:w="1250" w:type="pct"/>
            <w:noWrap w:val="0"/>
            <w:vAlign w:val="center"/>
          </w:tcPr>
          <w:p w14:paraId="5FEACB42">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w:t>
            </w:r>
          </w:p>
        </w:tc>
        <w:tc>
          <w:tcPr>
            <w:tcW w:w="1250" w:type="pct"/>
            <w:noWrap w:val="0"/>
            <w:vAlign w:val="center"/>
          </w:tcPr>
          <w:p w14:paraId="0584512D">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w:t>
            </w:r>
          </w:p>
        </w:tc>
        <w:tc>
          <w:tcPr>
            <w:tcW w:w="1250" w:type="pct"/>
            <w:noWrap w:val="0"/>
            <w:vAlign w:val="center"/>
          </w:tcPr>
          <w:p w14:paraId="6EA985D7">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w:t>
            </w:r>
          </w:p>
        </w:tc>
      </w:tr>
      <w:tr w14:paraId="34FD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0C187473">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较敏感</w:t>
            </w:r>
          </w:p>
        </w:tc>
        <w:tc>
          <w:tcPr>
            <w:tcW w:w="1250" w:type="pct"/>
            <w:noWrap w:val="0"/>
            <w:vAlign w:val="center"/>
          </w:tcPr>
          <w:p w14:paraId="6D52FC60">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w:t>
            </w:r>
          </w:p>
        </w:tc>
        <w:tc>
          <w:tcPr>
            <w:tcW w:w="1250" w:type="pct"/>
            <w:noWrap w:val="0"/>
            <w:vAlign w:val="center"/>
          </w:tcPr>
          <w:p w14:paraId="718E17BB">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w:t>
            </w:r>
          </w:p>
        </w:tc>
        <w:tc>
          <w:tcPr>
            <w:tcW w:w="1250" w:type="pct"/>
            <w:noWrap w:val="0"/>
            <w:vAlign w:val="center"/>
          </w:tcPr>
          <w:p w14:paraId="551A197E">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w:t>
            </w:r>
          </w:p>
        </w:tc>
      </w:tr>
      <w:tr w14:paraId="4222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14:paraId="75FE580C">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shd w:val="clear" w:color="FFFFFF" w:fill="D9D9D9"/>
                <w14:textFill>
                  <w14:solidFill>
                    <w14:schemeClr w14:val="tx1"/>
                  </w14:solidFill>
                </w14:textFill>
              </w:rPr>
              <w:t>不敏感</w:t>
            </w:r>
          </w:p>
        </w:tc>
        <w:tc>
          <w:tcPr>
            <w:tcW w:w="1250" w:type="pct"/>
            <w:noWrap w:val="0"/>
            <w:vAlign w:val="center"/>
          </w:tcPr>
          <w:p w14:paraId="009F683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w:t>
            </w:r>
          </w:p>
        </w:tc>
        <w:tc>
          <w:tcPr>
            <w:tcW w:w="1250" w:type="pct"/>
            <w:noWrap w:val="0"/>
            <w:vAlign w:val="center"/>
          </w:tcPr>
          <w:p w14:paraId="3C590B64">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shd w:val="clear" w:color="FFFFFF" w:fill="D9D9D9"/>
                <w14:textFill>
                  <w14:solidFill>
                    <w14:schemeClr w14:val="tx1"/>
                  </w14:solidFill>
                </w14:textFill>
              </w:rPr>
              <w:t>三</w:t>
            </w:r>
          </w:p>
        </w:tc>
        <w:tc>
          <w:tcPr>
            <w:tcW w:w="1250" w:type="pct"/>
            <w:noWrap w:val="0"/>
            <w:vAlign w:val="center"/>
          </w:tcPr>
          <w:p w14:paraId="626332B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w:t>
            </w:r>
          </w:p>
        </w:tc>
      </w:tr>
    </w:tbl>
    <w:p w14:paraId="59615E55">
      <w:pPr>
        <w:keepNext w:val="0"/>
        <w:keepLines w:val="0"/>
        <w:pageBreakBefore w:val="0"/>
        <w:widowControl/>
        <w:kinsoku/>
        <w:wordWrap/>
        <w:overflowPunct/>
        <w:topLinePunct w:val="0"/>
        <w:autoSpaceDE/>
        <w:autoSpaceDN/>
        <w:bidi w:val="0"/>
        <w:adjustRightInd w:val="0"/>
        <w:snapToGrid w:val="0"/>
        <w:spacing w:after="0" w:line="360" w:lineRule="auto"/>
        <w:ind w:firstLine="42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（2）评价范围</w:t>
      </w:r>
    </w:p>
    <w:p w14:paraId="57CB2CBC">
      <w:pPr>
        <w:keepNext w:val="0"/>
        <w:keepLines w:val="0"/>
        <w:pageBreakBefore w:val="0"/>
        <w:widowControl/>
        <w:kinsoku/>
        <w:wordWrap/>
        <w:overflowPunct/>
        <w:topLinePunct w:val="0"/>
        <w:autoSpaceDE/>
        <w:autoSpaceDN/>
        <w:bidi w:val="0"/>
        <w:adjustRightInd w:val="0"/>
        <w:snapToGrid w:val="0"/>
        <w:spacing w:after="0" w:line="360" w:lineRule="auto"/>
        <w:ind w:firstLine="42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根据</w:t>
      </w:r>
      <w:bookmarkStart w:id="248" w:name="OLE_LINK118"/>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《环境影响评价技术导则 地下水环境》（HJ610-2016）</w:t>
      </w:r>
      <w:bookmarkEnd w:id="248"/>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，采用</w:t>
      </w:r>
      <w:r>
        <w:rPr>
          <w:rFonts w:hint="eastAsia" w:cs="Times New Roman"/>
          <w:b w:val="0"/>
          <w:bCs w:val="0"/>
          <w:color w:val="000000" w:themeColor="text1"/>
          <w:highlight w:val="none"/>
          <w:lang w:val="en-US" w:eastAsia="zh-CN"/>
          <w14:textFill>
            <w14:solidFill>
              <w14:schemeClr w14:val="tx1"/>
            </w14:solidFill>
          </w14:textFill>
        </w:rPr>
        <w:t>查表</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法确定地下水评价范围。</w:t>
      </w:r>
    </w:p>
    <w:p w14:paraId="468ED00D">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5-5</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地下水环境现状调查评价范围参照表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759"/>
        <w:gridCol w:w="2759"/>
        <w:gridCol w:w="3003"/>
      </w:tblGrid>
      <w:tr w14:paraId="5D94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14:paraId="138BB2FE">
            <w:pPr>
              <w:pStyle w:val="47"/>
              <w:rPr>
                <w:rFonts w:hint="default" w:ascii="Times New Roman" w:hAnsi="Times New Roman" w:cs="Times New Roman"/>
                <w:b/>
                <w:bCs w:val="0"/>
                <w:color w:val="000000" w:themeColor="text1"/>
                <w:highlight w:val="none"/>
                <w14:textFill>
                  <w14:solidFill>
                    <w14:schemeClr w14:val="tx1"/>
                  </w14:solidFill>
                </w14:textFill>
              </w:rPr>
            </w:pPr>
            <w:r>
              <w:rPr>
                <w:rFonts w:hint="eastAsia" w:ascii="Times New Roman" w:hAnsi="Times New Roman" w:cs="Times New Roman"/>
                <w:b/>
                <w:bCs w:val="0"/>
                <w:color w:val="000000" w:themeColor="text1"/>
                <w:highlight w:val="none"/>
                <w14:textFill>
                  <w14:solidFill>
                    <w14:schemeClr w14:val="tx1"/>
                  </w14:solidFill>
                </w14:textFill>
              </w:rPr>
              <w:t>评价等级</w:t>
            </w:r>
          </w:p>
        </w:tc>
        <w:tc>
          <w:tcPr>
            <w:tcW w:w="2759" w:type="dxa"/>
            <w:tcBorders>
              <w:top w:val="single" w:color="auto" w:sz="4" w:space="0"/>
              <w:left w:val="nil"/>
              <w:bottom w:val="single" w:color="auto" w:sz="4" w:space="0"/>
              <w:right w:val="single" w:color="auto" w:sz="4" w:space="0"/>
            </w:tcBorders>
            <w:shd w:val="clear" w:color="auto" w:fill="auto"/>
            <w:vAlign w:val="center"/>
          </w:tcPr>
          <w:p w14:paraId="4531EBEE">
            <w:pPr>
              <w:pStyle w:val="47"/>
              <w:rPr>
                <w:rFonts w:hint="default" w:ascii="Times New Roman" w:hAnsi="Times New Roman" w:cs="Times New Roman"/>
                <w:b/>
                <w:bCs w:val="0"/>
                <w:color w:val="000000" w:themeColor="text1"/>
                <w:highlight w:val="none"/>
                <w14:textFill>
                  <w14:solidFill>
                    <w14:schemeClr w14:val="tx1"/>
                  </w14:solidFill>
                </w14:textFill>
              </w:rPr>
            </w:pPr>
            <w:r>
              <w:rPr>
                <w:rFonts w:hint="eastAsia" w:ascii="Times New Roman" w:hAnsi="Times New Roman" w:cs="Times New Roman"/>
                <w:b/>
                <w:bCs w:val="0"/>
                <w:color w:val="000000" w:themeColor="text1"/>
                <w:highlight w:val="none"/>
                <w14:textFill>
                  <w14:solidFill>
                    <w14:schemeClr w14:val="tx1"/>
                  </w14:solidFill>
                </w14:textFill>
              </w:rPr>
              <w:t>调查评价面积</w:t>
            </w:r>
            <w:r>
              <w:rPr>
                <w:rFonts w:hint="eastAsia" w:ascii="Times New Roman" w:hAnsi="Times New Roman" w:cs="Times New Roman"/>
                <w:b/>
                <w:bCs w:val="0"/>
                <w:color w:val="000000" w:themeColor="text1"/>
                <w:highlight w:val="none"/>
                <w:lang w:val="en-US" w:eastAsia="zh-CN"/>
                <w14:textFill>
                  <w14:solidFill>
                    <w14:schemeClr w14:val="tx1"/>
                  </w14:solidFill>
                </w14:textFill>
              </w:rPr>
              <w:t>/</w:t>
            </w:r>
            <w:r>
              <w:rPr>
                <w:rFonts w:hint="default" w:ascii="Times New Roman" w:hAnsi="Times New Roman" w:cs="Times New Roman"/>
                <w:b/>
                <w:bCs w:val="0"/>
                <w:color w:val="000000" w:themeColor="text1"/>
                <w:highlight w:val="none"/>
                <w14:textFill>
                  <w14:solidFill>
                    <w14:schemeClr w14:val="tx1"/>
                  </w14:solidFill>
                </w14:textFill>
              </w:rPr>
              <w:t>km</w:t>
            </w:r>
            <w:r>
              <w:rPr>
                <w:rFonts w:hint="default" w:ascii="Times New Roman" w:hAnsi="Times New Roman" w:cs="Times New Roman"/>
                <w:b/>
                <w:bCs w:val="0"/>
                <w:color w:val="000000" w:themeColor="text1"/>
                <w:highlight w:val="none"/>
                <w:vertAlign w:val="superscript"/>
                <w14:textFill>
                  <w14:solidFill>
                    <w14:schemeClr w14:val="tx1"/>
                  </w14:solidFill>
                </w14:textFill>
              </w:rPr>
              <w:t>2</w:t>
            </w:r>
          </w:p>
        </w:tc>
        <w:tc>
          <w:tcPr>
            <w:tcW w:w="3003" w:type="dxa"/>
            <w:tcBorders>
              <w:top w:val="single" w:color="auto" w:sz="4" w:space="0"/>
              <w:left w:val="nil"/>
              <w:bottom w:val="single" w:color="auto" w:sz="4" w:space="0"/>
              <w:right w:val="single" w:color="auto" w:sz="4" w:space="0"/>
            </w:tcBorders>
            <w:shd w:val="clear" w:color="auto" w:fill="auto"/>
            <w:vAlign w:val="center"/>
          </w:tcPr>
          <w:p w14:paraId="0068342B">
            <w:pPr>
              <w:pStyle w:val="47"/>
              <w:rPr>
                <w:rFonts w:hint="eastAsia" w:ascii="Times New Roman" w:hAnsi="Times New Roman" w:cs="Times New Roman"/>
                <w:b/>
                <w:bCs w:val="0"/>
                <w:color w:val="000000" w:themeColor="text1"/>
                <w:highlight w:val="none"/>
                <w14:textFill>
                  <w14:solidFill>
                    <w14:schemeClr w14:val="tx1"/>
                  </w14:solidFill>
                </w14:textFill>
              </w:rPr>
            </w:pPr>
            <w:r>
              <w:rPr>
                <w:rFonts w:hint="eastAsia" w:ascii="Times New Roman" w:hAnsi="Times New Roman" w:cs="Times New Roman"/>
                <w:b/>
                <w:bCs w:val="0"/>
                <w:color w:val="000000" w:themeColor="text1"/>
                <w:highlight w:val="none"/>
                <w14:textFill>
                  <w14:solidFill>
                    <w14:schemeClr w14:val="tx1"/>
                  </w14:solidFill>
                </w14:textFill>
              </w:rPr>
              <w:t>备注</w:t>
            </w:r>
          </w:p>
        </w:tc>
      </w:tr>
      <w:tr w14:paraId="2B5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14:paraId="1C6F0462">
            <w:pPr>
              <w:pStyle w:val="4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一级</w:t>
            </w:r>
          </w:p>
        </w:tc>
        <w:tc>
          <w:tcPr>
            <w:tcW w:w="2759" w:type="dxa"/>
            <w:tcBorders>
              <w:top w:val="single" w:color="auto" w:sz="4" w:space="0"/>
              <w:left w:val="nil"/>
              <w:bottom w:val="single" w:color="auto" w:sz="4" w:space="0"/>
              <w:right w:val="single" w:color="auto" w:sz="4" w:space="0"/>
            </w:tcBorders>
            <w:shd w:val="clear" w:color="auto" w:fill="auto"/>
            <w:vAlign w:val="center"/>
          </w:tcPr>
          <w:p w14:paraId="68761CD5">
            <w:pPr>
              <w:pStyle w:val="47"/>
              <w:rPr>
                <w:rFonts w:hint="default" w:ascii="Times New Roman" w:hAnsi="Times New Roman" w:cs="Times New Roman"/>
                <w:color w:val="000000" w:themeColor="text1"/>
                <w:highlight w:val="none"/>
                <w14:textFill>
                  <w14:solidFill>
                    <w14:schemeClr w14:val="tx1"/>
                  </w14:solidFill>
                </w14:textFill>
              </w:rPr>
            </w:pPr>
            <w:bookmarkStart w:id="249" w:name="OLE_LINK117"/>
            <w:r>
              <w:rPr>
                <w:rFonts w:hint="eastAsia" w:ascii="Times New Roman" w:hAnsi="Times New Roman" w:cs="Times New Roman"/>
                <w:color w:val="000000" w:themeColor="text1"/>
                <w:highlight w:val="none"/>
                <w14:textFill>
                  <w14:solidFill>
                    <w14:schemeClr w14:val="tx1"/>
                  </w14:solidFill>
                </w14:textFill>
              </w:rPr>
              <w:t>≥</w:t>
            </w:r>
            <w:bookmarkEnd w:id="249"/>
            <w:r>
              <w:rPr>
                <w:rFonts w:hint="default" w:ascii="Times New Roman" w:hAnsi="Times New Roman" w:cs="Times New Roman"/>
                <w:color w:val="000000" w:themeColor="text1"/>
                <w:highlight w:val="none"/>
                <w14:textFill>
                  <w14:solidFill>
                    <w14:schemeClr w14:val="tx1"/>
                  </w14:solidFill>
                </w14:textFill>
              </w:rPr>
              <w:t>20</w:t>
            </w:r>
          </w:p>
        </w:tc>
        <w:tc>
          <w:tcPr>
            <w:tcW w:w="3003" w:type="dxa"/>
            <w:vMerge w:val="restart"/>
            <w:tcBorders>
              <w:top w:val="nil"/>
              <w:left w:val="nil"/>
              <w:bottom w:val="single" w:color="auto" w:sz="4" w:space="0"/>
              <w:right w:val="single" w:color="auto" w:sz="4" w:space="0"/>
            </w:tcBorders>
            <w:shd w:val="clear" w:color="auto" w:fill="auto"/>
            <w:vAlign w:val="center"/>
          </w:tcPr>
          <w:p w14:paraId="10028948">
            <w:pPr>
              <w:pStyle w:val="47"/>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应包括重要的地下水环境保护目标，必要时适当扩大范围。</w:t>
            </w:r>
          </w:p>
        </w:tc>
      </w:tr>
      <w:tr w14:paraId="2DB4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14:paraId="5904AF4A">
            <w:pPr>
              <w:pStyle w:val="4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二级</w:t>
            </w:r>
          </w:p>
        </w:tc>
        <w:tc>
          <w:tcPr>
            <w:tcW w:w="2759" w:type="dxa"/>
            <w:tcBorders>
              <w:top w:val="single" w:color="auto" w:sz="4" w:space="0"/>
              <w:left w:val="nil"/>
              <w:bottom w:val="single" w:color="auto" w:sz="4" w:space="0"/>
              <w:right w:val="single" w:color="auto" w:sz="4" w:space="0"/>
            </w:tcBorders>
            <w:shd w:val="clear" w:color="auto" w:fill="auto"/>
            <w:vAlign w:val="center"/>
          </w:tcPr>
          <w:p w14:paraId="2072C218">
            <w:pPr>
              <w:pStyle w:val="47"/>
              <w:rPr>
                <w:rFonts w:hint="default" w:ascii="Times New Roman" w:hAnsi="Times New Roman" w:cs="Times New Roman"/>
                <w:color w:val="000000" w:themeColor="text1"/>
                <w:highlight w:val="none"/>
                <w14:textFill>
                  <w14:solidFill>
                    <w14:schemeClr w14:val="tx1"/>
                  </w14:solidFill>
                </w14:textFill>
              </w:rPr>
            </w:pPr>
            <w:bookmarkStart w:id="250" w:name="OLE_LINK1221"/>
            <w:r>
              <w:rPr>
                <w:rFonts w:hint="default" w:ascii="Times New Roman" w:hAnsi="Times New Roman" w:cs="Times New Roman"/>
                <w:color w:val="000000" w:themeColor="text1"/>
                <w:highlight w:val="none"/>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w:t>
            </w:r>
            <w:bookmarkStart w:id="251" w:name="OLE_LINK1530"/>
            <w:r>
              <w:rPr>
                <w:rFonts w:hint="default" w:ascii="Times New Roman" w:hAnsi="Times New Roman" w:cs="Times New Roman"/>
                <w:color w:val="000000" w:themeColor="text1"/>
                <w:highlight w:val="none"/>
                <w14:textFill>
                  <w14:solidFill>
                    <w14:schemeClr w14:val="tx1"/>
                  </w14:solidFill>
                </w14:textFill>
              </w:rPr>
              <w:t>20</w:t>
            </w:r>
            <w:bookmarkEnd w:id="250"/>
            <w:bookmarkEnd w:id="251"/>
          </w:p>
        </w:tc>
        <w:tc>
          <w:tcPr>
            <w:tcW w:w="3003" w:type="dxa"/>
            <w:vMerge w:val="continue"/>
            <w:tcBorders>
              <w:top w:val="nil"/>
              <w:left w:val="nil"/>
              <w:bottom w:val="single" w:color="auto" w:sz="4" w:space="0"/>
              <w:right w:val="single" w:color="auto" w:sz="4" w:space="0"/>
            </w:tcBorders>
            <w:shd w:val="clear" w:color="auto" w:fill="auto"/>
            <w:vAlign w:val="center"/>
          </w:tcPr>
          <w:p w14:paraId="75B0DB05">
            <w:pPr>
              <w:keepNext w:val="0"/>
              <w:keepLines w:val="0"/>
              <w:pageBreakBefore w:val="0"/>
              <w:widowControl/>
              <w:kinsoku/>
              <w:wordWrap/>
              <w:topLinePunct w:val="0"/>
              <w:bidi w:val="0"/>
              <w:adjustRightInd w:val="0"/>
              <w:snapToGrid w:val="0"/>
              <w:spacing w:line="240" w:lineRule="auto"/>
              <w:jc w:val="left"/>
              <w:rPr>
                <w:color w:val="000000" w:themeColor="text1"/>
                <w:kern w:val="2"/>
                <w:highlight w:val="none"/>
                <w14:textFill>
                  <w14:solidFill>
                    <w14:schemeClr w14:val="tx1"/>
                  </w14:solidFill>
                </w14:textFill>
              </w:rPr>
            </w:pPr>
          </w:p>
        </w:tc>
      </w:tr>
      <w:tr w14:paraId="10D5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14:paraId="450DC9E1">
            <w:pPr>
              <w:pStyle w:val="47"/>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三级</w:t>
            </w:r>
          </w:p>
        </w:tc>
        <w:tc>
          <w:tcPr>
            <w:tcW w:w="2759" w:type="dxa"/>
            <w:tcBorders>
              <w:top w:val="single" w:color="auto" w:sz="4" w:space="0"/>
              <w:left w:val="nil"/>
              <w:bottom w:val="single" w:color="auto" w:sz="4" w:space="0"/>
              <w:right w:val="single" w:color="auto" w:sz="4" w:space="0"/>
            </w:tcBorders>
            <w:shd w:val="clear" w:color="auto" w:fill="auto"/>
            <w:vAlign w:val="center"/>
          </w:tcPr>
          <w:p w14:paraId="2FE20F89">
            <w:pPr>
              <w:pStyle w:val="47"/>
              <w:rPr>
                <w:rFonts w:hint="eastAsia" w:ascii="Times New Roman" w:hAnsi="Times New Roman" w:cs="Times New Roman"/>
                <w:color w:val="000000" w:themeColor="text1"/>
                <w:highlight w:val="none"/>
                <w14:textFill>
                  <w14:solidFill>
                    <w14:schemeClr w14:val="tx1"/>
                  </w14:solidFill>
                </w14:textFill>
              </w:rPr>
            </w:pPr>
            <w:bookmarkStart w:id="252" w:name="OLE_LINK114"/>
            <w:r>
              <w:rPr>
                <w:rFonts w:hint="eastAsia" w:ascii="Times New Roman" w:hAnsi="Times New Roman" w:cs="Times New Roman"/>
                <w:color w:val="000000" w:themeColor="text1"/>
                <w:highlight w:val="none"/>
                <w14:textFill>
                  <w14:solidFill>
                    <w14:schemeClr w14:val="tx1"/>
                  </w14:solidFill>
                </w14:textFill>
              </w:rPr>
              <w:t>≤</w:t>
            </w:r>
            <w:bookmarkEnd w:id="252"/>
            <w:r>
              <w:rPr>
                <w:rFonts w:hint="eastAsia" w:ascii="Times New Roman" w:hAnsi="Times New Roman" w:cs="Times New Roman"/>
                <w:color w:val="000000" w:themeColor="text1"/>
                <w:highlight w:val="none"/>
                <w14:textFill>
                  <w14:solidFill>
                    <w14:schemeClr w14:val="tx1"/>
                  </w14:solidFill>
                </w14:textFill>
              </w:rPr>
              <w:t>6</w:t>
            </w:r>
          </w:p>
        </w:tc>
        <w:tc>
          <w:tcPr>
            <w:tcW w:w="3003" w:type="dxa"/>
            <w:vMerge w:val="continue"/>
            <w:tcBorders>
              <w:top w:val="nil"/>
              <w:left w:val="nil"/>
              <w:bottom w:val="single" w:color="auto" w:sz="4" w:space="0"/>
              <w:right w:val="single" w:color="auto" w:sz="4" w:space="0"/>
            </w:tcBorders>
            <w:shd w:val="clear" w:color="auto" w:fill="auto"/>
            <w:vAlign w:val="center"/>
          </w:tcPr>
          <w:p w14:paraId="116AE226">
            <w:pPr>
              <w:keepNext w:val="0"/>
              <w:keepLines w:val="0"/>
              <w:pageBreakBefore w:val="0"/>
              <w:widowControl/>
              <w:kinsoku/>
              <w:wordWrap/>
              <w:topLinePunct w:val="0"/>
              <w:bidi w:val="0"/>
              <w:adjustRightInd w:val="0"/>
              <w:snapToGrid w:val="0"/>
              <w:spacing w:line="240" w:lineRule="auto"/>
              <w:jc w:val="left"/>
              <w:rPr>
                <w:color w:val="000000" w:themeColor="text1"/>
                <w:kern w:val="2"/>
                <w:highlight w:val="none"/>
                <w14:textFill>
                  <w14:solidFill>
                    <w14:schemeClr w14:val="tx1"/>
                  </w14:solidFill>
                </w14:textFill>
              </w:rPr>
            </w:pPr>
          </w:p>
        </w:tc>
      </w:tr>
    </w:tbl>
    <w:p w14:paraId="7A6876B6">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b w:val="0"/>
          <w:bCs w:val="0"/>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按照</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《环境影响评价技术导则 地下水环境》（HJ610-2016）</w:t>
      </w:r>
      <w:r>
        <w:rPr>
          <w:rFonts w:hint="default" w:ascii="Times New Roman" w:hAnsi="Times New Roman" w:cs="Times New Roman"/>
          <w:snapToGrid w:val="0"/>
          <w:color w:val="000000" w:themeColor="text1"/>
          <w:kern w:val="0"/>
          <w:sz w:val="24"/>
          <w:szCs w:val="24"/>
          <w:highlight w:val="none"/>
          <w14:textFill>
            <w14:solidFill>
              <w14:schemeClr w14:val="tx1"/>
            </w14:solidFill>
          </w14:textFill>
        </w:rPr>
        <w:t>中关于</w:t>
      </w:r>
      <w:r>
        <w:rPr>
          <w:rFonts w:hint="eastAsia" w:ascii="Times New Roman" w:hAnsi="Times New Roman" w:cs="Times New Roman"/>
          <w:snapToGrid w:val="0"/>
          <w:color w:val="000000" w:themeColor="text1"/>
          <w:kern w:val="0"/>
          <w:sz w:val="24"/>
          <w:szCs w:val="24"/>
          <w:highlight w:val="none"/>
          <w:lang w:eastAsia="zh-CN"/>
          <w14:textFill>
            <w14:solidFill>
              <w14:schemeClr w14:val="tx1"/>
            </w14:solidFill>
          </w14:textFill>
        </w:rPr>
        <w:t>“</w:t>
      </w:r>
      <w:r>
        <w:rPr>
          <w:rFonts w:hint="eastAsia" w:cs="Times New Roman"/>
          <w:snapToGrid w:val="0"/>
          <w:color w:val="000000" w:themeColor="text1"/>
          <w:kern w:val="0"/>
          <w:sz w:val="24"/>
          <w:szCs w:val="24"/>
          <w:highlight w:val="none"/>
          <w:lang w:val="en-US" w:eastAsia="zh-CN"/>
          <w14:textFill>
            <w14:solidFill>
              <w14:schemeClr w14:val="tx1"/>
            </w14:solidFill>
          </w14:textFill>
        </w:rPr>
        <w:t>三</w:t>
      </w:r>
      <w:r>
        <w:rPr>
          <w:rFonts w:hint="default" w:ascii="Times New Roman" w:hAnsi="Times New Roman" w:cs="Times New Roman"/>
          <w:snapToGrid w:val="0"/>
          <w:color w:val="000000" w:themeColor="text1"/>
          <w:kern w:val="0"/>
          <w:sz w:val="24"/>
          <w:szCs w:val="24"/>
          <w:highlight w:val="none"/>
          <w14:textFill>
            <w14:solidFill>
              <w14:schemeClr w14:val="tx1"/>
            </w14:solidFill>
          </w14:textFill>
        </w:rPr>
        <w:t>级评价</w:t>
      </w:r>
      <w:r>
        <w:rPr>
          <w:rFonts w:hint="eastAsia" w:ascii="Times New Roman" w:hAnsi="Times New Roman"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highlight w:val="none"/>
          <w14:textFill>
            <w14:solidFill>
              <w14:schemeClr w14:val="tx1"/>
            </w14:solidFill>
          </w14:textFill>
        </w:rPr>
        <w:t>范围的规定，</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本工程</w:t>
      </w:r>
      <w:r>
        <w:rPr>
          <w:rFonts w:hint="eastAsia" w:cs="Times New Roman"/>
          <w:snapToGrid w:val="0"/>
          <w:color w:val="000000" w:themeColor="text1"/>
          <w:kern w:val="0"/>
          <w:sz w:val="24"/>
          <w:szCs w:val="24"/>
          <w:highlight w:val="none"/>
          <w:lang w:val="en-US" w:eastAsia="zh-CN"/>
          <w14:textFill>
            <w14:solidFill>
              <w14:schemeClr w14:val="tx1"/>
            </w14:solidFill>
          </w14:textFill>
        </w:rPr>
        <w:t>地下水</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评价范围</w:t>
      </w:r>
      <w:r>
        <w:rPr>
          <w:rFonts w:hint="eastAsia" w:cs="Times New Roman"/>
          <w:snapToGrid w:val="0"/>
          <w:color w:val="000000" w:themeColor="text1"/>
          <w:kern w:val="0"/>
          <w:sz w:val="24"/>
          <w:szCs w:val="24"/>
          <w:highlight w:val="none"/>
          <w:lang w:val="en-US" w:eastAsia="zh-CN"/>
          <w14:textFill>
            <w14:solidFill>
              <w14:schemeClr w14:val="tx1"/>
            </w14:solidFill>
          </w14:textFill>
        </w:rPr>
        <w:t>为6</w:t>
      </w:r>
      <w:r>
        <w:rPr>
          <w:rFonts w:hint="eastAsia"/>
          <w:color w:val="000000" w:themeColor="text1"/>
          <w:highlight w:val="none"/>
          <w14:textFill>
            <w14:solidFill>
              <w14:schemeClr w14:val="tx1"/>
            </w14:solidFill>
          </w14:textFill>
        </w:rPr>
        <w:t>km</w:t>
      </w:r>
      <w:r>
        <w:rPr>
          <w:rFonts w:hint="eastAsia"/>
          <w:color w:val="000000" w:themeColor="text1"/>
          <w:highlight w:val="none"/>
          <w:vertAlign w:val="superscript"/>
          <w14:textFill>
            <w14:solidFill>
              <w14:schemeClr w14:val="tx1"/>
            </w14:solidFill>
          </w14:textFill>
        </w:rPr>
        <w:t>2</w:t>
      </w:r>
      <w:r>
        <w:rPr>
          <w:rFonts w:hint="default" w:ascii="Times New Roman" w:hAnsi="Times New Roman" w:cs="Times New Roman"/>
          <w:snapToGrid w:val="0"/>
          <w:color w:val="000000" w:themeColor="text1"/>
          <w:kern w:val="0"/>
          <w:sz w:val="24"/>
          <w:szCs w:val="24"/>
          <w:highlight w:val="none"/>
          <w14:textFill>
            <w14:solidFill>
              <w14:schemeClr w14:val="tx1"/>
            </w14:solidFill>
          </w14:textFill>
        </w:rPr>
        <w:t>，</w:t>
      </w:r>
      <w:r>
        <w:rPr>
          <w:color w:val="000000" w:themeColor="text1"/>
          <w:highlight w:val="none"/>
          <w14:textFill>
            <w14:solidFill>
              <w14:schemeClr w14:val="tx1"/>
            </w14:solidFill>
          </w14:textFill>
        </w:rPr>
        <w:t>结合区域水文地质条件及本工程分布特点、地下水调查点分布情况等，本次评价范围确定为：本工程</w:t>
      </w:r>
      <w:r>
        <w:rPr>
          <w:rFonts w:hint="eastAsia"/>
          <w:color w:val="000000" w:themeColor="text1"/>
          <w:highlight w:val="none"/>
          <w14:textFill>
            <w14:solidFill>
              <w14:schemeClr w14:val="tx1"/>
            </w14:solidFill>
          </w14:textFill>
        </w:rPr>
        <w:t>井场上游1km，下游</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km，两侧1km的矩形区域</w:t>
      </w:r>
      <w:r>
        <w:rPr>
          <w:color w:val="000000" w:themeColor="text1"/>
          <w:highlight w:val="none"/>
          <w14:textFill>
            <w14:solidFill>
              <w14:schemeClr w14:val="tx1"/>
            </w14:solidFill>
          </w14:textFill>
        </w:rPr>
        <w:t>作为评价范围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评价范围见</w:t>
      </w:r>
      <w:r>
        <w:rPr>
          <w:rFonts w:hint="eastAsia"/>
          <w:color w:val="000000" w:themeColor="text1"/>
          <w:highlight w:val="none"/>
          <w:lang w:val="en-US" w:eastAsia="zh-CN"/>
          <w14:textFill>
            <w14:solidFill>
              <w14:schemeClr w14:val="tx1"/>
            </w14:solidFill>
          </w14:textFill>
        </w:rPr>
        <w:t>附图</w:t>
      </w:r>
      <w:r>
        <w:rPr>
          <w:color w:val="000000" w:themeColor="text1"/>
          <w:highlight w:val="none"/>
          <w14:textFill>
            <w14:solidFill>
              <w14:schemeClr w14:val="tx1"/>
            </w14:solidFill>
          </w14:textFill>
        </w:rPr>
        <w:t>1</w:t>
      </w:r>
      <w:r>
        <w:rPr>
          <w:rFonts w:hint="default" w:ascii="Times New Roman" w:hAnsi="Times New Roman" w:cs="Times New Roman"/>
          <w:b w:val="0"/>
          <w:bCs w:val="0"/>
          <w:color w:val="000000" w:themeColor="text1"/>
          <w:highlight w:val="none"/>
          <w14:textFill>
            <w14:solidFill>
              <w14:schemeClr w14:val="tx1"/>
            </w14:solidFill>
          </w14:textFill>
        </w:rPr>
        <w:t>。</w:t>
      </w:r>
    </w:p>
    <w:p w14:paraId="46DF8C2B">
      <w:pPr>
        <w:pStyle w:val="5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地表水环境影响评价等级和评价范围</w:t>
      </w:r>
    </w:p>
    <w:p w14:paraId="62586C8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000000" w:themeColor="text1"/>
          <w:sz w:val="24"/>
          <w:highlight w:val="none"/>
          <w14:textFill>
            <w14:solidFill>
              <w14:schemeClr w14:val="tx1"/>
            </w14:solidFill>
          </w14:textFill>
        </w:rPr>
      </w:pP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1</w:t>
      </w: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评价等级</w:t>
      </w:r>
    </w:p>
    <w:p w14:paraId="05148B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cs="Times New Roman"/>
          <w:snapToGrid w:val="0"/>
          <w:color w:val="000000" w:themeColor="text1"/>
          <w:sz w:val="24"/>
          <w:highlight w:val="none"/>
          <w14:textFill>
            <w14:solidFill>
              <w14:schemeClr w14:val="tx1"/>
            </w14:solidFill>
          </w14:textFill>
        </w:rPr>
        <w:t>按照</w:t>
      </w: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bookmarkStart w:id="253" w:name="OLE_LINK105"/>
      <w:r>
        <w:rPr>
          <w:rFonts w:hint="default" w:ascii="Times New Roman" w:hAnsi="Times New Roman" w:cs="Times New Roman"/>
          <w:snapToGrid w:val="0"/>
          <w:color w:val="000000" w:themeColor="text1"/>
          <w:sz w:val="24"/>
          <w:highlight w:val="none"/>
          <w14:textFill>
            <w14:solidFill>
              <w14:schemeClr w14:val="tx1"/>
            </w14:solidFill>
          </w14:textFill>
        </w:rPr>
        <w:t>环境影响评价技术导则</w:t>
      </w:r>
      <w:r>
        <w:rPr>
          <w:rFonts w:hint="default" w:ascii="Times New Roman" w:hAnsi="Times New Roman" w:cs="Times New Roman"/>
          <w:snapToGrid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z w:val="24"/>
          <w:highlight w:val="none"/>
          <w14:textFill>
            <w14:solidFill>
              <w14:schemeClr w14:val="tx1"/>
            </w14:solidFill>
          </w14:textFill>
        </w:rPr>
        <w:t>地表水环境</w:t>
      </w:r>
      <w:bookmarkEnd w:id="253"/>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HJ2.3-2018</w:t>
      </w: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w:t>
      </w:r>
      <w:r>
        <w:rPr>
          <w:rFonts w:hint="eastAsia" w:cs="Times New Roman"/>
          <w:snapToGrid w:val="0"/>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snapToGrid w:val="0"/>
          <w:color w:val="000000" w:themeColor="text1"/>
          <w:sz w:val="24"/>
          <w:highlight w:val="none"/>
          <w14:textFill>
            <w14:solidFill>
              <w14:schemeClr w14:val="tx1"/>
            </w14:solidFill>
          </w14:textFill>
        </w:rPr>
        <w:t>属于水污染影响型建设项目。在油田正常开采及</w:t>
      </w:r>
      <w:r>
        <w:rPr>
          <w:rFonts w:hint="eastAsia" w:cs="Times New Roman"/>
          <w:snapToGrid w:val="0"/>
          <w:color w:val="000000" w:themeColor="text1"/>
          <w:sz w:val="24"/>
          <w:highlight w:val="none"/>
          <w:lang w:val="en-US" w:eastAsia="zh-CN"/>
          <w14:textFill>
            <w14:solidFill>
              <w14:schemeClr w14:val="tx1"/>
            </w14:solidFill>
          </w14:textFill>
        </w:rPr>
        <w:t>拉运</w:t>
      </w:r>
      <w:r>
        <w:rPr>
          <w:rFonts w:hint="default" w:ascii="Times New Roman" w:hAnsi="Times New Roman" w:cs="Times New Roman"/>
          <w:snapToGrid w:val="0"/>
          <w:color w:val="000000" w:themeColor="text1"/>
          <w:sz w:val="24"/>
          <w:highlight w:val="none"/>
          <w14:textFill>
            <w14:solidFill>
              <w14:schemeClr w14:val="tx1"/>
            </w14:solidFill>
          </w14:textFill>
        </w:rPr>
        <w:t>过程中，</w:t>
      </w:r>
      <w:r>
        <w:rPr>
          <w:rFonts w:hint="default" w:ascii="Times New Roman" w:hAnsi="Times New Roman" w:cs="Times New Roman"/>
          <w:snapToGrid w:val="0"/>
          <w:color w:val="000000" w:themeColor="text1"/>
          <w:sz w:val="24"/>
          <w:highlight w:val="none"/>
          <w:lang w:eastAsia="zh-CN"/>
          <w14:textFill>
            <w14:solidFill>
              <w14:schemeClr w14:val="tx1"/>
            </w14:solidFill>
          </w14:textFill>
        </w:rPr>
        <w:t>本</w:t>
      </w:r>
      <w:r>
        <w:rPr>
          <w:rFonts w:hint="eastAsia" w:cs="Times New Roman"/>
          <w:snapToGrid w:val="0"/>
          <w:color w:val="000000" w:themeColor="text1"/>
          <w:sz w:val="24"/>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sz w:val="24"/>
          <w:highlight w:val="none"/>
          <w14:textFill>
            <w14:solidFill>
              <w14:schemeClr w14:val="tx1"/>
            </w14:solidFill>
          </w14:textFill>
        </w:rPr>
        <w:t>产生的</w:t>
      </w:r>
      <w:r>
        <w:rPr>
          <w:rFonts w:hint="eastAsia" w:cs="Times New Roman"/>
          <w:snapToGrid w:val="0"/>
          <w:color w:val="000000" w:themeColor="text1"/>
          <w:sz w:val="24"/>
          <w:highlight w:val="none"/>
          <w:lang w:val="en-US" w:eastAsia="zh-CN"/>
          <w14:textFill>
            <w14:solidFill>
              <w14:schemeClr w14:val="tx1"/>
            </w14:solidFill>
          </w14:textFill>
        </w:rPr>
        <w:t>生产废水</w:t>
      </w:r>
      <w:r>
        <w:rPr>
          <w:rFonts w:hint="default" w:ascii="Times New Roman" w:hAnsi="Times New Roman" w:cs="Times New Roman"/>
          <w:snapToGrid w:val="0"/>
          <w:color w:val="000000" w:themeColor="text1"/>
          <w:sz w:val="24"/>
          <w:highlight w:val="none"/>
          <w14:textFill>
            <w14:solidFill>
              <w14:schemeClr w14:val="tx1"/>
            </w14:solidFill>
          </w14:textFill>
        </w:rPr>
        <w:t>、井下作业废水不外排，不与周边地表水体发生水力联系，</w:t>
      </w:r>
      <w:r>
        <w:rPr>
          <w:rFonts w:hint="eastAsia" w:cs="Times New Roman"/>
          <w:snapToGrid w:val="0"/>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snapToGrid w:val="0"/>
          <w:color w:val="000000" w:themeColor="text1"/>
          <w:sz w:val="24"/>
          <w:highlight w:val="none"/>
          <w14:textFill>
            <w14:solidFill>
              <w14:schemeClr w14:val="tx1"/>
            </w14:solidFill>
          </w14:textFill>
        </w:rPr>
        <w:t>地表水环境影响评价等级为三级B。</w:t>
      </w:r>
    </w:p>
    <w:p w14:paraId="7EB44D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000000" w:themeColor="text1"/>
          <w:sz w:val="24"/>
          <w:highlight w:val="none"/>
          <w14:textFill>
            <w14:solidFill>
              <w14:schemeClr w14:val="tx1"/>
            </w14:solidFill>
          </w14:textFill>
        </w:rPr>
      </w:pP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2</w:t>
      </w:r>
      <w:r>
        <w:rPr>
          <w:rFonts w:hint="default" w:ascii="Times New Roman" w:hAnsi="Times New Roman" w:cs="Times New Roman"/>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4"/>
          <w:highlight w:val="none"/>
          <w14:textFill>
            <w14:solidFill>
              <w14:schemeClr w14:val="tx1"/>
            </w14:solidFill>
          </w14:textFill>
        </w:rPr>
        <w:t>评价范围</w:t>
      </w:r>
    </w:p>
    <w:p w14:paraId="44F29D03">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黑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z w:val="24"/>
          <w:highlight w:val="none"/>
          <w:lang w:val="en-US" w:eastAsia="zh-CN"/>
          <w14:textFill>
            <w14:solidFill>
              <w14:schemeClr w14:val="tx1"/>
            </w14:solidFill>
          </w14:textFill>
        </w:rPr>
        <w:t>本工程</w:t>
      </w:r>
      <w:r>
        <w:rPr>
          <w:rFonts w:hint="default" w:ascii="Times New Roman" w:hAnsi="Times New Roman" w:cs="Times New Roman"/>
          <w:snapToGrid w:val="0"/>
          <w:color w:val="000000" w:themeColor="text1"/>
          <w:sz w:val="24"/>
          <w:highlight w:val="none"/>
          <w14:textFill>
            <w14:solidFill>
              <w14:schemeClr w14:val="tx1"/>
            </w14:solidFill>
          </w14:textFill>
        </w:rPr>
        <w:t>施工期产生的污染物可以依托处置，运营</w:t>
      </w:r>
      <w:r>
        <w:rPr>
          <w:rFonts w:hint="eastAsia" w:cs="Times New Roman"/>
          <w:snapToGrid w:val="0"/>
          <w:color w:val="000000" w:themeColor="text1"/>
          <w:sz w:val="24"/>
          <w:highlight w:val="none"/>
          <w:lang w:val="en-US" w:eastAsia="zh-CN"/>
          <w14:textFill>
            <w14:solidFill>
              <w14:schemeClr w14:val="tx1"/>
            </w14:solidFill>
          </w14:textFill>
        </w:rPr>
        <w:t>期</w:t>
      </w:r>
      <w:r>
        <w:rPr>
          <w:rFonts w:hint="default" w:ascii="Times New Roman" w:hAnsi="Times New Roman" w:cs="Times New Roman"/>
          <w:snapToGrid w:val="0"/>
          <w:color w:val="000000" w:themeColor="text1"/>
          <w:sz w:val="24"/>
          <w:highlight w:val="none"/>
          <w14:textFill>
            <w14:solidFill>
              <w14:schemeClr w14:val="tx1"/>
            </w14:solidFill>
          </w14:textFill>
        </w:rPr>
        <w:t>正常情况无废水排放，本次地表水环境影响评价重点论证本工程废水综合利用不外排的可行性和可靠性</w:t>
      </w:r>
      <w:r>
        <w:rPr>
          <w:rFonts w:hint="default" w:ascii="Times New Roman" w:hAnsi="Times New Roman" w:eastAsia="宋体" w:cs="Times New Roman"/>
          <w:caps w:val="0"/>
          <w:color w:val="000000" w:themeColor="text1"/>
          <w:spacing w:val="5"/>
          <w:kern w:val="2"/>
          <w:sz w:val="25"/>
          <w:szCs w:val="25"/>
          <w:highlight w:val="none"/>
          <w:lang w:eastAsia="zh-CN"/>
          <w14:textFill>
            <w14:solidFill>
              <w14:schemeClr w14:val="tx1"/>
            </w14:solidFill>
          </w14:textFill>
        </w:rPr>
        <w:t>。</w:t>
      </w:r>
    </w:p>
    <w:p w14:paraId="6122226A">
      <w:pPr>
        <w:pStyle w:val="58"/>
        <w:pageBreakBefore w:val="0"/>
        <w:kinsoku/>
        <w:wordWrap/>
        <w:overflowPunct/>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254" w:name="_Hlk48603751"/>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5.4</w:t>
      </w:r>
      <w:r>
        <w:rPr>
          <w:rFonts w:hint="default" w:ascii="Times New Roman" w:hAnsi="Times New Roman" w:cs="Times New Roman"/>
          <w:color w:val="000000" w:themeColor="text1"/>
          <w:highlight w:val="none"/>
          <w14:textFill>
            <w14:solidFill>
              <w14:schemeClr w14:val="tx1"/>
            </w14:solidFill>
          </w14:textFill>
        </w:rPr>
        <w:t>土壤环境影响评价等级和评价范围</w:t>
      </w:r>
    </w:p>
    <w:p w14:paraId="6D03D6BD">
      <w:pPr>
        <w:keepNext w:val="0"/>
        <w:keepLines/>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auto"/>
        <w:outlineLvl w:val="3"/>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bookmarkStart w:id="255" w:name="OLE_LINK134"/>
      <w:r>
        <w:rPr>
          <w:rFonts w:hint="eastAsia" w:cs="Times New Roman"/>
          <w:color w:val="000000" w:themeColor="text1"/>
          <w:kern w:val="0"/>
          <w:sz w:val="24"/>
          <w:szCs w:val="24"/>
          <w:highlight w:val="none"/>
          <w:lang w:val="en-US" w:eastAsia="zh-CN" w:bidi="ar-SA"/>
          <w14:textFill>
            <w14:solidFill>
              <w14:schemeClr w14:val="tx1"/>
            </w14:solidFill>
          </w14:textFill>
        </w:rPr>
        <w:t>（1）项目类别</w:t>
      </w:r>
    </w:p>
    <w:bookmarkEnd w:id="255"/>
    <w:p w14:paraId="708C7CFE">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b w:val="0"/>
          <w:caps w:val="0"/>
          <w:snapToGrid/>
          <w:color w:val="000000" w:themeColor="text1"/>
          <w:kern w:val="2"/>
          <w:sz w:val="24"/>
          <w:szCs w:val="32"/>
          <w:highlight w:val="none"/>
          <w:lang w:val="en-US" w:eastAsia="zh-CN" w:bidi="ar"/>
          <w14:textFill>
            <w14:solidFill>
              <w14:schemeClr w14:val="tx1"/>
            </w14:solidFill>
          </w14:textFill>
        </w:rPr>
      </w:pPr>
      <w:bookmarkStart w:id="256" w:name="OLE_LINK136"/>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根据《</w:t>
      </w:r>
      <w:bookmarkStart w:id="257" w:name="OLE_LINK131"/>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257"/>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256"/>
      <w:r>
        <w:rPr>
          <w:rFonts w:hint="eastAsia" w:cs="Times New Roman"/>
          <w:caps w:val="0"/>
          <w:color w:val="000000" w:themeColor="text1"/>
          <w:kern w:val="2"/>
          <w:sz w:val="24"/>
          <w:szCs w:val="32"/>
          <w:highlight w:val="none"/>
          <w:lang w:val="en-US" w:eastAsia="zh-CN" w:bidi="ar"/>
          <w14:textFill>
            <w14:solidFill>
              <w14:schemeClr w14:val="tx1"/>
            </w14:solidFill>
          </w14:textFill>
        </w:rPr>
        <w:t>和</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陆地石油天然气开发建设项目》</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HJ349-2023</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eastAsia" w:cs="Times New Roman"/>
          <w:caps w:val="0"/>
          <w:color w:val="000000" w:themeColor="text1"/>
          <w:kern w:val="2"/>
          <w:sz w:val="24"/>
          <w:szCs w:val="32"/>
          <w:highlight w:val="none"/>
          <w:lang w:val="en-US" w:eastAsia="zh-CN" w:bidi="ar"/>
          <w14:textFill>
            <w14:solidFill>
              <w14:schemeClr w14:val="tx1"/>
            </w14:solidFill>
          </w14:textFill>
        </w:rPr>
        <w:t>，“土壤盐化、酸化和碱化地区，建设项目</w:t>
      </w:r>
      <w:bookmarkStart w:id="258" w:name="OLE_LINK132"/>
      <w:r>
        <w:rPr>
          <w:rFonts w:hint="eastAsia" w:cs="Times New Roman"/>
          <w:caps w:val="0"/>
          <w:color w:val="000000" w:themeColor="text1"/>
          <w:kern w:val="2"/>
          <w:sz w:val="24"/>
          <w:szCs w:val="32"/>
          <w:highlight w:val="none"/>
          <w:lang w:val="en-US" w:eastAsia="zh-CN" w:bidi="ar"/>
          <w14:textFill>
            <w14:solidFill>
              <w14:schemeClr w14:val="tx1"/>
            </w14:solidFill>
          </w14:textFill>
        </w:rPr>
        <w:t>应按照土壤污染影响型和生态影响型</w:t>
      </w:r>
      <w:bookmarkEnd w:id="258"/>
      <w:r>
        <w:rPr>
          <w:rFonts w:hint="eastAsia" w:cs="Times New Roman"/>
          <w:caps w:val="0"/>
          <w:color w:val="000000" w:themeColor="text1"/>
          <w:kern w:val="2"/>
          <w:sz w:val="24"/>
          <w:szCs w:val="32"/>
          <w:highlight w:val="none"/>
          <w:lang w:val="en-US" w:eastAsia="zh-CN" w:bidi="ar"/>
          <w14:textFill>
            <w14:solidFill>
              <w14:schemeClr w14:val="tx1"/>
            </w14:solidFill>
          </w14:textFill>
        </w:rPr>
        <w:t>，按相应等级分别开展评价工作；非土壤盐化、酸化和碱化地区，按照土壤污染影响型，按相应等级开展评价工作。”根据</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区域历史监测数据，</w:t>
      </w:r>
      <w:r>
        <w:rPr>
          <w:rFonts w:hint="eastAsia" w:cs="Times New Roman"/>
          <w:caps w:val="0"/>
          <w:color w:val="000000" w:themeColor="text1"/>
          <w:kern w:val="2"/>
          <w:sz w:val="24"/>
          <w:szCs w:val="32"/>
          <w:highlight w:val="none"/>
          <w:lang w:val="en-US" w:eastAsia="zh-CN" w:bidi="ar"/>
          <w14:textFill>
            <w14:solidFill>
              <w14:schemeClr w14:val="tx1"/>
            </w14:solidFill>
          </w14:textFill>
        </w:rPr>
        <w:t>本</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工程所在区域土壤盐分含量大于</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4</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g/kg，即</w:t>
      </w:r>
      <w:r>
        <w:rPr>
          <w:rFonts w:hint="eastAsia" w:cs="Times New Roman"/>
          <w:caps w:val="0"/>
          <w:color w:val="000000" w:themeColor="text1"/>
          <w:kern w:val="2"/>
          <w:sz w:val="24"/>
          <w:szCs w:val="32"/>
          <w:highlight w:val="none"/>
          <w:lang w:val="en-US" w:eastAsia="zh-CN" w:bidi="ar"/>
          <w14:textFill>
            <w14:solidFill>
              <w14:schemeClr w14:val="tx1"/>
            </w14:solidFill>
          </w14:textFill>
        </w:rPr>
        <w:t>本工程</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所在区域属于土壤盐化地区，</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本</w:t>
      </w:r>
      <w:r>
        <w:rPr>
          <w:rFonts w:hint="eastAsia" w:cs="Times New Roman"/>
          <w:caps w:val="0"/>
          <w:color w:val="000000" w:themeColor="text1"/>
          <w:kern w:val="2"/>
          <w:sz w:val="24"/>
          <w:szCs w:val="32"/>
          <w:highlight w:val="none"/>
          <w:lang w:val="en-US" w:eastAsia="zh-CN" w:bidi="ar"/>
          <w14:textFill>
            <w14:solidFill>
              <w14:schemeClr w14:val="tx1"/>
            </w14:solidFill>
          </w14:textFill>
        </w:rPr>
        <w:t>工程项目类别</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应按照土壤污染影响型和生态影响型考虑，并根据不同项目类别分别判定评价等级。</w:t>
      </w:r>
      <w:r>
        <w:rPr>
          <w:rFonts w:hint="eastAsia" w:cs="Times New Roman"/>
          <w:caps w:val="0"/>
          <w:color w:val="000000" w:themeColor="text1"/>
          <w:kern w:val="2"/>
          <w:sz w:val="24"/>
          <w:szCs w:val="32"/>
          <w:highlight w:val="none"/>
          <w:lang w:val="en-US" w:eastAsia="zh-CN" w:bidi="ar"/>
          <w14:textFill>
            <w14:solidFill>
              <w14:schemeClr w14:val="tx1"/>
            </w14:solidFill>
          </w14:textFill>
        </w:rPr>
        <w:t>本工程</w:t>
      </w:r>
      <w:r>
        <w:rPr>
          <w:rFonts w:hint="eastAsia" w:cs="Times New Roman"/>
          <w:b w:val="0"/>
          <w:caps w:val="0"/>
          <w:snapToGrid/>
          <w:color w:val="000000" w:themeColor="text1"/>
          <w:kern w:val="2"/>
          <w:sz w:val="24"/>
          <w:szCs w:val="32"/>
          <w:highlight w:val="none"/>
          <w:lang w:val="en-US" w:eastAsia="zh-CN" w:bidi="ar"/>
          <w14:textFill>
            <w14:solidFill>
              <w14:schemeClr w14:val="tx1"/>
            </w14:solidFill>
          </w14:textFill>
        </w:rPr>
        <w:t>属于</w:t>
      </w:r>
      <w:r>
        <w:rPr>
          <w:rFonts w:hint="default" w:ascii="Times New Roman" w:hAnsi="Times New Roman" w:eastAsia="宋体" w:cs="Times New Roman"/>
          <w:b w:val="0"/>
          <w:caps w:val="0"/>
          <w:snapToGrid/>
          <w:color w:val="000000" w:themeColor="text1"/>
          <w:kern w:val="2"/>
          <w:sz w:val="24"/>
          <w:szCs w:val="32"/>
          <w:highlight w:val="none"/>
          <w:lang w:val="en-US" w:eastAsia="zh-CN" w:bidi="ar"/>
          <w14:textFill>
            <w14:solidFill>
              <w14:schemeClr w14:val="tx1"/>
            </w14:solidFill>
          </w14:textFill>
        </w:rPr>
        <w:t>天然气开采</w:t>
      </w:r>
      <w:r>
        <w:rPr>
          <w:rFonts w:hint="eastAsia" w:cs="Times New Roman"/>
          <w:b w:val="0"/>
          <w:caps w:val="0"/>
          <w:snapToGrid/>
          <w:color w:val="000000" w:themeColor="text1"/>
          <w:kern w:val="2"/>
          <w:sz w:val="24"/>
          <w:szCs w:val="32"/>
          <w:highlight w:val="none"/>
          <w:lang w:val="en-US" w:eastAsia="zh-CN" w:bidi="ar"/>
          <w14:textFill>
            <w14:solidFill>
              <w14:schemeClr w14:val="tx1"/>
            </w14:solidFill>
          </w14:textFill>
        </w:rPr>
        <w:t>项目</w:t>
      </w:r>
      <w:r>
        <w:rPr>
          <w:rFonts w:hint="default" w:ascii="Times New Roman" w:hAnsi="Times New Roman" w:eastAsia="宋体" w:cs="Times New Roman"/>
          <w:b w:val="0"/>
          <w:caps w:val="0"/>
          <w:snapToGrid/>
          <w:color w:val="000000" w:themeColor="text1"/>
          <w:kern w:val="2"/>
          <w:sz w:val="24"/>
          <w:szCs w:val="32"/>
          <w:highlight w:val="none"/>
          <w:lang w:val="en-US" w:eastAsia="zh-CN" w:bidi="ar"/>
          <w14:textFill>
            <w14:solidFill>
              <w14:schemeClr w14:val="tx1"/>
            </w14:solidFill>
          </w14:textFill>
        </w:rPr>
        <w:t>，按照</w:t>
      </w:r>
      <w:bookmarkStart w:id="259" w:name="OLE_LINK141"/>
      <w:r>
        <w:rPr>
          <w:rFonts w:hint="default" w:ascii="Times New Roman" w:hAnsi="Times New Roman" w:eastAsia="宋体" w:cs="Times New Roman"/>
          <w:b w:val="0"/>
          <w:caps w:val="0"/>
          <w:snapToGrid/>
          <w:color w:val="000000" w:themeColor="text1"/>
          <w:kern w:val="2"/>
          <w:sz w:val="24"/>
          <w:szCs w:val="32"/>
          <w:highlight w:val="none"/>
          <w:lang w:val="en-US" w:eastAsia="zh-CN" w:bidi="ar"/>
          <w14:textFill>
            <w14:solidFill>
              <w14:schemeClr w14:val="tx1"/>
            </w14:solidFill>
          </w14:textFill>
        </w:rPr>
        <w:t>Ⅱ类建设项目</w:t>
      </w:r>
      <w:bookmarkEnd w:id="259"/>
      <w:r>
        <w:rPr>
          <w:rFonts w:hint="default" w:ascii="Times New Roman" w:hAnsi="Times New Roman" w:eastAsia="宋体" w:cs="Times New Roman"/>
          <w:b w:val="0"/>
          <w:caps w:val="0"/>
          <w:snapToGrid/>
          <w:color w:val="000000" w:themeColor="text1"/>
          <w:kern w:val="2"/>
          <w:sz w:val="24"/>
          <w:szCs w:val="32"/>
          <w:highlight w:val="none"/>
          <w:lang w:val="en-US" w:eastAsia="zh-CN" w:bidi="ar"/>
          <w14:textFill>
            <w14:solidFill>
              <w14:schemeClr w14:val="tx1"/>
            </w14:solidFill>
          </w14:textFill>
        </w:rPr>
        <w:t>开展土壤环境影响评价。</w:t>
      </w:r>
    </w:p>
    <w:p w14:paraId="6635EA5D">
      <w:pPr>
        <w:keepNext w:val="0"/>
        <w:keepLines/>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3"/>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）评价等级</w:t>
      </w:r>
    </w:p>
    <w:p w14:paraId="6CF92F8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①</w:t>
      </w:r>
      <w:bookmarkStart w:id="260" w:name="OLE_LINK137"/>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生态影响型</w:t>
      </w:r>
      <w:bookmarkEnd w:id="260"/>
    </w:p>
    <w:p w14:paraId="601F5E7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根据</w:t>
      </w:r>
      <w:bookmarkStart w:id="261" w:name="OLE_LINK135"/>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bookmarkStart w:id="262" w:name="OLE_LINK1170"/>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土壤环境（试行）</w:t>
      </w:r>
      <w:bookmarkEnd w:id="262"/>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bookmarkEnd w:id="261"/>
      <w:r>
        <w:rPr>
          <w:rFonts w:hint="eastAsia" w:cs="Times New Roman"/>
          <w:caps w:val="0"/>
          <w:color w:val="000000" w:themeColor="text1"/>
          <w:kern w:val="2"/>
          <w:sz w:val="24"/>
          <w:szCs w:val="32"/>
          <w:highlight w:val="none"/>
          <w:lang w:val="en-US" w:eastAsia="zh-CN" w:bidi="ar"/>
          <w14:textFill>
            <w14:solidFill>
              <w14:schemeClr w14:val="tx1"/>
            </w14:solidFill>
          </w14:textFill>
        </w:rPr>
        <w:t>，“建设项目所在地土壤环境敏感程度分为敏感、较敏感、不敏感；同一建设项目涉及两个或两个以上场地或地区，应分别判定其敏感程度；产生两种或两种以上生态影响后果的，敏感程度按相对最高级别判定”，生态影响型判别依据见表2.5-6。</w:t>
      </w:r>
      <w:bookmarkStart w:id="263" w:name="OLE_LINK145"/>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土壤</w:t>
      </w:r>
      <w:r>
        <w:rPr>
          <w:rFonts w:hint="eastAsia" w:cs="Times New Roman"/>
          <w:caps w:val="0"/>
          <w:color w:val="000000" w:themeColor="text1"/>
          <w:kern w:val="2"/>
          <w:sz w:val="24"/>
          <w:szCs w:val="32"/>
          <w:highlight w:val="none"/>
          <w:lang w:val="en-US" w:eastAsia="zh-CN" w:bidi="ar"/>
          <w14:textFill>
            <w14:solidFill>
              <w14:schemeClr w14:val="tx1"/>
            </w14:solidFill>
          </w14:textFill>
        </w:rPr>
        <w:t>环境</w:t>
      </w:r>
      <w:bookmarkStart w:id="264" w:name="OLE_LINK1171"/>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生态影响</w:t>
      </w:r>
      <w:bookmarkEnd w:id="264"/>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型评价工作等级划分</w:t>
      </w:r>
      <w:r>
        <w:rPr>
          <w:rFonts w:hint="eastAsia" w:cs="Times New Roman"/>
          <w:caps w:val="0"/>
          <w:color w:val="000000" w:themeColor="text1"/>
          <w:kern w:val="2"/>
          <w:sz w:val="24"/>
          <w:szCs w:val="32"/>
          <w:highlight w:val="none"/>
          <w:lang w:val="en-US" w:eastAsia="zh-CN" w:bidi="ar"/>
          <w14:textFill>
            <w14:solidFill>
              <w14:schemeClr w14:val="tx1"/>
            </w14:solidFill>
          </w14:textFill>
        </w:rPr>
        <w:t>见表</w:t>
      </w:r>
      <w:bookmarkEnd w:id="263"/>
      <w:r>
        <w:rPr>
          <w:rFonts w:hint="eastAsia" w:cs="Times New Roman"/>
          <w:caps w:val="0"/>
          <w:color w:val="000000" w:themeColor="text1"/>
          <w:kern w:val="2"/>
          <w:sz w:val="24"/>
          <w:szCs w:val="32"/>
          <w:highlight w:val="none"/>
          <w:lang w:val="en-US" w:eastAsia="zh-CN" w:bidi="ar"/>
          <w14:textFill>
            <w14:solidFill>
              <w14:schemeClr w14:val="tx1"/>
            </w14:solidFill>
          </w14:textFill>
        </w:rPr>
        <w:t>2.5-7。</w:t>
      </w:r>
    </w:p>
    <w:p w14:paraId="461CC618">
      <w:pPr>
        <w:pStyle w:val="6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bookmarkStart w:id="265" w:name="OLE_LINK139"/>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5-6</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生态影响型敏感程度分级表</w:t>
      </w:r>
    </w:p>
    <w:bookmarkEnd w:id="265"/>
    <w:tbl>
      <w:tblPr>
        <w:tblStyle w:val="37"/>
        <w:tblW w:w="5195"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0"/>
        <w:gridCol w:w="5287"/>
        <w:gridCol w:w="1273"/>
        <w:gridCol w:w="1295"/>
      </w:tblGrid>
      <w:tr w14:paraId="5113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9" w:type="pct"/>
            <w:vMerge w:val="restart"/>
            <w:noWrap w:val="0"/>
            <w:vAlign w:val="center"/>
          </w:tcPr>
          <w:p w14:paraId="041DEFB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敏感程度</w:t>
            </w:r>
          </w:p>
        </w:tc>
        <w:tc>
          <w:tcPr>
            <w:tcW w:w="4490" w:type="pct"/>
            <w:gridSpan w:val="3"/>
            <w:noWrap w:val="0"/>
            <w:vAlign w:val="center"/>
          </w:tcPr>
          <w:p w14:paraId="05B865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判别依据</w:t>
            </w:r>
          </w:p>
        </w:tc>
      </w:tr>
      <w:tr w14:paraId="2498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9" w:type="pct"/>
            <w:vMerge w:val="continue"/>
            <w:noWrap w:val="0"/>
            <w:vAlign w:val="center"/>
          </w:tcPr>
          <w:p w14:paraId="2E6EF93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p>
        </w:tc>
        <w:tc>
          <w:tcPr>
            <w:tcW w:w="3023" w:type="pct"/>
            <w:noWrap w:val="0"/>
            <w:vAlign w:val="center"/>
          </w:tcPr>
          <w:p w14:paraId="5F06042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盐化</w:t>
            </w:r>
          </w:p>
        </w:tc>
        <w:tc>
          <w:tcPr>
            <w:tcW w:w="728" w:type="pct"/>
            <w:noWrap w:val="0"/>
            <w:vAlign w:val="center"/>
          </w:tcPr>
          <w:p w14:paraId="56802E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酸化</w:t>
            </w:r>
          </w:p>
        </w:tc>
        <w:tc>
          <w:tcPr>
            <w:tcW w:w="738" w:type="pct"/>
            <w:noWrap w:val="0"/>
            <w:vAlign w:val="center"/>
          </w:tcPr>
          <w:p w14:paraId="437D9C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碱化</w:t>
            </w:r>
          </w:p>
        </w:tc>
      </w:tr>
      <w:tr w14:paraId="3135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9" w:type="pct"/>
            <w:noWrap w:val="0"/>
            <w:vAlign w:val="center"/>
          </w:tcPr>
          <w:p w14:paraId="5EC389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敏感</w:t>
            </w:r>
          </w:p>
        </w:tc>
        <w:tc>
          <w:tcPr>
            <w:tcW w:w="3023" w:type="pct"/>
            <w:noWrap w:val="0"/>
            <w:vAlign w:val="center"/>
          </w:tcPr>
          <w:p w14:paraId="7BF70F8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建设项目所在地干燥度</w:t>
            </w:r>
            <w:r>
              <w:rPr>
                <w:rFonts w:hint="default" w:ascii="Times New Roman" w:hAnsi="Times New Roman" w:eastAsia="宋体" w:cs="Times New Roman"/>
                <w:color w:val="000000" w:themeColor="text1"/>
                <w:kern w:val="0"/>
                <w:sz w:val="21"/>
                <w:szCs w:val="21"/>
                <w:highlight w:val="none"/>
                <w:vertAlign w:val="superscript"/>
                <w:lang w:val="en-US" w:eastAsia="en-US"/>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＞2.5且常年地下水位平均埋深＜1.5m的地势平坦区域；或土壤含盐量＞4 g/kg的区域</w:t>
            </w:r>
          </w:p>
        </w:tc>
        <w:tc>
          <w:tcPr>
            <w:tcW w:w="728" w:type="pct"/>
            <w:noWrap w:val="0"/>
            <w:vAlign w:val="center"/>
          </w:tcPr>
          <w:p w14:paraId="1D3BCA7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pH</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4.5</w:t>
            </w:r>
          </w:p>
        </w:tc>
        <w:tc>
          <w:tcPr>
            <w:tcW w:w="738" w:type="pct"/>
            <w:noWrap w:val="0"/>
            <w:vAlign w:val="center"/>
          </w:tcPr>
          <w:p w14:paraId="426CBE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pH</w:t>
            </w:r>
            <w:bookmarkStart w:id="266" w:name="OLE_LINK143"/>
            <w:r>
              <w:rPr>
                <w:rFonts w:hint="eastAsia" w:ascii="宋体" w:hAnsi="宋体"/>
                <w:color w:val="000000" w:themeColor="text1"/>
                <w:sz w:val="21"/>
                <w:szCs w:val="21"/>
                <w:highlight w:val="none"/>
                <w14:textFill>
                  <w14:solidFill>
                    <w14:schemeClr w14:val="tx1"/>
                  </w14:solidFill>
                </w14:textFill>
              </w:rPr>
              <w:t>≥</w:t>
            </w:r>
            <w:bookmarkEnd w:id="266"/>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9.0</w:t>
            </w:r>
          </w:p>
        </w:tc>
      </w:tr>
      <w:tr w14:paraId="1325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9" w:type="pct"/>
            <w:noWrap w:val="0"/>
            <w:vAlign w:val="center"/>
          </w:tcPr>
          <w:p w14:paraId="407AED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较敏感</w:t>
            </w:r>
          </w:p>
        </w:tc>
        <w:tc>
          <w:tcPr>
            <w:tcW w:w="3023" w:type="pct"/>
            <w:noWrap w:val="0"/>
            <w:vAlign w:val="center"/>
          </w:tcPr>
          <w:p w14:paraId="15568BB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建设项目所在地干燥度＞2.5且常年地下水位平均埋深</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1.5 m的，或1.8＜干燥度</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2.5且常年地下水位平均埋深＜1.8 m 的地势平坦区域；建设项目所在地干燥度＞2.5或常年地下水位平均埋深＜1.5 m的平原区；或2g/kg＜土壤含盐量</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4g/kg的区域</w:t>
            </w:r>
          </w:p>
        </w:tc>
        <w:tc>
          <w:tcPr>
            <w:tcW w:w="728" w:type="pct"/>
            <w:noWrap w:val="0"/>
            <w:vAlign w:val="center"/>
          </w:tcPr>
          <w:p w14:paraId="6CA83AA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4.5</w:t>
            </w:r>
            <w:r>
              <w:rPr>
                <w:rFonts w:hint="eastAsia" w:cs="Times New Roman"/>
                <w:color w:val="000000" w:themeColor="text1"/>
                <w:kern w:val="0"/>
                <w:sz w:val="21"/>
                <w:szCs w:val="21"/>
                <w:highlight w:val="none"/>
                <w:lang w:val="en-US" w:eastAsia="zh-CN"/>
                <w14:textFill>
                  <w14:solidFill>
                    <w14:schemeClr w14:val="tx1"/>
                  </w14:solidFill>
                </w14:textFill>
              </w:rPr>
              <w:t>&lt;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pH</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5.5</w:t>
            </w:r>
          </w:p>
        </w:tc>
        <w:tc>
          <w:tcPr>
            <w:tcW w:w="738" w:type="pct"/>
            <w:noWrap w:val="0"/>
            <w:vAlign w:val="center"/>
          </w:tcPr>
          <w:p w14:paraId="7C962B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8.5</w:t>
            </w:r>
            <w:bookmarkStart w:id="267" w:name="OLE_LINK144"/>
            <w:r>
              <w:rPr>
                <w:rFonts w:hint="eastAsia" w:ascii="宋体" w:hAnsi="宋体"/>
                <w:color w:val="000000" w:themeColor="text1"/>
                <w:sz w:val="21"/>
                <w:szCs w:val="21"/>
                <w:highlight w:val="none"/>
                <w14:textFill>
                  <w14:solidFill>
                    <w14:schemeClr w14:val="tx1"/>
                  </w14:solidFill>
                </w14:textFill>
              </w:rPr>
              <w:t>≤</w:t>
            </w:r>
            <w:bookmarkEnd w:id="267"/>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pH</w:t>
            </w:r>
            <w:r>
              <w:rPr>
                <w:rFonts w:hint="eastAsia" w:cs="Times New Roman"/>
                <w:color w:val="000000" w:themeColor="text1"/>
                <w:kern w:val="0"/>
                <w:sz w:val="21"/>
                <w:szCs w:val="21"/>
                <w:highlight w:val="none"/>
                <w:lang w:val="en-US" w:eastAsia="zh-CN"/>
                <w14:textFill>
                  <w14:solidFill>
                    <w14:schemeClr w14:val="tx1"/>
                  </w14:solidFill>
                </w14:textFill>
              </w:rPr>
              <w:t>&lt;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9.0</w:t>
            </w:r>
          </w:p>
        </w:tc>
      </w:tr>
      <w:tr w14:paraId="007A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9" w:type="pct"/>
            <w:noWrap w:val="0"/>
            <w:vAlign w:val="center"/>
          </w:tcPr>
          <w:p w14:paraId="3F59DAE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不敏感</w:t>
            </w:r>
          </w:p>
        </w:tc>
        <w:tc>
          <w:tcPr>
            <w:tcW w:w="3023" w:type="pct"/>
            <w:noWrap w:val="0"/>
            <w:vAlign w:val="center"/>
          </w:tcPr>
          <w:p w14:paraId="2D9445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其他</w:t>
            </w:r>
          </w:p>
        </w:tc>
        <w:tc>
          <w:tcPr>
            <w:tcW w:w="1467" w:type="pct"/>
            <w:gridSpan w:val="2"/>
            <w:noWrap w:val="0"/>
            <w:vAlign w:val="center"/>
          </w:tcPr>
          <w:p w14:paraId="66F4349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5.5</w:t>
            </w:r>
            <w:r>
              <w:rPr>
                <w:rFonts w:hint="eastAsia" w:cs="Times New Roman"/>
                <w:color w:val="000000" w:themeColor="text1"/>
                <w:kern w:val="0"/>
                <w:sz w:val="21"/>
                <w:szCs w:val="21"/>
                <w:highlight w:val="none"/>
                <w:lang w:val="en-US" w:eastAsia="zh-CN"/>
                <w14:textFill>
                  <w14:solidFill>
                    <w14:schemeClr w14:val="tx1"/>
                  </w14:solidFill>
                </w14:textFill>
              </w:rPr>
              <w:t>&lt;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pH</w:t>
            </w:r>
            <w:r>
              <w:rPr>
                <w:rFonts w:hint="eastAsia" w:cs="Times New Roman"/>
                <w:color w:val="000000" w:themeColor="text1"/>
                <w:kern w:val="0"/>
                <w:sz w:val="21"/>
                <w:szCs w:val="21"/>
                <w:highlight w:val="none"/>
                <w:lang w:val="en-US" w:eastAsia="zh-CN"/>
                <w14:textFill>
                  <w14:solidFill>
                    <w14:schemeClr w14:val="tx1"/>
                  </w14:solidFill>
                </w14:textFill>
              </w:rPr>
              <w:t>&lt;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8.5</w:t>
            </w:r>
          </w:p>
        </w:tc>
      </w:tr>
      <w:tr w14:paraId="03A3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2DA93EC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superscript"/>
                <w:lang w:val="en-US" w:eastAsia="en-US"/>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是指采用E601观测的多年平均水面蒸发量与降水量的比值，即蒸降比值。</w:t>
            </w:r>
          </w:p>
        </w:tc>
      </w:tr>
    </w:tbl>
    <w:p w14:paraId="519D0678">
      <w:pPr>
        <w:pStyle w:val="6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bookmarkStart w:id="268" w:name="OLE_LINK147"/>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w:t>
      </w:r>
      <w:bookmarkStart w:id="269" w:name="OLE_LINK140"/>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2.</w:t>
      </w:r>
      <w:bookmarkEnd w:id="269"/>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5-7</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生态</w:t>
      </w:r>
      <w:bookmarkStart w:id="270" w:name="OLE_LINK149"/>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影响型</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评价工作等级划分</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w:t>
      </w:r>
      <w:bookmarkEnd w:id="270"/>
    </w:p>
    <w:bookmarkEnd w:id="268"/>
    <w:tbl>
      <w:tblPr>
        <w:tblStyle w:val="37"/>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74"/>
        <w:gridCol w:w="2174"/>
        <w:gridCol w:w="2174"/>
        <w:gridCol w:w="2179"/>
      </w:tblGrid>
      <w:tr w14:paraId="3D77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1292" w:type="pct"/>
            <w:noWrap w:val="0"/>
            <w:vAlign w:val="center"/>
          </w:tcPr>
          <w:p w14:paraId="542445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val="0"/>
                <w:color w:val="000000" w:themeColor="text1"/>
                <w:kern w:val="0"/>
                <w:sz w:val="20"/>
                <w:szCs w:val="16"/>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678180</wp:posOffset>
                      </wp:positionH>
                      <wp:positionV relativeFrom="paragraph">
                        <wp:posOffset>6350</wp:posOffset>
                      </wp:positionV>
                      <wp:extent cx="736600" cy="512445"/>
                      <wp:effectExtent l="2540" t="3810" r="3810" b="17145"/>
                      <wp:wrapNone/>
                      <wp:docPr id="115" name="直接箭头连接符 115"/>
                      <wp:cNvGraphicFramePr/>
                      <a:graphic xmlns:a="http://schemas.openxmlformats.org/drawingml/2006/main">
                        <a:graphicData uri="http://schemas.microsoft.com/office/word/2010/wordprocessingShape">
                          <wps:wsp>
                            <wps:cNvCnPr/>
                            <wps:spPr>
                              <a:xfrm>
                                <a:off x="0" y="0"/>
                                <a:ext cx="736600" cy="51244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4pt;margin-top:0.5pt;height:40.35pt;width:58pt;z-index:251683840;mso-width-relative:page;mso-height-relative:page;" filled="f" stroked="t" coordsize="21600,21600" o:gfxdata="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SjWn1gAAAAgBAAAPAAAAAAAAAAEAIAAAACIAAABkcnMv&#10;ZG93bnJldi54bWxQSwECFAAUAAAACACHTuJA8iDMvAUCAAD0AwAADgAAAAAAAAABACAAAAAlAQAA&#10;ZHJzL2Uyb0RvYy54bWxQSwUGAAAAAAYABgBZAQAAnAUAAAAA&#10;">
                      <v:fill on="f" focussize="0,0"/>
                      <v:stroke weight="0.5pt" color="#0D0D0D" joinstyle="round"/>
                      <v:imagedata o:title=""/>
                      <o:lock v:ext="edit" aspectratio="f"/>
                    </v:shape>
                  </w:pict>
                </mc:Fallback>
              </mc:AlternateContent>
            </w: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项目类别</w:t>
            </w:r>
          </w:p>
          <w:p w14:paraId="5F3ED732">
            <w:pPr>
              <w:keepNext w:val="0"/>
              <w:keepLines w:val="0"/>
              <w:pageBreakBefore w:val="0"/>
              <w:widowControl/>
              <w:kinsoku/>
              <w:wordWrap/>
              <w:overflowPunct/>
              <w:topLinePunct w:val="0"/>
              <w:autoSpaceDE/>
              <w:autoSpaceDN/>
              <w:bidi w:val="0"/>
              <w:adjustRightInd w:val="0"/>
              <w:snapToGrid w:val="0"/>
              <w:spacing w:line="240" w:lineRule="auto"/>
              <w:ind w:firstLine="211" w:firstLineChars="100"/>
              <w:jc w:val="both"/>
              <w:textAlignment w:val="auto"/>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-1270</wp:posOffset>
                      </wp:positionH>
                      <wp:positionV relativeFrom="paragraph">
                        <wp:posOffset>130175</wp:posOffset>
                      </wp:positionV>
                      <wp:extent cx="1422400" cy="215900"/>
                      <wp:effectExtent l="635" t="4445" r="5715" b="8255"/>
                      <wp:wrapNone/>
                      <wp:docPr id="116" name="直接箭头连接符 116"/>
                      <wp:cNvGraphicFramePr/>
                      <a:graphic xmlns:a="http://schemas.openxmlformats.org/drawingml/2006/main">
                        <a:graphicData uri="http://schemas.microsoft.com/office/word/2010/wordprocessingShape">
                          <wps:wsp>
                            <wps:cNvCnPr/>
                            <wps:spPr>
                              <a:xfrm>
                                <a:off x="0" y="0"/>
                                <a:ext cx="1422400" cy="21590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1pt;margin-top:10.25pt;height:17pt;width:112pt;z-index:251684864;mso-width-relative:page;mso-height-relative:page;" filled="f" stroked="t" coordsize="21600,21600" o:gfxdata="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jblTYAAAABwEAAA8AAAAAAAAAAQAgAAAAIgAAAGRycy9k&#10;b3ducmV2LnhtbFBLAQIUABQAAAAIAIdO4kCCFzmSAgIAAPUDAAAOAAAAAAAAAAEAIAAAACcBAABk&#10;cnMvZTJvRG9jLnhtbFBLBQYAAAAABgAGAFkBAACbBQAAAAA=&#10;">
                      <v:fill on="f" focussize="0,0"/>
                      <v:stroke weight="0.5pt" color="#0D0D0D" joinstyle="round"/>
                      <v:imagedata o:title=""/>
                      <o:lock v:ext="edit" aspectratio="f"/>
                    </v:shape>
                  </w:pict>
                </mc:Fallback>
              </mc:AlternateContent>
            </w: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评价</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工作</w:t>
            </w: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等级</w:t>
            </w:r>
          </w:p>
          <w:p w14:paraId="62DF44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val="0"/>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敏感程度</w:t>
            </w:r>
          </w:p>
        </w:tc>
        <w:tc>
          <w:tcPr>
            <w:tcW w:w="1235" w:type="pct"/>
            <w:noWrap w:val="0"/>
            <w:vAlign w:val="center"/>
          </w:tcPr>
          <w:p w14:paraId="5EF6C0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Ⅰ类</w:t>
            </w:r>
          </w:p>
        </w:tc>
        <w:tc>
          <w:tcPr>
            <w:tcW w:w="1235" w:type="pct"/>
            <w:noWrap w:val="0"/>
            <w:vAlign w:val="center"/>
          </w:tcPr>
          <w:p w14:paraId="398178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Ⅱ类</w:t>
            </w:r>
          </w:p>
        </w:tc>
        <w:tc>
          <w:tcPr>
            <w:tcW w:w="1236" w:type="pct"/>
            <w:noWrap w:val="0"/>
            <w:vAlign w:val="center"/>
          </w:tcPr>
          <w:p w14:paraId="11C82B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en-US"/>
                <w14:textFill>
                  <w14:solidFill>
                    <w14:schemeClr w14:val="tx1"/>
                  </w14:solidFill>
                </w14:textFill>
              </w:rPr>
              <w:t>Ⅲ类</w:t>
            </w:r>
          </w:p>
        </w:tc>
      </w:tr>
      <w:tr w14:paraId="43E9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92" w:type="pct"/>
            <w:noWrap w:val="0"/>
            <w:vAlign w:val="center"/>
          </w:tcPr>
          <w:p w14:paraId="7B8E1A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敏感</w:t>
            </w:r>
          </w:p>
        </w:tc>
        <w:tc>
          <w:tcPr>
            <w:tcW w:w="1235" w:type="pct"/>
            <w:noWrap w:val="0"/>
            <w:vAlign w:val="center"/>
          </w:tcPr>
          <w:p w14:paraId="07D1E5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一级</w:t>
            </w:r>
          </w:p>
        </w:tc>
        <w:tc>
          <w:tcPr>
            <w:tcW w:w="1235" w:type="pct"/>
            <w:noWrap w:val="0"/>
            <w:vAlign w:val="center"/>
          </w:tcPr>
          <w:p w14:paraId="39AFE4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二级</w:t>
            </w:r>
          </w:p>
        </w:tc>
        <w:tc>
          <w:tcPr>
            <w:tcW w:w="1236" w:type="pct"/>
            <w:noWrap w:val="0"/>
            <w:vAlign w:val="center"/>
          </w:tcPr>
          <w:p w14:paraId="063AB3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三级</w:t>
            </w:r>
          </w:p>
        </w:tc>
      </w:tr>
      <w:tr w14:paraId="3917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92" w:type="pct"/>
            <w:noWrap w:val="0"/>
            <w:vAlign w:val="center"/>
          </w:tcPr>
          <w:p w14:paraId="3A948E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较敏感</w:t>
            </w:r>
          </w:p>
        </w:tc>
        <w:tc>
          <w:tcPr>
            <w:tcW w:w="1235" w:type="pct"/>
            <w:noWrap w:val="0"/>
            <w:vAlign w:val="center"/>
          </w:tcPr>
          <w:p w14:paraId="3ADB6A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二级</w:t>
            </w:r>
          </w:p>
        </w:tc>
        <w:tc>
          <w:tcPr>
            <w:tcW w:w="1235" w:type="pct"/>
            <w:noWrap w:val="0"/>
            <w:vAlign w:val="center"/>
          </w:tcPr>
          <w:p w14:paraId="7C0030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二级</w:t>
            </w:r>
          </w:p>
        </w:tc>
        <w:tc>
          <w:tcPr>
            <w:tcW w:w="1236" w:type="pct"/>
            <w:noWrap w:val="0"/>
            <w:vAlign w:val="center"/>
          </w:tcPr>
          <w:p w14:paraId="372F89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三级</w:t>
            </w:r>
          </w:p>
        </w:tc>
      </w:tr>
      <w:tr w14:paraId="5AB3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92" w:type="pct"/>
            <w:noWrap w:val="0"/>
            <w:vAlign w:val="center"/>
          </w:tcPr>
          <w:p w14:paraId="14460C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不敏感</w:t>
            </w:r>
          </w:p>
        </w:tc>
        <w:tc>
          <w:tcPr>
            <w:tcW w:w="1235" w:type="pct"/>
            <w:noWrap w:val="0"/>
            <w:vAlign w:val="center"/>
          </w:tcPr>
          <w:p w14:paraId="28A076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二级</w:t>
            </w:r>
          </w:p>
        </w:tc>
        <w:tc>
          <w:tcPr>
            <w:tcW w:w="1235" w:type="pct"/>
            <w:noWrap w:val="0"/>
            <w:vAlign w:val="center"/>
          </w:tcPr>
          <w:p w14:paraId="57AB7B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三级</w:t>
            </w:r>
          </w:p>
        </w:tc>
        <w:tc>
          <w:tcPr>
            <w:tcW w:w="1236" w:type="pct"/>
            <w:noWrap w:val="0"/>
            <w:vAlign w:val="center"/>
          </w:tcPr>
          <w:p w14:paraId="0E27C1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w:t>
            </w:r>
          </w:p>
        </w:tc>
      </w:tr>
      <w:tr w14:paraId="7249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4"/>
            <w:noWrap w:val="0"/>
            <w:vAlign w:val="center"/>
          </w:tcPr>
          <w:p w14:paraId="786E9B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bookmarkStart w:id="271" w:name="OLE_LINK150"/>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注：“</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”表示可不开展土壤环境影响评价工作。</w:t>
            </w:r>
            <w:bookmarkEnd w:id="271"/>
          </w:p>
        </w:tc>
      </w:tr>
    </w:tbl>
    <w:p w14:paraId="25E99AE8">
      <w:pPr>
        <w:keepNext w:val="0"/>
        <w:keepLines w:val="0"/>
        <w:pageBreakBefore w:val="0"/>
        <w:widowControl w:val="0"/>
        <w:kinsoku/>
        <w:wordWrap/>
        <w:overflowPunct/>
        <w:topLinePunct w:val="0"/>
        <w:autoSpaceDE/>
        <w:autoSpaceDN/>
        <w:bidi w:val="0"/>
        <w:adjustRightInd/>
        <w:snapToGrid/>
        <w:spacing w:before="313" w:beforeLines="100" w:after="0" w:line="360" w:lineRule="auto"/>
        <w:ind w:firstLine="480" w:firstLineChars="200"/>
        <w:jc w:val="both"/>
        <w:textAlignment w:val="auto"/>
        <w:rPr>
          <w:rFonts w:ascii="Times New Roman" w:hAnsi="Times New Roman" w:eastAsia="宋体" w:cs="宋体"/>
          <w:color w:val="000000" w:themeColor="text1"/>
          <w:sz w:val="24"/>
          <w:szCs w:val="24"/>
          <w:highlight w:val="none"/>
          <w:lang w:val="en-US" w:eastAsia="zh-CN" w:bidi="ar-SA"/>
          <w14:textFill>
            <w14:solidFill>
              <w14:schemeClr w14:val="tx1"/>
            </w14:solidFill>
          </w14:textFill>
        </w:rPr>
      </w:pPr>
      <w:r>
        <w:rPr>
          <w:rFonts w:hint="eastAsia" w:cs="Times New Roman"/>
          <w:caps w:val="0"/>
          <w:color w:val="000000" w:themeColor="text1"/>
          <w:kern w:val="2"/>
          <w:sz w:val="24"/>
          <w:szCs w:val="32"/>
          <w:highlight w:val="none"/>
          <w:lang w:val="en-US" w:eastAsia="zh-CN" w:bidi="ar"/>
          <w14:textFill>
            <w14:solidFill>
              <w14:schemeClr w14:val="tx1"/>
            </w14:solidFill>
          </w14:textFill>
        </w:rPr>
        <w:t>工程所在</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区域土壤含盐量大于4g/kg，</w:t>
      </w:r>
      <w:r>
        <w:rPr>
          <w:rFonts w:hint="eastAsia" w:cs="宋体"/>
          <w:color w:val="000000" w:themeColor="text1"/>
          <w:sz w:val="24"/>
          <w:szCs w:val="24"/>
          <w:highlight w:val="none"/>
          <w:lang w:val="en-US" w:eastAsia="zh-CN" w:bidi="ar-SA"/>
          <w14:textFill>
            <w14:solidFill>
              <w14:schemeClr w14:val="tx1"/>
            </w14:solidFill>
          </w14:textFill>
        </w:rPr>
        <w:t>判定</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生态影响型土壤敏感程度为</w:t>
      </w:r>
      <w:r>
        <w:rPr>
          <w:rFonts w:hint="eastAsia"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敏感</w:t>
      </w:r>
      <w:r>
        <w:rPr>
          <w:rFonts w:hint="eastAsia"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bookmarkStart w:id="272" w:name="OLE_LINK153"/>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本工程为</w:t>
      </w:r>
      <w:r>
        <w:rPr>
          <w:rFonts w:hint="eastAsia" w:cs="宋体"/>
          <w:color w:val="000000" w:themeColor="text1"/>
          <w:sz w:val="24"/>
          <w:szCs w:val="24"/>
          <w:highlight w:val="none"/>
          <w:lang w:val="en-US" w:eastAsia="zh-CN" w:bidi="ar-SA"/>
          <w14:textFill>
            <w14:solidFill>
              <w14:schemeClr w14:val="tx1"/>
            </w14:solidFill>
          </w14:textFill>
        </w:rPr>
        <w:t>天然气</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开采项目，</w:t>
      </w:r>
      <w:bookmarkStart w:id="273" w:name="OLE_LINK152"/>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属于</w:t>
      </w:r>
      <w:r>
        <w:rPr>
          <w:rFonts w:hint="eastAsia" w:cs="宋体"/>
          <w:color w:val="000000" w:themeColor="text1"/>
          <w:sz w:val="24"/>
          <w:szCs w:val="24"/>
          <w:highlight w:val="none"/>
          <w:lang w:val="en-US" w:eastAsia="zh-CN" w:bidi="ar-SA"/>
          <w14:textFill>
            <w14:solidFill>
              <w14:schemeClr w14:val="tx1"/>
            </w14:solidFill>
          </w14:textFill>
        </w:rPr>
        <w:t>Ⅱ类建设项目</w:t>
      </w:r>
      <w:bookmarkEnd w:id="273"/>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w:t>
      </w:r>
      <w:bookmarkEnd w:id="272"/>
      <w:bookmarkStart w:id="274" w:name="OLE_LINK154"/>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土壤生态影响型评价等级划分为</w:t>
      </w:r>
      <w:r>
        <w:rPr>
          <w:rFonts w:hint="eastAsia" w:cs="宋体"/>
          <w:color w:val="000000" w:themeColor="text1"/>
          <w:sz w:val="24"/>
          <w:szCs w:val="24"/>
          <w:highlight w:val="none"/>
          <w:lang w:val="en-US" w:eastAsia="zh-CN" w:bidi="ar-SA"/>
          <w14:textFill>
            <w14:solidFill>
              <w14:schemeClr w14:val="tx1"/>
            </w14:solidFill>
          </w14:textFill>
        </w:rPr>
        <w:t>二</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级</w:t>
      </w:r>
      <w:bookmarkEnd w:id="274"/>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评价</w:t>
      </w:r>
      <w:r>
        <w:rPr>
          <w:rFonts w:hint="eastAsia" w:ascii="Times New Roman" w:hAnsi="Times New Roman" w:cs="宋体"/>
          <w:color w:val="000000" w:themeColor="text1"/>
          <w:sz w:val="24"/>
          <w:szCs w:val="24"/>
          <w:highlight w:val="none"/>
          <w:lang w:val="en-US" w:eastAsia="zh-CN" w:bidi="ar-SA"/>
          <w14:textFill>
            <w14:solidFill>
              <w14:schemeClr w14:val="tx1"/>
            </w14:solidFill>
          </w14:textFill>
        </w:rPr>
        <w:t>。</w:t>
      </w:r>
    </w:p>
    <w:p w14:paraId="6D362CEF">
      <w:pPr>
        <w:keepNext w:val="0"/>
        <w:keepLines w:val="0"/>
        <w:pageBreakBefore w:val="0"/>
        <w:kinsoku/>
        <w:wordWrap/>
        <w:overflowPunct/>
        <w:autoSpaceDN/>
        <w:bidi w:val="0"/>
        <w:adjustRightInd w:val="0"/>
        <w:snapToGrid w:val="0"/>
        <w:spacing w:after="0" w:line="360" w:lineRule="auto"/>
        <w:ind w:firstLine="480"/>
        <w:textAlignment w:val="auto"/>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②污染影响型</w:t>
      </w:r>
    </w:p>
    <w:p w14:paraId="0534C29E">
      <w:pPr>
        <w:keepNext w:val="0"/>
        <w:keepLines w:val="0"/>
        <w:pageBreakBefore w:val="0"/>
        <w:kinsoku/>
        <w:wordWrap/>
        <w:overflowPunct/>
        <w:autoSpaceDN/>
        <w:bidi w:val="0"/>
        <w:adjustRightInd w:val="0"/>
        <w:snapToGrid w:val="0"/>
        <w:spacing w:after="0" w:line="360" w:lineRule="auto"/>
        <w:ind w:firstLine="480"/>
        <w:textAlignment w:val="auto"/>
        <w:rPr>
          <w:rFonts w:hint="eastAsia" w:cs="Times New Roman"/>
          <w:caps w:val="0"/>
          <w:color w:val="000000" w:themeColor="text1"/>
          <w:kern w:val="2"/>
          <w:sz w:val="24"/>
          <w:szCs w:val="32"/>
          <w:highlight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根据</w:t>
      </w:r>
      <w:bookmarkStart w:id="275" w:name="OLE_LINK133"/>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土壤环境（试行）》（HJ964-2018）</w:t>
      </w:r>
      <w:bookmarkEnd w:id="275"/>
      <w:r>
        <w:rPr>
          <w:rFonts w:hint="eastAsia" w:cs="Times New Roman"/>
          <w:caps w:val="0"/>
          <w:color w:val="000000" w:themeColor="text1"/>
          <w:kern w:val="2"/>
          <w:sz w:val="24"/>
          <w:szCs w:val="32"/>
          <w:highlight w:val="none"/>
          <w:lang w:val="en-US" w:eastAsia="zh-CN" w:bidi="ar"/>
          <w14:textFill>
            <w14:solidFill>
              <w14:schemeClr w14:val="tx1"/>
            </w14:solidFill>
          </w14:textFill>
        </w:rPr>
        <w:t>，“将</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建设项目占地规模分为大</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型（</w:t>
      </w:r>
      <w:r>
        <w:rPr>
          <w:rFonts w:hint="eastAsia" w:ascii="宋体" w:hAnsi="宋体"/>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50hm</w:t>
      </w:r>
      <w:r>
        <w:rPr>
          <w:rFonts w:hint="default" w:ascii="Times New Roman" w:hAnsi="Times New Roman" w:eastAsia="宋体" w:cs="Times New Roman"/>
          <w:caps w:val="0"/>
          <w:color w:val="000000" w:themeColor="text1"/>
          <w:kern w:val="2"/>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）、中型（5～50hm</w:t>
      </w:r>
      <w:r>
        <w:rPr>
          <w:rFonts w:hint="default" w:ascii="Times New Roman" w:hAnsi="Times New Roman" w:eastAsia="宋体" w:cs="Times New Roman"/>
          <w:caps w:val="0"/>
          <w:color w:val="000000" w:themeColor="text1"/>
          <w:kern w:val="2"/>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w:t>
      </w:r>
      <w:r>
        <w:rPr>
          <w:rFonts w:hint="eastAsia" w:cs="Times New Roman"/>
          <w:caps w:val="0"/>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小型（</w:t>
      </w:r>
      <w:r>
        <w:rPr>
          <w:rFonts w:hint="eastAsia" w:ascii="宋体" w:hAnsi="宋体"/>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5hm</w:t>
      </w:r>
      <w:r>
        <w:rPr>
          <w:rFonts w:hint="default" w:ascii="Times New Roman" w:hAnsi="Times New Roman" w:eastAsia="宋体" w:cs="Times New Roman"/>
          <w:caps w:val="0"/>
          <w:color w:val="000000" w:themeColor="text1"/>
          <w:kern w:val="2"/>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w:t>
      </w:r>
      <w:r>
        <w:rPr>
          <w:rFonts w:hint="eastAsia" w:cs="Times New Roman"/>
          <w:caps w:val="0"/>
          <w:color w:val="000000" w:themeColor="text1"/>
          <w:kern w:val="2"/>
          <w:sz w:val="24"/>
          <w:szCs w:val="24"/>
          <w:highlight w:val="none"/>
          <w:lang w:val="en-US" w:eastAsia="zh-CN" w:bidi="ar"/>
          <w14:textFill>
            <w14:solidFill>
              <w14:schemeClr w14:val="tx1"/>
            </w14:solidFill>
          </w14:textFill>
        </w:rPr>
        <w:t>建设项目占地主要为永久占地”</w:t>
      </w:r>
      <w:r>
        <w:rPr>
          <w:rFonts w:hint="default" w:ascii="Times New Roman" w:hAnsi="Times New Roman" w:cs="Times New Roman"/>
          <w:caps w:val="0"/>
          <w:color w:val="000000" w:themeColor="text1"/>
          <w:kern w:val="2"/>
          <w:sz w:val="24"/>
          <w:szCs w:val="24"/>
          <w:highlight w:val="none"/>
          <w:lang w:val="en-US" w:eastAsia="zh-CN" w:bidi="ar"/>
          <w14:textFill>
            <w14:solidFill>
              <w14:schemeClr w14:val="tx1"/>
            </w14:solidFill>
          </w14:textFill>
        </w:rPr>
        <w:t>本</w:t>
      </w:r>
      <w:r>
        <w:rPr>
          <w:rFonts w:hint="eastAsia" w:cs="Times New Roman"/>
          <w:caps w:val="0"/>
          <w:color w:val="000000" w:themeColor="text1"/>
          <w:kern w:val="2"/>
          <w:sz w:val="24"/>
          <w:szCs w:val="24"/>
          <w:highlight w:val="none"/>
          <w:lang w:val="en-US" w:eastAsia="zh-CN" w:bidi="ar"/>
          <w14:textFill>
            <w14:solidFill>
              <w14:schemeClr w14:val="tx1"/>
            </w14:solidFill>
          </w14:textFill>
        </w:rPr>
        <w:t>工程</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永久占地面积</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为</w:t>
      </w:r>
      <w:bookmarkStart w:id="276" w:name="OLE_LINK151"/>
      <w:r>
        <w:rPr>
          <w:rFonts w:hint="eastAsia" w:cs="Times New Roman"/>
          <w:snapToGrid w:val="0"/>
          <w:color w:val="000000" w:themeColor="text1"/>
          <w:sz w:val="24"/>
          <w:szCs w:val="24"/>
          <w:highlight w:val="none"/>
          <w:lang w:val="en-US" w:eastAsia="zh-CN"/>
          <w14:textFill>
            <w14:solidFill>
              <w14:schemeClr w14:val="tx1"/>
            </w14:solidFill>
          </w14:textFill>
        </w:rPr>
        <w:t>1.4328</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hm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2</w:t>
      </w:r>
      <w:bookmarkEnd w:id="276"/>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kern w:val="2"/>
          <w:sz w:val="24"/>
          <w:szCs w:val="24"/>
          <w:highlight w:val="none"/>
          <w:lang w:val="en-US" w:eastAsia="zh-CN" w:bidi="ar"/>
          <w14:textFill>
            <w14:solidFill>
              <w14:schemeClr w14:val="tx1"/>
            </w14:solidFill>
          </w14:textFill>
        </w:rPr>
        <w:t>≤5hm</w:t>
      </w:r>
      <w:r>
        <w:rPr>
          <w:rFonts w:hint="default" w:ascii="Times New Roman" w:hAnsi="Times New Roman" w:eastAsia="宋体" w:cs="Times New Roman"/>
          <w:caps w:val="0"/>
          <w:color w:val="000000" w:themeColor="text1"/>
          <w:kern w:val="2"/>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snapToGrid w:val="0"/>
          <w:color w:val="000000" w:themeColor="text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vertAlign w:val="baseli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占地规模为小型。建设项目所在地周边的土壤环境敏感程度分为敏感、较敏感、不敏感，判别依据见表</w:t>
      </w:r>
      <w:bookmarkStart w:id="277" w:name="OLE_LINK146"/>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2.</w:t>
      </w:r>
      <w:bookmarkEnd w:id="277"/>
      <w:r>
        <w:rPr>
          <w:rFonts w:hint="eastAsia"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5-8。</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土壤</w:t>
      </w:r>
      <w:r>
        <w:rPr>
          <w:rFonts w:hint="eastAsia" w:cs="Times New Roman"/>
          <w:caps w:val="0"/>
          <w:color w:val="000000" w:themeColor="text1"/>
          <w:kern w:val="2"/>
          <w:sz w:val="24"/>
          <w:szCs w:val="32"/>
          <w:highlight w:val="none"/>
          <w:lang w:val="en-US" w:eastAsia="zh-CN" w:bidi="ar"/>
          <w14:textFill>
            <w14:solidFill>
              <w14:schemeClr w14:val="tx1"/>
            </w14:solidFill>
          </w14:textFill>
        </w:rPr>
        <w:t>环境污染</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影响型评价工作等级划分</w:t>
      </w:r>
      <w:r>
        <w:rPr>
          <w:rFonts w:hint="eastAsia" w:cs="Times New Roman"/>
          <w:caps w:val="0"/>
          <w:color w:val="000000" w:themeColor="text1"/>
          <w:kern w:val="2"/>
          <w:sz w:val="24"/>
          <w:szCs w:val="32"/>
          <w:highlight w:val="none"/>
          <w:lang w:val="en-US" w:eastAsia="zh-CN" w:bidi="ar"/>
          <w14:textFill>
            <w14:solidFill>
              <w14:schemeClr w14:val="tx1"/>
            </w14:solidFill>
          </w14:textFill>
        </w:rPr>
        <w:t>见表</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2.</w:t>
      </w:r>
      <w:r>
        <w:rPr>
          <w:rFonts w:hint="eastAsia"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5-9</w:t>
      </w:r>
      <w:r>
        <w:rPr>
          <w:rFonts w:hint="eastAsia" w:cs="Times New Roman"/>
          <w:caps w:val="0"/>
          <w:color w:val="000000" w:themeColor="text1"/>
          <w:kern w:val="2"/>
          <w:sz w:val="24"/>
          <w:szCs w:val="32"/>
          <w:highlight w:val="none"/>
          <w:lang w:val="en-US" w:eastAsia="zh-CN" w:bidi="ar"/>
          <w14:textFill>
            <w14:solidFill>
              <w14:schemeClr w14:val="tx1"/>
            </w14:solidFill>
          </w14:textFill>
        </w:rPr>
        <w:t>。</w:t>
      </w:r>
    </w:p>
    <w:p w14:paraId="49945446">
      <w:pPr>
        <w:pStyle w:val="6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5-8</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w:t>
      </w:r>
      <w:bookmarkStart w:id="278" w:name="OLE_LINK148"/>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污染</w:t>
      </w:r>
      <w:bookmarkEnd w:id="278"/>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影响型敏感程度分级表</w:t>
      </w:r>
    </w:p>
    <w:tbl>
      <w:tblPr>
        <w:tblStyle w:val="37"/>
        <w:tblW w:w="52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17"/>
        <w:gridCol w:w="6411"/>
      </w:tblGrid>
      <w:tr w14:paraId="474B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369" w:type="pct"/>
            <w:noWrap w:val="0"/>
            <w:vAlign w:val="center"/>
          </w:tcPr>
          <w:p w14:paraId="35A2AF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val="0"/>
                <w:color w:val="000000" w:themeColor="text1"/>
                <w:sz w:val="21"/>
                <w:szCs w:val="21"/>
                <w:highlight w:val="none"/>
                <w:lang w:val="en-US" w:eastAsia="en-US"/>
                <w14:textFill>
                  <w14:solidFill>
                    <w14:schemeClr w14:val="tx1"/>
                  </w14:solidFill>
                </w14:textFill>
              </w:rPr>
            </w:pPr>
            <w:r>
              <w:rPr>
                <w:rFonts w:hint="default"/>
                <w:b/>
                <w:bCs w:val="0"/>
                <w:color w:val="000000" w:themeColor="text1"/>
                <w:sz w:val="21"/>
                <w:szCs w:val="21"/>
                <w:highlight w:val="none"/>
                <w:lang w:val="en-US" w:eastAsia="en-US"/>
                <w14:textFill>
                  <w14:solidFill>
                    <w14:schemeClr w14:val="tx1"/>
                  </w14:solidFill>
                </w14:textFill>
              </w:rPr>
              <w:t>敏感程度</w:t>
            </w:r>
          </w:p>
        </w:tc>
        <w:tc>
          <w:tcPr>
            <w:tcW w:w="3630" w:type="pct"/>
            <w:noWrap w:val="0"/>
            <w:vAlign w:val="center"/>
          </w:tcPr>
          <w:p w14:paraId="1896FD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val="0"/>
                <w:color w:val="000000" w:themeColor="text1"/>
                <w:sz w:val="21"/>
                <w:szCs w:val="21"/>
                <w:highlight w:val="none"/>
                <w:lang w:val="en-US" w:eastAsia="en-US"/>
                <w14:textFill>
                  <w14:solidFill>
                    <w14:schemeClr w14:val="tx1"/>
                  </w14:solidFill>
                </w14:textFill>
              </w:rPr>
            </w:pPr>
            <w:r>
              <w:rPr>
                <w:rFonts w:hint="default"/>
                <w:b/>
                <w:bCs w:val="0"/>
                <w:color w:val="000000" w:themeColor="text1"/>
                <w:sz w:val="21"/>
                <w:szCs w:val="21"/>
                <w:highlight w:val="none"/>
                <w:lang w:val="en-US" w:eastAsia="en-US"/>
                <w14:textFill>
                  <w14:solidFill>
                    <w14:schemeClr w14:val="tx1"/>
                  </w14:solidFill>
                </w14:textFill>
              </w:rPr>
              <w:t>判别依据</w:t>
            </w:r>
          </w:p>
        </w:tc>
      </w:tr>
      <w:tr w14:paraId="5D0E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369" w:type="pct"/>
            <w:noWrap w:val="0"/>
            <w:vAlign w:val="center"/>
          </w:tcPr>
          <w:p w14:paraId="25944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敏感</w:t>
            </w:r>
          </w:p>
        </w:tc>
        <w:tc>
          <w:tcPr>
            <w:tcW w:w="3630" w:type="pct"/>
            <w:noWrap w:val="0"/>
            <w:vAlign w:val="center"/>
          </w:tcPr>
          <w:p w14:paraId="0A626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建设项目周边存在耕地、园地、牧草地、饮用水水源地或居民区、学校、医院、疗养院、养老院等土壤环境敏感目标的</w:t>
            </w:r>
          </w:p>
        </w:tc>
      </w:tr>
      <w:tr w14:paraId="647D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369" w:type="pct"/>
            <w:noWrap w:val="0"/>
            <w:vAlign w:val="center"/>
          </w:tcPr>
          <w:p w14:paraId="59161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较敏感</w:t>
            </w:r>
          </w:p>
        </w:tc>
        <w:tc>
          <w:tcPr>
            <w:tcW w:w="3630" w:type="pct"/>
            <w:noWrap w:val="0"/>
            <w:vAlign w:val="center"/>
          </w:tcPr>
          <w:p w14:paraId="53C64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建设项目周边存在其他土壤环境敏感目标的</w:t>
            </w:r>
          </w:p>
        </w:tc>
      </w:tr>
      <w:tr w14:paraId="636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369" w:type="pct"/>
            <w:noWrap w:val="0"/>
            <w:vAlign w:val="center"/>
          </w:tcPr>
          <w:p w14:paraId="5E72A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不敏感</w:t>
            </w:r>
          </w:p>
        </w:tc>
        <w:tc>
          <w:tcPr>
            <w:tcW w:w="3630" w:type="pct"/>
            <w:noWrap w:val="0"/>
            <w:vAlign w:val="center"/>
          </w:tcPr>
          <w:p w14:paraId="30E985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en-US"/>
                <w14:textFill>
                  <w14:solidFill>
                    <w14:schemeClr w14:val="tx1"/>
                  </w14:solidFill>
                </w14:textFill>
              </w:rPr>
            </w:pPr>
            <w:r>
              <w:rPr>
                <w:rFonts w:hint="default"/>
                <w:color w:val="000000" w:themeColor="text1"/>
                <w:sz w:val="21"/>
                <w:szCs w:val="21"/>
                <w:highlight w:val="none"/>
                <w:lang w:val="en-US" w:eastAsia="en-US"/>
                <w14:textFill>
                  <w14:solidFill>
                    <w14:schemeClr w14:val="tx1"/>
                  </w14:solidFill>
                </w14:textFill>
              </w:rPr>
              <w:t>其他情况</w:t>
            </w:r>
          </w:p>
        </w:tc>
      </w:tr>
    </w:tbl>
    <w:p w14:paraId="714C7FF9">
      <w:pPr>
        <w:pStyle w:val="6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pPr>
      <w:bookmarkStart w:id="279" w:name="OLE_LINK156"/>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5-9</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污染</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影响型</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评价工作等级划分</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w:t>
      </w:r>
      <w:bookmarkEnd w:id="279"/>
    </w:p>
    <w:tbl>
      <w:tblPr>
        <w:tblStyle w:val="37"/>
        <w:tblW w:w="50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6"/>
        <w:gridCol w:w="710"/>
        <w:gridCol w:w="712"/>
        <w:gridCol w:w="715"/>
        <w:gridCol w:w="712"/>
        <w:gridCol w:w="712"/>
        <w:gridCol w:w="712"/>
        <w:gridCol w:w="3"/>
        <w:gridCol w:w="708"/>
        <w:gridCol w:w="712"/>
        <w:gridCol w:w="720"/>
      </w:tblGrid>
      <w:tr w14:paraId="45C0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31" w:type="pct"/>
            <w:vMerge w:val="restart"/>
            <w:tcBorders>
              <w:tl2br w:val="nil"/>
              <w:tr2bl w:val="nil"/>
            </w:tcBorders>
            <w:noWrap w:val="0"/>
            <w:vAlign w:val="center"/>
          </w:tcPr>
          <w:p w14:paraId="7841EE11">
            <w:pPr>
              <w:keepNext w:val="0"/>
              <w:keepLines w:val="0"/>
              <w:pageBreakBefore w:val="0"/>
              <w:widowControl/>
              <w:kinsoku/>
              <w:wordWrap/>
              <w:overflowPunct/>
              <w:topLinePunct w:val="0"/>
              <w:autoSpaceDE/>
              <w:autoSpaceDN/>
              <w:bidi w:val="0"/>
              <w:adjustRightInd w:val="0"/>
              <w:snapToGrid w:val="0"/>
              <w:spacing w:line="240" w:lineRule="auto"/>
              <w:jc w:val="right"/>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614680</wp:posOffset>
                      </wp:positionH>
                      <wp:positionV relativeFrom="paragraph">
                        <wp:posOffset>1270</wp:posOffset>
                      </wp:positionV>
                      <wp:extent cx="787400" cy="493395"/>
                      <wp:effectExtent l="2540" t="3810" r="10160" b="17145"/>
                      <wp:wrapNone/>
                      <wp:docPr id="142" name="直接箭头连接符 142"/>
                      <wp:cNvGraphicFramePr/>
                      <a:graphic xmlns:a="http://schemas.openxmlformats.org/drawingml/2006/main">
                        <a:graphicData uri="http://schemas.microsoft.com/office/word/2010/wordprocessingShape">
                          <wps:wsp>
                            <wps:cNvCnPr/>
                            <wps:spPr>
                              <a:xfrm>
                                <a:off x="0" y="0"/>
                                <a:ext cx="787400" cy="49339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4pt;margin-top:0.1pt;height:38.85pt;width:62pt;z-index:251685888;mso-width-relative:page;mso-height-relative:page;" filled="f" stroked="t" coordsize="21600,21600" o:gfxdata="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h2CP1QAAAAYBAAAPAAAAAAAAAAEAIAAAACIAAABkcnMvZG93&#10;bnJldi54bWxQSwECFAAUAAAACACHTuJAmy1hVgMCAAD0AwAADgAAAAAAAAABACAAAAAkAQAAZHJz&#10;L2Uyb0RvYy54bWxQSwUGAAAAAAYABgBZAQAAmQUAAAAA&#10;">
                      <v:fill on="f" focussize="0,0"/>
                      <v:stroke weight="0.5pt" color="#0D0D0D" joinstyle="round"/>
                      <v:imagedata o:title=""/>
                      <o:lock v:ext="edit" aspectratio="f"/>
                    </v:shape>
                  </w:pict>
                </mc:Fallback>
              </mc:AlternateContent>
            </w: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w:t>占地规模</w:t>
            </w:r>
          </w:p>
          <w:p w14:paraId="7536CE6B">
            <w:pPr>
              <w:keepNext w:val="0"/>
              <w:keepLines w:val="0"/>
              <w:pageBreakBefore w:val="0"/>
              <w:widowControl/>
              <w:kinsoku/>
              <w:wordWrap/>
              <w:overflowPunct/>
              <w:topLinePunct w:val="0"/>
              <w:autoSpaceDE/>
              <w:autoSpaceDN/>
              <w:bidi w:val="0"/>
              <w:adjustRightInd w:val="0"/>
              <w:snapToGrid w:val="0"/>
              <w:spacing w:line="240" w:lineRule="auto"/>
              <w:ind w:firstLine="201" w:firstLineChars="100"/>
              <w:jc w:val="both"/>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hint="eastAsia" w:ascii="Times New Roman" w:hAnsi="Times New Roman" w:eastAsia="宋体" w:cs="Times New Roman"/>
                <w:b/>
                <w:bCs w:val="0"/>
                <w:color w:val="000000" w:themeColor="text1"/>
                <w:kern w:val="0"/>
                <w:sz w:val="20"/>
                <w:szCs w:val="16"/>
                <w:highlight w:val="none"/>
                <w:lang w:val="en-US" w:eastAsia="zh-CN"/>
                <w14:textFill>
                  <w14:solidFill>
                    <w14:schemeClr w14:val="tx1"/>
                  </w14:solidFill>
                </w14:textFill>
              </w:rPr>
              <w:t>评价工作等级</w:t>
            </w: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-58420</wp:posOffset>
                      </wp:positionH>
                      <wp:positionV relativeFrom="paragraph">
                        <wp:posOffset>100330</wp:posOffset>
                      </wp:positionV>
                      <wp:extent cx="1452880" cy="229870"/>
                      <wp:effectExtent l="635" t="4445" r="13335" b="13335"/>
                      <wp:wrapNone/>
                      <wp:docPr id="144" name="直接箭头连接符 144"/>
                      <wp:cNvGraphicFramePr/>
                      <a:graphic xmlns:a="http://schemas.openxmlformats.org/drawingml/2006/main">
                        <a:graphicData uri="http://schemas.microsoft.com/office/word/2010/wordprocessingShape">
                          <wps:wsp>
                            <wps:cNvCnPr/>
                            <wps:spPr>
                              <a:xfrm>
                                <a:off x="0" y="0"/>
                                <a:ext cx="1452880" cy="22987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pt;margin-top:7.9pt;height:18.1pt;width:114.4pt;z-index:251686912;mso-width-relative:page;mso-height-relative:page;" filled="f" stroked="t" coordsize="21600,21600" o:gfxdata="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ujtkAAAAIAQAADwAAAAAAAAABACAAAAAiAAAA&#10;ZHJzL2Rvd25yZXYueG1sUEsBAhQAFAAAAAgAh07iQCj94h4GAgAA9QMAAA4AAAAAAAAAAQAgAAAA&#10;KAEAAGRycy9lMm9Eb2MueG1sUEsFBgAAAAAGAAYAWQEAAKAFAAAAAA==&#10;">
                      <v:fill on="f" focussize="0,0"/>
                      <v:stroke weight="0.5pt" color="#0D0D0D" joinstyle="round"/>
                      <v:imagedata o:title=""/>
                      <o:lock v:ext="edit" aspectratio="f"/>
                    </v:shape>
                  </w:pict>
                </mc:Fallback>
              </mc:AlternateContent>
            </w:r>
          </w:p>
          <w:p w14:paraId="20326EF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hint="eastAsia" w:ascii="Times New Roman" w:hAnsi="Times New Roman" w:eastAsia="宋体" w:cs="Times New Roman"/>
                <w:b/>
                <w:bCs w:val="0"/>
                <w:color w:val="000000" w:themeColor="text1"/>
                <w:kern w:val="0"/>
                <w:sz w:val="20"/>
                <w:szCs w:val="16"/>
                <w:highlight w:val="none"/>
                <w:lang w:val="en-US" w:eastAsia="zh-CN"/>
                <w14:textFill>
                  <w14:solidFill>
                    <w14:schemeClr w14:val="tx1"/>
                  </w14:solidFill>
                </w14:textFill>
              </w:rPr>
              <w:t>敏感程度</w:t>
            </w:r>
          </w:p>
        </w:tc>
        <w:tc>
          <w:tcPr>
            <w:tcW w:w="1222" w:type="pct"/>
            <w:gridSpan w:val="3"/>
            <w:tcBorders>
              <w:tl2br w:val="nil"/>
              <w:tr2bl w:val="nil"/>
            </w:tcBorders>
            <w:noWrap w:val="0"/>
            <w:vAlign w:val="center"/>
          </w:tcPr>
          <w:p w14:paraId="1971B30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w:t>Ⅰ类</w:t>
            </w:r>
          </w:p>
        </w:tc>
        <w:tc>
          <w:tcPr>
            <w:tcW w:w="1223" w:type="pct"/>
            <w:gridSpan w:val="4"/>
            <w:tcBorders>
              <w:tl2br w:val="nil"/>
              <w:tr2bl w:val="nil"/>
            </w:tcBorders>
            <w:noWrap w:val="0"/>
            <w:vAlign w:val="center"/>
          </w:tcPr>
          <w:p w14:paraId="15073F9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w:t>Ⅱ类</w:t>
            </w:r>
          </w:p>
        </w:tc>
        <w:tc>
          <w:tcPr>
            <w:tcW w:w="1222" w:type="pct"/>
            <w:gridSpan w:val="3"/>
            <w:tcBorders>
              <w:tl2br w:val="nil"/>
              <w:tr2bl w:val="nil"/>
            </w:tcBorders>
            <w:noWrap w:val="0"/>
            <w:vAlign w:val="center"/>
          </w:tcPr>
          <w:p w14:paraId="141E27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val="0"/>
                <w:color w:val="000000" w:themeColor="text1"/>
                <w:kern w:val="0"/>
                <w:sz w:val="20"/>
                <w:szCs w:val="16"/>
                <w:highlight w:val="none"/>
                <w14:textFill>
                  <w14:solidFill>
                    <w14:schemeClr w14:val="tx1"/>
                  </w14:solidFill>
                </w14:textFill>
              </w:rPr>
            </w:pPr>
            <w:r>
              <w:rPr>
                <w:rFonts w:ascii="Times New Roman" w:hAnsi="Times New Roman" w:eastAsia="宋体" w:cs="Times New Roman"/>
                <w:b/>
                <w:bCs w:val="0"/>
                <w:color w:val="000000" w:themeColor="text1"/>
                <w:kern w:val="0"/>
                <w:sz w:val="20"/>
                <w:szCs w:val="16"/>
                <w:highlight w:val="none"/>
                <w14:textFill>
                  <w14:solidFill>
                    <w14:schemeClr w14:val="tx1"/>
                  </w14:solidFill>
                </w14:textFill>
              </w:rPr>
              <w:t>Ⅲ类</w:t>
            </w:r>
          </w:p>
        </w:tc>
      </w:tr>
      <w:tr w14:paraId="1B1E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vMerge w:val="continue"/>
            <w:tcBorders>
              <w:tl2br w:val="nil"/>
              <w:tr2bl w:val="nil"/>
            </w:tcBorders>
            <w:noWrap w:val="0"/>
            <w:vAlign w:val="center"/>
          </w:tcPr>
          <w:p w14:paraId="4CE3B1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0"/>
                <w:sz w:val="20"/>
                <w:szCs w:val="16"/>
                <w:highlight w:val="none"/>
                <w14:textFill>
                  <w14:solidFill>
                    <w14:schemeClr w14:val="tx1"/>
                  </w14:solidFill>
                </w14:textFill>
              </w:rPr>
            </w:pPr>
          </w:p>
        </w:tc>
        <w:tc>
          <w:tcPr>
            <w:tcW w:w="406" w:type="pct"/>
            <w:tcBorders>
              <w:tl2br w:val="nil"/>
              <w:tr2bl w:val="nil"/>
            </w:tcBorders>
            <w:noWrap w:val="0"/>
            <w:vAlign w:val="center"/>
          </w:tcPr>
          <w:p w14:paraId="1FEC8B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大</w:t>
            </w:r>
          </w:p>
        </w:tc>
        <w:tc>
          <w:tcPr>
            <w:tcW w:w="407" w:type="pct"/>
            <w:tcBorders>
              <w:tl2br w:val="nil"/>
              <w:tr2bl w:val="nil"/>
            </w:tcBorders>
            <w:noWrap w:val="0"/>
            <w:vAlign w:val="center"/>
          </w:tcPr>
          <w:p w14:paraId="211C1B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中</w:t>
            </w:r>
          </w:p>
        </w:tc>
        <w:tc>
          <w:tcPr>
            <w:tcW w:w="408" w:type="pct"/>
            <w:tcBorders>
              <w:tl2br w:val="nil"/>
              <w:tr2bl w:val="nil"/>
            </w:tcBorders>
            <w:noWrap w:val="0"/>
            <w:vAlign w:val="center"/>
          </w:tcPr>
          <w:p w14:paraId="1241C7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小</w:t>
            </w:r>
          </w:p>
        </w:tc>
        <w:tc>
          <w:tcPr>
            <w:tcW w:w="407" w:type="pct"/>
            <w:tcBorders>
              <w:tl2br w:val="nil"/>
              <w:tr2bl w:val="nil"/>
            </w:tcBorders>
            <w:noWrap w:val="0"/>
            <w:vAlign w:val="center"/>
          </w:tcPr>
          <w:p w14:paraId="15E057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大</w:t>
            </w:r>
          </w:p>
        </w:tc>
        <w:tc>
          <w:tcPr>
            <w:tcW w:w="407" w:type="pct"/>
            <w:tcBorders>
              <w:tl2br w:val="nil"/>
              <w:tr2bl w:val="nil"/>
            </w:tcBorders>
            <w:noWrap w:val="0"/>
            <w:vAlign w:val="center"/>
          </w:tcPr>
          <w:p w14:paraId="737FF7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中</w:t>
            </w:r>
          </w:p>
        </w:tc>
        <w:tc>
          <w:tcPr>
            <w:tcW w:w="407" w:type="pct"/>
            <w:tcBorders>
              <w:tl2br w:val="nil"/>
              <w:tr2bl w:val="nil"/>
            </w:tcBorders>
            <w:noWrap w:val="0"/>
            <w:vAlign w:val="center"/>
          </w:tcPr>
          <w:p w14:paraId="11FD809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小</w:t>
            </w:r>
          </w:p>
        </w:tc>
        <w:tc>
          <w:tcPr>
            <w:tcW w:w="407" w:type="pct"/>
            <w:gridSpan w:val="2"/>
            <w:tcBorders>
              <w:tl2br w:val="nil"/>
              <w:tr2bl w:val="nil"/>
            </w:tcBorders>
            <w:noWrap w:val="0"/>
            <w:vAlign w:val="center"/>
          </w:tcPr>
          <w:p w14:paraId="1861B95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大</w:t>
            </w:r>
          </w:p>
        </w:tc>
        <w:tc>
          <w:tcPr>
            <w:tcW w:w="407" w:type="pct"/>
            <w:tcBorders>
              <w:tl2br w:val="nil"/>
              <w:tr2bl w:val="nil"/>
            </w:tcBorders>
            <w:noWrap w:val="0"/>
            <w:vAlign w:val="center"/>
          </w:tcPr>
          <w:p w14:paraId="0F3EB1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中</w:t>
            </w:r>
          </w:p>
        </w:tc>
        <w:tc>
          <w:tcPr>
            <w:tcW w:w="409" w:type="pct"/>
            <w:tcBorders>
              <w:tl2br w:val="nil"/>
              <w:tr2bl w:val="nil"/>
            </w:tcBorders>
            <w:noWrap w:val="0"/>
            <w:vAlign w:val="center"/>
          </w:tcPr>
          <w:p w14:paraId="60B3F2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小</w:t>
            </w:r>
          </w:p>
        </w:tc>
      </w:tr>
      <w:tr w14:paraId="3963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tcBorders>
              <w:tl2br w:val="nil"/>
              <w:tr2bl w:val="nil"/>
            </w:tcBorders>
            <w:noWrap w:val="0"/>
            <w:vAlign w:val="center"/>
          </w:tcPr>
          <w:p w14:paraId="623CAA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0"/>
                <w:sz w:val="20"/>
                <w:szCs w:val="16"/>
                <w:highlight w:val="none"/>
                <w14:textFill>
                  <w14:solidFill>
                    <w14:schemeClr w14:val="tx1"/>
                  </w14:solidFill>
                </w14:textFill>
              </w:rPr>
            </w:pPr>
            <w:r>
              <w:rPr>
                <w:rFonts w:ascii="Times New Roman" w:hAnsi="Times New Roman" w:eastAsia="宋体" w:cs="Times New Roman"/>
                <w:color w:val="000000" w:themeColor="text1"/>
                <w:kern w:val="0"/>
                <w:sz w:val="20"/>
                <w:szCs w:val="16"/>
                <w:highlight w:val="none"/>
                <w14:textFill>
                  <w14:solidFill>
                    <w14:schemeClr w14:val="tx1"/>
                  </w14:solidFill>
                </w14:textFill>
              </w:rPr>
              <w:t>敏感</w:t>
            </w:r>
          </w:p>
        </w:tc>
        <w:tc>
          <w:tcPr>
            <w:tcW w:w="406" w:type="pct"/>
            <w:tcBorders>
              <w:tl2br w:val="nil"/>
              <w:tr2bl w:val="nil"/>
            </w:tcBorders>
            <w:noWrap w:val="0"/>
            <w:vAlign w:val="center"/>
          </w:tcPr>
          <w:p w14:paraId="70881C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7" w:type="pct"/>
            <w:tcBorders>
              <w:tl2br w:val="nil"/>
              <w:tr2bl w:val="nil"/>
            </w:tcBorders>
            <w:noWrap w:val="0"/>
            <w:vAlign w:val="center"/>
          </w:tcPr>
          <w:p w14:paraId="6DA02E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8" w:type="pct"/>
            <w:tcBorders>
              <w:tl2br w:val="nil"/>
              <w:tr2bl w:val="nil"/>
            </w:tcBorders>
            <w:noWrap w:val="0"/>
            <w:vAlign w:val="center"/>
          </w:tcPr>
          <w:p w14:paraId="1C8BA1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7" w:type="pct"/>
            <w:tcBorders>
              <w:tl2br w:val="nil"/>
              <w:tr2bl w:val="nil"/>
            </w:tcBorders>
            <w:noWrap w:val="0"/>
            <w:vAlign w:val="center"/>
          </w:tcPr>
          <w:p w14:paraId="331D36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5C5B37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59A9EE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shd w:val="clear" w:color="FFFFFF" w:fill="D9D9D9"/>
                <w:lang w:val="en-US" w:eastAsia="zh-CN" w:bidi="ar-SA"/>
                <w14:textFill>
                  <w14:solidFill>
                    <w14:schemeClr w14:val="tx1"/>
                  </w14:solidFill>
                </w14:textFill>
              </w:rPr>
              <w:t>二级</w:t>
            </w:r>
          </w:p>
        </w:tc>
        <w:tc>
          <w:tcPr>
            <w:tcW w:w="407" w:type="pct"/>
            <w:gridSpan w:val="2"/>
            <w:tcBorders>
              <w:tl2br w:val="nil"/>
              <w:tr2bl w:val="nil"/>
            </w:tcBorders>
            <w:noWrap w:val="0"/>
            <w:vAlign w:val="center"/>
          </w:tcPr>
          <w:p w14:paraId="0B657A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tcBorders>
              <w:tl2br w:val="nil"/>
              <w:tr2bl w:val="nil"/>
            </w:tcBorders>
            <w:noWrap w:val="0"/>
            <w:vAlign w:val="center"/>
          </w:tcPr>
          <w:p w14:paraId="2F3177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9" w:type="pct"/>
            <w:tcBorders>
              <w:tl2br w:val="nil"/>
              <w:tr2bl w:val="nil"/>
            </w:tcBorders>
            <w:noWrap w:val="0"/>
            <w:vAlign w:val="center"/>
          </w:tcPr>
          <w:p w14:paraId="471F7F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r>
      <w:tr w14:paraId="3BD0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tcBorders>
              <w:tl2br w:val="nil"/>
              <w:tr2bl w:val="nil"/>
            </w:tcBorders>
            <w:noWrap w:val="0"/>
            <w:vAlign w:val="center"/>
          </w:tcPr>
          <w:p w14:paraId="61B7A2B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0"/>
                <w:sz w:val="20"/>
                <w:szCs w:val="16"/>
                <w:highlight w:val="none"/>
                <w14:textFill>
                  <w14:solidFill>
                    <w14:schemeClr w14:val="tx1"/>
                  </w14:solidFill>
                </w14:textFill>
              </w:rPr>
            </w:pPr>
            <w:r>
              <w:rPr>
                <w:rFonts w:ascii="Times New Roman" w:hAnsi="Times New Roman" w:eastAsia="宋体" w:cs="Times New Roman"/>
                <w:color w:val="000000" w:themeColor="text1"/>
                <w:kern w:val="0"/>
                <w:sz w:val="20"/>
                <w:szCs w:val="16"/>
                <w:highlight w:val="none"/>
                <w14:textFill>
                  <w14:solidFill>
                    <w14:schemeClr w14:val="tx1"/>
                  </w14:solidFill>
                </w14:textFill>
              </w:rPr>
              <w:t>较敏感</w:t>
            </w:r>
          </w:p>
        </w:tc>
        <w:tc>
          <w:tcPr>
            <w:tcW w:w="406" w:type="pct"/>
            <w:tcBorders>
              <w:tl2br w:val="nil"/>
              <w:tr2bl w:val="nil"/>
            </w:tcBorders>
            <w:noWrap w:val="0"/>
            <w:vAlign w:val="center"/>
          </w:tcPr>
          <w:p w14:paraId="72896B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7" w:type="pct"/>
            <w:tcBorders>
              <w:tl2br w:val="nil"/>
              <w:tr2bl w:val="nil"/>
            </w:tcBorders>
            <w:noWrap w:val="0"/>
            <w:vAlign w:val="center"/>
          </w:tcPr>
          <w:p w14:paraId="37CA78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8" w:type="pct"/>
            <w:tcBorders>
              <w:tl2br w:val="nil"/>
              <w:tr2bl w:val="nil"/>
            </w:tcBorders>
            <w:noWrap w:val="0"/>
            <w:vAlign w:val="center"/>
          </w:tcPr>
          <w:p w14:paraId="3EDB5C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12035C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797C983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318D4D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gridSpan w:val="2"/>
            <w:tcBorders>
              <w:tl2br w:val="nil"/>
              <w:tr2bl w:val="nil"/>
            </w:tcBorders>
            <w:noWrap w:val="0"/>
            <w:vAlign w:val="center"/>
          </w:tcPr>
          <w:p w14:paraId="0D48D6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tcBorders>
              <w:tl2br w:val="nil"/>
              <w:tr2bl w:val="nil"/>
            </w:tcBorders>
            <w:noWrap w:val="0"/>
            <w:vAlign w:val="center"/>
          </w:tcPr>
          <w:p w14:paraId="585297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9" w:type="pct"/>
            <w:tcBorders>
              <w:tl2br w:val="nil"/>
              <w:tr2bl w:val="nil"/>
            </w:tcBorders>
            <w:noWrap w:val="0"/>
            <w:vAlign w:val="center"/>
          </w:tcPr>
          <w:p w14:paraId="0C91E48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w:t>
            </w:r>
          </w:p>
        </w:tc>
      </w:tr>
      <w:tr w14:paraId="3487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tcBorders>
              <w:tl2br w:val="nil"/>
              <w:tr2bl w:val="nil"/>
            </w:tcBorders>
            <w:noWrap w:val="0"/>
            <w:vAlign w:val="center"/>
          </w:tcPr>
          <w:p w14:paraId="492D90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0"/>
                <w:sz w:val="20"/>
                <w:szCs w:val="16"/>
                <w:highlight w:val="none"/>
                <w14:textFill>
                  <w14:solidFill>
                    <w14:schemeClr w14:val="tx1"/>
                  </w14:solidFill>
                </w14:textFill>
              </w:rPr>
            </w:pPr>
            <w:r>
              <w:rPr>
                <w:rFonts w:ascii="Times New Roman" w:hAnsi="Times New Roman" w:eastAsia="宋体" w:cs="Times New Roman"/>
                <w:color w:val="000000" w:themeColor="text1"/>
                <w:kern w:val="0"/>
                <w:sz w:val="20"/>
                <w:szCs w:val="16"/>
                <w:highlight w:val="none"/>
                <w14:textFill>
                  <w14:solidFill>
                    <w14:schemeClr w14:val="tx1"/>
                  </w14:solidFill>
                </w14:textFill>
              </w:rPr>
              <w:t>不敏感</w:t>
            </w:r>
          </w:p>
        </w:tc>
        <w:tc>
          <w:tcPr>
            <w:tcW w:w="406" w:type="pct"/>
            <w:tcBorders>
              <w:tl2br w:val="nil"/>
              <w:tr2bl w:val="nil"/>
            </w:tcBorders>
            <w:noWrap w:val="0"/>
            <w:vAlign w:val="center"/>
          </w:tcPr>
          <w:p w14:paraId="32C7DB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一级</w:t>
            </w:r>
          </w:p>
        </w:tc>
        <w:tc>
          <w:tcPr>
            <w:tcW w:w="407" w:type="pct"/>
            <w:tcBorders>
              <w:tl2br w:val="nil"/>
              <w:tr2bl w:val="nil"/>
            </w:tcBorders>
            <w:noWrap w:val="0"/>
            <w:vAlign w:val="center"/>
          </w:tcPr>
          <w:p w14:paraId="16597B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8" w:type="pct"/>
            <w:tcBorders>
              <w:tl2br w:val="nil"/>
              <w:tr2bl w:val="nil"/>
            </w:tcBorders>
            <w:noWrap w:val="0"/>
            <w:vAlign w:val="center"/>
          </w:tcPr>
          <w:p w14:paraId="0D2E20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202673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二级</w:t>
            </w:r>
          </w:p>
        </w:tc>
        <w:tc>
          <w:tcPr>
            <w:tcW w:w="407" w:type="pct"/>
            <w:tcBorders>
              <w:tl2br w:val="nil"/>
              <w:tr2bl w:val="nil"/>
            </w:tcBorders>
            <w:noWrap w:val="0"/>
            <w:vAlign w:val="center"/>
          </w:tcPr>
          <w:p w14:paraId="2A346A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tcBorders>
              <w:tl2br w:val="nil"/>
              <w:tr2bl w:val="nil"/>
            </w:tcBorders>
            <w:noWrap w:val="0"/>
            <w:vAlign w:val="center"/>
          </w:tcPr>
          <w:p w14:paraId="22C913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gridSpan w:val="2"/>
            <w:tcBorders>
              <w:tl2br w:val="nil"/>
              <w:tr2bl w:val="nil"/>
            </w:tcBorders>
            <w:noWrap w:val="0"/>
            <w:vAlign w:val="center"/>
          </w:tcPr>
          <w:p w14:paraId="7D75DA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三级</w:t>
            </w:r>
          </w:p>
        </w:tc>
        <w:tc>
          <w:tcPr>
            <w:tcW w:w="407" w:type="pct"/>
            <w:tcBorders>
              <w:tl2br w:val="nil"/>
              <w:tr2bl w:val="nil"/>
            </w:tcBorders>
            <w:noWrap w:val="0"/>
            <w:vAlign w:val="center"/>
          </w:tcPr>
          <w:p w14:paraId="07C157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w:t>
            </w:r>
          </w:p>
        </w:tc>
        <w:tc>
          <w:tcPr>
            <w:tcW w:w="409" w:type="pct"/>
            <w:tcBorders>
              <w:tl2br w:val="nil"/>
              <w:tr2bl w:val="nil"/>
            </w:tcBorders>
            <w:noWrap w:val="0"/>
            <w:vAlign w:val="center"/>
          </w:tcPr>
          <w:p w14:paraId="7BC374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t>-</w:t>
            </w:r>
          </w:p>
        </w:tc>
      </w:tr>
      <w:tr w14:paraId="76F1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tcBorders>
              <w:tl2br w:val="nil"/>
              <w:tr2bl w:val="nil"/>
            </w:tcBorders>
            <w:noWrap w:val="0"/>
            <w:vAlign w:val="center"/>
          </w:tcPr>
          <w:p w14:paraId="6122A530">
            <w:pPr>
              <w:keepNext w:val="0"/>
              <w:keepLines w:val="0"/>
              <w:pageBreakBefore w:val="0"/>
              <w:kinsoku/>
              <w:wordWrap/>
              <w:overflowPunct/>
              <w:topLinePunct w:val="0"/>
              <w:autoSpaceDE/>
              <w:autoSpaceDN/>
              <w:bidi w:val="0"/>
              <w:adjustRightInd w:val="0"/>
              <w:snapToGrid w:val="0"/>
              <w:spacing w:line="240" w:lineRule="auto"/>
              <w:jc w:val="left"/>
              <w:textAlignment w:val="auto"/>
              <w:rPr>
                <w:rFonts w:ascii="Times New Roman" w:hAnsi="Times New Roman" w:eastAsia="宋体" w:cs="Times New Roman"/>
                <w:color w:val="000000" w:themeColor="text1"/>
                <w:sz w:val="21"/>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注：“</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”表示可不开展土壤环境影响评价工作。</w:t>
            </w:r>
          </w:p>
        </w:tc>
      </w:tr>
    </w:tbl>
    <w:p w14:paraId="057D6B64">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根据工程分析，本工程属于小型项目（永久占地</w:t>
      </w:r>
      <w:r>
        <w:rPr>
          <w:rFonts w:hint="eastAsia"/>
          <w:color w:val="000000" w:themeColor="text1"/>
          <w:highlight w:val="none"/>
          <w:lang w:val="en-US" w:eastAsia="zh-CN"/>
          <w14:textFill>
            <w14:solidFill>
              <w14:schemeClr w14:val="tx1"/>
            </w14:solidFill>
          </w14:textFill>
        </w:rPr>
        <w:t>1.4328</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hm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），占地类型为</w:t>
      </w:r>
      <w:r>
        <w:rPr>
          <w:rFonts w:hint="eastAsia" w:cs="Times New Roman"/>
          <w:caps w:val="0"/>
          <w:color w:val="000000" w:themeColor="text1"/>
          <w:kern w:val="2"/>
          <w:sz w:val="24"/>
          <w:szCs w:val="32"/>
          <w:highlight w:val="none"/>
          <w:lang w:val="en-US" w:eastAsia="zh-CN" w:bidi="ar"/>
          <w14:textFill>
            <w14:solidFill>
              <w14:schemeClr w14:val="tx1"/>
            </w14:solidFill>
          </w14:textFill>
        </w:rPr>
        <w:t>果园（属于园地）</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，土壤敏感程度为</w:t>
      </w:r>
      <w:r>
        <w:rPr>
          <w:rFonts w:hint="eastAsia"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敏感</w:t>
      </w:r>
      <w:r>
        <w:rPr>
          <w:rFonts w:hint="eastAsia"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本工程为</w:t>
      </w:r>
      <w:r>
        <w:rPr>
          <w:rFonts w:hint="eastAsia" w:cs="宋体"/>
          <w:color w:val="000000" w:themeColor="text1"/>
          <w:sz w:val="24"/>
          <w:szCs w:val="24"/>
          <w:highlight w:val="none"/>
          <w:lang w:val="en-US" w:eastAsia="zh-CN" w:bidi="ar-SA"/>
          <w14:textFill>
            <w14:solidFill>
              <w14:schemeClr w14:val="tx1"/>
            </w14:solidFill>
          </w14:textFill>
        </w:rPr>
        <w:t>天然气</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开采项目，属于</w:t>
      </w:r>
      <w:r>
        <w:rPr>
          <w:rFonts w:hint="eastAsia" w:cs="宋体"/>
          <w:color w:val="000000" w:themeColor="text1"/>
          <w:sz w:val="24"/>
          <w:szCs w:val="24"/>
          <w:highlight w:val="none"/>
          <w:lang w:val="en-US" w:eastAsia="zh-CN" w:bidi="ar-SA"/>
          <w14:textFill>
            <w14:solidFill>
              <w14:schemeClr w14:val="tx1"/>
            </w14:solidFill>
          </w14:textFill>
        </w:rPr>
        <w:t>Ⅱ类建设项目</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w:t>
      </w:r>
      <w:r>
        <w:rPr>
          <w:rFonts w:hint="eastAsia" w:cs="宋体"/>
          <w:color w:val="000000" w:themeColor="text1"/>
          <w:sz w:val="24"/>
          <w:szCs w:val="24"/>
          <w:highlight w:val="none"/>
          <w:lang w:val="en-US" w:eastAsia="zh-CN" w:bidi="ar-SA"/>
          <w14:textFill>
            <w14:solidFill>
              <w14:schemeClr w14:val="tx1"/>
            </w14:solidFill>
          </w14:textFill>
        </w:rPr>
        <w:t>土壤</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污染</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影响型评价等级划分为</w:t>
      </w:r>
      <w:r>
        <w:rPr>
          <w:rFonts w:hint="eastAsia" w:cs="宋体"/>
          <w:color w:val="000000" w:themeColor="text1"/>
          <w:sz w:val="24"/>
          <w:szCs w:val="24"/>
          <w:highlight w:val="none"/>
          <w:lang w:val="en-US" w:eastAsia="zh-CN" w:bidi="ar-SA"/>
          <w14:textFill>
            <w14:solidFill>
              <w14:schemeClr w14:val="tx1"/>
            </w14:solidFill>
          </w14:textFill>
        </w:rPr>
        <w:t>二</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级</w:t>
      </w:r>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评价</w:t>
      </w:r>
      <w:r>
        <w:rPr>
          <w:rFonts w:hint="eastAsia" w:cs="宋体"/>
          <w:color w:val="000000" w:themeColor="text1"/>
          <w:sz w:val="24"/>
          <w:szCs w:val="24"/>
          <w:highlight w:val="none"/>
          <w:lang w:val="en-US" w:eastAsia="zh-CN" w:bidi="ar-SA"/>
          <w14:textFill>
            <w14:solidFill>
              <w14:schemeClr w14:val="tx1"/>
            </w14:solidFill>
          </w14:textFill>
        </w:rPr>
        <w:t>。</w:t>
      </w:r>
    </w:p>
    <w:p w14:paraId="420302B3">
      <w:pPr>
        <w:keepNext w:val="0"/>
        <w:pageBreakBefore w:val="0"/>
        <w:kinsoku/>
        <w:wordWrap/>
        <w:overflowPunct/>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综合</w:t>
      </w:r>
      <w:r>
        <w:rPr>
          <w:rFonts w:hint="eastAsia" w:cs="Times New Roman"/>
          <w:caps w:val="0"/>
          <w:color w:val="000000" w:themeColor="text1"/>
          <w:kern w:val="2"/>
          <w:sz w:val="24"/>
          <w:szCs w:val="32"/>
          <w:highlight w:val="none"/>
          <w:lang w:val="en-US" w:eastAsia="zh-CN" w:bidi="ar"/>
          <w14:textFill>
            <w14:solidFill>
              <w14:schemeClr w14:val="tx1"/>
            </w14:solidFill>
          </w14:textFill>
        </w:rPr>
        <w:t>土壤</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生态影响类</w:t>
      </w:r>
      <w:r>
        <w:rPr>
          <w:rFonts w:hint="eastAsia" w:cs="Times New Roman"/>
          <w:caps w:val="0"/>
          <w:color w:val="000000" w:themeColor="text1"/>
          <w:kern w:val="2"/>
          <w:sz w:val="24"/>
          <w:szCs w:val="32"/>
          <w:highlight w:val="none"/>
          <w:lang w:val="en-US" w:eastAsia="zh-CN" w:bidi="ar"/>
          <w14:textFill>
            <w14:solidFill>
              <w14:schemeClr w14:val="tx1"/>
            </w14:solidFill>
          </w14:textFill>
        </w:rPr>
        <w:t>以及</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污染影响类，本次工程</w:t>
      </w:r>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土壤评价等级为</w:t>
      </w:r>
      <w:r>
        <w:rPr>
          <w:rFonts w:hint="eastAsia" w:cs="Times New Roman"/>
          <w:b w:val="0"/>
          <w:bCs w:val="0"/>
          <w:caps w:val="0"/>
          <w:color w:val="000000" w:themeColor="text1"/>
          <w:kern w:val="2"/>
          <w:sz w:val="24"/>
          <w:szCs w:val="32"/>
          <w:highlight w:val="none"/>
          <w:lang w:val="en-US" w:eastAsia="zh-CN" w:bidi="ar"/>
          <w14:textFill>
            <w14:solidFill>
              <w14:schemeClr w14:val="tx1"/>
            </w14:solidFill>
          </w14:textFill>
        </w:rPr>
        <w:t>二</w:t>
      </w:r>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级</w:t>
      </w:r>
      <w:bookmarkStart w:id="280" w:name="OLE_LINK155"/>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评价</w:t>
      </w:r>
      <w:bookmarkEnd w:id="280"/>
      <w:r>
        <w:rPr>
          <w:rFonts w:hint="default" w:ascii="Times New Roman" w:hAnsi="Times New Roman" w:eastAsia="宋体" w:cs="Times New Roman"/>
          <w:b w:val="0"/>
          <w:bCs w:val="0"/>
          <w:caps w:val="0"/>
          <w:color w:val="000000" w:themeColor="text1"/>
          <w:kern w:val="2"/>
          <w:sz w:val="24"/>
          <w:szCs w:val="32"/>
          <w:highlight w:val="none"/>
          <w:lang w:val="en-US" w:eastAsia="zh-CN" w:bidi="ar"/>
          <w14:textFill>
            <w14:solidFill>
              <w14:schemeClr w14:val="tx1"/>
            </w14:solidFill>
          </w14:textFill>
        </w:rPr>
        <w:t>。</w:t>
      </w:r>
    </w:p>
    <w:p w14:paraId="137902B0">
      <w:pPr>
        <w:keepNext w:val="0"/>
        <w:keepLines/>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left"/>
        <w:textAlignment w:val="auto"/>
        <w:outlineLvl w:val="3"/>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评价范围</w:t>
      </w:r>
    </w:p>
    <w:p w14:paraId="212C5F7E">
      <w:pPr>
        <w:keepNext w:val="0"/>
        <w:pageBreakBefore w:val="0"/>
        <w:kinsoku/>
        <w:wordWrap/>
        <w:overflowPunct/>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spacing w:val="2"/>
          <w:kern w:val="0"/>
          <w:sz w:val="24"/>
          <w:szCs w:val="24"/>
          <w:highlight w:val="none"/>
          <w:lang w:val="en-US" w:eastAsia="zh-CN" w:bidi="ar"/>
          <w14:textFill>
            <w14:solidFill>
              <w14:schemeClr w14:val="tx1"/>
            </w14:solidFill>
          </w14:textFill>
        </w:rPr>
        <w:t>根据</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土壤环境（试行）》（HJ964-2018）</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，结合本</w:t>
      </w:r>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工程</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特点，考虑油田整体开发对区域的影响，确定土壤评价范围为：（</w:t>
      </w:r>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1</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）土壤生态影响型现状调查范围为</w:t>
      </w:r>
      <w:r>
        <w:rPr>
          <w:rFonts w:hint="default" w:ascii="Times New Roman" w:hAnsi="Times New Roman" w:eastAsia="宋体" w:cs="Times New Roman"/>
          <w:caps w:val="0"/>
          <w:color w:val="000000" w:themeColor="text1"/>
          <w:spacing w:val="2"/>
          <w:kern w:val="0"/>
          <w:sz w:val="24"/>
          <w:szCs w:val="24"/>
          <w:highlight w:val="none"/>
          <w:lang w:val="en-US" w:eastAsia="zh-CN" w:bidi="ar"/>
          <w14:textFill>
            <w14:solidFill>
              <w14:schemeClr w14:val="tx1"/>
            </w14:solidFill>
          </w14:textFill>
        </w:rPr>
        <w:t>井场外扩</w:t>
      </w:r>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aps w:val="0"/>
          <w:color w:val="000000" w:themeColor="text1"/>
          <w:spacing w:val="2"/>
          <w:kern w:val="0"/>
          <w:sz w:val="24"/>
          <w:szCs w:val="24"/>
          <w:highlight w:val="none"/>
          <w:lang w:val="en-US" w:eastAsia="zh-CN" w:bidi="ar"/>
          <w14:textFill>
            <w14:solidFill>
              <w14:schemeClr w14:val="tx1"/>
            </w14:solidFill>
          </w14:textFill>
        </w:rPr>
        <w:t>km</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范围。（</w:t>
      </w:r>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2</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w:t>
      </w:r>
      <w:bookmarkStart w:id="281" w:name="OLE_LINK142"/>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土壤污染影响型</w:t>
      </w:r>
      <w:bookmarkEnd w:id="281"/>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现状调查范围为</w:t>
      </w:r>
      <w:r>
        <w:rPr>
          <w:rFonts w:hint="default" w:ascii="Times New Roman" w:hAnsi="Times New Roman" w:eastAsia="宋体" w:cs="Times New Roman"/>
          <w:caps w:val="0"/>
          <w:color w:val="000000" w:themeColor="text1"/>
          <w:spacing w:val="2"/>
          <w:kern w:val="0"/>
          <w:sz w:val="24"/>
          <w:szCs w:val="24"/>
          <w:highlight w:val="none"/>
          <w:lang w:val="en-US" w:eastAsia="zh-CN" w:bidi="ar"/>
          <w14:textFill>
            <w14:solidFill>
              <w14:schemeClr w14:val="tx1"/>
            </w14:solidFill>
          </w14:textFill>
        </w:rPr>
        <w:t>井场外扩</w:t>
      </w:r>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0.2</w:t>
      </w:r>
      <w:r>
        <w:rPr>
          <w:rFonts w:hint="default" w:ascii="Times New Roman" w:hAnsi="Times New Roman" w:eastAsia="宋体" w:cs="Times New Roman"/>
          <w:caps w:val="0"/>
          <w:color w:val="000000" w:themeColor="text1"/>
          <w:spacing w:val="2"/>
          <w:kern w:val="0"/>
          <w:sz w:val="24"/>
          <w:szCs w:val="24"/>
          <w:highlight w:val="none"/>
          <w:lang w:val="en-US" w:eastAsia="zh-CN" w:bidi="ar"/>
          <w14:textFill>
            <w14:solidFill>
              <w14:schemeClr w14:val="tx1"/>
            </w14:solidFill>
          </w14:textFill>
        </w:rPr>
        <w:t>km</w:t>
      </w:r>
      <w:r>
        <w:rPr>
          <w:rFonts w:hint="default" w:ascii="Times New Roman" w:hAnsi="Times New Roman" w:cs="Times New Roman"/>
          <w:caps w:val="0"/>
          <w:color w:val="000000" w:themeColor="text1"/>
          <w:spacing w:val="2"/>
          <w:kern w:val="0"/>
          <w:sz w:val="24"/>
          <w:szCs w:val="24"/>
          <w:highlight w:val="none"/>
          <w:lang w:val="en-US" w:eastAsia="zh-CN" w:bidi="ar"/>
          <w14:textFill>
            <w14:solidFill>
              <w14:schemeClr w14:val="tx1"/>
            </w14:solidFill>
          </w14:textFill>
        </w:rPr>
        <w:t>范围</w:t>
      </w:r>
      <w:bookmarkEnd w:id="254"/>
      <w:r>
        <w:rPr>
          <w:rFonts w:hint="eastAsia" w:cs="Times New Roman"/>
          <w:caps w:val="0"/>
          <w:color w:val="000000" w:themeColor="text1"/>
          <w:spacing w:val="2"/>
          <w:kern w:val="0"/>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评价范围见</w:t>
      </w:r>
      <w:r>
        <w:rPr>
          <w:rFonts w:hint="eastAsia" w:cs="Times New Roman"/>
          <w:color w:val="000000" w:themeColor="text1"/>
          <w:highlight w:val="none"/>
          <w:lang w:val="en-US" w:eastAsia="zh-CN"/>
          <w14:textFill>
            <w14:solidFill>
              <w14:schemeClr w14:val="tx1"/>
            </w14:solidFill>
          </w14:textFill>
        </w:rPr>
        <w:t>附图1</w:t>
      </w:r>
      <w:r>
        <w:rPr>
          <w:rFonts w:hint="default" w:ascii="Times New Roman" w:hAnsi="Times New Roman" w:cs="Times New Roman"/>
          <w:color w:val="000000" w:themeColor="text1"/>
          <w:highlight w:val="none"/>
          <w14:textFill>
            <w14:solidFill>
              <w14:schemeClr w14:val="tx1"/>
            </w14:solidFill>
          </w14:textFill>
        </w:rPr>
        <w:t>。</w:t>
      </w:r>
    </w:p>
    <w:p w14:paraId="370435A9">
      <w:pPr>
        <w:jc w:val="center"/>
        <w:outlineLvl w:val="9"/>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pPr>
      <w:bookmarkStart w:id="282" w:name="OLE_LINK158"/>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5-10</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本工程土壤评价等级及评价范围一览表</w:t>
      </w:r>
    </w:p>
    <w:bookmarkEnd w:id="282"/>
    <w:tbl>
      <w:tblPr>
        <w:tblStyle w:val="37"/>
        <w:tblW w:w="51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42"/>
        <w:gridCol w:w="1780"/>
        <w:gridCol w:w="1780"/>
        <w:gridCol w:w="1780"/>
        <w:gridCol w:w="1783"/>
      </w:tblGrid>
      <w:tr w14:paraId="6449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7EEEC81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序号</w:t>
            </w:r>
          </w:p>
        </w:tc>
        <w:tc>
          <w:tcPr>
            <w:tcW w:w="590" w:type="pct"/>
            <w:vAlign w:val="center"/>
          </w:tcPr>
          <w:p w14:paraId="587688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建设内容</w:t>
            </w:r>
          </w:p>
        </w:tc>
        <w:tc>
          <w:tcPr>
            <w:tcW w:w="1008" w:type="pct"/>
            <w:vAlign w:val="center"/>
          </w:tcPr>
          <w:p w14:paraId="14A5D24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生态影响型</w:t>
            </w:r>
          </w:p>
          <w:p w14:paraId="2262769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评价等级</w:t>
            </w:r>
          </w:p>
        </w:tc>
        <w:tc>
          <w:tcPr>
            <w:tcW w:w="1008" w:type="pct"/>
            <w:vAlign w:val="center"/>
          </w:tcPr>
          <w:p w14:paraId="7762201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调查范围</w:t>
            </w:r>
          </w:p>
        </w:tc>
        <w:tc>
          <w:tcPr>
            <w:tcW w:w="1008" w:type="pct"/>
            <w:vAlign w:val="center"/>
          </w:tcPr>
          <w:p w14:paraId="21BA8C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污染影响型</w:t>
            </w:r>
          </w:p>
          <w:p w14:paraId="1E3749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评价等级</w:t>
            </w:r>
          </w:p>
        </w:tc>
        <w:tc>
          <w:tcPr>
            <w:tcW w:w="1010" w:type="pct"/>
            <w:vAlign w:val="center"/>
          </w:tcPr>
          <w:p w14:paraId="282663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调查评价范围</w:t>
            </w:r>
          </w:p>
        </w:tc>
      </w:tr>
      <w:tr w14:paraId="5DFC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74DAC0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590" w:type="pct"/>
            <w:vAlign w:val="center"/>
          </w:tcPr>
          <w:p w14:paraId="357B8A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井场</w:t>
            </w:r>
          </w:p>
        </w:tc>
        <w:tc>
          <w:tcPr>
            <w:tcW w:w="1008" w:type="pct"/>
            <w:vAlign w:val="center"/>
          </w:tcPr>
          <w:p w14:paraId="740528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级</w:t>
            </w:r>
          </w:p>
        </w:tc>
        <w:tc>
          <w:tcPr>
            <w:tcW w:w="1008" w:type="pct"/>
            <w:vAlign w:val="center"/>
          </w:tcPr>
          <w:p w14:paraId="318DB9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占地范围外</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km</w:t>
            </w:r>
            <w:bookmarkStart w:id="283" w:name="OLE_LINK157"/>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范围内</w:t>
            </w:r>
            <w:bookmarkEnd w:id="283"/>
          </w:p>
        </w:tc>
        <w:tc>
          <w:tcPr>
            <w:tcW w:w="1008" w:type="pct"/>
            <w:vAlign w:val="center"/>
          </w:tcPr>
          <w:p w14:paraId="73F5A3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二级</w:t>
            </w:r>
          </w:p>
        </w:tc>
        <w:tc>
          <w:tcPr>
            <w:tcW w:w="1010" w:type="pct"/>
            <w:vAlign w:val="center"/>
          </w:tcPr>
          <w:p w14:paraId="3DF70D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占地范围外0.2km</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范围内</w:t>
            </w:r>
          </w:p>
        </w:tc>
      </w:tr>
    </w:tbl>
    <w:p w14:paraId="0C1514F0">
      <w:pPr>
        <w:pStyle w:val="5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5.5</w:t>
      </w:r>
      <w:r>
        <w:rPr>
          <w:rFonts w:hint="default" w:ascii="Times New Roman" w:hAnsi="Times New Roman" w:cs="Times New Roman"/>
          <w:color w:val="000000" w:themeColor="text1"/>
          <w:highlight w:val="none"/>
          <w14:textFill>
            <w14:solidFill>
              <w14:schemeClr w14:val="tx1"/>
            </w14:solidFill>
          </w14:textFill>
        </w:rPr>
        <w:t>大气环境影响评价等级和评价范围</w:t>
      </w:r>
    </w:p>
    <w:bookmarkEnd w:id="227"/>
    <w:p w14:paraId="6890AB4E">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1</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评价等级</w:t>
      </w:r>
    </w:p>
    <w:p w14:paraId="3CBBB05E">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lang w:eastAsia="zh-CN"/>
          <w14:textFill>
            <w14:solidFill>
              <w14:schemeClr w14:val="tx1"/>
            </w14:solidFill>
          </w14:textFill>
        </w:rPr>
        <w:t>本</w:t>
      </w:r>
      <w:r>
        <w:rPr>
          <w:rFonts w:hint="eastAsia" w:cs="Times New Roman"/>
          <w:color w:val="000000" w:themeColor="text1"/>
          <w:kern w:val="0"/>
          <w:sz w:val="24"/>
          <w:szCs w:val="20"/>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废气排放源主要为井场无组织排放的非甲烷总烃。根据工程特点、污染特征及周围环境状况，采用</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bookmarkStart w:id="284" w:name="OLE_LINK96"/>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环境影响评价技术导则</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大气环境</w:t>
      </w:r>
      <w:bookmarkEnd w:id="284"/>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HJ2.2-2018</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附录A推荐的估算模型AERSCREEN计算项目污染源的最大环境影响，选取SO</w:t>
      </w:r>
      <w:r>
        <w:rPr>
          <w:rFonts w:hint="default" w:ascii="Times New Roman" w:hAnsi="Times New Roman" w:eastAsia="宋体" w:cs="Times New Roman"/>
          <w:color w:val="000000" w:themeColor="text1"/>
          <w:kern w:val="0"/>
          <w:sz w:val="24"/>
          <w:szCs w:val="20"/>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、NO</w:t>
      </w:r>
      <w:r>
        <w:rPr>
          <w:rFonts w:hint="default" w:ascii="Times New Roman" w:hAnsi="Times New Roman" w:eastAsia="宋体" w:cs="Times New Roman"/>
          <w:color w:val="000000" w:themeColor="text1"/>
          <w:kern w:val="0"/>
          <w:sz w:val="24"/>
          <w:szCs w:val="20"/>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、PM</w:t>
      </w:r>
      <w:r>
        <w:rPr>
          <w:rFonts w:hint="default" w:ascii="Times New Roman" w:hAnsi="Times New Roman" w:eastAsia="宋体" w:cs="Times New Roman"/>
          <w:color w:val="000000" w:themeColor="text1"/>
          <w:kern w:val="0"/>
          <w:sz w:val="24"/>
          <w:szCs w:val="20"/>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、非甲烷总烃</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NMHC</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硫化氢（H</w:t>
      </w:r>
      <w:r>
        <w:rPr>
          <w:rFonts w:hint="default" w:ascii="Times New Roman" w:hAnsi="Times New Roman" w:eastAsia="宋体" w:cs="Times New Roman"/>
          <w:color w:val="000000" w:themeColor="text1"/>
          <w:kern w:val="0"/>
          <w:sz w:val="24"/>
          <w:szCs w:val="20"/>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S）</w:t>
      </w:r>
      <w:r>
        <w:rPr>
          <w:rFonts w:hint="eastAsia" w:cs="Times New Roman"/>
          <w:color w:val="000000" w:themeColor="text1"/>
          <w:kern w:val="0"/>
          <w:sz w:val="24"/>
          <w:szCs w:val="20"/>
          <w:highlight w:val="none"/>
          <w:lang w:val="en-US" w:eastAsia="zh-CN"/>
          <w14:textFill>
            <w14:solidFill>
              <w14:schemeClr w14:val="tx1"/>
            </w14:solidFill>
          </w14:textFill>
        </w:rPr>
        <w:t>作为</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候选因子核算，计算出其最大地面浓度占标率Pi（第i个污染物，简称</w:t>
      </w:r>
      <w:r>
        <w:rPr>
          <w:rFonts w:hint="eastAsia"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最大浓度占标率</w:t>
      </w:r>
      <w:r>
        <w:rPr>
          <w:rFonts w:hint="eastAsia"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）及其地面浓度达标准值10%时所对应的最远距离D10%。其中Pi定义为：</w:t>
      </w:r>
    </w:p>
    <w:p w14:paraId="6C8598EE">
      <w:pPr>
        <w:pageBreakBefore w:val="0"/>
        <w:widowControl w:val="0"/>
        <w:kinsoku/>
        <w:wordWrap/>
        <w:overflowPunct/>
        <w:topLinePunct w:val="0"/>
        <w:autoSpaceDE/>
        <w:autoSpaceDN/>
        <w:bidi w:val="0"/>
        <w:adjustRightInd w:val="0"/>
        <w:snapToGrid w:val="0"/>
        <w:ind w:firstLine="200"/>
        <w:jc w:val="center"/>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INCLUDEPICTURE  "D:\\ADMINI~1.DES\\AppData\\Local\\Temp\\ksohtml\\wps226.tmp.jpg" \* MERGEFORMATINET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1095375" cy="361315"/>
            <wp:effectExtent l="0" t="0" r="9525" b="635"/>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pic:cNvPicPr>
                  </pic:nvPicPr>
                  <pic:blipFill>
                    <a:blip r:embed="rId12" r:link="rId13"/>
                    <a:stretch>
                      <a:fillRect/>
                    </a:stretch>
                  </pic:blipFill>
                  <pic:spPr>
                    <a:xfrm>
                      <a:off x="0" y="0"/>
                      <a:ext cx="1095375" cy="36131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fldChar w:fldCharType="end"/>
      </w:r>
    </w:p>
    <w:p w14:paraId="3F97A19F">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式中：</w:t>
      </w:r>
      <w:r>
        <w:rPr>
          <w:i/>
          <w:color w:val="000000" w:themeColor="text1"/>
          <w:highlight w:val="none"/>
          <w14:textFill>
            <w14:solidFill>
              <w14:schemeClr w14:val="tx1"/>
            </w14:solidFill>
          </w14:textFill>
        </w:rPr>
        <w:t>P</w:t>
      </w:r>
      <w:r>
        <w:rPr>
          <w:color w:val="000000" w:themeColor="text1"/>
          <w:highlight w:val="none"/>
          <w:vertAlign w:val="subscript"/>
          <w14:textFill>
            <w14:solidFill>
              <w14:schemeClr w14:val="tx1"/>
            </w14:solidFill>
          </w14:textFill>
        </w:rPr>
        <w:t>i</w:t>
      </w:r>
      <w:bookmarkStart w:id="285" w:name="OLE_LINK116"/>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bookmarkEnd w:id="285"/>
      <w:r>
        <w:rPr>
          <w:color w:val="000000" w:themeColor="text1"/>
          <w:highlight w:val="none"/>
          <w14:textFill>
            <w14:solidFill>
              <w14:schemeClr w14:val="tx1"/>
            </w14:solidFill>
          </w14:textFill>
        </w:rPr>
        <w:t>第</w:t>
      </w:r>
      <w:r>
        <w:rPr>
          <w:i/>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t>个污染物的最大地面空气质量浓度占标率</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p>
    <w:p w14:paraId="16234F4F">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i/>
          <w:iCs/>
          <w:color w:val="000000" w:themeColor="text1"/>
          <w:highlight w:val="none"/>
          <w14:textFill>
            <w14:solidFill>
              <w14:schemeClr w14:val="tx1"/>
            </w14:solidFill>
          </w14:textFill>
        </w:rPr>
        <w:t>ρ</w:t>
      </w:r>
      <w:r>
        <w:rPr>
          <w:i/>
          <w:iCs/>
          <w:color w:val="000000" w:themeColor="text1"/>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color w:val="000000" w:themeColor="text1"/>
          <w:highlight w:val="none"/>
          <w14:textFill>
            <w14:solidFill>
              <w14:schemeClr w14:val="tx1"/>
            </w14:solidFill>
          </w14:textFill>
        </w:rPr>
        <w:t>采用估算模式计算出的第</w:t>
      </w:r>
      <w:r>
        <w:rPr>
          <w:i/>
          <w:iCs/>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t>个污染物的最大1h地面空气质量浓度</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，µg/m</w:t>
      </w:r>
      <w:r>
        <w:rPr>
          <w:rFonts w:hint="default" w:ascii="Times New Roman" w:hAnsi="Times New Roman" w:eastAsia="宋体" w:cs="Times New Roman"/>
          <w:color w:val="000000" w:themeColor="text1"/>
          <w:kern w:val="0"/>
          <w:sz w:val="24"/>
          <w:szCs w:val="20"/>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p>
    <w:p w14:paraId="0C44ECDE">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pPr>
      <w:r>
        <w:rPr>
          <w:i/>
          <w:iCs/>
          <w:color w:val="000000" w:themeColor="text1"/>
          <w:highlight w:val="none"/>
          <w14:textFill>
            <w14:solidFill>
              <w14:schemeClr w14:val="tx1"/>
            </w14:solidFill>
          </w14:textFill>
        </w:rPr>
        <w:t>ρ</w:t>
      </w:r>
      <w:r>
        <w:rPr>
          <w:i/>
          <w:iCs/>
          <w:color w:val="000000" w:themeColor="text1"/>
          <w:highlight w:val="none"/>
          <w:vertAlign w:val="subscript"/>
          <w14:textFill>
            <w14:solidFill>
              <w14:schemeClr w14:val="tx1"/>
            </w14:solidFill>
          </w14:textFill>
        </w:rPr>
        <w:t>0i</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color w:val="000000" w:themeColor="text1"/>
          <w:highlight w:val="none"/>
          <w14:textFill>
            <w14:solidFill>
              <w14:schemeClr w14:val="tx1"/>
            </w14:solidFill>
          </w14:textFill>
        </w:rPr>
        <w:t>第</w:t>
      </w:r>
      <w:r>
        <w:rPr>
          <w:i/>
          <w:iCs/>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t>个污染物的环境空气质量标准</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，µg/m</w:t>
      </w:r>
      <w:r>
        <w:rPr>
          <w:rFonts w:hint="default" w:ascii="Times New Roman" w:hAnsi="Times New Roman" w:eastAsia="宋体" w:cs="Times New Roman"/>
          <w:color w:val="000000" w:themeColor="text1"/>
          <w:kern w:val="0"/>
          <w:sz w:val="24"/>
          <w:szCs w:val="20"/>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color w:val="000000" w:themeColor="text1"/>
          <w:highlight w:val="none"/>
          <w14:textFill>
            <w14:solidFill>
              <w14:schemeClr w14:val="tx1"/>
            </w14:solidFill>
          </w14:textFill>
        </w:rPr>
        <w:t>一般选用GB3095中1h平均质量浓度的二级浓度限值，如项目位于一类环境空气功能区，应选择相应的一级浓度限值</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color w:val="000000" w:themeColor="text1"/>
          <w:highlight w:val="none"/>
          <w14:textFill>
            <w14:solidFill>
              <w14:schemeClr w14:val="tx1"/>
            </w14:solidFill>
          </w14:textFill>
        </w:rPr>
        <w:t>对该标准中未包含的污染物</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，使用</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2.5.1章节</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确定的各评价因子1h平均质量浓度限值。</w:t>
      </w:r>
      <w:r>
        <w:rPr>
          <w:color w:val="000000" w:themeColor="text1"/>
          <w:highlight w:val="none"/>
          <w14:textFill>
            <w14:solidFill>
              <w14:schemeClr w14:val="tx1"/>
            </w14:solidFill>
          </w14:textFill>
        </w:rPr>
        <w:t>对仅有8h平均质量浓度限值、日平均质量浓度限值或年平均质量浓度限值的，可分别按2倍、3倍、6倍折算为1h平均质量浓度限值</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p>
    <w:p w14:paraId="4CF4A62B">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大气评价工作级别详见表2.</w:t>
      </w:r>
      <w:r>
        <w:rPr>
          <w:rFonts w:hint="eastAsia" w:cs="Times New Roman"/>
          <w:color w:val="000000" w:themeColor="text1"/>
          <w:kern w:val="0"/>
          <w:sz w:val="24"/>
          <w:szCs w:val="20"/>
          <w:highlight w:val="none"/>
          <w:lang w:val="en-US" w:eastAsia="zh-CN"/>
          <w14:textFill>
            <w14:solidFill>
              <w14:schemeClr w14:val="tx1"/>
            </w14:solidFill>
          </w14:textFill>
        </w:rPr>
        <w:t>5-11</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p>
    <w:p w14:paraId="6F1DD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表2.</w:t>
      </w:r>
      <w:r>
        <w:rPr>
          <w:rFonts w:hint="eastAsia" w:eastAsia="黑体" w:cs="Times New Roman"/>
          <w:b/>
          <w:bCs w:val="0"/>
          <w:color w:val="000000" w:themeColor="text1"/>
          <w:kern w:val="0"/>
          <w:sz w:val="21"/>
          <w:szCs w:val="21"/>
          <w:highlight w:val="none"/>
          <w:lang w:val="en-US" w:eastAsia="zh-CN"/>
          <w14:textFill>
            <w14:solidFill>
              <w14:schemeClr w14:val="tx1"/>
            </w14:solidFill>
          </w14:textFill>
        </w:rPr>
        <w:t>5-11</w:t>
      </w: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 xml:space="preserve">   评价工作等级</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393"/>
      </w:tblGrid>
      <w:tr w14:paraId="1AA3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noWrap w:val="0"/>
            <w:vAlign w:val="center"/>
          </w:tcPr>
          <w:p w14:paraId="77044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评价工作等级</w:t>
            </w:r>
          </w:p>
        </w:tc>
        <w:tc>
          <w:tcPr>
            <w:tcW w:w="3707" w:type="pct"/>
            <w:noWrap w:val="0"/>
            <w:vAlign w:val="center"/>
          </w:tcPr>
          <w:p w14:paraId="2FD8D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评价工作分级判据</w:t>
            </w:r>
          </w:p>
        </w:tc>
      </w:tr>
      <w:tr w14:paraId="3719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noWrap w:val="0"/>
            <w:vAlign w:val="center"/>
          </w:tcPr>
          <w:p w14:paraId="26782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一级评价</w:t>
            </w:r>
          </w:p>
        </w:tc>
        <w:tc>
          <w:tcPr>
            <w:tcW w:w="3707" w:type="pct"/>
            <w:noWrap w:val="0"/>
            <w:vAlign w:val="center"/>
          </w:tcPr>
          <w:p w14:paraId="510CC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iCs/>
                <w:color w:val="000000" w:themeColor="text1"/>
                <w:sz w:val="21"/>
                <w:szCs w:val="21"/>
                <w:highlight w:val="none"/>
                <w:u w:val="none"/>
                <w14:textFill>
                  <w14:solidFill>
                    <w14:schemeClr w14:val="tx1"/>
                  </w14:solidFill>
                </w14:textFill>
              </w:rPr>
              <w:t>P</w:t>
            </w:r>
            <w:r>
              <w:rPr>
                <w:rFonts w:hint="default" w:ascii="Times New Roman" w:hAnsi="Times New Roman" w:eastAsia="宋体" w:cs="Times New Roman"/>
                <w:color w:val="000000" w:themeColor="text1"/>
                <w:sz w:val="21"/>
                <w:szCs w:val="21"/>
                <w:highlight w:val="none"/>
                <w:u w:val="none"/>
                <w:vertAlign w:val="subscript"/>
                <w14:textFill>
                  <w14:solidFill>
                    <w14:schemeClr w14:val="tx1"/>
                  </w14:solidFill>
                </w14:textFill>
              </w:rPr>
              <w:t>max</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10%</w:t>
            </w:r>
          </w:p>
        </w:tc>
      </w:tr>
      <w:tr w14:paraId="0A6A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noWrap w:val="0"/>
            <w:vAlign w:val="center"/>
          </w:tcPr>
          <w:p w14:paraId="02445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二级评价</w:t>
            </w:r>
          </w:p>
        </w:tc>
        <w:tc>
          <w:tcPr>
            <w:tcW w:w="3707" w:type="pct"/>
            <w:noWrap w:val="0"/>
            <w:vAlign w:val="center"/>
          </w:tcPr>
          <w:p w14:paraId="04092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286" w:name="OLE_LINK1207"/>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宋体" w:hAnsi="宋体"/>
                <w:color w:val="000000" w:themeColor="text1"/>
                <w:sz w:val="21"/>
                <w:szCs w:val="21"/>
                <w:highlight w:val="none"/>
                <w14:textFill>
                  <w14:solidFill>
                    <w14:schemeClr w14:val="tx1"/>
                  </w14:solidFill>
                </w14:textFill>
              </w:rPr>
              <w:t>≤</w:t>
            </w:r>
            <w:r>
              <w:rPr>
                <w:rFonts w:hint="default" w:ascii="Times New Roman" w:hAnsi="Times New Roman" w:cs="Times New Roman"/>
                <w:i/>
                <w:iCs/>
                <w:color w:val="000000" w:themeColor="text1"/>
                <w:sz w:val="21"/>
                <w:szCs w:val="21"/>
                <w:highlight w:val="none"/>
                <w14:textFill>
                  <w14:solidFill>
                    <w14:schemeClr w14:val="tx1"/>
                  </w14:solidFill>
                </w14:textFill>
              </w:rPr>
              <w:t>P</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max</w:t>
            </w:r>
            <w:r>
              <w:rPr>
                <w:rFonts w:hint="eastAsia" w:cs="Times New Roman"/>
                <w:color w:val="000000" w:themeColor="text1"/>
                <w:sz w:val="21"/>
                <w:szCs w:val="21"/>
                <w:highlight w:val="none"/>
                <w:vertAlign w:val="baseline"/>
                <w:lang w:eastAsia="zh-CN"/>
                <w14:textFill>
                  <w14:solidFill>
                    <w14:schemeClr w14:val="tx1"/>
                  </w14:solidFill>
                </w14:textFill>
              </w:rPr>
              <w:t>&lt;</w:t>
            </w:r>
            <w:r>
              <w:rPr>
                <w:rFonts w:hint="default" w:ascii="Times New Roman" w:hAnsi="Times New Roman" w:cs="Times New Roman"/>
                <w:color w:val="000000" w:themeColor="text1"/>
                <w:sz w:val="21"/>
                <w:szCs w:val="21"/>
                <w:highlight w:val="none"/>
                <w14:textFill>
                  <w14:solidFill>
                    <w14:schemeClr w14:val="tx1"/>
                  </w14:solidFill>
                </w14:textFill>
              </w:rPr>
              <w:t>10%</w:t>
            </w:r>
            <w:bookmarkEnd w:id="286"/>
          </w:p>
        </w:tc>
      </w:tr>
      <w:tr w14:paraId="4D69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noWrap w:val="0"/>
            <w:vAlign w:val="center"/>
          </w:tcPr>
          <w:p w14:paraId="758A6D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三级评价</w:t>
            </w:r>
          </w:p>
        </w:tc>
        <w:tc>
          <w:tcPr>
            <w:tcW w:w="3707" w:type="pct"/>
            <w:noWrap w:val="0"/>
            <w:vAlign w:val="center"/>
          </w:tcPr>
          <w:p w14:paraId="71875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287" w:name="OLE_LINK1192"/>
            <w:r>
              <w:rPr>
                <w:rFonts w:hint="default" w:ascii="Times New Roman" w:hAnsi="Times New Roman" w:cs="Times New Roman"/>
                <w:i/>
                <w:iCs/>
                <w:color w:val="000000" w:themeColor="text1"/>
                <w:sz w:val="21"/>
                <w:szCs w:val="21"/>
                <w:highlight w:val="none"/>
                <w14:textFill>
                  <w14:solidFill>
                    <w14:schemeClr w14:val="tx1"/>
                  </w14:solidFill>
                </w14:textFill>
              </w:rPr>
              <w:t>P</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max</w:t>
            </w:r>
            <w:r>
              <w:rPr>
                <w:rFonts w:hint="eastAsia" w:cs="Times New Roman"/>
                <w:color w:val="000000" w:themeColor="text1"/>
                <w:sz w:val="21"/>
                <w:szCs w:val="21"/>
                <w:highlight w:val="none"/>
                <w:vertAlign w:val="baseline"/>
                <w:lang w:eastAsia="zh-CN"/>
                <w14:textFill>
                  <w14:solidFill>
                    <w14:schemeClr w14:val="tx1"/>
                  </w14:solidFill>
                </w14:textFill>
              </w:rPr>
              <w:t>&lt;</w:t>
            </w:r>
            <w:r>
              <w:rPr>
                <w:rFonts w:hint="default" w:ascii="Times New Roman" w:hAnsi="Times New Roman" w:cs="Times New Roman"/>
                <w:color w:val="000000" w:themeColor="text1"/>
                <w:sz w:val="21"/>
                <w:szCs w:val="21"/>
                <w:highlight w:val="none"/>
                <w14:textFill>
                  <w14:solidFill>
                    <w14:schemeClr w14:val="tx1"/>
                  </w14:solidFill>
                </w14:textFill>
              </w:rPr>
              <w:t>1%</w:t>
            </w:r>
            <w:bookmarkEnd w:id="287"/>
          </w:p>
        </w:tc>
      </w:tr>
    </w:tbl>
    <w:p w14:paraId="1DB2D4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4"/>
          <w:highlight w:val="none"/>
          <w:lang w:eastAsia="zh-CN"/>
          <w14:textFill>
            <w14:solidFill>
              <w14:schemeClr w14:val="tx1"/>
            </w14:solidFill>
          </w14:textFill>
        </w:rPr>
        <w:t>估算模式所用参数见表2.</w:t>
      </w:r>
      <w:r>
        <w:rPr>
          <w:rFonts w:hint="eastAsia" w:cs="Times New Roman"/>
          <w:color w:val="000000" w:themeColor="text1"/>
          <w:kern w:val="0"/>
          <w:szCs w:val="24"/>
          <w:highlight w:val="none"/>
          <w:lang w:val="en-US" w:eastAsia="zh-CN"/>
          <w14:textFill>
            <w14:solidFill>
              <w14:schemeClr w14:val="tx1"/>
            </w14:solidFill>
          </w14:textFill>
        </w:rPr>
        <w:t>5-12</w:t>
      </w:r>
      <w:r>
        <w:rPr>
          <w:rFonts w:hint="default" w:ascii="Times New Roman" w:hAnsi="Times New Roman" w:eastAsia="宋体" w:cs="Times New Roman"/>
          <w:color w:val="000000" w:themeColor="text1"/>
          <w:kern w:val="0"/>
          <w:szCs w:val="24"/>
          <w:highlight w:val="none"/>
          <w:lang w:eastAsia="zh-CN"/>
          <w14:textFill>
            <w14:solidFill>
              <w14:schemeClr w14:val="tx1"/>
            </w14:solidFill>
          </w14:textFill>
        </w:rPr>
        <w:t>。</w:t>
      </w:r>
    </w:p>
    <w:p w14:paraId="6EF57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表2.</w:t>
      </w:r>
      <w:r>
        <w:rPr>
          <w:rFonts w:hint="eastAsia" w:eastAsia="黑体" w:cs="Times New Roman"/>
          <w:b/>
          <w:bCs w:val="0"/>
          <w:color w:val="000000" w:themeColor="text1"/>
          <w:kern w:val="0"/>
          <w:sz w:val="21"/>
          <w:szCs w:val="21"/>
          <w:highlight w:val="none"/>
          <w:lang w:val="en-US" w:eastAsia="zh-CN"/>
          <w14:textFill>
            <w14:solidFill>
              <w14:schemeClr w14:val="tx1"/>
            </w14:solidFill>
          </w14:textFill>
        </w:rPr>
        <w:t>5-12</w:t>
      </w: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 xml:space="preserve">   估算模型参数表</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2847"/>
        <w:gridCol w:w="3549"/>
      </w:tblGrid>
      <w:tr w14:paraId="5208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41" w:type="pct"/>
            <w:gridSpan w:val="2"/>
            <w:noWrap w:val="0"/>
            <w:vAlign w:val="center"/>
          </w:tcPr>
          <w:p w14:paraId="18FC8984">
            <w:pPr>
              <w:pStyle w:val="64"/>
              <w:keepNext w:val="0"/>
              <w:keepLines w:val="0"/>
              <w:pageBreakBefore w:val="0"/>
              <w:widowControl w:val="0"/>
              <w:kinsoku/>
              <w:wordWrap/>
              <w:overflowPunct/>
              <w:topLinePunct w:val="0"/>
              <w:autoSpaceDE/>
              <w:autoSpaceDN/>
              <w:bidi w:val="0"/>
              <w:snapToGrid/>
              <w:spacing w:line="240" w:lineRule="auto"/>
              <w:ind w:firstLine="420"/>
              <w:jc w:val="center"/>
              <w:rPr>
                <w:rFonts w:hint="default" w:ascii="Times New Roman" w:hAnsi="Times New Roman" w:eastAsia="宋体" w:cs="Times New Roman"/>
                <w:b/>
                <w:bCs w:val="0"/>
                <w:snapToGrid w:val="0"/>
                <w:color w:val="000000" w:themeColor="text1"/>
                <w:kern w:val="0"/>
                <w:sz w:val="21"/>
                <w:szCs w:val="21"/>
                <w:highlight w:val="none"/>
                <w14:textFill>
                  <w14:solidFill>
                    <w14:schemeClr w14:val="tx1"/>
                  </w14:solidFill>
                </w14:textFill>
              </w:rPr>
            </w:pPr>
            <w:bookmarkStart w:id="288" w:name="OLE_LINK1"/>
            <w:r>
              <w:rPr>
                <w:rFonts w:hint="default" w:ascii="Times New Roman" w:hAnsi="Times New Roman" w:eastAsia="宋体" w:cs="Times New Roman"/>
                <w:b/>
                <w:bCs w:val="0"/>
                <w:snapToGrid w:val="0"/>
                <w:color w:val="000000" w:themeColor="text1"/>
                <w:kern w:val="0"/>
                <w:sz w:val="21"/>
                <w:szCs w:val="21"/>
                <w:highlight w:val="none"/>
                <w14:textFill>
                  <w14:solidFill>
                    <w14:schemeClr w14:val="tx1"/>
                  </w14:solidFill>
                </w14:textFill>
              </w:rPr>
              <w:t>参数</w:t>
            </w:r>
          </w:p>
        </w:tc>
        <w:tc>
          <w:tcPr>
            <w:tcW w:w="2058" w:type="pct"/>
            <w:noWrap w:val="0"/>
            <w:vAlign w:val="center"/>
          </w:tcPr>
          <w:p w14:paraId="37ED6F0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b/>
                <w:bC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14:textFill>
                  <w14:solidFill>
                    <w14:schemeClr w14:val="tx1"/>
                  </w14:solidFill>
                </w14:textFill>
              </w:rPr>
              <w:t>取值</w:t>
            </w:r>
          </w:p>
        </w:tc>
      </w:tr>
      <w:tr w14:paraId="5576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restart"/>
            <w:noWrap w:val="0"/>
            <w:vAlign w:val="center"/>
          </w:tcPr>
          <w:p w14:paraId="46E02F02">
            <w:pPr>
              <w:pStyle w:val="64"/>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城市/农村选项</w:t>
            </w:r>
          </w:p>
        </w:tc>
        <w:tc>
          <w:tcPr>
            <w:tcW w:w="1651" w:type="pct"/>
            <w:noWrap w:val="0"/>
            <w:vAlign w:val="center"/>
          </w:tcPr>
          <w:p w14:paraId="16AB11A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城市/农村</w:t>
            </w:r>
          </w:p>
        </w:tc>
        <w:tc>
          <w:tcPr>
            <w:tcW w:w="2058" w:type="pct"/>
            <w:noWrap w:val="0"/>
            <w:vAlign w:val="center"/>
          </w:tcPr>
          <w:p w14:paraId="54DD58FD">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农村</w:t>
            </w:r>
          </w:p>
        </w:tc>
      </w:tr>
      <w:tr w14:paraId="2F46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continue"/>
            <w:noWrap w:val="0"/>
            <w:vAlign w:val="center"/>
          </w:tcPr>
          <w:p w14:paraId="209FAF17">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51" w:type="pct"/>
            <w:noWrap w:val="0"/>
            <w:vAlign w:val="center"/>
          </w:tcPr>
          <w:p w14:paraId="08A54C49">
            <w:pPr>
              <w:pStyle w:val="64"/>
              <w:keepNext w:val="0"/>
              <w:keepLines w:val="0"/>
              <w:pageBreakBefore w:val="0"/>
              <w:widowControl w:val="0"/>
              <w:kinsoku/>
              <w:wordWrap/>
              <w:overflowPunct/>
              <w:topLinePunct w:val="0"/>
              <w:autoSpaceDE/>
              <w:autoSpaceDN/>
              <w:bidi w:val="0"/>
              <w:snapToGrid/>
              <w:spacing w:line="240" w:lineRule="auto"/>
              <w:ind w:firstLine="420"/>
              <w:jc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人口数</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城市选项时</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w:t>
            </w:r>
          </w:p>
        </w:tc>
        <w:tc>
          <w:tcPr>
            <w:tcW w:w="2058" w:type="pct"/>
            <w:noWrap w:val="0"/>
            <w:vAlign w:val="center"/>
          </w:tcPr>
          <w:p w14:paraId="76B78CE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025E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pct"/>
            <w:gridSpan w:val="2"/>
            <w:noWrap w:val="0"/>
            <w:vAlign w:val="center"/>
          </w:tcPr>
          <w:p w14:paraId="4908C981">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最高环境温度/℃</w:t>
            </w:r>
          </w:p>
        </w:tc>
        <w:tc>
          <w:tcPr>
            <w:tcW w:w="2058" w:type="pct"/>
            <w:noWrap w:val="0"/>
            <w:vAlign w:val="center"/>
          </w:tcPr>
          <w:p w14:paraId="7667ABF1">
            <w:pPr>
              <w:pStyle w:val="140"/>
              <w:keepNext w:val="0"/>
              <w:keepLines w:val="0"/>
              <w:pageBreakBefore w:val="0"/>
              <w:widowControl w:val="0"/>
              <w:kinsoku/>
              <w:wordWrap/>
              <w:overflowPunct/>
              <w:topLinePunct w:val="0"/>
              <w:autoSpaceDE/>
              <w:autoSpaceDN/>
              <w:bidi w:val="0"/>
              <w:adjustRightInd/>
              <w:snapToGrid w:val="0"/>
              <w:spacing w:after="0"/>
              <w:ind w:left="0" w:leftChars="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41.5</w:t>
            </w:r>
          </w:p>
        </w:tc>
      </w:tr>
      <w:tr w14:paraId="53A5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941" w:type="pct"/>
            <w:gridSpan w:val="2"/>
            <w:noWrap w:val="0"/>
            <w:vAlign w:val="center"/>
          </w:tcPr>
          <w:p w14:paraId="648D90B4">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最低环境温度/℃</w:t>
            </w:r>
          </w:p>
        </w:tc>
        <w:tc>
          <w:tcPr>
            <w:tcW w:w="2058" w:type="pct"/>
            <w:noWrap w:val="0"/>
            <w:vAlign w:val="center"/>
          </w:tcPr>
          <w:p w14:paraId="61F355EC">
            <w:pPr>
              <w:pStyle w:val="140"/>
              <w:keepNext w:val="0"/>
              <w:keepLines w:val="0"/>
              <w:pageBreakBefore w:val="0"/>
              <w:widowControl w:val="0"/>
              <w:kinsoku/>
              <w:wordWrap/>
              <w:overflowPunct/>
              <w:topLinePunct w:val="0"/>
              <w:autoSpaceDE/>
              <w:autoSpaceDN/>
              <w:bidi w:val="0"/>
              <w:adjustRightInd/>
              <w:snapToGrid w:val="0"/>
              <w:spacing w:after="0"/>
              <w:ind w:left="0" w:leftChars="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7.4</w:t>
            </w:r>
          </w:p>
        </w:tc>
      </w:tr>
      <w:tr w14:paraId="54D9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pct"/>
            <w:gridSpan w:val="2"/>
            <w:noWrap w:val="0"/>
            <w:vAlign w:val="center"/>
          </w:tcPr>
          <w:p w14:paraId="5A2599D9">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土地</w:t>
            </w:r>
            <w:bookmarkStart w:id="289" w:name="OLE_LINK1107"/>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利用类型</w:t>
            </w:r>
            <w:bookmarkEnd w:id="289"/>
          </w:p>
        </w:tc>
        <w:tc>
          <w:tcPr>
            <w:tcW w:w="2058" w:type="pct"/>
            <w:noWrap w:val="0"/>
            <w:vAlign w:val="center"/>
          </w:tcPr>
          <w:p w14:paraId="45DC293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果园</w:t>
            </w:r>
          </w:p>
        </w:tc>
      </w:tr>
      <w:tr w14:paraId="1252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pct"/>
            <w:gridSpan w:val="2"/>
            <w:noWrap w:val="0"/>
            <w:vAlign w:val="center"/>
          </w:tcPr>
          <w:p w14:paraId="3DACA8AA">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区域湿度条件</w:t>
            </w:r>
          </w:p>
        </w:tc>
        <w:tc>
          <w:tcPr>
            <w:tcW w:w="2058" w:type="pct"/>
            <w:noWrap w:val="0"/>
            <w:vAlign w:val="center"/>
          </w:tcPr>
          <w:p w14:paraId="1CB430F7">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干燥</w:t>
            </w:r>
          </w:p>
        </w:tc>
      </w:tr>
      <w:tr w14:paraId="72D6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restart"/>
            <w:noWrap w:val="0"/>
            <w:vAlign w:val="center"/>
          </w:tcPr>
          <w:p w14:paraId="318A513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是否考虑地形</w:t>
            </w:r>
          </w:p>
        </w:tc>
        <w:tc>
          <w:tcPr>
            <w:tcW w:w="1651" w:type="pct"/>
            <w:noWrap w:val="0"/>
            <w:vAlign w:val="center"/>
          </w:tcPr>
          <w:p w14:paraId="47E4912A">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考虑地形</w:t>
            </w:r>
          </w:p>
        </w:tc>
        <w:tc>
          <w:tcPr>
            <w:tcW w:w="2058" w:type="pct"/>
            <w:noWrap w:val="0"/>
            <w:vAlign w:val="center"/>
          </w:tcPr>
          <w:p w14:paraId="33F7DB3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cs="Times New Roman"/>
                <w:snapToGrid w:val="0"/>
                <w:color w:val="000000" w:themeColor="text1"/>
                <w:spacing w:val="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是</w:t>
            </w:r>
            <w:bookmarkStart w:id="290" w:name="OLE_LINK97"/>
            <w:r>
              <w:rPr>
                <w:rFonts w:hint="eastAsia" w:ascii="Times New Roman" w:hAnsi="Times New Roman" w:cs="Times New Roman"/>
                <w:snapToGrid w:val="0"/>
                <w:color w:val="000000" w:themeColor="text1"/>
                <w:spacing w:val="1"/>
                <w:kern w:val="0"/>
                <w:sz w:val="21"/>
                <w:szCs w:val="21"/>
                <w:highlight w:val="none"/>
                <w:lang w:eastAsia="zh-CN"/>
                <w14:textFill>
                  <w14:solidFill>
                    <w14:schemeClr w14:val="tx1"/>
                  </w14:solidFill>
                </w14:textFill>
              </w:rPr>
              <w:t>□</w:t>
            </w:r>
            <w:bookmarkEnd w:id="290"/>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否</w:t>
            </w:r>
          </w:p>
        </w:tc>
      </w:tr>
      <w:tr w14:paraId="0F81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continue"/>
            <w:noWrap w:val="0"/>
            <w:vAlign w:val="center"/>
          </w:tcPr>
          <w:p w14:paraId="680FD02A">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51" w:type="pct"/>
            <w:noWrap w:val="0"/>
            <w:vAlign w:val="center"/>
          </w:tcPr>
          <w:p w14:paraId="6F44E038">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地形数据分辨率/m</w:t>
            </w:r>
          </w:p>
        </w:tc>
        <w:tc>
          <w:tcPr>
            <w:tcW w:w="2058" w:type="pct"/>
            <w:noWrap w:val="0"/>
            <w:vAlign w:val="center"/>
          </w:tcPr>
          <w:p w14:paraId="5566EFB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90</w:t>
            </w:r>
          </w:p>
        </w:tc>
      </w:tr>
      <w:tr w14:paraId="57C1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restart"/>
            <w:noWrap w:val="0"/>
            <w:vAlign w:val="center"/>
          </w:tcPr>
          <w:p w14:paraId="5737DE4D">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是否考虑岸线熏烟</w:t>
            </w:r>
          </w:p>
        </w:tc>
        <w:tc>
          <w:tcPr>
            <w:tcW w:w="1651" w:type="pct"/>
            <w:noWrap w:val="0"/>
            <w:vAlign w:val="center"/>
          </w:tcPr>
          <w:p w14:paraId="3B883B2F">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考虑岸线熏烟</w:t>
            </w:r>
          </w:p>
        </w:tc>
        <w:tc>
          <w:tcPr>
            <w:tcW w:w="2058" w:type="pct"/>
            <w:noWrap w:val="0"/>
            <w:vAlign w:val="center"/>
          </w:tcPr>
          <w:p w14:paraId="33D77065">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bookmarkStart w:id="291" w:name="OLE_LINK98"/>
            <w:r>
              <w:rPr>
                <w:rFonts w:hint="eastAsia" w:ascii="Times New Roman" w:hAnsi="Times New Roman" w:cs="Times New Roman"/>
                <w:snapToGrid w:val="0"/>
                <w:color w:val="000000" w:themeColor="text1"/>
                <w:spacing w:val="1"/>
                <w:kern w:val="0"/>
                <w:sz w:val="21"/>
                <w:szCs w:val="21"/>
                <w:highlight w:val="none"/>
                <w:lang w:eastAsia="zh-CN"/>
                <w14:textFill>
                  <w14:solidFill>
                    <w14:schemeClr w14:val="tx1"/>
                  </w14:solidFill>
                </w14:textFill>
              </w:rPr>
              <w:t>□</w:t>
            </w:r>
            <w:bookmarkEnd w:id="291"/>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是</w:t>
            </w:r>
            <w:r>
              <w:rPr>
                <w:rFonts w:hint="eastAsia" w:ascii="Times New Roman" w:hAnsi="Times New Roman" w:cs="Times New Roman"/>
                <w:snapToGrid w:val="0"/>
                <w:color w:val="000000" w:themeColor="text1"/>
                <w:spacing w:val="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否</w:t>
            </w:r>
          </w:p>
        </w:tc>
      </w:tr>
      <w:tr w14:paraId="0C66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continue"/>
            <w:noWrap w:val="0"/>
            <w:vAlign w:val="center"/>
          </w:tcPr>
          <w:p w14:paraId="41FEDF2F">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51" w:type="pct"/>
            <w:noWrap w:val="0"/>
            <w:vAlign w:val="center"/>
          </w:tcPr>
          <w:p w14:paraId="49392AA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岸线距离/</w:t>
            </w:r>
            <w:r>
              <w:rPr>
                <w:rFonts w:hint="default" w:ascii="Times New Roman" w:hAnsi="Times New Roman" w:eastAsia="宋体" w:cs="Times New Roman"/>
                <w:snapToGrid w:val="0"/>
                <w:color w:val="000000" w:themeColor="text1"/>
                <w:spacing w:val="-2"/>
                <w:kern w:val="0"/>
                <w:sz w:val="21"/>
                <w:szCs w:val="21"/>
                <w:highlight w:val="none"/>
                <w14:textFill>
                  <w14:solidFill>
                    <w14:schemeClr w14:val="tx1"/>
                  </w14:solidFill>
                </w14:textFill>
              </w:rPr>
              <w:t>km</w:t>
            </w:r>
          </w:p>
        </w:tc>
        <w:tc>
          <w:tcPr>
            <w:tcW w:w="2058" w:type="pct"/>
            <w:noWrap w:val="0"/>
            <w:vAlign w:val="center"/>
          </w:tcPr>
          <w:p w14:paraId="560F9AB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5A1F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vMerge w:val="continue"/>
            <w:noWrap w:val="0"/>
            <w:vAlign w:val="center"/>
          </w:tcPr>
          <w:p w14:paraId="421790E3">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51" w:type="pct"/>
            <w:noWrap w:val="0"/>
            <w:vAlign w:val="center"/>
          </w:tcPr>
          <w:p w14:paraId="44CE896E">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岸线方向/°</w:t>
            </w:r>
          </w:p>
        </w:tc>
        <w:tc>
          <w:tcPr>
            <w:tcW w:w="2058" w:type="pct"/>
            <w:noWrap w:val="0"/>
            <w:vAlign w:val="center"/>
          </w:tcPr>
          <w:p w14:paraId="6B1CAAD2">
            <w:pPr>
              <w:pStyle w:val="6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bookmarkEnd w:id="288"/>
    </w:tbl>
    <w:p w14:paraId="2CC85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表2.</w:t>
      </w:r>
      <w:r>
        <w:rPr>
          <w:rFonts w:hint="eastAsia" w:eastAsia="黑体" w:cs="Times New Roman"/>
          <w:b/>
          <w:bCs w:val="0"/>
          <w:color w:val="000000" w:themeColor="text1"/>
          <w:kern w:val="0"/>
          <w:sz w:val="21"/>
          <w:szCs w:val="21"/>
          <w:highlight w:val="none"/>
          <w:lang w:val="en-US" w:eastAsia="zh-CN"/>
          <w14:textFill>
            <w14:solidFill>
              <w14:schemeClr w14:val="tx1"/>
            </w14:solidFill>
          </w14:textFill>
        </w:rPr>
        <w:t>5-13</w:t>
      </w: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 xml:space="preserve">   无组织估算模式预测污染物扩散结果</w:t>
      </w:r>
    </w:p>
    <w:tbl>
      <w:tblPr>
        <w:tblStyle w:val="37"/>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501"/>
        <w:gridCol w:w="1294"/>
        <w:gridCol w:w="13"/>
        <w:gridCol w:w="953"/>
        <w:gridCol w:w="958"/>
        <w:gridCol w:w="867"/>
        <w:gridCol w:w="1953"/>
        <w:gridCol w:w="887"/>
      </w:tblGrid>
      <w:tr w14:paraId="4BC2B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890" w:type="pct"/>
            <w:tcBorders>
              <w:tl2br w:val="nil"/>
              <w:tr2bl w:val="nil"/>
            </w:tcBorders>
            <w:noWrap w:val="0"/>
            <w:tcMar>
              <w:top w:w="12" w:type="dxa"/>
              <w:left w:w="12" w:type="dxa"/>
              <w:bottom w:w="0" w:type="dxa"/>
              <w:right w:w="12" w:type="dxa"/>
            </w:tcMar>
            <w:vAlign w:val="center"/>
          </w:tcPr>
          <w:p w14:paraId="234616A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污染源名称</w:t>
            </w:r>
          </w:p>
        </w:tc>
        <w:tc>
          <w:tcPr>
            <w:tcW w:w="775" w:type="pct"/>
            <w:gridSpan w:val="2"/>
            <w:tcBorders>
              <w:tl2br w:val="nil"/>
              <w:tr2bl w:val="nil"/>
            </w:tcBorders>
            <w:noWrap w:val="0"/>
            <w:tcMar>
              <w:top w:w="12" w:type="dxa"/>
              <w:left w:w="12" w:type="dxa"/>
              <w:bottom w:w="0" w:type="dxa"/>
              <w:right w:w="12" w:type="dxa"/>
            </w:tcMar>
            <w:vAlign w:val="center"/>
          </w:tcPr>
          <w:p w14:paraId="4BF551C0">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评价因子</w:t>
            </w:r>
          </w:p>
        </w:tc>
        <w:tc>
          <w:tcPr>
            <w:tcW w:w="565" w:type="pct"/>
            <w:tcBorders>
              <w:tl2br w:val="nil"/>
              <w:tr2bl w:val="nil"/>
            </w:tcBorders>
            <w:noWrap w:val="0"/>
            <w:tcMar>
              <w:top w:w="12" w:type="dxa"/>
              <w:left w:w="12" w:type="dxa"/>
              <w:bottom w:w="0" w:type="dxa"/>
              <w:right w:w="12" w:type="dxa"/>
            </w:tcMar>
            <w:vAlign w:val="center"/>
          </w:tcPr>
          <w:p w14:paraId="11F1337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C</w:t>
            </w:r>
            <w:r>
              <w:rPr>
                <w:rFonts w:hint="default" w:ascii="Times New Roman" w:hAnsi="Times New Roman" w:eastAsia="宋体" w:cs="Times New Roman"/>
                <w:b/>
                <w:bCs w:val="0"/>
                <w:snapToGrid w:val="0"/>
                <w:color w:val="000000" w:themeColor="text1"/>
                <w:spacing w:val="-10"/>
                <w:sz w:val="21"/>
                <w:szCs w:val="21"/>
                <w:highlight w:val="none"/>
                <w:vertAlign w:val="subscript"/>
                <w14:textFill>
                  <w14:solidFill>
                    <w14:schemeClr w14:val="tx1"/>
                  </w14:solidFill>
                </w14:textFill>
              </w:rPr>
              <w:t>i</w:t>
            </w:r>
            <w:r>
              <w:rPr>
                <w:rFonts w:hint="eastAsia" w:cs="Times New Roman"/>
                <w:b/>
                <w:bCs w:val="0"/>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μg/m</w:t>
            </w:r>
            <w:r>
              <w:rPr>
                <w:rFonts w:hint="default" w:ascii="Times New Roman" w:hAnsi="Times New Roman" w:eastAsia="宋体" w:cs="Times New Roman"/>
                <w:b/>
                <w:bCs w:val="0"/>
                <w:snapToGrid w:val="0"/>
                <w:color w:val="000000" w:themeColor="text1"/>
                <w:spacing w:val="-10"/>
                <w:sz w:val="21"/>
                <w:szCs w:val="21"/>
                <w:highlight w:val="none"/>
                <w:vertAlign w:val="superscript"/>
                <w14:textFill>
                  <w14:solidFill>
                    <w14:schemeClr w14:val="tx1"/>
                  </w14:solidFill>
                </w14:textFill>
              </w:rPr>
              <w:t>3</w:t>
            </w:r>
            <w:r>
              <w:rPr>
                <w:rFonts w:hint="eastAsia" w:cs="Times New Roman"/>
                <w:b/>
                <w:bCs w:val="0"/>
                <w:snapToGrid w:val="0"/>
                <w:color w:val="000000" w:themeColor="text1"/>
                <w:spacing w:val="-10"/>
                <w:sz w:val="21"/>
                <w:szCs w:val="21"/>
                <w:highlight w:val="none"/>
                <w:vertAlign w:val="baseline"/>
                <w:lang w:eastAsia="zh-CN"/>
                <w14:textFill>
                  <w14:solidFill>
                    <w14:schemeClr w14:val="tx1"/>
                  </w14:solidFill>
                </w14:textFill>
              </w:rPr>
              <w:t>)</w:t>
            </w:r>
          </w:p>
        </w:tc>
        <w:tc>
          <w:tcPr>
            <w:tcW w:w="568" w:type="pct"/>
            <w:tcBorders>
              <w:tl2br w:val="nil"/>
              <w:tr2bl w:val="nil"/>
            </w:tcBorders>
            <w:noWrap w:val="0"/>
            <w:tcMar>
              <w:top w:w="12" w:type="dxa"/>
              <w:left w:w="12" w:type="dxa"/>
              <w:bottom w:w="0" w:type="dxa"/>
              <w:right w:w="12" w:type="dxa"/>
            </w:tcMar>
            <w:vAlign w:val="center"/>
          </w:tcPr>
          <w:p w14:paraId="73E3AD3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P</w:t>
            </w:r>
            <w:r>
              <w:rPr>
                <w:rFonts w:hint="default" w:ascii="Times New Roman" w:hAnsi="Times New Roman" w:eastAsia="宋体" w:cs="Times New Roman"/>
                <w:b/>
                <w:bCs w:val="0"/>
                <w:snapToGrid w:val="0"/>
                <w:color w:val="000000" w:themeColor="text1"/>
                <w:spacing w:val="-10"/>
                <w:sz w:val="21"/>
                <w:szCs w:val="21"/>
                <w:highlight w:val="none"/>
                <w:vertAlign w:val="subscript"/>
                <w14:textFill>
                  <w14:solidFill>
                    <w14:schemeClr w14:val="tx1"/>
                  </w14:solidFill>
                </w14:textFill>
              </w:rPr>
              <w:t>i</w:t>
            </w:r>
            <w:r>
              <w:rPr>
                <w:rFonts w:hint="eastAsia" w:cs="Times New Roman"/>
                <w:b/>
                <w:bCs w:val="0"/>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w:t>
            </w:r>
            <w:r>
              <w:rPr>
                <w:rFonts w:hint="eastAsia" w:cs="Times New Roman"/>
                <w:b/>
                <w:bCs w:val="0"/>
                <w:snapToGrid w:val="0"/>
                <w:color w:val="000000" w:themeColor="text1"/>
                <w:spacing w:val="-10"/>
                <w:sz w:val="21"/>
                <w:szCs w:val="21"/>
                <w:highlight w:val="none"/>
                <w:lang w:eastAsia="zh-CN"/>
                <w14:textFill>
                  <w14:solidFill>
                    <w14:schemeClr w14:val="tx1"/>
                  </w14:solidFill>
                </w14:textFill>
              </w:rPr>
              <w:t>)</w:t>
            </w:r>
          </w:p>
        </w:tc>
        <w:tc>
          <w:tcPr>
            <w:tcW w:w="514" w:type="pct"/>
            <w:tcBorders>
              <w:tl2br w:val="nil"/>
              <w:tr2bl w:val="nil"/>
            </w:tcBorders>
            <w:noWrap w:val="0"/>
            <w:tcMar>
              <w:top w:w="12" w:type="dxa"/>
              <w:left w:w="12" w:type="dxa"/>
              <w:bottom w:w="0" w:type="dxa"/>
              <w:right w:w="12" w:type="dxa"/>
            </w:tcMar>
            <w:vAlign w:val="center"/>
          </w:tcPr>
          <w:p w14:paraId="700E3C6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P</w:t>
            </w:r>
            <w:r>
              <w:rPr>
                <w:rFonts w:hint="default" w:ascii="Times New Roman" w:hAnsi="Times New Roman" w:eastAsia="宋体" w:cs="Times New Roman"/>
                <w:b/>
                <w:bCs w:val="0"/>
                <w:snapToGrid w:val="0"/>
                <w:color w:val="000000" w:themeColor="text1"/>
                <w:spacing w:val="-10"/>
                <w:sz w:val="21"/>
                <w:szCs w:val="21"/>
                <w:highlight w:val="none"/>
                <w:vertAlign w:val="subscript"/>
                <w14:textFill>
                  <w14:solidFill>
                    <w14:schemeClr w14:val="tx1"/>
                  </w14:solidFill>
                </w14:textFill>
              </w:rPr>
              <w:t>max</w:t>
            </w:r>
            <w:r>
              <w:rPr>
                <w:rFonts w:hint="eastAsia" w:cs="Times New Roman"/>
                <w:b/>
                <w:bCs w:val="0"/>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w:t>
            </w:r>
            <w:r>
              <w:rPr>
                <w:rFonts w:hint="eastAsia" w:cs="Times New Roman"/>
                <w:b/>
                <w:bCs w:val="0"/>
                <w:snapToGrid w:val="0"/>
                <w:color w:val="000000" w:themeColor="text1"/>
                <w:spacing w:val="-10"/>
                <w:sz w:val="21"/>
                <w:szCs w:val="21"/>
                <w:highlight w:val="none"/>
                <w:lang w:eastAsia="zh-CN"/>
                <w14:textFill>
                  <w14:solidFill>
                    <w14:schemeClr w14:val="tx1"/>
                  </w14:solidFill>
                </w14:textFill>
              </w:rPr>
              <w:t>)</w:t>
            </w:r>
          </w:p>
        </w:tc>
        <w:tc>
          <w:tcPr>
            <w:tcW w:w="1158" w:type="pct"/>
            <w:tcBorders>
              <w:tl2br w:val="nil"/>
              <w:tr2bl w:val="nil"/>
            </w:tcBorders>
            <w:noWrap w:val="0"/>
            <w:tcMar>
              <w:top w:w="12" w:type="dxa"/>
              <w:left w:w="12" w:type="dxa"/>
              <w:bottom w:w="0" w:type="dxa"/>
              <w:right w:w="12" w:type="dxa"/>
            </w:tcMar>
            <w:vAlign w:val="center"/>
          </w:tcPr>
          <w:p w14:paraId="7480C57D">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最大浓度出现距离</w:t>
            </w:r>
            <w:r>
              <w:rPr>
                <w:rFonts w:hint="default" w:ascii="Times New Roman" w:hAnsi="Times New Roman" w:cs="Times New Roman"/>
                <w:b/>
                <w:bCs w:val="0"/>
                <w:snapToGrid w:val="0"/>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m</w:t>
            </w:r>
            <w:r>
              <w:rPr>
                <w:rFonts w:hint="default" w:ascii="Times New Roman" w:hAnsi="Times New Roman" w:cs="Times New Roman"/>
                <w:b/>
                <w:bCs w:val="0"/>
                <w:snapToGrid w:val="0"/>
                <w:color w:val="000000" w:themeColor="text1"/>
                <w:spacing w:val="-10"/>
                <w:sz w:val="21"/>
                <w:szCs w:val="21"/>
                <w:highlight w:val="none"/>
                <w:lang w:eastAsia="zh-CN"/>
                <w14:textFill>
                  <w14:solidFill>
                    <w14:schemeClr w14:val="tx1"/>
                  </w14:solidFill>
                </w14:textFill>
              </w:rPr>
              <w:t>）</w:t>
            </w:r>
          </w:p>
        </w:tc>
        <w:tc>
          <w:tcPr>
            <w:tcW w:w="526" w:type="pct"/>
            <w:tcBorders>
              <w:tl2br w:val="nil"/>
              <w:tr2bl w:val="nil"/>
            </w:tcBorders>
            <w:noWrap w:val="0"/>
            <w:tcMar>
              <w:top w:w="12" w:type="dxa"/>
              <w:left w:w="12" w:type="dxa"/>
              <w:bottom w:w="0" w:type="dxa"/>
              <w:right w:w="12" w:type="dxa"/>
            </w:tcMar>
            <w:vAlign w:val="center"/>
          </w:tcPr>
          <w:p w14:paraId="3205A2E0">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D</w:t>
            </w:r>
            <w:r>
              <w:rPr>
                <w:rFonts w:hint="default" w:ascii="Times New Roman" w:hAnsi="Times New Roman" w:eastAsia="宋体" w:cs="Times New Roman"/>
                <w:b/>
                <w:bCs w:val="0"/>
                <w:snapToGrid w:val="0"/>
                <w:color w:val="000000" w:themeColor="text1"/>
                <w:spacing w:val="-10"/>
                <w:sz w:val="21"/>
                <w:szCs w:val="21"/>
                <w:highlight w:val="none"/>
                <w:vertAlign w:val="subscript"/>
                <w14:textFill>
                  <w14:solidFill>
                    <w14:schemeClr w14:val="tx1"/>
                  </w14:solidFill>
                </w14:textFill>
              </w:rPr>
              <w:t>10%</w:t>
            </w:r>
            <w:r>
              <w:rPr>
                <w:rFonts w:hint="eastAsia" w:cs="Times New Roman"/>
                <w:b/>
                <w:bCs w:val="0"/>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bCs w:val="0"/>
                <w:snapToGrid w:val="0"/>
                <w:color w:val="000000" w:themeColor="text1"/>
                <w:spacing w:val="-10"/>
                <w:sz w:val="21"/>
                <w:szCs w:val="21"/>
                <w:highlight w:val="none"/>
                <w14:textFill>
                  <w14:solidFill>
                    <w14:schemeClr w14:val="tx1"/>
                  </w14:solidFill>
                </w14:textFill>
              </w:rPr>
              <w:t>m</w:t>
            </w:r>
            <w:r>
              <w:rPr>
                <w:rFonts w:hint="eastAsia" w:cs="Times New Roman"/>
                <w:b/>
                <w:bCs w:val="0"/>
                <w:snapToGrid w:val="0"/>
                <w:color w:val="000000" w:themeColor="text1"/>
                <w:spacing w:val="-10"/>
                <w:sz w:val="21"/>
                <w:szCs w:val="21"/>
                <w:highlight w:val="none"/>
                <w:lang w:eastAsia="zh-CN"/>
                <w14:textFill>
                  <w14:solidFill>
                    <w14:schemeClr w14:val="tx1"/>
                  </w14:solidFill>
                </w14:textFill>
              </w:rPr>
              <w:t>)</w:t>
            </w:r>
          </w:p>
        </w:tc>
      </w:tr>
      <w:tr w14:paraId="74BF6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5" w:hRule="atLeast"/>
          <w:jc w:val="center"/>
        </w:trPr>
        <w:tc>
          <w:tcPr>
            <w:tcW w:w="890" w:type="pct"/>
            <w:vMerge w:val="restart"/>
            <w:tcBorders>
              <w:tl2br w:val="nil"/>
              <w:tr2bl w:val="nil"/>
            </w:tcBorders>
            <w:noWrap w:val="0"/>
            <w:tcMar>
              <w:top w:w="12" w:type="dxa"/>
              <w:left w:w="12" w:type="dxa"/>
              <w:bottom w:w="0" w:type="dxa"/>
              <w:right w:w="12" w:type="dxa"/>
            </w:tcMar>
            <w:vAlign w:val="center"/>
          </w:tcPr>
          <w:p w14:paraId="632DD261">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bookmarkStart w:id="292" w:name="OLE_LINK1205"/>
            <w:bookmarkStart w:id="293" w:name="OLE_LINK1206"/>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井场无组织废气</w:t>
            </w:r>
            <w:bookmarkEnd w:id="292"/>
          </w:p>
          <w:bookmarkEnd w:id="293"/>
        </w:tc>
        <w:tc>
          <w:tcPr>
            <w:tcW w:w="767" w:type="pct"/>
            <w:tcBorders>
              <w:tl2br w:val="nil"/>
              <w:tr2bl w:val="nil"/>
            </w:tcBorders>
            <w:noWrap w:val="0"/>
            <w:tcMar>
              <w:top w:w="12" w:type="dxa"/>
              <w:left w:w="12" w:type="dxa"/>
              <w:bottom w:w="0" w:type="dxa"/>
              <w:right w:w="12" w:type="dxa"/>
            </w:tcMar>
            <w:vAlign w:val="center"/>
          </w:tcPr>
          <w:p w14:paraId="3E6763C9">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硫化氢</w:t>
            </w:r>
          </w:p>
        </w:tc>
        <w:tc>
          <w:tcPr>
            <w:tcW w:w="966" w:type="dxa"/>
            <w:gridSpan w:val="2"/>
            <w:tcBorders>
              <w:tl2br w:val="nil"/>
              <w:tr2bl w:val="nil"/>
            </w:tcBorders>
            <w:noWrap w:val="0"/>
            <w:tcMar>
              <w:top w:w="12" w:type="dxa"/>
              <w:left w:w="12" w:type="dxa"/>
              <w:bottom w:w="0" w:type="dxa"/>
              <w:right w:w="12" w:type="dxa"/>
            </w:tcMar>
            <w:vAlign w:val="center"/>
          </w:tcPr>
          <w:p w14:paraId="3CEC5BD6">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0.1915</w:t>
            </w:r>
          </w:p>
        </w:tc>
        <w:tc>
          <w:tcPr>
            <w:tcW w:w="958" w:type="dxa"/>
            <w:tcBorders>
              <w:tl2br w:val="nil"/>
              <w:tr2bl w:val="nil"/>
            </w:tcBorders>
            <w:noWrap w:val="0"/>
            <w:tcMar>
              <w:top w:w="12" w:type="dxa"/>
              <w:left w:w="12" w:type="dxa"/>
              <w:bottom w:w="0" w:type="dxa"/>
              <w:right w:w="12" w:type="dxa"/>
            </w:tcMar>
            <w:vAlign w:val="center"/>
          </w:tcPr>
          <w:p w14:paraId="06E05A0F">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1.92</w:t>
            </w:r>
          </w:p>
        </w:tc>
        <w:tc>
          <w:tcPr>
            <w:tcW w:w="514" w:type="pct"/>
            <w:vMerge w:val="restart"/>
            <w:tcBorders>
              <w:tl2br w:val="nil"/>
              <w:tr2bl w:val="nil"/>
            </w:tcBorders>
            <w:noWrap w:val="0"/>
            <w:tcMar>
              <w:top w:w="12" w:type="dxa"/>
              <w:left w:w="12" w:type="dxa"/>
              <w:bottom w:w="0" w:type="dxa"/>
              <w:right w:w="12" w:type="dxa"/>
            </w:tcMar>
            <w:vAlign w:val="center"/>
          </w:tcPr>
          <w:p w14:paraId="4538BB5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r>
              <w:rPr>
                <w:rFonts w:hint="eastAsia" w:cs="Times New Roman"/>
                <w:snapToGrid w:val="0"/>
                <w:color w:val="000000" w:themeColor="text1"/>
                <w:spacing w:val="-10"/>
                <w:sz w:val="21"/>
                <w:szCs w:val="21"/>
                <w:highlight w:val="none"/>
                <w:lang w:val="en-US" w:eastAsia="zh-CN"/>
                <w14:textFill>
                  <w14:solidFill>
                    <w14:schemeClr w14:val="tx1"/>
                  </w14:solidFill>
                </w14:textFill>
              </w:rPr>
              <w:t>1.92</w:t>
            </w:r>
          </w:p>
        </w:tc>
        <w:tc>
          <w:tcPr>
            <w:tcW w:w="1158" w:type="pct"/>
            <w:vMerge w:val="restart"/>
            <w:tcBorders>
              <w:tl2br w:val="nil"/>
              <w:tr2bl w:val="nil"/>
            </w:tcBorders>
            <w:noWrap w:val="0"/>
            <w:tcMar>
              <w:top w:w="12" w:type="dxa"/>
              <w:left w:w="12" w:type="dxa"/>
              <w:bottom w:w="0" w:type="dxa"/>
              <w:right w:w="12" w:type="dxa"/>
            </w:tcMar>
            <w:vAlign w:val="center"/>
          </w:tcPr>
          <w:p w14:paraId="25F5522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201</w:t>
            </w:r>
          </w:p>
        </w:tc>
        <w:tc>
          <w:tcPr>
            <w:tcW w:w="526" w:type="pct"/>
            <w:vMerge w:val="restart"/>
            <w:tcBorders>
              <w:tl2br w:val="nil"/>
              <w:tr2bl w:val="nil"/>
            </w:tcBorders>
            <w:noWrap w:val="0"/>
            <w:tcMar>
              <w:top w:w="12" w:type="dxa"/>
              <w:left w:w="12" w:type="dxa"/>
              <w:bottom w:w="0" w:type="dxa"/>
              <w:right w:w="12" w:type="dxa"/>
            </w:tcMar>
            <w:vAlign w:val="center"/>
          </w:tcPr>
          <w:p w14:paraId="365B13D8">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t>-</w:t>
            </w:r>
          </w:p>
        </w:tc>
      </w:tr>
      <w:tr w14:paraId="5D5C3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5" w:hRule="atLeast"/>
          <w:jc w:val="center"/>
        </w:trPr>
        <w:tc>
          <w:tcPr>
            <w:tcW w:w="890" w:type="pct"/>
            <w:vMerge w:val="continue"/>
            <w:tcBorders>
              <w:tl2br w:val="nil"/>
              <w:tr2bl w:val="nil"/>
            </w:tcBorders>
            <w:noWrap w:val="0"/>
            <w:tcMar>
              <w:top w:w="12" w:type="dxa"/>
              <w:left w:w="12" w:type="dxa"/>
              <w:bottom w:w="0" w:type="dxa"/>
              <w:right w:w="12" w:type="dxa"/>
            </w:tcMar>
            <w:vAlign w:val="center"/>
          </w:tcPr>
          <w:p w14:paraId="03496435">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p>
        </w:tc>
        <w:tc>
          <w:tcPr>
            <w:tcW w:w="767" w:type="pct"/>
            <w:tcBorders>
              <w:tl2br w:val="nil"/>
              <w:tr2bl w:val="nil"/>
            </w:tcBorders>
            <w:noWrap w:val="0"/>
            <w:tcMar>
              <w:top w:w="12" w:type="dxa"/>
              <w:left w:w="12" w:type="dxa"/>
              <w:bottom w:w="0" w:type="dxa"/>
              <w:right w:w="12" w:type="dxa"/>
            </w:tcMar>
            <w:vAlign w:val="center"/>
          </w:tcPr>
          <w:p w14:paraId="2A3FC84B">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非甲烷总烃</w:t>
            </w:r>
          </w:p>
        </w:tc>
        <w:tc>
          <w:tcPr>
            <w:tcW w:w="966" w:type="dxa"/>
            <w:gridSpan w:val="2"/>
            <w:tcBorders>
              <w:tl2br w:val="nil"/>
              <w:tr2bl w:val="nil"/>
            </w:tcBorders>
            <w:noWrap w:val="0"/>
            <w:tcMar>
              <w:top w:w="12" w:type="dxa"/>
              <w:left w:w="12" w:type="dxa"/>
              <w:bottom w:w="0" w:type="dxa"/>
              <w:right w:w="12" w:type="dxa"/>
            </w:tcMar>
            <w:vAlign w:val="center"/>
          </w:tcPr>
          <w:p w14:paraId="0E6CC763">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17.23</w:t>
            </w:r>
          </w:p>
        </w:tc>
        <w:tc>
          <w:tcPr>
            <w:tcW w:w="958" w:type="dxa"/>
            <w:tcBorders>
              <w:tl2br w:val="nil"/>
              <w:tr2bl w:val="nil"/>
            </w:tcBorders>
            <w:noWrap w:val="0"/>
            <w:tcMar>
              <w:top w:w="12" w:type="dxa"/>
              <w:left w:w="12" w:type="dxa"/>
              <w:bottom w:w="0" w:type="dxa"/>
              <w:right w:w="12" w:type="dxa"/>
            </w:tcMar>
            <w:vAlign w:val="center"/>
          </w:tcPr>
          <w:p w14:paraId="4434B56F">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0.86</w:t>
            </w:r>
          </w:p>
        </w:tc>
        <w:tc>
          <w:tcPr>
            <w:tcW w:w="514" w:type="pct"/>
            <w:vMerge w:val="continue"/>
            <w:tcBorders>
              <w:tl2br w:val="nil"/>
              <w:tr2bl w:val="nil"/>
            </w:tcBorders>
            <w:noWrap w:val="0"/>
            <w:tcMar>
              <w:top w:w="12" w:type="dxa"/>
              <w:left w:w="12" w:type="dxa"/>
              <w:bottom w:w="0" w:type="dxa"/>
              <w:right w:w="12" w:type="dxa"/>
            </w:tcMar>
            <w:vAlign w:val="center"/>
          </w:tcPr>
          <w:p w14:paraId="4A92BAC7">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p>
        </w:tc>
        <w:tc>
          <w:tcPr>
            <w:tcW w:w="1158" w:type="pct"/>
            <w:vMerge w:val="continue"/>
            <w:tcBorders>
              <w:tl2br w:val="nil"/>
              <w:tr2bl w:val="nil"/>
            </w:tcBorders>
            <w:noWrap w:val="0"/>
            <w:tcMar>
              <w:top w:w="12" w:type="dxa"/>
              <w:left w:w="12" w:type="dxa"/>
              <w:bottom w:w="0" w:type="dxa"/>
              <w:right w:w="12" w:type="dxa"/>
            </w:tcMar>
            <w:vAlign w:val="center"/>
          </w:tcPr>
          <w:p w14:paraId="7A79957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526" w:type="pct"/>
            <w:vMerge w:val="continue"/>
            <w:tcBorders>
              <w:tl2br w:val="nil"/>
              <w:tr2bl w:val="nil"/>
            </w:tcBorders>
            <w:noWrap w:val="0"/>
            <w:tcMar>
              <w:top w:w="12" w:type="dxa"/>
              <w:left w:w="12" w:type="dxa"/>
              <w:bottom w:w="0" w:type="dxa"/>
              <w:right w:w="12" w:type="dxa"/>
            </w:tcMar>
            <w:vAlign w:val="center"/>
          </w:tcPr>
          <w:p w14:paraId="7F735C08">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p>
        </w:tc>
      </w:tr>
    </w:tbl>
    <w:p w14:paraId="33C0A5D0">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经</w:t>
      </w:r>
      <w:r>
        <w:rPr>
          <w:rFonts w:hint="eastAsia" w:cs="Times New Roman"/>
          <w:color w:val="000000" w:themeColor="text1"/>
          <w:kern w:val="0"/>
          <w:sz w:val="24"/>
          <w:szCs w:val="20"/>
          <w:highlight w:val="none"/>
          <w:lang w:val="en-US" w:eastAsia="zh-CN"/>
          <w14:textFill>
            <w14:solidFill>
              <w14:schemeClr w14:val="tx1"/>
            </w14:solidFill>
          </w14:textFill>
        </w:rPr>
        <w:t>估算结果</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可知，</w:t>
      </w:r>
      <w:r>
        <w:rPr>
          <w:rFonts w:hint="default" w:ascii="Times New Roman" w:hAnsi="Times New Roman" w:cs="Times New Roman"/>
          <w:color w:val="000000" w:themeColor="text1"/>
          <w:kern w:val="0"/>
          <w:sz w:val="24"/>
          <w:szCs w:val="20"/>
          <w:highlight w:val="none"/>
          <w:lang w:eastAsia="zh-CN"/>
          <w14:textFill>
            <w14:solidFill>
              <w14:schemeClr w14:val="tx1"/>
            </w14:solidFill>
          </w14:textFill>
        </w:rPr>
        <w:t>本</w:t>
      </w:r>
      <w:r>
        <w:rPr>
          <w:rFonts w:hint="eastAsia" w:cs="Times New Roman"/>
          <w:color w:val="000000" w:themeColor="text1"/>
          <w:kern w:val="0"/>
          <w:sz w:val="24"/>
          <w:szCs w:val="20"/>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最大占标率为：</w:t>
      </w:r>
      <w:r>
        <w:rPr>
          <w:rFonts w:hint="eastAsia" w:cs="Times New Roman"/>
          <w:color w:val="000000" w:themeColor="text1"/>
          <w:kern w:val="0"/>
          <w:sz w:val="24"/>
          <w:szCs w:val="20"/>
          <w:highlight w:val="none"/>
          <w:lang w:val="en-US" w:eastAsia="zh-CN"/>
          <w14:textFill>
            <w14:solidFill>
              <w14:schemeClr w14:val="tx1"/>
            </w14:solidFill>
          </w14:textFill>
        </w:rPr>
        <w:t>1.92</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%（来自</w:t>
      </w:r>
      <w:r>
        <w:rPr>
          <w:rFonts w:hint="eastAsia" w:cs="Times New Roman"/>
          <w:color w:val="000000" w:themeColor="text1"/>
          <w:kern w:val="0"/>
          <w:sz w:val="24"/>
          <w:szCs w:val="20"/>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无组织排放的</w:t>
      </w:r>
      <w:r>
        <w:rPr>
          <w:rFonts w:hint="eastAsia" w:cs="Times New Roman"/>
          <w:color w:val="000000" w:themeColor="text1"/>
          <w:spacing w:val="4"/>
          <w:kern w:val="24"/>
          <w:sz w:val="24"/>
          <w:highlight w:val="none"/>
          <w:lang w:val="en-US" w:eastAsia="zh-CN" w:bidi="ar-SA"/>
          <w14:textFill>
            <w14:solidFill>
              <w14:schemeClr w14:val="tx1"/>
            </w14:solidFill>
          </w14:textFill>
        </w:rPr>
        <w:t>硫化氢</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eastAsia"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最大占标率</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在</w:t>
      </w: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w:t>
      </w:r>
      <w:r>
        <w:rPr>
          <w:rFonts w:hint="default" w:ascii="Times New Roman" w:hAnsi="Times New Roman" w:cs="Times New Roman"/>
          <w:i/>
          <w:iCs/>
          <w:color w:val="000000" w:themeColor="text1"/>
          <w:sz w:val="24"/>
          <w:szCs w:val="24"/>
          <w:highlight w:val="none"/>
          <w14:textFill>
            <w14:solidFill>
              <w14:schemeClr w14:val="tx1"/>
            </w14:solidFill>
          </w14:textFill>
        </w:rPr>
        <w:t>P</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max</w:t>
      </w:r>
      <w:r>
        <w:rPr>
          <w:rFonts w:hint="default" w:ascii="Times New Roman" w:hAnsi="Times New Roman"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根据《</w:t>
      </w:r>
      <w:bookmarkStart w:id="294" w:name="OLE_LINK103"/>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环境影响评价技术导则</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大气环境</w:t>
      </w:r>
      <w:bookmarkEnd w:id="294"/>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》（HJ2.2-2018）中大气</w:t>
      </w:r>
      <w:bookmarkStart w:id="295" w:name="OLE_LINK104"/>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环境</w:t>
      </w:r>
      <w:bookmarkEnd w:id="295"/>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评价工作</w:t>
      </w:r>
      <w:r>
        <w:rPr>
          <w:rFonts w:hint="eastAsia" w:cs="Times New Roman"/>
          <w:color w:val="000000" w:themeColor="text1"/>
          <w:kern w:val="0"/>
          <w:sz w:val="24"/>
          <w:szCs w:val="20"/>
          <w:highlight w:val="none"/>
          <w:lang w:val="en-US" w:eastAsia="zh-CN"/>
          <w14:textFill>
            <w14:solidFill>
              <w14:schemeClr w14:val="tx1"/>
            </w14:solidFill>
          </w14:textFill>
        </w:rPr>
        <w:t>等级</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判据判别，确定本次环评大气环境影响评价的工作等级为</w:t>
      </w:r>
      <w:r>
        <w:rPr>
          <w:rFonts w:hint="eastAsia" w:cs="Times New Roman"/>
          <w:color w:val="000000" w:themeColor="text1"/>
          <w:kern w:val="0"/>
          <w:sz w:val="24"/>
          <w:szCs w:val="20"/>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级</w:t>
      </w:r>
      <w:r>
        <w:rPr>
          <w:rFonts w:hint="eastAsia" w:cs="Times New Roman"/>
          <w:color w:val="000000" w:themeColor="text1"/>
          <w:kern w:val="0"/>
          <w:sz w:val="24"/>
          <w:szCs w:val="20"/>
          <w:highlight w:val="none"/>
          <w:lang w:val="en-US" w:eastAsia="zh-CN"/>
          <w14:textFill>
            <w14:solidFill>
              <w14:schemeClr w14:val="tx1"/>
            </w14:solidFill>
          </w14:textFill>
        </w:rPr>
        <w:t>评价</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p>
    <w:p w14:paraId="73E3C7A1">
      <w:pPr>
        <w:widowControl/>
        <w:spacing w:line="360" w:lineRule="auto"/>
        <w:ind w:firstLine="480" w:firstLineChars="200"/>
        <w:jc w:val="both"/>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（2）评价范围</w:t>
      </w:r>
    </w:p>
    <w:p w14:paraId="34755A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根据《环境影响评价技术导则</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大气环境》（HJ2.2-2018）的规定，结合</w:t>
      </w:r>
      <w:r>
        <w:rPr>
          <w:rFonts w:hint="default" w:ascii="Times New Roman" w:hAnsi="Times New Roman" w:cs="Times New Roman"/>
          <w:color w:val="000000" w:themeColor="text1"/>
          <w:kern w:val="0"/>
          <w:sz w:val="24"/>
          <w:szCs w:val="20"/>
          <w:highlight w:val="none"/>
          <w:lang w:eastAsia="zh-CN"/>
          <w14:textFill>
            <w14:solidFill>
              <w14:schemeClr w14:val="tx1"/>
            </w14:solidFill>
          </w14:textFill>
        </w:rPr>
        <w:t>本</w:t>
      </w:r>
      <w:r>
        <w:rPr>
          <w:rFonts w:hint="eastAsia" w:cs="Times New Roman"/>
          <w:color w:val="000000" w:themeColor="text1"/>
          <w:kern w:val="0"/>
          <w:sz w:val="24"/>
          <w:szCs w:val="20"/>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特点，考虑油田整体开发对大气环境的区域影响，最终确定大气环境影响评价范围为以井场为中心，</w:t>
      </w:r>
      <w:r>
        <w:rPr>
          <w:rFonts w:hint="eastAsia" w:cs="Times New Roman"/>
          <w:color w:val="000000" w:themeColor="text1"/>
          <w:kern w:val="0"/>
          <w:sz w:val="24"/>
          <w:szCs w:val="20"/>
          <w:highlight w:val="none"/>
          <w:lang w:val="en-US" w:eastAsia="zh-CN"/>
          <w14:textFill>
            <w14:solidFill>
              <w14:schemeClr w14:val="tx1"/>
            </w14:solidFill>
          </w14:textFill>
        </w:rPr>
        <w:t>边长</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5km的矩形区域作为大气环境评价范围。评价范围图见</w:t>
      </w:r>
      <w:r>
        <w:rPr>
          <w:rFonts w:hint="eastAsia" w:cs="Times New Roman"/>
          <w:color w:val="000000" w:themeColor="text1"/>
          <w:kern w:val="0"/>
          <w:sz w:val="24"/>
          <w:szCs w:val="20"/>
          <w:highlight w:val="none"/>
          <w:lang w:val="en-US" w:eastAsia="zh-CN"/>
          <w14:textFill>
            <w14:solidFill>
              <w14:schemeClr w14:val="tx1"/>
            </w14:solidFill>
          </w14:textFill>
        </w:rPr>
        <w:t>附图1</w:t>
      </w:r>
      <w:r>
        <w:rPr>
          <w:rFonts w:hint="default" w:ascii="Times New Roman" w:hAnsi="Times New Roman" w:cs="Times New Roman"/>
          <w:color w:val="000000" w:themeColor="text1"/>
          <w:szCs w:val="24"/>
          <w:highlight w:val="none"/>
          <w14:textFill>
            <w14:solidFill>
              <w14:schemeClr w14:val="tx1"/>
            </w14:solidFill>
          </w14:textFill>
        </w:rPr>
        <w:t>。</w:t>
      </w:r>
    </w:p>
    <w:bookmarkEnd w:id="224"/>
    <w:p w14:paraId="7BF8A758">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296" w:name="OLE_LINK160"/>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bookmarkStart w:id="297" w:name="OLE_LINK129"/>
      <w:r>
        <w:rPr>
          <w:rFonts w:hint="eastAsia" w:cs="Times New Roman"/>
          <w:color w:val="000000" w:themeColor="text1"/>
          <w:highlight w:val="none"/>
          <w:lang w:val="en-US" w:eastAsia="zh-CN"/>
          <w14:textFill>
            <w14:solidFill>
              <w14:schemeClr w14:val="tx1"/>
            </w14:solidFill>
          </w14:textFill>
        </w:rPr>
        <w:t>6</w:t>
      </w:r>
      <w:bookmarkEnd w:id="297"/>
      <w:r>
        <w:rPr>
          <w:rFonts w:hint="default" w:ascii="Times New Roman" w:hAnsi="Times New Roman" w:cs="Times New Roman"/>
          <w:color w:val="000000" w:themeColor="text1"/>
          <w:highlight w:val="none"/>
          <w14:textFill>
            <w14:solidFill>
              <w14:schemeClr w14:val="tx1"/>
            </w14:solidFill>
          </w14:textFill>
        </w:rPr>
        <w:t>声环境影响</w:t>
      </w:r>
      <w:bookmarkStart w:id="298" w:name="OLE_LINK609"/>
      <w:r>
        <w:rPr>
          <w:rFonts w:hint="default" w:ascii="Times New Roman" w:hAnsi="Times New Roman" w:cs="Times New Roman"/>
          <w:color w:val="000000" w:themeColor="text1"/>
          <w:highlight w:val="none"/>
          <w14:textFill>
            <w14:solidFill>
              <w14:schemeClr w14:val="tx1"/>
            </w14:solidFill>
          </w14:textFill>
        </w:rPr>
        <w:t>评价等级和评价范围</w:t>
      </w:r>
      <w:bookmarkEnd w:id="298"/>
    </w:p>
    <w:p w14:paraId="0AF77A25">
      <w:pPr>
        <w:pageBreakBefore w:val="0"/>
        <w:kinsoku/>
        <w:wordWrap/>
        <w:overflowPunct/>
        <w:topLinePunct w:val="0"/>
        <w:autoSpaceDE/>
        <w:autoSpaceDN/>
        <w:bidi w:val="0"/>
        <w:adjustRightInd w:val="0"/>
        <w:snapToGrid w:val="0"/>
        <w:spacing w:after="0" w:line="360" w:lineRule="auto"/>
        <w:ind w:firstLine="480"/>
        <w:jc w:val="both"/>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bookmarkStart w:id="299" w:name="OLE_LINK332"/>
      <w:r>
        <w:rPr>
          <w:rFonts w:hint="default" w:ascii="Times New Roman" w:hAnsi="Times New Roman" w:cs="Times New Roman"/>
          <w:color w:val="000000" w:themeColor="text1"/>
          <w:highlight w:val="none"/>
          <w:lang w:eastAsia="zh-CN"/>
          <w14:textFill>
            <w14:solidFill>
              <w14:schemeClr w14:val="tx1"/>
            </w14:solidFill>
          </w14:textFill>
        </w:rPr>
        <w:t>（1）评价等级</w:t>
      </w:r>
    </w:p>
    <w:p w14:paraId="1D13AC91">
      <w:pPr>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根据《声环境质量标准》（GB3096-2008），本工程所在区域为2类声环境功能区，依据</w:t>
      </w:r>
      <w:bookmarkStart w:id="300" w:name="OLE_LINK126"/>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bookmarkStart w:id="301" w:name="OLE_LINK122"/>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环境影响评价技术导则 声环境</w:t>
      </w:r>
      <w:bookmarkEnd w:id="301"/>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》（HJ2.4-2021）</w:t>
      </w:r>
      <w:bookmarkEnd w:id="300"/>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规定，</w:t>
      </w:r>
      <w:bookmarkStart w:id="302" w:name="OLE_LINK331"/>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本工程声环境影响评价工作等级为二级</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评价</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bookmarkEnd w:id="299"/>
    <w:bookmarkEnd w:id="302"/>
    <w:p w14:paraId="703D24D4">
      <w:pPr>
        <w:pStyle w:val="67"/>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bookmarkStart w:id="303" w:name="OLE_LINK130"/>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评价范围</w:t>
      </w:r>
    </w:p>
    <w:bookmarkEnd w:id="303"/>
    <w:p w14:paraId="3E8F9DCA">
      <w:pPr>
        <w:pStyle w:val="6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304" w:name="OLE_LINK127"/>
      <w:r>
        <w:rPr>
          <w:rFonts w:hint="eastAsia"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《环境影响评价技术导则 声环境》（HJ2.4-2021）</w:t>
      </w:r>
      <w:r>
        <w:rPr>
          <w:rFonts w:hint="eastAsia" w:cs="Times New Roman"/>
          <w:color w:val="000000" w:themeColor="text1"/>
          <w:kern w:val="0"/>
          <w:sz w:val="24"/>
          <w:szCs w:val="24"/>
          <w:highlight w:val="none"/>
          <w:lang w:val="en-US" w:eastAsia="zh-CN" w:bidi="ar-SA"/>
          <w14:textFill>
            <w14:solidFill>
              <w14:schemeClr w14:val="tx1"/>
            </w14:solidFill>
          </w14:textFill>
        </w:rPr>
        <w:t>要求</w:t>
      </w:r>
      <w:r>
        <w:rPr>
          <w:rFonts w:hint="eastAsia" w:cs="Times New Roman"/>
          <w:color w:val="000000" w:themeColor="text1"/>
          <w:sz w:val="24"/>
          <w:szCs w:val="24"/>
          <w:highlight w:val="none"/>
          <w:lang w:val="en-US" w:eastAsia="zh-CN"/>
          <w14:textFill>
            <w14:solidFill>
              <w14:schemeClr w14:val="tx1"/>
            </w14:solidFill>
          </w14:textFill>
        </w:rPr>
        <w:t>，“a）满足一级评价的要求，一般以建设项目边界向外200m作为评价范围；b）二级、三级评价范围可根据建设项目所在区域和相邻区域的声环境功能区类别及声环境保护目标等实际情况适当缩小；c）如依据建设项目声源计算得到的贡献值到200m处，仍不能满足相应功能区标准值时，应将评价范围扩大到满足标准值的距离。”</w:t>
      </w:r>
      <w:bookmarkEnd w:id="304"/>
      <w:r>
        <w:rPr>
          <w:rFonts w:hint="default" w:ascii="Times New Roman" w:hAnsi="Times New Roman" w:cs="Times New Roman"/>
          <w:color w:val="000000" w:themeColor="text1"/>
          <w:highlight w:val="none"/>
          <w:lang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lang w:eastAsia="zh-CN"/>
          <w14:textFill>
            <w14:solidFill>
              <w14:schemeClr w14:val="tx1"/>
            </w14:solidFill>
          </w14:textFill>
        </w:rPr>
        <w:t>特点，本次声环境评价范围为井场边界向外200m评价范围。评价范围见</w:t>
      </w:r>
      <w:r>
        <w:rPr>
          <w:rFonts w:hint="eastAsia" w:cs="Times New Roman"/>
          <w:color w:val="000000" w:themeColor="text1"/>
          <w:szCs w:val="24"/>
          <w:highlight w:val="none"/>
          <w:lang w:val="en-US" w:eastAsia="zh-CN"/>
          <w14:textFill>
            <w14:solidFill>
              <w14:schemeClr w14:val="tx1"/>
            </w14:solidFill>
          </w14:textFill>
        </w:rPr>
        <w:t>附图1</w:t>
      </w:r>
      <w:r>
        <w:rPr>
          <w:rFonts w:hint="default" w:ascii="Times New Roman" w:hAnsi="Times New Roman" w:cs="Times New Roman"/>
          <w:color w:val="000000" w:themeColor="text1"/>
          <w:highlight w:val="none"/>
          <w14:textFill>
            <w14:solidFill>
              <w14:schemeClr w14:val="tx1"/>
            </w14:solidFill>
          </w14:textFill>
        </w:rPr>
        <w:t>。</w:t>
      </w:r>
    </w:p>
    <w:bookmarkEnd w:id="296"/>
    <w:p w14:paraId="39D2DB91">
      <w:pPr>
        <w:pStyle w:val="5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5.7</w:t>
      </w:r>
      <w:r>
        <w:rPr>
          <w:rFonts w:hint="default" w:ascii="Times New Roman" w:hAnsi="Times New Roman" w:cs="Times New Roman"/>
          <w:color w:val="000000" w:themeColor="text1"/>
          <w:highlight w:val="none"/>
          <w14:textFill>
            <w14:solidFill>
              <w14:schemeClr w14:val="tx1"/>
            </w14:solidFill>
          </w14:textFill>
        </w:rPr>
        <w:t xml:space="preserve">环境风险评价等级和评价范围    </w:t>
      </w:r>
    </w:p>
    <w:p w14:paraId="03FCB540">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bookmarkStart w:id="305" w:name="OLE_LINK163"/>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根据</w:t>
      </w:r>
      <w:bookmarkStart w:id="306" w:name="OLE_LINK161"/>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《建设项目环境风险评价技术导则》（HJ169-2018）</w:t>
      </w:r>
      <w:bookmarkEnd w:id="306"/>
      <w:r>
        <w:rPr>
          <w:rFonts w:hint="eastAsia" w:cs="Times New Roman"/>
          <w:cap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aps w:val="0"/>
          <w:color w:val="000000" w:themeColor="text1"/>
          <w:sz w:val="24"/>
          <w:szCs w:val="24"/>
          <w:highlight w:val="none"/>
          <w:lang w:val="en-US" w:eastAsia="zh-CN"/>
          <w14:textFill>
            <w14:solidFill>
              <w14:schemeClr w14:val="tx1"/>
            </w14:solidFill>
          </w14:textFill>
        </w:rPr>
        <w:t>本</w:t>
      </w:r>
      <w:r>
        <w:rPr>
          <w:rFonts w:hint="eastAsia" w:ascii="Times New Roman" w:hAnsi="Times New Roman" w:cs="Times New Roman"/>
          <w:caps w:val="0"/>
          <w:color w:val="000000" w:themeColor="text1"/>
          <w:sz w:val="24"/>
          <w:szCs w:val="24"/>
          <w:highlight w:val="none"/>
          <w:lang w:val="en-US" w:eastAsia="zh-CN"/>
          <w14:textFill>
            <w14:solidFill>
              <w14:schemeClr w14:val="tx1"/>
            </w14:solidFill>
          </w14:textFill>
        </w:rPr>
        <w:t>工程</w:t>
      </w:r>
      <w:r>
        <w:rPr>
          <w:color w:val="000000" w:themeColor="text1"/>
          <w:highlight w:val="none"/>
          <w14:textFill>
            <w14:solidFill>
              <w14:schemeClr w14:val="tx1"/>
            </w14:solidFill>
          </w14:textFill>
        </w:rPr>
        <w:t>突发环境事件风险物质主要</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为</w:t>
      </w:r>
      <w:bookmarkStart w:id="307" w:name="OLE_LINK165"/>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天然气、</w:t>
      </w:r>
      <w:bookmarkEnd w:id="307"/>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凝析油、</w:t>
      </w:r>
      <w:bookmarkStart w:id="308" w:name="OLE_LINK166"/>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硫化氢</w:t>
      </w:r>
      <w:bookmarkEnd w:id="308"/>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凝析油主要存在</w:t>
      </w:r>
      <w:r>
        <w:rPr>
          <w:color w:val="000000" w:themeColor="text1"/>
          <w:highlight w:val="none"/>
          <w14:textFill>
            <w14:solidFill>
              <w14:schemeClr w14:val="tx1"/>
            </w14:solidFill>
          </w14:textFill>
        </w:rPr>
        <w:t>于</w:t>
      </w: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井场储油罐内</w:t>
      </w:r>
      <w:r>
        <w:rPr>
          <w:rFonts w:hint="eastAsia" w:ascii="Times New Roman" w:hAnsi="Times New Roman" w:eastAsia="宋体" w:cs="Times New Roman"/>
          <w:cap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天然气和</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硫化氢</w:t>
      </w:r>
      <w:r>
        <w:rPr>
          <w:rFonts w:hint="eastAsia"/>
          <w:color w:val="000000" w:themeColor="text1"/>
          <w:highlight w:val="none"/>
          <w14:textFill>
            <w14:solidFill>
              <w14:schemeClr w14:val="tx1"/>
            </w14:solidFill>
          </w14:textFill>
        </w:rPr>
        <w:t>主要存在于天然气处理</w:t>
      </w:r>
      <w:r>
        <w:rPr>
          <w:rFonts w:hint="eastAsia"/>
          <w:color w:val="000000" w:themeColor="text1"/>
          <w:highlight w:val="none"/>
          <w:lang w:val="en-US" w:eastAsia="zh-CN"/>
          <w14:textFill>
            <w14:solidFill>
              <w14:schemeClr w14:val="tx1"/>
            </w14:solidFill>
          </w14:textFill>
        </w:rPr>
        <w:t>装置内</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p>
    <w:bookmarkEnd w:id="305"/>
    <w:p w14:paraId="5962EA15">
      <w:pPr>
        <w:pStyle w:val="8"/>
        <w:keepNext w:val="0"/>
        <w:keepLines w:val="0"/>
        <w:pageBreakBefore w:val="0"/>
        <w:widowControl/>
        <w:kinsoku/>
        <w:wordWrap/>
        <w:overflowPunct/>
        <w:topLinePunct w:val="0"/>
        <w:autoSpaceDE/>
        <w:autoSpaceDN/>
        <w:bidi w:val="0"/>
        <w:adjustRightInd w:val="0"/>
        <w:snapToGrid/>
        <w:spacing w:line="360" w:lineRule="auto"/>
        <w:ind w:firstLine="42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根据“章节5.8.2”</w:t>
      </w:r>
      <w:r>
        <w:rPr>
          <w:rFonts w:hint="default"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判断</w:t>
      </w:r>
      <w:r>
        <w:rPr>
          <w:rFonts w:hint="eastAsia"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风险潜势为Ⅰ，根据</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《建设项目环境风险评价技术导则》（HJ169-2018）</w:t>
      </w:r>
      <w:r>
        <w:rPr>
          <w:rFonts w:hint="default"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相关要求，本次评价环境风险评价为简单分析</w:t>
      </w:r>
      <w:r>
        <w:rPr>
          <w:rFonts w:hint="eastAsia"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val="en-US" w:eastAsia="zh-CN" w:bidi="ar-SA"/>
          <w14:textFill>
            <w14:solidFill>
              <w14:schemeClr w14:val="tx1"/>
            </w14:solidFill>
          </w14:textFill>
        </w:rPr>
        <w:t>不设置环境风险评价范围</w:t>
      </w:r>
      <w:r>
        <w:rPr>
          <w:rFonts w:hint="default" w:ascii="Times New Roman" w:hAnsi="Times New Roman" w:cs="Times New Roman"/>
          <w:color w:val="000000" w:themeColor="text1"/>
          <w:highlight w:val="none"/>
          <w14:textFill>
            <w14:solidFill>
              <w14:schemeClr w14:val="tx1"/>
            </w14:solidFill>
          </w14:textFill>
        </w:rPr>
        <w:t>。</w:t>
      </w:r>
      <w:bookmarkStart w:id="309" w:name="_Toc227650571"/>
      <w:bookmarkStart w:id="310" w:name="_Toc280954982"/>
      <w:bookmarkStart w:id="311" w:name="_Toc9893"/>
      <w:bookmarkStart w:id="312" w:name="_Toc255293765"/>
      <w:bookmarkStart w:id="313" w:name="_Toc280954905"/>
      <w:bookmarkStart w:id="314" w:name="_Toc42981100"/>
      <w:bookmarkStart w:id="315" w:name="_Toc374724175"/>
      <w:bookmarkStart w:id="316" w:name="_Toc361761824"/>
      <w:bookmarkStart w:id="317" w:name="_Toc146540981"/>
      <w:bookmarkStart w:id="318" w:name="_Toc75438883"/>
      <w:bookmarkStart w:id="319" w:name="_Toc149456024"/>
      <w:bookmarkStart w:id="320" w:name="_Toc508291877"/>
      <w:bookmarkStart w:id="321" w:name="_Toc297590774"/>
      <w:bookmarkStart w:id="322" w:name="_Toc353966732"/>
      <w:bookmarkStart w:id="323" w:name="_Toc297590927"/>
      <w:bookmarkStart w:id="324" w:name="_Toc161551980"/>
      <w:bookmarkStart w:id="325" w:name="OLE_LINK1399"/>
      <w:bookmarkStart w:id="326" w:name="_Toc280954983"/>
      <w:bookmarkStart w:id="327" w:name="_Toc146540982"/>
      <w:bookmarkStart w:id="328" w:name="_Toc361761825"/>
      <w:bookmarkStart w:id="329" w:name="_Toc20938"/>
      <w:bookmarkStart w:id="330" w:name="_Toc255293766"/>
      <w:bookmarkStart w:id="331" w:name="_Toc374724174"/>
      <w:bookmarkStart w:id="332" w:name="_Toc280954906"/>
      <w:bookmarkStart w:id="333" w:name="_Toc227650572"/>
      <w:bookmarkStart w:id="334" w:name="_Toc297590928"/>
      <w:bookmarkStart w:id="335" w:name="_Toc149456025"/>
      <w:bookmarkStart w:id="336" w:name="_Toc420492360"/>
      <w:bookmarkStart w:id="337" w:name="_Toc161551981"/>
      <w:bookmarkStart w:id="338" w:name="_Toc297590775"/>
      <w:bookmarkStart w:id="339" w:name="_Toc508291876"/>
      <w:bookmarkStart w:id="340" w:name="_Toc75438882"/>
      <w:bookmarkStart w:id="341" w:name="_Toc42981099"/>
      <w:bookmarkStart w:id="342" w:name="_Toc353966733"/>
      <w:bookmarkStart w:id="343" w:name="_Toc255293767"/>
    </w:p>
    <w:p w14:paraId="78BE769B">
      <w:pPr>
        <w:pStyle w:val="58"/>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5.8</w:t>
      </w:r>
      <w:r>
        <w:rPr>
          <w:rFonts w:hint="default" w:ascii="Times New Roman" w:hAnsi="Times New Roman" w:cs="Times New Roman"/>
          <w:color w:val="000000" w:themeColor="text1"/>
          <w:highlight w:val="none"/>
          <w14:textFill>
            <w14:solidFill>
              <w14:schemeClr w14:val="tx1"/>
            </w14:solidFill>
          </w14:textFill>
        </w:rPr>
        <w:t xml:space="preserve">评价范围    </w:t>
      </w:r>
    </w:p>
    <w:p w14:paraId="3AE1D00E">
      <w:pPr>
        <w:jc w:val="center"/>
        <w:outlineLvl w:val="9"/>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表2.</w:t>
      </w:r>
      <w:r>
        <w:rPr>
          <w:rFonts w:hint="eastAsia"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5-14</w:t>
      </w:r>
      <w:r>
        <w:rPr>
          <w:rFonts w:hint="default" w:ascii="Times New Roman" w:hAnsi="Times New Roman" w:eastAsia="黑体" w:cs="Times New Roman"/>
          <w:b/>
          <w:bCs w:val="0"/>
          <w:color w:val="000000" w:themeColor="text1"/>
          <w:kern w:val="0"/>
          <w:sz w:val="21"/>
          <w:szCs w:val="21"/>
          <w:highlight w:val="none"/>
          <w:lang w:val="en-US" w:eastAsia="zh-CN" w:bidi="ar-SA"/>
          <w14:textFill>
            <w14:solidFill>
              <w14:schemeClr w14:val="tx1"/>
            </w14:solidFill>
          </w14:textFill>
        </w:rPr>
        <w:t xml:space="preserve">   </w:t>
      </w:r>
      <w:r>
        <w:rPr>
          <w:rFonts w:hint="eastAsia" w:eastAsia="黑体" w:cs="Times New Roman"/>
          <w:b/>
          <w:bCs w:val="0"/>
          <w:color w:val="000000" w:themeColor="text1"/>
          <w:kern w:val="0"/>
          <w:sz w:val="21"/>
          <w:szCs w:val="21"/>
          <w:highlight w:val="none"/>
          <w:lang w:val="en-US" w:eastAsia="zh-CN" w:bidi="ar-SA"/>
          <w14:textFill>
            <w14:solidFill>
              <w14:schemeClr w14:val="tx1"/>
            </w14:solidFill>
          </w14:textFill>
        </w:rPr>
        <w:t>各环境要素评价范围一览表</w:t>
      </w:r>
    </w:p>
    <w:tbl>
      <w:tblPr>
        <w:tblStyle w:val="38"/>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30"/>
        <w:gridCol w:w="1440"/>
        <w:gridCol w:w="1188"/>
        <w:gridCol w:w="4799"/>
      </w:tblGrid>
      <w:tr w14:paraId="7039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3FA7359F">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序号</w:t>
            </w:r>
          </w:p>
        </w:tc>
        <w:tc>
          <w:tcPr>
            <w:tcW w:w="1231" w:type="pct"/>
            <w:gridSpan w:val="2"/>
            <w:vAlign w:val="center"/>
          </w:tcPr>
          <w:p w14:paraId="6304B64F">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环境要素</w:t>
            </w:r>
          </w:p>
        </w:tc>
        <w:tc>
          <w:tcPr>
            <w:tcW w:w="674" w:type="pct"/>
            <w:vAlign w:val="center"/>
          </w:tcPr>
          <w:p w14:paraId="6E150D6A">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评价等级</w:t>
            </w:r>
          </w:p>
        </w:tc>
        <w:tc>
          <w:tcPr>
            <w:tcW w:w="2725" w:type="pct"/>
            <w:vAlign w:val="center"/>
          </w:tcPr>
          <w:p w14:paraId="69065D42">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评价范围</w:t>
            </w:r>
          </w:p>
        </w:tc>
      </w:tr>
      <w:tr w14:paraId="0130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281FE0D6">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31" w:type="pct"/>
            <w:gridSpan w:val="2"/>
            <w:vAlign w:val="center"/>
          </w:tcPr>
          <w:p w14:paraId="3DB3D484">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环境空气</w:t>
            </w:r>
          </w:p>
        </w:tc>
        <w:tc>
          <w:tcPr>
            <w:tcW w:w="674" w:type="pct"/>
            <w:vAlign w:val="center"/>
          </w:tcPr>
          <w:p w14:paraId="0DF89A37">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二级</w:t>
            </w:r>
          </w:p>
        </w:tc>
        <w:tc>
          <w:tcPr>
            <w:tcW w:w="2725" w:type="pct"/>
            <w:vAlign w:val="center"/>
          </w:tcPr>
          <w:p w14:paraId="2A65C151">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以井场为中心，边长5km的矩形区域</w:t>
            </w:r>
          </w:p>
        </w:tc>
      </w:tr>
      <w:tr w14:paraId="4C93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36877740">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231" w:type="pct"/>
            <w:gridSpan w:val="2"/>
            <w:vAlign w:val="center"/>
          </w:tcPr>
          <w:p w14:paraId="0A1604D5">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地下水</w:t>
            </w:r>
          </w:p>
        </w:tc>
        <w:tc>
          <w:tcPr>
            <w:tcW w:w="674" w:type="pct"/>
            <w:vAlign w:val="center"/>
          </w:tcPr>
          <w:p w14:paraId="5DC617FC">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级</w:t>
            </w:r>
          </w:p>
        </w:tc>
        <w:tc>
          <w:tcPr>
            <w:tcW w:w="2725" w:type="pct"/>
            <w:vAlign w:val="center"/>
          </w:tcPr>
          <w:p w14:paraId="13F68D98">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本工程井场上游1km，下游2km，两侧1km的矩形区域作为评价范围，评价区面积约</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km</w:t>
            </w:r>
            <w:r>
              <w:rPr>
                <w:rFonts w:hint="eastAsia"/>
                <w:color w:val="000000" w:themeColor="text1"/>
                <w:highlight w:val="none"/>
                <w:vertAlign w:val="superscript"/>
                <w14:textFill>
                  <w14:solidFill>
                    <w14:schemeClr w14:val="tx1"/>
                  </w14:solidFill>
                </w14:textFill>
              </w:rPr>
              <w:t>2</w:t>
            </w:r>
          </w:p>
        </w:tc>
      </w:tr>
      <w:tr w14:paraId="6297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79AB07DC">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1231" w:type="pct"/>
            <w:gridSpan w:val="2"/>
            <w:vAlign w:val="center"/>
          </w:tcPr>
          <w:p w14:paraId="2B9DEF36">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地表水环境</w:t>
            </w:r>
          </w:p>
        </w:tc>
        <w:tc>
          <w:tcPr>
            <w:tcW w:w="674" w:type="pct"/>
            <w:vAlign w:val="center"/>
          </w:tcPr>
          <w:p w14:paraId="41BAA02E">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三级B</w:t>
            </w:r>
          </w:p>
        </w:tc>
        <w:tc>
          <w:tcPr>
            <w:tcW w:w="2725" w:type="pct"/>
            <w:vAlign w:val="center"/>
          </w:tcPr>
          <w:p w14:paraId="5414C951">
            <w:pPr>
              <w:pStyle w:val="47"/>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3B32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7C10EE80">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1231" w:type="pct"/>
            <w:gridSpan w:val="2"/>
            <w:vAlign w:val="center"/>
          </w:tcPr>
          <w:p w14:paraId="6B03F43F">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生态环境</w:t>
            </w:r>
          </w:p>
        </w:tc>
        <w:tc>
          <w:tcPr>
            <w:tcW w:w="674" w:type="pct"/>
            <w:vAlign w:val="center"/>
          </w:tcPr>
          <w:p w14:paraId="5342A1FF">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级</w:t>
            </w:r>
          </w:p>
        </w:tc>
        <w:tc>
          <w:tcPr>
            <w:tcW w:w="2725" w:type="pct"/>
            <w:vAlign w:val="center"/>
          </w:tcPr>
          <w:p w14:paraId="2F692B65">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井场场界周围50米范围</w:t>
            </w:r>
          </w:p>
        </w:tc>
      </w:tr>
      <w:tr w14:paraId="7F62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5EB53FDE">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1231" w:type="pct"/>
            <w:gridSpan w:val="2"/>
            <w:vAlign w:val="center"/>
          </w:tcPr>
          <w:p w14:paraId="34117670">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w:t>
            </w:r>
          </w:p>
        </w:tc>
        <w:tc>
          <w:tcPr>
            <w:tcW w:w="674" w:type="pct"/>
            <w:vAlign w:val="center"/>
          </w:tcPr>
          <w:p w14:paraId="7A527980">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二级</w:t>
            </w:r>
          </w:p>
        </w:tc>
        <w:tc>
          <w:tcPr>
            <w:tcW w:w="2725" w:type="pct"/>
            <w:vAlign w:val="center"/>
          </w:tcPr>
          <w:p w14:paraId="4D6846DF">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井场边界向外200m评价范围</w:t>
            </w:r>
          </w:p>
        </w:tc>
      </w:tr>
      <w:tr w14:paraId="79E1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Merge w:val="restart"/>
            <w:vAlign w:val="center"/>
          </w:tcPr>
          <w:p w14:paraId="5BA60E14">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p>
        </w:tc>
        <w:tc>
          <w:tcPr>
            <w:tcW w:w="414" w:type="pct"/>
            <w:vMerge w:val="restart"/>
            <w:vAlign w:val="center"/>
          </w:tcPr>
          <w:p w14:paraId="75867522">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土壤环境</w:t>
            </w:r>
          </w:p>
        </w:tc>
        <w:tc>
          <w:tcPr>
            <w:tcW w:w="817" w:type="pct"/>
            <w:vAlign w:val="center"/>
          </w:tcPr>
          <w:p w14:paraId="2D5F78A4">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生态影响型</w:t>
            </w:r>
          </w:p>
        </w:tc>
        <w:tc>
          <w:tcPr>
            <w:tcW w:w="674" w:type="pct"/>
            <w:vAlign w:val="center"/>
          </w:tcPr>
          <w:p w14:paraId="75B70B8F">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级</w:t>
            </w:r>
          </w:p>
        </w:tc>
        <w:tc>
          <w:tcPr>
            <w:tcW w:w="2725" w:type="pct"/>
            <w:vAlign w:val="center"/>
          </w:tcPr>
          <w:p w14:paraId="1A8D04B5">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井场占地范围内全部以及占地范围外</w:t>
            </w:r>
            <w:r>
              <w:rPr>
                <w:rFonts w:hint="eastAsia" w:cs="Times New Roman"/>
                <w:color w:val="000000" w:themeColor="text1"/>
                <w:kern w:val="0"/>
                <w:sz w:val="20"/>
                <w:szCs w:val="16"/>
                <w:highlight w:val="none"/>
                <w:lang w:val="en-US" w:eastAsia="zh-CN"/>
                <w14:textFill>
                  <w14:solidFill>
                    <w14:schemeClr w14:val="tx1"/>
                  </w14:solidFill>
                </w14:textFill>
              </w:rPr>
              <w:t>2</w:t>
            </w:r>
            <w:r>
              <w:rPr>
                <w:rFonts w:ascii="Times New Roman" w:hAnsi="Times New Roman" w:eastAsia="宋体" w:cs="Times New Roman"/>
                <w:color w:val="000000" w:themeColor="text1"/>
                <w:kern w:val="0"/>
                <w:sz w:val="20"/>
                <w:szCs w:val="16"/>
                <w:highlight w:val="none"/>
                <w14:textFill>
                  <w14:solidFill>
                    <w14:schemeClr w14:val="tx1"/>
                  </w14:solidFill>
                </w14:textFill>
              </w:rPr>
              <w:t>km</w:t>
            </w:r>
            <w:r>
              <w:rPr>
                <w:rFonts w:hint="eastAsia" w:cs="Times New Roman"/>
                <w:color w:val="000000" w:themeColor="text1"/>
                <w:kern w:val="0"/>
                <w:sz w:val="20"/>
                <w:szCs w:val="16"/>
                <w:highlight w:val="none"/>
                <w:lang w:val="en-US" w:eastAsia="zh-CN"/>
                <w14:textFill>
                  <w14:solidFill>
                    <w14:schemeClr w14:val="tx1"/>
                  </w14:solidFill>
                </w14:textFill>
              </w:rPr>
              <w:t>范围内</w:t>
            </w:r>
          </w:p>
        </w:tc>
      </w:tr>
      <w:tr w14:paraId="40D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Merge w:val="continue"/>
            <w:vAlign w:val="center"/>
          </w:tcPr>
          <w:p w14:paraId="703202EC">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p>
        </w:tc>
        <w:tc>
          <w:tcPr>
            <w:tcW w:w="414" w:type="pct"/>
            <w:vMerge w:val="continue"/>
            <w:vAlign w:val="center"/>
          </w:tcPr>
          <w:p w14:paraId="22D039AA">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p>
        </w:tc>
        <w:tc>
          <w:tcPr>
            <w:tcW w:w="817" w:type="pct"/>
            <w:vAlign w:val="center"/>
          </w:tcPr>
          <w:p w14:paraId="504110B6">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污染影响型</w:t>
            </w:r>
          </w:p>
        </w:tc>
        <w:tc>
          <w:tcPr>
            <w:tcW w:w="674" w:type="pct"/>
            <w:vAlign w:val="center"/>
          </w:tcPr>
          <w:p w14:paraId="151EE72A">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二级</w:t>
            </w:r>
          </w:p>
        </w:tc>
        <w:tc>
          <w:tcPr>
            <w:tcW w:w="2725" w:type="pct"/>
            <w:vAlign w:val="center"/>
          </w:tcPr>
          <w:p w14:paraId="6606CFE9">
            <w:pPr>
              <w:pStyle w:val="47"/>
              <w:keepNext w:val="0"/>
              <w:keepLines w:val="0"/>
              <w:pageBreakBefore w:val="0"/>
              <w:widowControl w:val="0"/>
              <w:kinsoku/>
              <w:wordWrap/>
              <w:overflowPunct/>
              <w:topLinePunct w:val="0"/>
              <w:autoSpaceDE/>
              <w:autoSpaceDN/>
              <w:bidi w:val="0"/>
              <w:adjustRightInd/>
              <w:snapToGrid/>
              <w:spacing w:line="240" w:lineRule="auto"/>
              <w:ind w:firstLineChars="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井场占地范围内全部以及</w:t>
            </w:r>
            <w:r>
              <w:rPr>
                <w:rFonts w:ascii="Times New Roman" w:hAnsi="Times New Roman" w:eastAsia="宋体" w:cs="Times New Roman"/>
                <w:color w:val="000000" w:themeColor="text1"/>
                <w:kern w:val="0"/>
                <w:sz w:val="20"/>
                <w:szCs w:val="16"/>
                <w:highlight w:val="none"/>
                <w14:textFill>
                  <w14:solidFill>
                    <w14:schemeClr w14:val="tx1"/>
                  </w14:solidFill>
                </w14:textFill>
              </w:rPr>
              <w:t>占地范围外</w:t>
            </w:r>
            <w:r>
              <w:rPr>
                <w:rFonts w:hint="eastAsia" w:ascii="Times New Roman" w:hAnsi="Times New Roman" w:eastAsia="宋体" w:cs="Times New Roman"/>
                <w:color w:val="000000" w:themeColor="text1"/>
                <w:kern w:val="0"/>
                <w:sz w:val="20"/>
                <w:szCs w:val="16"/>
                <w:highlight w:val="none"/>
                <w14:textFill>
                  <w14:solidFill>
                    <w14:schemeClr w14:val="tx1"/>
                  </w14:solidFill>
                </w14:textFill>
              </w:rPr>
              <w:t>0</w:t>
            </w:r>
            <w:r>
              <w:rPr>
                <w:rFonts w:ascii="Times New Roman" w:hAnsi="Times New Roman" w:eastAsia="宋体" w:cs="Times New Roman"/>
                <w:color w:val="000000" w:themeColor="text1"/>
                <w:kern w:val="0"/>
                <w:sz w:val="20"/>
                <w:szCs w:val="16"/>
                <w:highlight w:val="none"/>
                <w14:textFill>
                  <w14:solidFill>
                    <w14:schemeClr w14:val="tx1"/>
                  </w14:solidFill>
                </w14:textFill>
              </w:rPr>
              <w:t>.2km</w:t>
            </w:r>
            <w:r>
              <w:rPr>
                <w:rFonts w:hint="eastAsia" w:cs="Times New Roman"/>
                <w:color w:val="000000" w:themeColor="text1"/>
                <w:kern w:val="0"/>
                <w:sz w:val="20"/>
                <w:szCs w:val="16"/>
                <w:highlight w:val="none"/>
                <w:lang w:val="en-US" w:eastAsia="zh-CN"/>
                <w14:textFill>
                  <w14:solidFill>
                    <w14:schemeClr w14:val="tx1"/>
                  </w14:solidFill>
                </w14:textFill>
              </w:rPr>
              <w:t>范围内</w:t>
            </w:r>
          </w:p>
        </w:tc>
      </w:tr>
      <w:tr w14:paraId="7D9E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pct"/>
            <w:vAlign w:val="center"/>
          </w:tcPr>
          <w:p w14:paraId="514AB6DA">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p>
        </w:tc>
        <w:tc>
          <w:tcPr>
            <w:tcW w:w="1231" w:type="pct"/>
            <w:gridSpan w:val="2"/>
            <w:vAlign w:val="center"/>
          </w:tcPr>
          <w:p w14:paraId="4838303D">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环境风险</w:t>
            </w:r>
          </w:p>
        </w:tc>
        <w:tc>
          <w:tcPr>
            <w:tcW w:w="674" w:type="pct"/>
            <w:vAlign w:val="center"/>
          </w:tcPr>
          <w:p w14:paraId="339451F4">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简单分析</w:t>
            </w:r>
          </w:p>
        </w:tc>
        <w:tc>
          <w:tcPr>
            <w:tcW w:w="2725" w:type="pct"/>
            <w:vAlign w:val="center"/>
          </w:tcPr>
          <w:p w14:paraId="0D111E0D">
            <w:pPr>
              <w:pStyle w:val="47"/>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bl>
    <w:p w14:paraId="28CCB07C">
      <w:pPr>
        <w:pStyle w:val="9"/>
        <w:rPr>
          <w:rFonts w:hint="default"/>
          <w:color w:val="000000" w:themeColor="text1"/>
          <w:highlight w:val="none"/>
          <w14:textFill>
            <w14:solidFill>
              <w14:schemeClr w14:val="tx1"/>
            </w14:solidFill>
          </w14:textFill>
        </w:rPr>
      </w:pPr>
    </w:p>
    <w:p w14:paraId="27C7F75A">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344" w:name="_Toc30362"/>
      <w:r>
        <w:rPr>
          <w:rFonts w:hint="default"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rFonts w:hint="default" w:ascii="Times New Roman" w:hAnsi="Times New Roman" w:eastAsia="宋体" w:cs="Times New Roman"/>
          <w:color w:val="000000" w:themeColor="text1"/>
          <w:highlight w:val="none"/>
          <w14:textFill>
            <w14:solidFill>
              <w14:schemeClr w14:val="tx1"/>
            </w14:solidFill>
          </w14:textFill>
        </w:rPr>
        <w:t>环境保护目标</w:t>
      </w:r>
      <w:bookmarkEnd w:id="344"/>
    </w:p>
    <w:p w14:paraId="24D26C3C">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bookmarkStart w:id="345" w:name="_Toc15552"/>
      <w:bookmarkStart w:id="346" w:name="_Toc693"/>
      <w:bookmarkStart w:id="347" w:name="_Toc12800"/>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污染控制目标</w:t>
      </w:r>
      <w:bookmarkEnd w:id="345"/>
      <w:bookmarkEnd w:id="346"/>
      <w:bookmarkEnd w:id="347"/>
    </w:p>
    <w:p w14:paraId="32F51576">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u w:val="none"/>
          <w14:textFill>
            <w14:solidFill>
              <w14:schemeClr w14:val="tx1"/>
            </w14:solidFill>
          </w14:textFill>
        </w:rPr>
      </w:pPr>
      <w:bookmarkStart w:id="348" w:name="_Hlk48603676"/>
      <w:r>
        <w:rPr>
          <w:rFonts w:hint="default" w:ascii="Times New Roman" w:hAnsi="Times New Roman" w:cs="Times New Roman"/>
          <w:color w:val="000000" w:themeColor="text1"/>
          <w:szCs w:val="24"/>
          <w:highlight w:val="none"/>
          <w:u w:val="none"/>
          <w14:textFill>
            <w14:solidFill>
              <w14:schemeClr w14:val="tx1"/>
            </w14:solidFill>
          </w14:textFill>
        </w:rPr>
        <w:t>根据工程排污特点和周围环境情况，确定本评价污染控制及保护环境的目标为：工程建设应符合清洁生产的原则，采取成熟可靠的工艺技术，保证</w:t>
      </w:r>
      <w:r>
        <w:rPr>
          <w:rFonts w:hint="eastAsia" w:cs="Times New Roman"/>
          <w:color w:val="000000" w:themeColor="text1"/>
          <w:szCs w:val="24"/>
          <w:highlight w:val="none"/>
          <w:u w:val="none"/>
          <w:lang w:eastAsia="zh-CN"/>
          <w14:textFill>
            <w14:solidFill>
              <w14:schemeClr w14:val="tx1"/>
            </w14:solidFill>
          </w14:textFill>
        </w:rPr>
        <w:t>本工程</w:t>
      </w:r>
      <w:r>
        <w:rPr>
          <w:rFonts w:hint="default" w:ascii="Times New Roman" w:hAnsi="Times New Roman" w:cs="Times New Roman"/>
          <w:color w:val="000000" w:themeColor="text1"/>
          <w:szCs w:val="24"/>
          <w:highlight w:val="none"/>
          <w:u w:val="none"/>
          <w14:textFill>
            <w14:solidFill>
              <w14:schemeClr w14:val="tx1"/>
            </w14:solidFill>
          </w14:textFill>
        </w:rPr>
        <w:t>污染物实现达标排放（符合相应标准要求，并使固体废物得到合理利用或无害化处置），使工程主要污染物排放总量符合国家和地方总量控制的要求。</w:t>
      </w:r>
      <w:r>
        <w:rPr>
          <w:rFonts w:hint="eastAsia" w:cs="Times New Roman"/>
          <w:color w:val="000000" w:themeColor="text1"/>
          <w:szCs w:val="24"/>
          <w:highlight w:val="none"/>
          <w:u w:val="none"/>
          <w:lang w:val="en-US" w:eastAsia="zh-CN"/>
          <w14:textFill>
            <w14:solidFill>
              <w14:schemeClr w14:val="tx1"/>
            </w14:solidFill>
          </w14:textFill>
        </w:rPr>
        <w:t>本工程</w:t>
      </w:r>
      <w:r>
        <w:rPr>
          <w:rFonts w:hint="default" w:ascii="Times New Roman" w:hAnsi="Times New Roman" w:cs="Times New Roman"/>
          <w:color w:val="000000" w:themeColor="text1"/>
          <w:szCs w:val="24"/>
          <w:highlight w:val="none"/>
          <w:u w:val="none"/>
          <w14:textFill>
            <w14:solidFill>
              <w14:schemeClr w14:val="tx1"/>
            </w14:solidFill>
          </w14:textFill>
        </w:rPr>
        <w:t>建成后，当地环境质量不发生较大改变，仍保持相应环境功能区划要求。</w:t>
      </w:r>
    </w:p>
    <w:p w14:paraId="5E74487D">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bookmarkStart w:id="349" w:name="_Toc3694"/>
      <w:bookmarkStart w:id="350" w:name="_Toc20437"/>
      <w:bookmarkStart w:id="351" w:name="_Toc7354"/>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环境保护目标</w:t>
      </w:r>
      <w:bookmarkEnd w:id="349"/>
      <w:bookmarkEnd w:id="350"/>
      <w:bookmarkEnd w:id="351"/>
    </w:p>
    <w:p w14:paraId="1B3C6F8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r>
        <w:rPr>
          <w:rFonts w:hint="default" w:ascii="Times New Roman" w:hAnsi="Times New Roman" w:cs="Times New Roman"/>
          <w:color w:val="000000" w:themeColor="text1"/>
          <w:highlight w:val="none"/>
          <w:lang w:eastAsia="zh-CN"/>
          <w14:textFill>
            <w14:solidFill>
              <w14:schemeClr w14:val="tx1"/>
            </w14:solidFill>
          </w14:textFill>
        </w:rPr>
        <w:t>《</w:t>
      </w:r>
      <w:bookmarkStart w:id="352" w:name="OLE_LINK162"/>
      <w:r>
        <w:rPr>
          <w:rFonts w:hint="default" w:ascii="Times New Roman" w:hAnsi="Times New Roman" w:cs="Times New Roman"/>
          <w:color w:val="000000" w:themeColor="text1"/>
          <w:highlight w:val="none"/>
          <w:lang w:eastAsia="zh-CN"/>
          <w14:textFill>
            <w14:solidFill>
              <w14:schemeClr w14:val="tx1"/>
            </w14:solidFill>
          </w14:textFill>
        </w:rPr>
        <w:t>环境影响评价技术导则 生态影响</w:t>
      </w:r>
      <w:bookmarkEnd w:id="352"/>
      <w:r>
        <w:rPr>
          <w:rFonts w:hint="default" w:ascii="Times New Roman" w:hAnsi="Times New Roman" w:cs="Times New Roman"/>
          <w:color w:val="000000" w:themeColor="text1"/>
          <w:highlight w:val="none"/>
          <w:lang w:eastAsia="zh-CN"/>
          <w14:textFill>
            <w14:solidFill>
              <w14:schemeClr w14:val="tx1"/>
            </w14:solidFill>
          </w14:textFill>
        </w:rPr>
        <w:t>》（HJ19-2022）</w:t>
      </w:r>
      <w:r>
        <w:rPr>
          <w:rFonts w:hint="default" w:ascii="Times New Roman" w:hAnsi="Times New Roman" w:cs="Times New Roman"/>
          <w:color w:val="000000" w:themeColor="text1"/>
          <w:highlight w:val="none"/>
          <w:u w:val="none"/>
          <w:lang w:val="en-US" w:eastAsia="zh-CN"/>
          <w14:textFill>
            <w14:solidFill>
              <w14:schemeClr w14:val="tx1"/>
            </w14:solidFill>
          </w14:textFill>
        </w:rPr>
        <w:t>，生态保护目标主要为受影响的重要物种、生态敏感区以及其他需要保护的物种、种群、生物群落及生态空间等。结合现状调查，同时按照</w:t>
      </w:r>
      <w:bookmarkStart w:id="353" w:name="OLE_LINK167"/>
      <w:r>
        <w:rPr>
          <w:rFonts w:hint="default" w:ascii="Times New Roman" w:hAnsi="Times New Roman" w:cs="Times New Roman"/>
          <w:color w:val="000000" w:themeColor="text1"/>
          <w:highlight w:val="none"/>
          <w14:textFill>
            <w14:solidFill>
              <w14:schemeClr w14:val="tx1"/>
            </w14:solidFill>
          </w14:textFill>
        </w:rPr>
        <w:t>《</w:t>
      </w:r>
      <w:bookmarkStart w:id="354" w:name="OLE_LINK175"/>
      <w:bookmarkStart w:id="355" w:name="OLE_LINK1172"/>
      <w:r>
        <w:rPr>
          <w:rFonts w:hint="default" w:ascii="Times New Roman" w:hAnsi="Times New Roman" w:cs="Times New Roman"/>
          <w:color w:val="000000" w:themeColor="text1"/>
          <w:highlight w:val="none"/>
          <w14:textFill>
            <w14:solidFill>
              <w14:schemeClr w14:val="tx1"/>
            </w14:solidFill>
          </w14:textFill>
        </w:rPr>
        <w:t>建设项目环境影响评价分类管理名录</w:t>
      </w:r>
      <w:bookmarkEnd w:id="354"/>
      <w:r>
        <w:rPr>
          <w:rFonts w:hint="default" w:ascii="Times New Roman" w:hAnsi="Times New Roman" w:cs="Times New Roman"/>
          <w:color w:val="000000" w:themeColor="text1"/>
          <w:highlight w:val="none"/>
          <w14:textFill>
            <w14:solidFill>
              <w14:schemeClr w14:val="tx1"/>
            </w14:solidFill>
          </w14:textFill>
        </w:rPr>
        <w:t>（2021年版）</w:t>
      </w:r>
      <w:bookmarkEnd w:id="355"/>
      <w:r>
        <w:rPr>
          <w:rFonts w:hint="default" w:ascii="Times New Roman" w:hAnsi="Times New Roman" w:cs="Times New Roman"/>
          <w:color w:val="000000" w:themeColor="text1"/>
          <w:highlight w:val="none"/>
          <w14:textFill>
            <w14:solidFill>
              <w14:schemeClr w14:val="tx1"/>
            </w14:solidFill>
          </w14:textFill>
        </w:rPr>
        <w:t>》（生态环境部令第16号）</w:t>
      </w:r>
      <w:bookmarkEnd w:id="353"/>
      <w:r>
        <w:rPr>
          <w:rFonts w:hint="default" w:ascii="Times New Roman" w:hAnsi="Times New Roman" w:cs="Times New Roman"/>
          <w:color w:val="000000" w:themeColor="text1"/>
          <w:highlight w:val="none"/>
          <w:u w:val="none"/>
          <w:lang w:val="en-US" w:eastAsia="zh-CN"/>
          <w14:textFill>
            <w14:solidFill>
              <w14:schemeClr w14:val="tx1"/>
            </w14:solidFill>
          </w14:textFill>
        </w:rPr>
        <w:t>，将</w:t>
      </w:r>
      <w:bookmarkStart w:id="356" w:name="OLE_LINK25"/>
      <w:r>
        <w:rPr>
          <w:rFonts w:hint="eastAsia" w:cs="Times New Roman"/>
          <w:color w:val="000000" w:themeColor="text1"/>
          <w:highlight w:val="none"/>
          <w:u w:val="none"/>
          <w:lang w:val="en-US" w:eastAsia="zh-CN"/>
          <w14:textFill>
            <w14:solidFill>
              <w14:schemeClr w14:val="tx1"/>
            </w14:solidFill>
          </w14:textFill>
        </w:rPr>
        <w:t>评价范围内的永久基本农田</w:t>
      </w:r>
      <w:bookmarkEnd w:id="356"/>
      <w:r>
        <w:rPr>
          <w:rFonts w:hint="eastAsia" w:cs="Times New Roman"/>
          <w:color w:val="000000" w:themeColor="text1"/>
          <w:highlight w:val="none"/>
          <w:u w:val="none"/>
          <w:lang w:val="en-US" w:eastAsia="zh-CN"/>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水土流失重点治理区等环境敏感区加入生态保护目标。本工程不占用永久基本农田，评价范围涉及永久基本农田</w:t>
      </w:r>
      <w:r>
        <w:rPr>
          <w:rFonts w:hint="eastAsia" w:cs="Times New Roman"/>
          <w:color w:val="000000" w:themeColor="text1"/>
          <w:highlight w:val="none"/>
          <w:u w:val="none"/>
          <w:lang w:val="en-US" w:eastAsia="zh-CN"/>
          <w14:textFill>
            <w14:solidFill>
              <w14:schemeClr w14:val="tx1"/>
            </w14:solidFill>
          </w14:textFill>
        </w:rPr>
        <w:t>。</w:t>
      </w:r>
    </w:p>
    <w:p w14:paraId="46391E2D">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bookmarkStart w:id="357" w:name="OLE_LINK176"/>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环境影响评价技术导则</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大气环境</w:t>
      </w:r>
      <w:bookmarkEnd w:id="357"/>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HJ2.2-2018</w:t>
      </w:r>
      <w:r>
        <w:rPr>
          <w:rFonts w:hint="default" w:ascii="Times New Roman" w:hAnsi="Times New Roman" w:eastAsia="宋体" w:cs="Times New Roman"/>
          <w:color w:val="000000" w:themeColor="text1"/>
          <w:kern w:val="0"/>
          <w:sz w:val="24"/>
          <w:szCs w:val="20"/>
          <w:highlight w:val="none"/>
          <w:lang w:eastAsia="zh-CN"/>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，环境空气保护目标为一类区的自然保护区、风景名胜区和其他需要特殊保护的区域，二类区中的居住区、文化区和农村地区中人群较集中的区域。经调查，</w:t>
      </w:r>
      <w:bookmarkStart w:id="358" w:name="OLE_LINK1442"/>
      <w:r>
        <w:rPr>
          <w:rFonts w:hint="default" w:ascii="Times New Roman" w:hAnsi="Times New Roman" w:cs="Times New Roman"/>
          <w:color w:val="000000" w:themeColor="text1"/>
          <w:highlight w:val="none"/>
          <w:u w:val="none"/>
          <w:lang w:val="en-US" w:eastAsia="zh-CN"/>
          <w14:textFill>
            <w14:solidFill>
              <w14:schemeClr w14:val="tx1"/>
            </w14:solidFill>
          </w14:textFill>
        </w:rPr>
        <w:t>本工程</w:t>
      </w:r>
      <w:r>
        <w:rPr>
          <w:rFonts w:hint="eastAsia" w:cs="Times New Roman"/>
          <w:color w:val="000000" w:themeColor="text1"/>
          <w:highlight w:val="none"/>
          <w:u w:val="none"/>
          <w:lang w:val="en-US" w:eastAsia="zh-CN"/>
          <w14:textFill>
            <w14:solidFill>
              <w14:schemeClr w14:val="tx1"/>
            </w14:solidFill>
          </w14:textFill>
        </w:rPr>
        <w:t>距离最近的村庄</w:t>
      </w:r>
      <w:r>
        <w:rPr>
          <w:rFonts w:hint="default" w:ascii="Times New Roman" w:hAnsi="Times New Roman" w:cs="Times New Roman"/>
          <w:color w:val="000000" w:themeColor="text1"/>
          <w:highlight w:val="none"/>
          <w:u w:val="none"/>
          <w:lang w:val="en-US" w:eastAsia="zh-CN"/>
          <w14:textFill>
            <w14:solidFill>
              <w14:schemeClr w14:val="tx1"/>
            </w14:solidFill>
          </w14:textFill>
        </w:rPr>
        <w:t>海力派艾日克</w:t>
      </w:r>
      <w:r>
        <w:rPr>
          <w:rFonts w:hint="eastAsia" w:cs="Times New Roman"/>
          <w:color w:val="000000" w:themeColor="text1"/>
          <w:highlight w:val="none"/>
          <w:u w:val="none"/>
          <w:lang w:val="en-US" w:eastAsia="zh-CN"/>
          <w14:textFill>
            <w14:solidFill>
              <w14:schemeClr w14:val="tx1"/>
            </w14:solidFill>
          </w14:textFill>
        </w:rPr>
        <w:t>约0.22km</w:t>
      </w:r>
      <w:r>
        <w:rPr>
          <w:rFonts w:hint="default" w:ascii="Times New Roman" w:hAnsi="Times New Roman" w:cs="Times New Roman"/>
          <w:color w:val="000000" w:themeColor="text1"/>
          <w:highlight w:val="none"/>
          <w:u w:val="none"/>
          <w:lang w:val="en-US" w:eastAsia="zh-CN"/>
          <w14:textFill>
            <w14:solidFill>
              <w14:schemeClr w14:val="tx1"/>
            </w14:solidFill>
          </w14:textFill>
        </w:rPr>
        <w:t>。</w:t>
      </w:r>
    </w:p>
    <w:bookmarkEnd w:id="358"/>
    <w:p w14:paraId="7E2FABFA">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r>
        <w:rPr>
          <w:rFonts w:hint="default" w:ascii="Times New Roman" w:hAnsi="Times New Roman" w:cs="Times New Roman"/>
          <w:color w:val="000000" w:themeColor="text1"/>
          <w:highlight w:val="none"/>
          <w:lang w:eastAsia="zh-CN"/>
          <w14:textFill>
            <w14:solidFill>
              <w14:schemeClr w14:val="tx1"/>
            </w14:solidFill>
          </w14:textFill>
        </w:rPr>
        <w:t>《</w:t>
      </w:r>
      <w:bookmarkStart w:id="359" w:name="OLE_LINK177"/>
      <w:r>
        <w:rPr>
          <w:rFonts w:hint="default" w:ascii="Times New Roman" w:hAnsi="Times New Roman" w:cs="Times New Roman"/>
          <w:color w:val="000000" w:themeColor="text1"/>
          <w:highlight w:val="none"/>
          <w14:textFill>
            <w14:solidFill>
              <w14:schemeClr w14:val="tx1"/>
            </w14:solidFill>
          </w14:textFill>
        </w:rPr>
        <w:t>环境影响评价技术导则 地下水环境</w:t>
      </w:r>
      <w:bookmarkEnd w:id="359"/>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HJ610-2016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，地下水环境保护目标为潜水含水层和可能受建设项目影响且具有饮用水开发利用价值的含水层，集中式饮用水水源和分散式饮用水水源地，以及</w:t>
      </w:r>
      <w:r>
        <w:rPr>
          <w:rFonts w:hint="default" w:ascii="Times New Roman" w:hAnsi="Times New Roman" w:cs="Times New Roman"/>
          <w:color w:val="000000" w:themeColor="text1"/>
          <w:highlight w:val="none"/>
          <w14:textFill>
            <w14:solidFill>
              <w14:schemeClr w14:val="tx1"/>
            </w14:solidFill>
          </w14:textFill>
        </w:rPr>
        <w:t>《建设项目环境影响评价分类管理名录》</w:t>
      </w:r>
      <w:r>
        <w:rPr>
          <w:rFonts w:hint="default" w:ascii="Times New Roman" w:hAnsi="Times New Roman" w:cs="Times New Roman"/>
          <w:color w:val="000000" w:themeColor="text1"/>
          <w:highlight w:val="none"/>
          <w:u w:val="none"/>
          <w:lang w:val="en-US" w:eastAsia="zh-CN"/>
          <w14:textFill>
            <w14:solidFill>
              <w14:schemeClr w14:val="tx1"/>
            </w14:solidFill>
          </w14:textFill>
        </w:rPr>
        <w:t>中所界定的涉及地下水的环境敏感区。根据调查，</w:t>
      </w:r>
      <w:r>
        <w:rPr>
          <w:rFonts w:hint="eastAsia" w:cs="Times New Roman"/>
          <w:color w:val="000000" w:themeColor="text1"/>
          <w:highlight w:val="none"/>
          <w:u w:val="none"/>
          <w:lang w:val="en-US" w:eastAsia="zh-CN"/>
          <w14:textFill>
            <w14:solidFill>
              <w14:schemeClr w14:val="tx1"/>
            </w14:solidFill>
          </w14:textFill>
        </w:rPr>
        <w:t>本工程不涉及水源保护区。</w:t>
      </w:r>
      <w:r>
        <w:rPr>
          <w:rFonts w:hint="default" w:ascii="Times New Roman" w:hAnsi="Times New Roman" w:cs="Times New Roman"/>
          <w:color w:val="000000" w:themeColor="text1"/>
          <w:highlight w:val="none"/>
          <w:u w:val="none"/>
          <w:lang w:val="en-US" w:eastAsia="zh-CN"/>
          <w14:textFill>
            <w14:solidFill>
              <w14:schemeClr w14:val="tx1"/>
            </w14:solidFill>
          </w14:textFill>
        </w:rPr>
        <w:t>本评价将评价范围内的区域潜水含水层作为地下水环境保护目标。</w:t>
      </w:r>
    </w:p>
    <w:p w14:paraId="1C934D1B">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bookmarkStart w:id="360" w:name="OLE_LINK178"/>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环境影响评价技术导则 声环境</w:t>
      </w:r>
      <w:bookmarkEnd w:id="360"/>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》（HJ2.4-2021）</w:t>
      </w:r>
      <w:r>
        <w:rPr>
          <w:rFonts w:hint="default" w:ascii="Times New Roman" w:hAnsi="Times New Roman" w:cs="Times New Roman"/>
          <w:color w:val="000000" w:themeColor="text1"/>
          <w:highlight w:val="none"/>
          <w:u w:val="none"/>
          <w:lang w:val="en-US" w:eastAsia="zh-CN"/>
          <w14:textFill>
            <w14:solidFill>
              <w14:schemeClr w14:val="tx1"/>
            </w14:solidFill>
          </w14:textFill>
        </w:rPr>
        <w:t>，声环境保护目标为依据</w:t>
      </w:r>
      <w:r>
        <w:rPr>
          <w:rFonts w:hint="eastAsia" w:cs="Times New Roman"/>
          <w:color w:val="000000" w:themeColor="text1"/>
          <w:highlight w:val="none"/>
          <w:u w:val="none"/>
          <w:lang w:val="en-US" w:eastAsia="zh-CN"/>
          <w14:textFill>
            <w14:solidFill>
              <w14:schemeClr w14:val="tx1"/>
            </w14:solidFill>
          </w14:textFill>
        </w:rPr>
        <w:t>法律法规</w:t>
      </w:r>
      <w:r>
        <w:rPr>
          <w:rFonts w:hint="default" w:ascii="Times New Roman" w:hAnsi="Times New Roman" w:cs="Times New Roman"/>
          <w:color w:val="000000" w:themeColor="text1"/>
          <w:highlight w:val="none"/>
          <w:u w:val="none"/>
          <w:lang w:val="en-US" w:eastAsia="zh-CN"/>
          <w14:textFill>
            <w14:solidFill>
              <w14:schemeClr w14:val="tx1"/>
            </w14:solidFill>
          </w14:textFill>
        </w:rPr>
        <w:t>、标准政策等确定的需要保持安静的建筑物及建筑物集中区。经调查，本工程评价范围内不涉及。</w:t>
      </w:r>
    </w:p>
    <w:p w14:paraId="7C57BB2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bookmarkStart w:id="361" w:name="OLE_LINK180"/>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bookmarkStart w:id="362" w:name="OLE_LINK179"/>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362"/>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361"/>
      <w:r>
        <w:rPr>
          <w:rFonts w:hint="default" w:ascii="Times New Roman" w:hAnsi="Times New Roman" w:cs="Times New Roman"/>
          <w:color w:val="000000" w:themeColor="text1"/>
          <w:highlight w:val="none"/>
          <w:u w:val="none"/>
          <w:lang w:val="en-US" w:eastAsia="zh-CN"/>
          <w14:textFill>
            <w14:solidFill>
              <w14:schemeClr w14:val="tx1"/>
            </w14:solidFill>
          </w14:textFill>
        </w:rPr>
        <w:t>和</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陆地石油天然气开发建设项目》</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HJ349-2023</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以及区域历史监测数据，</w:t>
      </w:r>
      <w:r>
        <w:rPr>
          <w:rFonts w:hint="eastAsia" w:cs="Times New Roman"/>
          <w:color w:val="000000" w:themeColor="text1"/>
          <w:highlight w:val="none"/>
          <w:u w:val="none"/>
          <w:lang w:val="en-US" w:eastAsia="zh-CN"/>
          <w14:textFill>
            <w14:solidFill>
              <w14:schemeClr w14:val="tx1"/>
            </w14:solidFill>
          </w14:textFill>
        </w:rPr>
        <w:t>本</w:t>
      </w:r>
      <w:r>
        <w:rPr>
          <w:rFonts w:hint="default" w:ascii="Times New Roman" w:hAnsi="Times New Roman" w:cs="Times New Roman"/>
          <w:color w:val="000000" w:themeColor="text1"/>
          <w:highlight w:val="none"/>
          <w:u w:val="none"/>
          <w:lang w:val="en-US" w:eastAsia="zh-CN"/>
          <w14:textFill>
            <w14:solidFill>
              <w14:schemeClr w14:val="tx1"/>
            </w14:solidFill>
          </w14:textFill>
        </w:rPr>
        <w:t>工程所在区域土壤盐分含量大于4g/kg，属于</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bookmarkStart w:id="363" w:name="OLE_LINK1109"/>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363"/>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附录D.1中度盐化及以上地区，pH介于</w:t>
      </w:r>
      <w:r>
        <w:rPr>
          <w:rFonts w:hint="eastAsia" w:ascii="Times New Roman" w:hAnsi="Times New Roman" w:cs="Times New Roman"/>
          <w:color w:val="000000" w:themeColor="text1"/>
          <w:highlight w:val="none"/>
          <w:u w:val="none"/>
          <w:lang w:val="en-US" w:eastAsia="zh-CN"/>
          <w14:textFill>
            <w14:solidFill>
              <w14:schemeClr w14:val="tx1"/>
            </w14:solidFill>
          </w14:textFill>
        </w:rPr>
        <w:t>7.1</w:t>
      </w:r>
      <w:r>
        <w:rPr>
          <w:rFonts w:hint="default" w:ascii="Times New Roman" w:hAnsi="Times New Roman" w:cs="Times New Roman"/>
          <w:color w:val="000000" w:themeColor="text1"/>
          <w:highlight w:val="none"/>
          <w:u w:val="none"/>
          <w:lang w:val="en-US" w:eastAsia="zh-CN"/>
          <w14:textFill>
            <w14:solidFill>
              <w14:schemeClr w14:val="tx1"/>
            </w14:solidFill>
          </w14:textFill>
        </w:rPr>
        <w:t>~</w:t>
      </w:r>
      <w:r>
        <w:rPr>
          <w:rFonts w:hint="eastAsia" w:ascii="Times New Roman" w:hAnsi="Times New Roman" w:cs="Times New Roman"/>
          <w:color w:val="000000" w:themeColor="text1"/>
          <w:highlight w:val="none"/>
          <w:u w:val="none"/>
          <w:lang w:val="en-US" w:eastAsia="zh-CN"/>
          <w14:textFill>
            <w14:solidFill>
              <w14:schemeClr w14:val="tx1"/>
            </w14:solidFill>
          </w14:textFill>
        </w:rPr>
        <w:t>7.3</w:t>
      </w:r>
      <w:r>
        <w:rPr>
          <w:rFonts w:hint="default" w:ascii="Times New Roman" w:hAnsi="Times New Roman" w:cs="Times New Roman"/>
          <w:color w:val="000000" w:themeColor="text1"/>
          <w:highlight w:val="none"/>
          <w:u w:val="none"/>
          <w:lang w:val="en-US" w:eastAsia="zh-CN"/>
          <w14:textFill>
            <w14:solidFill>
              <w14:schemeClr w14:val="tx1"/>
            </w14:solidFill>
          </w14:textFill>
        </w:rPr>
        <w:t>，即</w:t>
      </w:r>
      <w:r>
        <w:rPr>
          <w:rFonts w:hint="eastAsia" w:ascii="Times New Roman" w:hAnsi="Times New Roman" w:cs="Times New Roman"/>
          <w:color w:val="000000" w:themeColor="text1"/>
          <w:highlight w:val="none"/>
          <w:u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u w:val="none"/>
          <w:lang w:val="en-US" w:eastAsia="zh-CN"/>
          <w14:textFill>
            <w14:solidFill>
              <w14:schemeClr w14:val="tx1"/>
            </w14:solidFill>
          </w14:textFill>
        </w:rPr>
        <w:t>所在区域属于土壤盐化地区，本工程同时按照生态影响型项目和污染影响型项目考虑</w:t>
      </w:r>
      <w:r>
        <w:rPr>
          <w:rFonts w:hint="eastAsia" w:cs="Times New Roman"/>
          <w:color w:val="000000" w:themeColor="text1"/>
          <w:highlight w:val="none"/>
          <w:u w:val="none"/>
          <w:lang w:val="en-US" w:eastAsia="zh-CN"/>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根据</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，土壤环境敏感目标为可能受人为活动影响的、与土壤环境相关的敏感区或对象</w:t>
      </w:r>
      <w:r>
        <w:rPr>
          <w:rFonts w:hint="eastAsia" w:cs="Times New Roman"/>
          <w:color w:val="000000" w:themeColor="text1"/>
          <w:highlight w:val="none"/>
          <w:u w:val="none"/>
          <w:lang w:val="en-US" w:eastAsia="zh-CN"/>
          <w14:textFill>
            <w14:solidFill>
              <w14:schemeClr w14:val="tx1"/>
            </w14:solidFill>
          </w14:textFill>
        </w:rPr>
        <w:t>。</w:t>
      </w:r>
      <w:r>
        <w:rPr>
          <w:rFonts w:hint="default" w:ascii="Times New Roman" w:hAnsi="Times New Roman" w:cs="Times New Roman"/>
          <w:color w:val="000000" w:themeColor="text1"/>
          <w:highlight w:val="none"/>
          <w:u w:val="none"/>
          <w:lang w:val="en-US" w:eastAsia="zh-CN"/>
          <w14:textFill>
            <w14:solidFill>
              <w14:schemeClr w14:val="tx1"/>
            </w14:solidFill>
          </w14:textFill>
        </w:rPr>
        <w:t>结合现状调查，本工程评价范围内不涉及。</w:t>
      </w:r>
    </w:p>
    <w:p w14:paraId="1FAFF42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综上，本</w:t>
      </w:r>
      <w:r>
        <w:rPr>
          <w:rFonts w:hint="eastAsia" w:cs="Times New Roman"/>
          <w:color w:val="000000" w:themeColor="text1"/>
          <w:highlight w:val="none"/>
          <w:u w:val="none"/>
          <w:lang w:val="en-US" w:eastAsia="zh-CN"/>
          <w14:textFill>
            <w14:solidFill>
              <w14:schemeClr w14:val="tx1"/>
            </w14:solidFill>
          </w14:textFill>
        </w:rPr>
        <w:t>工程</w:t>
      </w:r>
      <w:r>
        <w:rPr>
          <w:rFonts w:hint="default" w:ascii="Times New Roman" w:hAnsi="Times New Roman" w:cs="Times New Roman"/>
          <w:color w:val="000000" w:themeColor="text1"/>
          <w:highlight w:val="none"/>
          <w:u w:val="none"/>
          <w:lang w:val="en-US" w:eastAsia="zh-CN"/>
          <w14:textFill>
            <w14:solidFill>
              <w14:schemeClr w14:val="tx1"/>
            </w14:solidFill>
          </w14:textFill>
        </w:rPr>
        <w:t>主要环境保护目标见表2.</w:t>
      </w:r>
      <w:r>
        <w:rPr>
          <w:rFonts w:hint="eastAsia" w:ascii="Times New Roman" w:hAnsi="Times New Roman" w:cs="Times New Roman"/>
          <w:color w:val="000000" w:themeColor="text1"/>
          <w:highlight w:val="none"/>
          <w:u w:val="none"/>
          <w:lang w:val="en-US" w:eastAsia="zh-CN"/>
          <w14:textFill>
            <w14:solidFill>
              <w14:schemeClr w14:val="tx1"/>
            </w14:solidFill>
          </w14:textFill>
        </w:rPr>
        <w:t>6</w:t>
      </w:r>
      <w:r>
        <w:rPr>
          <w:rFonts w:hint="eastAsia" w:cs="Times New Roman"/>
          <w:color w:val="000000" w:themeColor="text1"/>
          <w:highlight w:val="none"/>
          <w:u w:val="none"/>
          <w:lang w:val="en-US" w:eastAsia="zh-CN"/>
          <w14:textFill>
            <w14:solidFill>
              <w14:schemeClr w14:val="tx1"/>
            </w14:solidFill>
          </w14:textFill>
        </w:rPr>
        <w:t>-1~2.6-6，附图</w:t>
      </w:r>
      <w:r>
        <w:rPr>
          <w:rFonts w:hint="default" w:ascii="Times New Roman" w:hAnsi="Times New Roman" w:cs="Times New Roman"/>
          <w:color w:val="000000" w:themeColor="text1"/>
          <w:highlight w:val="none"/>
          <w:u w:val="none"/>
          <w:lang w:val="en-US" w:eastAsia="zh-CN"/>
          <w14:textFill>
            <w14:solidFill>
              <w14:schemeClr w14:val="tx1"/>
            </w14:solidFill>
          </w14:textFill>
        </w:rPr>
        <w:t>2</w:t>
      </w:r>
      <w:r>
        <w:rPr>
          <w:rFonts w:hint="eastAsia" w:ascii="Times New Roman" w:hAnsi="Times New Roman" w:cs="Times New Roman"/>
          <w:color w:val="000000" w:themeColor="text1"/>
          <w:highlight w:val="none"/>
          <w:u w:val="none"/>
          <w:lang w:val="en-US" w:eastAsia="zh-CN"/>
          <w14:textFill>
            <w14:solidFill>
              <w14:schemeClr w14:val="tx1"/>
            </w14:solidFill>
          </w14:textFill>
        </w:rPr>
        <w:t>。</w:t>
      </w:r>
    </w:p>
    <w:p w14:paraId="41080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bookmarkStart w:id="364" w:name="OLE_LINK181"/>
      <w:bookmarkStart w:id="365" w:name="OLE_LINK1347"/>
      <w:bookmarkStart w:id="366" w:name="OLE_LINK477"/>
      <w:bookmarkStart w:id="367" w:name="OLE_LINK1398"/>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-1</w:t>
      </w:r>
      <w:bookmarkEnd w:id="364"/>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bookmarkStart w:id="368" w:name="OLE_LINK182"/>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生态</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环境保护目标一览表</w:t>
      </w:r>
      <w:bookmarkEnd w:id="368"/>
    </w:p>
    <w:bookmarkEnd w:id="348"/>
    <w:bookmarkEnd w:id="365"/>
    <w:bookmarkEnd w:id="366"/>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6"/>
        <w:gridCol w:w="835"/>
        <w:gridCol w:w="1464"/>
        <w:gridCol w:w="1631"/>
        <w:gridCol w:w="1531"/>
        <w:gridCol w:w="2430"/>
      </w:tblGrid>
      <w:tr w14:paraId="5B9E1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334" w:type="pct"/>
            <w:noWrap w:val="0"/>
            <w:vAlign w:val="center"/>
          </w:tcPr>
          <w:p w14:paraId="6C2EED86">
            <w:pPr>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环境要素</w:t>
            </w:r>
          </w:p>
        </w:tc>
        <w:tc>
          <w:tcPr>
            <w:tcW w:w="493" w:type="pct"/>
            <w:noWrap w:val="0"/>
            <w:vAlign w:val="center"/>
          </w:tcPr>
          <w:p w14:paraId="73BA0BB1">
            <w:pPr>
              <w:adjustRightInd w:val="0"/>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bookmarkStart w:id="369" w:name="OLE_LINK1353"/>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bookmarkEnd w:id="369"/>
          </w:p>
        </w:tc>
        <w:tc>
          <w:tcPr>
            <w:tcW w:w="865" w:type="pct"/>
            <w:noWrap w:val="0"/>
            <w:vAlign w:val="center"/>
          </w:tcPr>
          <w:p w14:paraId="63F9375E">
            <w:pPr>
              <w:adjustRightInd w:val="0"/>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名称</w:t>
            </w:r>
          </w:p>
        </w:tc>
        <w:tc>
          <w:tcPr>
            <w:tcW w:w="964" w:type="pct"/>
            <w:noWrap w:val="0"/>
            <w:vAlign w:val="center"/>
          </w:tcPr>
          <w:p w14:paraId="408756D2">
            <w:pPr>
              <w:adjustRightInd w:val="0"/>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主要保护对象</w:t>
            </w:r>
          </w:p>
        </w:tc>
        <w:tc>
          <w:tcPr>
            <w:tcW w:w="905" w:type="pct"/>
            <w:noWrap w:val="0"/>
            <w:vAlign w:val="center"/>
          </w:tcPr>
          <w:p w14:paraId="6C0ACAAF">
            <w:pPr>
              <w:adjustRightInd w:val="0"/>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bookmarkStart w:id="370" w:name="OLE_LINK1335"/>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bookmarkEnd w:id="370"/>
          </w:p>
        </w:tc>
        <w:tc>
          <w:tcPr>
            <w:tcW w:w="1436" w:type="pct"/>
            <w:noWrap w:val="0"/>
            <w:vAlign w:val="center"/>
          </w:tcPr>
          <w:p w14:paraId="3A4E48E1">
            <w:pPr>
              <w:adjustRightInd w:val="0"/>
              <w:spacing w:line="0" w:lineRule="atLeast"/>
              <w:jc w:val="cente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保护目标特征</w:t>
            </w:r>
          </w:p>
        </w:tc>
      </w:tr>
      <w:tr w14:paraId="13EC0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31" w:hRule="atLeast"/>
          <w:jc w:val="center"/>
        </w:trPr>
        <w:tc>
          <w:tcPr>
            <w:tcW w:w="334" w:type="pct"/>
            <w:vMerge w:val="restart"/>
            <w:noWrap w:val="0"/>
            <w:vAlign w:val="center"/>
          </w:tcPr>
          <w:p w14:paraId="644B39C1">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生态环境</w:t>
            </w:r>
          </w:p>
        </w:tc>
        <w:tc>
          <w:tcPr>
            <w:tcW w:w="493" w:type="pct"/>
            <w:vMerge w:val="restart"/>
            <w:noWrap w:val="0"/>
            <w:vAlign w:val="center"/>
          </w:tcPr>
          <w:p w14:paraId="77F51891">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井场场界周围50</w:t>
            </w:r>
            <w:r>
              <w:rPr>
                <w:rFonts w:hint="eastAsia"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t>m</w:t>
            </w: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范围</w:t>
            </w:r>
          </w:p>
        </w:tc>
        <w:tc>
          <w:tcPr>
            <w:tcW w:w="1830" w:type="pct"/>
            <w:gridSpan w:val="2"/>
            <w:noWrap w:val="0"/>
            <w:vAlign w:val="center"/>
          </w:tcPr>
          <w:p w14:paraId="75774A94">
            <w:pPr>
              <w:adjustRightInd w:val="0"/>
              <w:spacing w:line="0" w:lineRule="atLeast"/>
              <w:jc w:val="center"/>
              <w:rPr>
                <w:rFonts w:hint="default"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pPr>
            <w:r>
              <w:rPr>
                <w:rFonts w:hint="eastAsia" w:eastAsia="宋体" w:cs="Times New Roman"/>
                <w:caps w:val="0"/>
                <w:color w:val="000000" w:themeColor="text1"/>
                <w:spacing w:val="-10"/>
                <w:sz w:val="21"/>
                <w:szCs w:val="21"/>
                <w:highlight w:val="none"/>
                <w:lang w:val="en-US" w:eastAsia="zh-CN"/>
                <w14:textFill>
                  <w14:solidFill>
                    <w14:schemeClr w14:val="tx1"/>
                  </w14:solidFill>
                </w14:textFill>
              </w:rPr>
              <w:t>永久</w:t>
            </w:r>
            <w:bookmarkStart w:id="371" w:name="OLE_LINK168"/>
            <w:r>
              <w:rPr>
                <w:rFonts w:hint="default"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t>基本农田</w:t>
            </w:r>
            <w:bookmarkEnd w:id="371"/>
          </w:p>
        </w:tc>
        <w:tc>
          <w:tcPr>
            <w:tcW w:w="905" w:type="pct"/>
            <w:noWrap w:val="0"/>
            <w:vAlign w:val="center"/>
          </w:tcPr>
          <w:p w14:paraId="15042A8B">
            <w:pPr>
              <w:adjustRightInd w:val="0"/>
              <w:spacing w:line="0" w:lineRule="atLeast"/>
              <w:jc w:val="center"/>
              <w:rPr>
                <w:rFonts w:hint="default" w:ascii="Times New Roman" w:hAnsi="Times New Roman" w:eastAsia="宋体" w:cs="Times New Roman"/>
                <w:i w:val="0"/>
                <w:iCs w:val="0"/>
                <w:cap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本工程不占用，评价范围涉及，最近距离20m</w:t>
            </w:r>
          </w:p>
        </w:tc>
        <w:tc>
          <w:tcPr>
            <w:tcW w:w="1436" w:type="pct"/>
            <w:noWrap w:val="0"/>
            <w:vAlign w:val="center"/>
          </w:tcPr>
          <w:p w14:paraId="1E0C68EF">
            <w:pPr>
              <w:adjustRightInd w:val="0"/>
              <w:spacing w:line="0" w:lineRule="atLeast"/>
              <w:jc w:val="center"/>
              <w:rPr>
                <w:rFonts w:hint="default" w:ascii="Times New Roman" w:hAnsi="Times New Roman" w:eastAsia="宋体" w:cs="Times New Roman"/>
                <w:i w:val="0"/>
                <w:iCs w:val="0"/>
                <w:cap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10"/>
                <w:sz w:val="21"/>
                <w:szCs w:val="21"/>
                <w:highlight w:val="none"/>
                <w14:textFill>
                  <w14:solidFill>
                    <w14:schemeClr w14:val="tx1"/>
                  </w14:solidFill>
                </w14:textFill>
              </w:rPr>
              <w:t>种植作物为</w:t>
            </w:r>
            <w:r>
              <w:rPr>
                <w:rFonts w:hint="default" w:ascii="Times New Roman" w:hAnsi="Times New Roman" w:eastAsia="宋体" w:cs="Times New Roman"/>
                <w:i w:val="0"/>
                <w:iCs w:val="0"/>
                <w:caps w:val="0"/>
                <w:color w:val="000000" w:themeColor="text1"/>
                <w:spacing w:val="-10"/>
                <w:sz w:val="21"/>
                <w:szCs w:val="21"/>
                <w:highlight w:val="none"/>
                <w:lang w:val="en-US" w:eastAsia="zh-CN"/>
                <w14:textFill>
                  <w14:solidFill>
                    <w14:schemeClr w14:val="tx1"/>
                  </w14:solidFill>
                </w14:textFill>
              </w:rPr>
              <w:t>小麦、</w:t>
            </w:r>
            <w:r>
              <w:rPr>
                <w:rFonts w:hint="default" w:ascii="Times New Roman" w:hAnsi="Times New Roman" w:eastAsia="宋体" w:cs="Times New Roman"/>
                <w:i w:val="0"/>
                <w:iCs w:val="0"/>
                <w:caps w:val="0"/>
                <w:color w:val="000000" w:themeColor="text1"/>
                <w:spacing w:val="-10"/>
                <w:sz w:val="21"/>
                <w:szCs w:val="21"/>
                <w:highlight w:val="none"/>
                <w14:textFill>
                  <w14:solidFill>
                    <w14:schemeClr w14:val="tx1"/>
                  </w14:solidFill>
                </w14:textFill>
              </w:rPr>
              <w:t>棉花</w:t>
            </w:r>
            <w:r>
              <w:rPr>
                <w:rFonts w:hint="eastAsia" w:cs="Times New Roman"/>
                <w:i w:val="0"/>
                <w:iCs w:val="0"/>
                <w:caps w:val="0"/>
                <w:color w:val="000000" w:themeColor="text1"/>
                <w:spacing w:val="-10"/>
                <w:sz w:val="21"/>
                <w:szCs w:val="21"/>
                <w:highlight w:val="none"/>
                <w:lang w:eastAsia="zh-CN"/>
                <w14:textFill>
                  <w14:solidFill>
                    <w14:schemeClr w14:val="tx1"/>
                  </w14:solidFill>
                </w14:textFill>
              </w:rPr>
              <w:t>、</w:t>
            </w:r>
            <w:r>
              <w:rPr>
                <w:rFonts w:hint="eastAsia" w:cs="Times New Roman"/>
                <w:i w:val="0"/>
                <w:iCs w:val="0"/>
                <w:caps w:val="0"/>
                <w:color w:val="000000" w:themeColor="text1"/>
                <w:spacing w:val="-10"/>
                <w:sz w:val="21"/>
                <w:szCs w:val="21"/>
                <w:highlight w:val="none"/>
                <w:lang w:val="en-US" w:eastAsia="zh-CN"/>
                <w14:textFill>
                  <w14:solidFill>
                    <w14:schemeClr w14:val="tx1"/>
                  </w14:solidFill>
                </w14:textFill>
              </w:rPr>
              <w:t>核桃</w:t>
            </w:r>
            <w:r>
              <w:rPr>
                <w:rFonts w:hint="default" w:ascii="Times New Roman" w:hAnsi="Times New Roman" w:eastAsia="宋体" w:cs="Times New Roman"/>
                <w:i w:val="0"/>
                <w:iCs w:val="0"/>
                <w:caps w:val="0"/>
                <w:color w:val="000000" w:themeColor="text1"/>
                <w:spacing w:val="-10"/>
                <w:sz w:val="21"/>
                <w:szCs w:val="21"/>
                <w:highlight w:val="none"/>
                <w14:textFill>
                  <w14:solidFill>
                    <w14:schemeClr w14:val="tx1"/>
                  </w14:solidFill>
                </w14:textFill>
              </w:rPr>
              <w:t>等</w:t>
            </w:r>
          </w:p>
        </w:tc>
      </w:tr>
      <w:tr w14:paraId="2E067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41" w:hRule="atLeast"/>
          <w:jc w:val="center"/>
        </w:trPr>
        <w:tc>
          <w:tcPr>
            <w:tcW w:w="334" w:type="pct"/>
            <w:vMerge w:val="continue"/>
            <w:noWrap w:val="0"/>
            <w:vAlign w:val="center"/>
          </w:tcPr>
          <w:p w14:paraId="0536DEC6">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493" w:type="pct"/>
            <w:vMerge w:val="continue"/>
            <w:noWrap w:val="0"/>
            <w:vAlign w:val="center"/>
          </w:tcPr>
          <w:p w14:paraId="42BBA7D5">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865" w:type="pct"/>
            <w:noWrap w:val="0"/>
            <w:vAlign w:val="center"/>
          </w:tcPr>
          <w:p w14:paraId="7D3B10D3">
            <w:pPr>
              <w:pStyle w:val="18"/>
              <w:snapToGri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植物</w:t>
            </w:r>
          </w:p>
        </w:tc>
        <w:tc>
          <w:tcPr>
            <w:tcW w:w="964" w:type="pct"/>
            <w:noWrap w:val="0"/>
            <w:vAlign w:val="center"/>
          </w:tcPr>
          <w:p w14:paraId="0A050A9E">
            <w:pPr>
              <w:adjustRightIn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野生植物</w:t>
            </w:r>
          </w:p>
        </w:tc>
        <w:tc>
          <w:tcPr>
            <w:tcW w:w="905" w:type="pct"/>
            <w:noWrap w:val="0"/>
            <w:vAlign w:val="center"/>
          </w:tcPr>
          <w:p w14:paraId="6CE4172F">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评价范围内</w:t>
            </w:r>
          </w:p>
        </w:tc>
        <w:tc>
          <w:tcPr>
            <w:tcW w:w="1436" w:type="pct"/>
            <w:noWrap w:val="0"/>
            <w:vAlign w:val="center"/>
          </w:tcPr>
          <w:p w14:paraId="36AE30E7">
            <w:pPr>
              <w:adjustRightInd w:val="0"/>
              <w:spacing w:line="0" w:lineRule="atLeast"/>
              <w:jc w:val="center"/>
              <w:rPr>
                <w:rFonts w:hint="default"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t>多枝柽柳、盐穗木</w:t>
            </w:r>
            <w:r>
              <w:rPr>
                <w:rFonts w:hint="eastAsia" w:ascii="Times New Roman" w:hAnsi="Times New Roman" w:eastAsia="宋体" w:cs="Times New Roman"/>
                <w:caps w:val="0"/>
                <w:color w:val="000000" w:themeColor="text1"/>
                <w:spacing w:val="-10"/>
                <w:sz w:val="21"/>
                <w:szCs w:val="21"/>
                <w:highlight w:val="none"/>
                <w:lang w:val="en-US" w:eastAsia="zh-CN"/>
                <w14:textFill>
                  <w14:solidFill>
                    <w14:schemeClr w14:val="tx1"/>
                  </w14:solidFill>
                </w14:textFill>
              </w:rPr>
              <w:t>、疏叶骆驼刺、花花柴等</w:t>
            </w:r>
          </w:p>
        </w:tc>
      </w:tr>
      <w:tr w14:paraId="3E12D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4" w:type="pct"/>
            <w:vMerge w:val="continue"/>
            <w:noWrap w:val="0"/>
            <w:vAlign w:val="center"/>
          </w:tcPr>
          <w:p w14:paraId="2F1246A6">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493" w:type="pct"/>
            <w:vMerge w:val="continue"/>
            <w:noWrap w:val="0"/>
            <w:vAlign w:val="center"/>
          </w:tcPr>
          <w:p w14:paraId="2ACD7B76">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865" w:type="pct"/>
            <w:noWrap w:val="0"/>
            <w:vAlign w:val="center"/>
          </w:tcPr>
          <w:p w14:paraId="1A045CD9">
            <w:pPr>
              <w:pStyle w:val="18"/>
              <w:snapToGri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动物</w:t>
            </w:r>
          </w:p>
        </w:tc>
        <w:tc>
          <w:tcPr>
            <w:tcW w:w="964" w:type="pct"/>
            <w:noWrap w:val="0"/>
            <w:vAlign w:val="center"/>
          </w:tcPr>
          <w:p w14:paraId="29AC3D57">
            <w:pPr>
              <w:adjustRightIn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野生动物</w:t>
            </w:r>
          </w:p>
        </w:tc>
        <w:tc>
          <w:tcPr>
            <w:tcW w:w="905" w:type="pct"/>
            <w:noWrap w:val="0"/>
            <w:vAlign w:val="center"/>
          </w:tcPr>
          <w:p w14:paraId="3C81677A">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bookmarkStart w:id="372" w:name="OLE_LINK169"/>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评价范围内</w:t>
            </w:r>
            <w:bookmarkEnd w:id="372"/>
          </w:p>
        </w:tc>
        <w:tc>
          <w:tcPr>
            <w:tcW w:w="1436" w:type="pct"/>
            <w:noWrap w:val="0"/>
            <w:vAlign w:val="center"/>
          </w:tcPr>
          <w:p w14:paraId="5DB5BBB2">
            <w:pPr>
              <w:adjustRightInd w:val="0"/>
              <w:spacing w:line="0" w:lineRule="atLeast"/>
              <w:jc w:val="both"/>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国家二级保护动物塔里木兔，其他动物：麻雀、灰斑鸠、密点麻蜥、荒漠麻蜥等</w:t>
            </w:r>
          </w:p>
        </w:tc>
      </w:tr>
      <w:tr w14:paraId="11F64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4" w:type="pct"/>
            <w:vMerge w:val="continue"/>
            <w:noWrap w:val="0"/>
            <w:vAlign w:val="center"/>
          </w:tcPr>
          <w:p w14:paraId="0B9C5E51">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493" w:type="pct"/>
            <w:vMerge w:val="continue"/>
            <w:noWrap w:val="0"/>
            <w:vAlign w:val="center"/>
          </w:tcPr>
          <w:p w14:paraId="4FB6D0DF">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p>
        </w:tc>
        <w:tc>
          <w:tcPr>
            <w:tcW w:w="865" w:type="pct"/>
            <w:noWrap w:val="0"/>
            <w:vAlign w:val="center"/>
          </w:tcPr>
          <w:p w14:paraId="0A1D0421">
            <w:pPr>
              <w:pStyle w:val="18"/>
              <w:snapToGri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塔里木河流域水土流失重点治理区</w:t>
            </w:r>
          </w:p>
        </w:tc>
        <w:tc>
          <w:tcPr>
            <w:tcW w:w="964" w:type="pct"/>
            <w:noWrap w:val="0"/>
            <w:vAlign w:val="center"/>
          </w:tcPr>
          <w:p w14:paraId="01268DA4">
            <w:pPr>
              <w:pStyle w:val="18"/>
              <w:snapToGri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塔里木河流域水土流失重点治理区</w:t>
            </w:r>
          </w:p>
        </w:tc>
        <w:tc>
          <w:tcPr>
            <w:tcW w:w="905" w:type="pct"/>
            <w:noWrap w:val="0"/>
            <w:vAlign w:val="center"/>
          </w:tcPr>
          <w:p w14:paraId="569211D5">
            <w:pPr>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评价范围内</w:t>
            </w:r>
          </w:p>
        </w:tc>
        <w:tc>
          <w:tcPr>
            <w:tcW w:w="1436" w:type="pct"/>
            <w:noWrap w:val="0"/>
            <w:vAlign w:val="center"/>
          </w:tcPr>
          <w:p w14:paraId="0B7D4E69">
            <w:pPr>
              <w:pStyle w:val="18"/>
              <w:adjustRightInd w:val="0"/>
              <w:spacing w:line="0" w:lineRule="atLeast"/>
              <w:jc w:val="cente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水土流失</w:t>
            </w:r>
          </w:p>
        </w:tc>
      </w:tr>
    </w:tbl>
    <w:p w14:paraId="68F0118C">
      <w:pPr>
        <w:ind w:firstLine="482"/>
        <w:jc w:val="center"/>
        <w:rPr>
          <w:rFonts w:hint="eastAsia" w:ascii="Times New Roman" w:hAnsi="Times New Roman" w:eastAsia="宋体"/>
          <w:b/>
          <w:bCs/>
          <w:caps w:val="0"/>
          <w:color w:val="000000" w:themeColor="text1"/>
          <w:sz w:val="21"/>
          <w:szCs w:val="21"/>
          <w:highlight w:val="none"/>
          <w14:textFill>
            <w14:solidFill>
              <w14:schemeClr w14:val="tx1"/>
            </w14:solidFill>
          </w14:textFill>
        </w:rPr>
      </w:pPr>
      <w:bookmarkStart w:id="373" w:name="OLE_LINK1394"/>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bookmarkStart w:id="374" w:name="OLE_LINK1349"/>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eastAsia="黑体" w:cs="Times New Roman"/>
          <w:b/>
          <w:bCs/>
          <w:color w:val="000000" w:themeColor="text1"/>
          <w:sz w:val="21"/>
          <w:szCs w:val="21"/>
          <w:highlight w:val="none"/>
          <w:lang w:val="en-US" w:eastAsia="zh-CN"/>
          <w14:textFill>
            <w14:solidFill>
              <w14:schemeClr w14:val="tx1"/>
            </w14:solidFill>
          </w14:textFill>
        </w:rPr>
        <w:t>2</w:t>
      </w:r>
      <w:bookmarkEnd w:id="374"/>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eastAsia="黑体" w:cs="Times New Roman"/>
          <w:b/>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环境保护目标一览表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6"/>
        <w:gridCol w:w="1048"/>
        <w:gridCol w:w="2200"/>
        <w:gridCol w:w="1404"/>
        <w:gridCol w:w="1872"/>
        <w:gridCol w:w="1268"/>
      </w:tblGrid>
      <w:tr w14:paraId="29260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3" w:type="pct"/>
            <w:noWrap w:val="0"/>
            <w:vAlign w:val="center"/>
          </w:tcPr>
          <w:p w14:paraId="38DC62C6">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bookmarkStart w:id="375" w:name="OLE_LINK1354" w:colFirst="1" w:colLast="1"/>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环境</w:t>
            </w:r>
          </w:p>
          <w:p w14:paraId="764F83F2">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要素</w:t>
            </w:r>
          </w:p>
        </w:tc>
        <w:tc>
          <w:tcPr>
            <w:tcW w:w="619" w:type="pct"/>
            <w:noWrap w:val="0"/>
            <w:vAlign w:val="center"/>
          </w:tcPr>
          <w:p w14:paraId="31C3D6E2">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p>
        </w:tc>
        <w:tc>
          <w:tcPr>
            <w:tcW w:w="1300" w:type="pct"/>
            <w:noWrap w:val="0"/>
            <w:vAlign w:val="center"/>
          </w:tcPr>
          <w:p w14:paraId="2C9D9FC5">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bookmarkStart w:id="376" w:name="OLE_LINK1350"/>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名称</w:t>
            </w:r>
          </w:p>
        </w:tc>
        <w:tc>
          <w:tcPr>
            <w:tcW w:w="829" w:type="pct"/>
            <w:noWrap w:val="0"/>
            <w:vAlign w:val="center"/>
          </w:tcPr>
          <w:p w14:paraId="7F19EDA5">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bookmarkEnd w:id="376"/>
          </w:p>
        </w:tc>
        <w:tc>
          <w:tcPr>
            <w:tcW w:w="1106" w:type="pct"/>
            <w:noWrap w:val="0"/>
            <w:vAlign w:val="center"/>
          </w:tcPr>
          <w:p w14:paraId="174EC427">
            <w:pPr>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环境功能要求</w:t>
            </w:r>
          </w:p>
        </w:tc>
        <w:tc>
          <w:tcPr>
            <w:tcW w:w="749" w:type="pct"/>
            <w:noWrap w:val="0"/>
            <w:vAlign w:val="center"/>
          </w:tcPr>
          <w:p w14:paraId="172C698D">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备注</w:t>
            </w:r>
          </w:p>
        </w:tc>
      </w:tr>
      <w:tr w14:paraId="20DEA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93" w:type="pct"/>
            <w:noWrap w:val="0"/>
            <w:vAlign w:val="center"/>
          </w:tcPr>
          <w:p w14:paraId="3EE31341">
            <w:pPr>
              <w:spacing w:line="0" w:lineRule="atLeast"/>
              <w:jc w:val="center"/>
              <w:rPr>
                <w:rFonts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地下水环境</w:t>
            </w:r>
          </w:p>
        </w:tc>
        <w:tc>
          <w:tcPr>
            <w:tcW w:w="619" w:type="pct"/>
            <w:noWrap w:val="0"/>
            <w:vAlign w:val="center"/>
          </w:tcPr>
          <w:p w14:paraId="2A3732BE">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井场上游1km，下游2km，两侧1km的矩形区域</w:t>
            </w:r>
          </w:p>
        </w:tc>
        <w:tc>
          <w:tcPr>
            <w:tcW w:w="1300" w:type="pct"/>
            <w:noWrap w:val="0"/>
            <w:vAlign w:val="center"/>
          </w:tcPr>
          <w:p w14:paraId="4DF1B87D">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评价范围内潜水含水层</w:t>
            </w:r>
          </w:p>
        </w:tc>
        <w:tc>
          <w:tcPr>
            <w:tcW w:w="829" w:type="pct"/>
            <w:noWrap w:val="0"/>
            <w:vAlign w:val="center"/>
          </w:tcPr>
          <w:p w14:paraId="4C7FFF3F">
            <w:pPr>
              <w:spacing w:line="0" w:lineRule="atLeast"/>
              <w:jc w:val="center"/>
              <w:rPr>
                <w:rFonts w:hint="eastAsia" w:ascii="Times New Roman" w:hAnsi="Times New Roman" w:eastAsia="宋体"/>
                <w:caps w:val="0"/>
                <w:color w:val="000000" w:themeColor="text1"/>
                <w:spacing w:val="-10"/>
                <w:sz w:val="21"/>
                <w:szCs w:val="21"/>
                <w:highlight w:val="none"/>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井场</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及周边</w:t>
            </w:r>
          </w:p>
        </w:tc>
        <w:tc>
          <w:tcPr>
            <w:tcW w:w="1106" w:type="pct"/>
            <w:noWrap w:val="0"/>
            <w:vAlign w:val="center"/>
          </w:tcPr>
          <w:p w14:paraId="484CE8C3">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ascii="Times New Roman" w:hAnsi="Times New Roman" w:eastAsia="宋体"/>
                <w:caps w:val="0"/>
                <w:color w:val="000000" w:themeColor="text1"/>
                <w:spacing w:val="-10"/>
                <w:sz w:val="21"/>
                <w:szCs w:val="21"/>
                <w:highlight w:val="none"/>
                <w14:textFill>
                  <w14:solidFill>
                    <w14:schemeClr w14:val="tx1"/>
                  </w14:solidFill>
                </w14:textFill>
              </w:rPr>
              <w:t>《地下水质量标准》（GB/T14848-2017）</w:t>
            </w:r>
            <w:r>
              <w:rPr>
                <w:rFonts w:hint="default" w:ascii="Times New Roman" w:hAnsi="Times New Roman" w:eastAsia="宋体" w:cs="Times New Roman"/>
                <w:caps w:val="0"/>
                <w:color w:val="000000" w:themeColor="text1"/>
                <w:spacing w:val="-10"/>
                <w:sz w:val="21"/>
                <w:szCs w:val="21"/>
                <w:highlight w:val="none"/>
                <w14:textFill>
                  <w14:solidFill>
                    <w14:schemeClr w14:val="tx1"/>
                  </w14:solidFill>
                </w14:textFill>
              </w:rPr>
              <w:t>Ⅲ</w:t>
            </w:r>
            <w:r>
              <w:rPr>
                <w:rFonts w:ascii="Times New Roman" w:hAnsi="Times New Roman" w:eastAsia="宋体"/>
                <w:caps w:val="0"/>
                <w:color w:val="000000" w:themeColor="text1"/>
                <w:spacing w:val="-10"/>
                <w:sz w:val="21"/>
                <w:szCs w:val="21"/>
                <w:highlight w:val="none"/>
                <w14:textFill>
                  <w14:solidFill>
                    <w14:schemeClr w14:val="tx1"/>
                  </w14:solidFill>
                </w14:textFill>
              </w:rPr>
              <w:t>类标准</w:t>
            </w:r>
          </w:p>
        </w:tc>
        <w:tc>
          <w:tcPr>
            <w:tcW w:w="749" w:type="pct"/>
            <w:noWrap w:val="0"/>
            <w:vAlign w:val="center"/>
          </w:tcPr>
          <w:p w14:paraId="090CE044">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bookmarkStart w:id="377" w:name="OLE_LINK1348"/>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不低于现状</w:t>
            </w: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w:t>
            </w:r>
            <w:bookmarkEnd w:id="377"/>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不对评价区域地下水产生污染影响</w:t>
            </w:r>
          </w:p>
        </w:tc>
      </w:tr>
      <w:bookmarkEnd w:id="373"/>
      <w:bookmarkEnd w:id="375"/>
    </w:tbl>
    <w:p w14:paraId="06673326">
      <w:pPr>
        <w:ind w:firstLine="482"/>
        <w:jc w:val="center"/>
        <w:rPr>
          <w:rFonts w:hint="eastAsia" w:ascii="Times New Roman" w:hAnsi="Times New Roman" w:eastAsia="黑体" w:cs="Times New Roman"/>
          <w:b/>
          <w:bCs/>
          <w:color w:val="000000" w:themeColor="text1"/>
          <w:sz w:val="21"/>
          <w:szCs w:val="21"/>
          <w:highlight w:val="none"/>
          <w14:textFill>
            <w14:solidFill>
              <w14:schemeClr w14:val="tx1"/>
            </w14:solidFill>
          </w14:textFill>
        </w:rPr>
      </w:pPr>
      <w:r>
        <w:rPr>
          <w:rFonts w:hint="eastAsia" w:ascii="Times New Roman" w:hAnsi="Times New Roman" w:eastAsia="黑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eastAsia="黑体" w:cs="Times New Roman"/>
          <w:b/>
          <w:bCs/>
          <w:color w:val="000000" w:themeColor="text1"/>
          <w:sz w:val="21"/>
          <w:szCs w:val="21"/>
          <w:highlight w:val="none"/>
          <w:lang w:val="en-US" w:eastAsia="zh-CN"/>
          <w14:textFill>
            <w14:solidFill>
              <w14:schemeClr w14:val="tx1"/>
            </w14:solidFill>
          </w14:textFill>
        </w:rPr>
        <w:t>3</w:t>
      </w:r>
      <w:r>
        <w:rPr>
          <w:rFonts w:hint="eastAsia" w:ascii="Times New Roman" w:hAnsi="Times New Roman" w:eastAsia="黑体" w:cs="Times New Roman"/>
          <w:b/>
          <w:bCs/>
          <w:color w:val="000000" w:themeColor="text1"/>
          <w:sz w:val="21"/>
          <w:szCs w:val="21"/>
          <w:highlight w:val="none"/>
          <w14:textFill>
            <w14:solidFill>
              <w14:schemeClr w14:val="tx1"/>
            </w14:solidFill>
          </w14:textFill>
        </w:rPr>
        <w:t xml:space="preserve"> </w:t>
      </w:r>
      <w:r>
        <w:rPr>
          <w:rFonts w:hint="eastAsia"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eastAsia="黑体" w:cs="Times New Roman"/>
          <w:b/>
          <w:bCs/>
          <w:color w:val="000000" w:themeColor="text1"/>
          <w:sz w:val="21"/>
          <w:szCs w:val="21"/>
          <w:highlight w:val="none"/>
          <w14:textFill>
            <w14:solidFill>
              <w14:schemeClr w14:val="tx1"/>
            </w14:solidFill>
          </w14:textFill>
        </w:rPr>
        <w:t>土壤环境保护目标一览表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77"/>
        <w:gridCol w:w="849"/>
        <w:gridCol w:w="1151"/>
        <w:gridCol w:w="1594"/>
        <w:gridCol w:w="3429"/>
        <w:gridCol w:w="558"/>
      </w:tblGrid>
      <w:tr w14:paraId="0399A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1" w:hRule="atLeast"/>
          <w:jc w:val="center"/>
        </w:trPr>
        <w:tc>
          <w:tcPr>
            <w:tcW w:w="518" w:type="pct"/>
            <w:noWrap w:val="0"/>
            <w:vAlign w:val="center"/>
          </w:tcPr>
          <w:p w14:paraId="1E84DFCF">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bookmarkStart w:id="378" w:name="OLE_LINK1355" w:colFirst="1" w:colLast="1"/>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环境要素</w:t>
            </w:r>
          </w:p>
        </w:tc>
        <w:tc>
          <w:tcPr>
            <w:tcW w:w="501" w:type="pct"/>
            <w:noWrap w:val="0"/>
            <w:vAlign w:val="center"/>
          </w:tcPr>
          <w:p w14:paraId="3A9CBE03">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bookmarkStart w:id="379" w:name="OLE_LINK1356"/>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bookmarkEnd w:id="379"/>
          </w:p>
        </w:tc>
        <w:tc>
          <w:tcPr>
            <w:tcW w:w="680" w:type="pct"/>
            <w:noWrap w:val="0"/>
            <w:vAlign w:val="center"/>
          </w:tcPr>
          <w:p w14:paraId="2D84B7F0">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bookmarkStart w:id="380" w:name="OLE_LINK1352"/>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名称</w:t>
            </w:r>
          </w:p>
        </w:tc>
        <w:tc>
          <w:tcPr>
            <w:tcW w:w="942" w:type="pct"/>
            <w:noWrap w:val="0"/>
            <w:vAlign w:val="center"/>
          </w:tcPr>
          <w:p w14:paraId="67B0E34C">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bookmarkEnd w:id="380"/>
          </w:p>
        </w:tc>
        <w:tc>
          <w:tcPr>
            <w:tcW w:w="2027" w:type="pct"/>
            <w:noWrap w:val="0"/>
            <w:vAlign w:val="center"/>
          </w:tcPr>
          <w:p w14:paraId="21CA764E">
            <w:pPr>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环境功能要求</w:t>
            </w:r>
          </w:p>
        </w:tc>
        <w:tc>
          <w:tcPr>
            <w:tcW w:w="329" w:type="pct"/>
            <w:noWrap w:val="0"/>
            <w:vAlign w:val="center"/>
          </w:tcPr>
          <w:p w14:paraId="732B4B94">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备注</w:t>
            </w:r>
          </w:p>
        </w:tc>
      </w:tr>
      <w:tr w14:paraId="141AD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53" w:hRule="atLeast"/>
          <w:jc w:val="center"/>
        </w:trPr>
        <w:tc>
          <w:tcPr>
            <w:tcW w:w="518" w:type="pct"/>
            <w:vMerge w:val="restart"/>
            <w:noWrap w:val="0"/>
            <w:vAlign w:val="center"/>
          </w:tcPr>
          <w:p w14:paraId="5B2C2BFE">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土壤环境</w:t>
            </w:r>
          </w:p>
        </w:tc>
        <w:tc>
          <w:tcPr>
            <w:tcW w:w="501" w:type="pct"/>
            <w:vMerge w:val="restart"/>
            <w:noWrap w:val="0"/>
            <w:vAlign w:val="center"/>
          </w:tcPr>
          <w:p w14:paraId="465C8484">
            <w:pPr>
              <w:spacing w:line="0" w:lineRule="atLeast"/>
              <w:jc w:val="center"/>
              <w:rPr>
                <w:rFonts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井场外扩2km范围</w:t>
            </w:r>
          </w:p>
        </w:tc>
        <w:tc>
          <w:tcPr>
            <w:tcW w:w="680" w:type="pct"/>
            <w:noWrap w:val="0"/>
            <w:vAlign w:val="center"/>
          </w:tcPr>
          <w:p w14:paraId="19B4F580">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评价范围内土壤</w:t>
            </w:r>
          </w:p>
        </w:tc>
        <w:tc>
          <w:tcPr>
            <w:tcW w:w="942" w:type="pct"/>
            <w:vMerge w:val="restart"/>
            <w:noWrap w:val="0"/>
            <w:vAlign w:val="center"/>
          </w:tcPr>
          <w:p w14:paraId="696E4476">
            <w:pPr>
              <w:spacing w:line="0" w:lineRule="atLeast"/>
              <w:jc w:val="center"/>
              <w:rPr>
                <w:rFonts w:hint="eastAsia" w:ascii="Times New Roman" w:hAnsi="Times New Roman" w:eastAsia="宋体" w:cs="宋体"/>
                <w:caps w:val="0"/>
                <w:color w:val="000000" w:themeColor="text1"/>
                <w:spacing w:val="-1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井场</w:t>
            </w:r>
            <w:r>
              <w:rPr>
                <w:rFonts w:hint="eastAsia" w:cs="Times New Roman"/>
                <w:color w:val="000000" w:themeColor="text1"/>
                <w:kern w:val="0"/>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周边</w:t>
            </w:r>
          </w:p>
        </w:tc>
        <w:tc>
          <w:tcPr>
            <w:tcW w:w="2027" w:type="pct"/>
            <w:vMerge w:val="restart"/>
            <w:noWrap w:val="0"/>
            <w:vAlign w:val="center"/>
          </w:tcPr>
          <w:p w14:paraId="56E8A3AD">
            <w:pPr>
              <w:autoSpaceDE w:val="0"/>
              <w:autoSpaceDN w:val="0"/>
              <w:adjustRightInd w:val="0"/>
              <w:snapToGrid w:val="0"/>
              <w:spacing w:line="0" w:lineRule="atLeast"/>
              <w:jc w:val="center"/>
              <w:rPr>
                <w:rFonts w:hint="eastAsia" w:ascii="Times New Roman" w:hAnsi="Times New Roman" w:eastAsia="宋体"/>
                <w:caps w:val="0"/>
                <w:color w:val="000000" w:themeColor="text1"/>
                <w:spacing w:val="-10"/>
                <w:sz w:val="21"/>
                <w:szCs w:val="21"/>
                <w:highlight w:val="none"/>
                <w14:textFill>
                  <w14:solidFill>
                    <w14:schemeClr w14:val="tx1"/>
                  </w14:solidFill>
                </w14:textFill>
              </w:rPr>
            </w:pPr>
            <w:bookmarkStart w:id="381" w:name="OLE_LINK1552"/>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占地范围内执行</w:t>
            </w:r>
            <w:bookmarkEnd w:id="381"/>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《土壤环境质量 建设用地土壤污染风险管控标准（试行）》（GB36600-2018）表1第二类用地筛选值标准；占地范围</w:t>
            </w:r>
            <w:r>
              <w:rPr>
                <w:rFonts w:hint="eastAsia" w:cs="Times New Roman"/>
                <w:color w:val="000000" w:themeColor="text1"/>
                <w:sz w:val="21"/>
                <w:szCs w:val="21"/>
                <w:highlight w:val="none"/>
                <w:u w:val="none"/>
                <w:lang w:val="en-US" w:eastAsia="zh-CN"/>
                <w14:textFill>
                  <w14:solidFill>
                    <w14:schemeClr w14:val="tx1"/>
                  </w14:solidFill>
                </w14:textFill>
              </w:rPr>
              <w:t>外</w:t>
            </w: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执行</w:t>
            </w:r>
            <w:r>
              <w:rPr>
                <w:rFonts w:hint="eastAsia" w:cs="Times New Roman"/>
                <w:color w:val="000000" w:themeColor="text1"/>
                <w:sz w:val="21"/>
                <w:szCs w:val="21"/>
                <w:highlight w:val="none"/>
                <w:u w:val="none"/>
                <w:lang w:eastAsia="zh-CN"/>
                <w14:textFill>
                  <w14:solidFill>
                    <w14:schemeClr w14:val="tx1"/>
                  </w14:solidFill>
                </w14:textFill>
              </w:rPr>
              <w:t>《土壤环境质量 农用地土壤污染风险管控标准（试行）》（GB15618-2018）中表1农用地土壤污染风险筛选值（基本工程）风险筛选值</w:t>
            </w:r>
          </w:p>
        </w:tc>
        <w:tc>
          <w:tcPr>
            <w:tcW w:w="329" w:type="pct"/>
            <w:vMerge w:val="restart"/>
            <w:noWrap w:val="0"/>
            <w:vAlign w:val="center"/>
          </w:tcPr>
          <w:p w14:paraId="12996AF6">
            <w:pPr>
              <w:adjustRightInd w:val="0"/>
              <w:spacing w:line="0" w:lineRule="atLeast"/>
              <w:jc w:val="center"/>
              <w:rPr>
                <w:rFonts w:hint="eastAsia" w:ascii="Times New Roman" w:hAnsi="Times New Roman" w:eastAsia="宋体"/>
                <w:caps w:val="0"/>
                <w:color w:val="000000" w:themeColor="text1"/>
                <w:spacing w:val="-10"/>
                <w:sz w:val="21"/>
                <w:szCs w:val="21"/>
                <w:highlight w:val="none"/>
                <w:lang w:val="en-US" w:eastAsia="zh-CN"/>
                <w14:textFill>
                  <w14:solidFill>
                    <w14:schemeClr w14:val="tx1"/>
                  </w14:solidFill>
                </w14:textFill>
              </w:rPr>
            </w:pPr>
            <w:r>
              <w:rPr>
                <w:rFonts w:hint="eastAsia" w:eastAsia="宋体"/>
                <w:caps w:val="0"/>
                <w:color w:val="000000" w:themeColor="text1"/>
                <w:spacing w:val="-10"/>
                <w:sz w:val="21"/>
                <w:szCs w:val="21"/>
                <w:highlight w:val="none"/>
                <w:lang w:val="en-US" w:eastAsia="zh-CN"/>
                <w14:textFill>
                  <w14:solidFill>
                    <w14:schemeClr w14:val="tx1"/>
                  </w14:solidFill>
                </w14:textFill>
              </w:rPr>
              <w:t>-</w:t>
            </w:r>
          </w:p>
        </w:tc>
      </w:tr>
      <w:tr w14:paraId="4049B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53" w:hRule="atLeast"/>
          <w:jc w:val="center"/>
        </w:trPr>
        <w:tc>
          <w:tcPr>
            <w:tcW w:w="518" w:type="pct"/>
            <w:vMerge w:val="continue"/>
            <w:noWrap w:val="0"/>
            <w:vAlign w:val="center"/>
          </w:tcPr>
          <w:p w14:paraId="5133FD78">
            <w:pPr>
              <w:spacing w:line="0" w:lineRule="atLeast"/>
              <w:jc w:val="center"/>
              <w:rPr>
                <w:color w:val="000000" w:themeColor="text1"/>
                <w:highlight w:val="none"/>
                <w14:textFill>
                  <w14:solidFill>
                    <w14:schemeClr w14:val="tx1"/>
                  </w14:solidFill>
                </w14:textFill>
              </w:rPr>
            </w:pPr>
          </w:p>
        </w:tc>
        <w:tc>
          <w:tcPr>
            <w:tcW w:w="501" w:type="pct"/>
            <w:vMerge w:val="continue"/>
            <w:noWrap w:val="0"/>
            <w:vAlign w:val="center"/>
          </w:tcPr>
          <w:p w14:paraId="263D9B74">
            <w:pPr>
              <w:spacing w:line="0" w:lineRule="atLeast"/>
              <w:jc w:val="center"/>
              <w:rPr>
                <w:color w:val="000000" w:themeColor="text1"/>
                <w:highlight w:val="none"/>
                <w14:textFill>
                  <w14:solidFill>
                    <w14:schemeClr w14:val="tx1"/>
                  </w14:solidFill>
                </w14:textFill>
              </w:rPr>
            </w:pPr>
          </w:p>
        </w:tc>
        <w:tc>
          <w:tcPr>
            <w:tcW w:w="680" w:type="pct"/>
            <w:noWrap w:val="0"/>
            <w:vAlign w:val="center"/>
          </w:tcPr>
          <w:p w14:paraId="7A3F269D">
            <w:pPr>
              <w:spacing w:line="0" w:lineRule="atLeast"/>
              <w:jc w:val="cente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评价范围内</w:t>
            </w:r>
            <w:r>
              <w:rPr>
                <w:rFonts w:hint="eastAsia" w:cs="Times New Roman"/>
                <w:color w:val="000000" w:themeColor="text1"/>
                <w:spacing w:val="0"/>
                <w:sz w:val="21"/>
                <w:szCs w:val="21"/>
                <w:highlight w:val="none"/>
                <w:lang w:val="en-US" w:eastAsia="zh-CN"/>
                <w14:textFill>
                  <w14:solidFill>
                    <w14:schemeClr w14:val="tx1"/>
                  </w14:solidFill>
                </w14:textFill>
              </w:rPr>
              <w:t>耕地</w:t>
            </w:r>
          </w:p>
        </w:tc>
        <w:tc>
          <w:tcPr>
            <w:tcW w:w="942" w:type="pct"/>
            <w:vMerge w:val="continue"/>
            <w:noWrap w:val="0"/>
            <w:vAlign w:val="center"/>
          </w:tcPr>
          <w:p w14:paraId="168A2B85">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027" w:type="pct"/>
            <w:vMerge w:val="continue"/>
            <w:noWrap w:val="0"/>
            <w:vAlign w:val="center"/>
          </w:tcPr>
          <w:p w14:paraId="359501DB">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29" w:type="pct"/>
            <w:vMerge w:val="continue"/>
            <w:noWrap w:val="0"/>
            <w:vAlign w:val="center"/>
          </w:tcPr>
          <w:p w14:paraId="6044A1A2">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bookmarkEnd w:id="378"/>
    </w:tbl>
    <w:p w14:paraId="0D2D0F69">
      <w:pPr>
        <w:ind w:firstLine="482"/>
        <w:jc w:val="center"/>
        <w:rPr>
          <w:rFonts w:hint="eastAsia" w:ascii="Times New Roman" w:hAnsi="Times New Roman" w:eastAsia="黑体" w:cs="Times New Roman"/>
          <w:b/>
          <w:bCs/>
          <w:color w:val="000000" w:themeColor="text1"/>
          <w:sz w:val="21"/>
          <w:szCs w:val="21"/>
          <w:highlight w:val="none"/>
          <w14:textFill>
            <w14:solidFill>
              <w14:schemeClr w14:val="tx1"/>
            </w14:solidFill>
          </w14:textFill>
        </w:rPr>
      </w:pPr>
      <w:r>
        <w:rPr>
          <w:rFonts w:hint="eastAsia" w:ascii="Times New Roman" w:hAnsi="Times New Roman" w:eastAsia="黑体" w:cs="Times New Roman"/>
          <w:b/>
          <w:bCs/>
          <w:color w:val="000000" w:themeColor="text1"/>
          <w:sz w:val="21"/>
          <w:szCs w:val="21"/>
          <w:highlight w:val="none"/>
          <w14:textFill>
            <w14:solidFill>
              <w14:schemeClr w14:val="tx1"/>
            </w14:solidFill>
          </w14:textFill>
        </w:rPr>
        <w:t>表2.</w:t>
      </w:r>
      <w:r>
        <w:rPr>
          <w:rFonts w:hint="eastAsia" w:eastAsia="黑体" w:cs="Times New Roman"/>
          <w:b/>
          <w:bCs/>
          <w:color w:val="000000" w:themeColor="text1"/>
          <w:sz w:val="21"/>
          <w:szCs w:val="21"/>
          <w:highlight w:val="none"/>
          <w:lang w:val="en-US" w:eastAsia="zh-CN"/>
          <w14:textFill>
            <w14:solidFill>
              <w14:schemeClr w14:val="tx1"/>
            </w14:solidFill>
          </w14:textFill>
        </w:rPr>
        <w:t xml:space="preserve">6-4   </w:t>
      </w:r>
      <w:bookmarkStart w:id="382" w:name="OLE_LINK1351"/>
      <w:r>
        <w:rPr>
          <w:rFonts w:hint="eastAsia" w:eastAsia="黑体" w:cs="Times New Roman"/>
          <w:b/>
          <w:bCs/>
          <w:color w:val="000000" w:themeColor="text1"/>
          <w:sz w:val="21"/>
          <w:szCs w:val="21"/>
          <w:highlight w:val="none"/>
          <w:lang w:val="en-US" w:eastAsia="zh-CN"/>
          <w14:textFill>
            <w14:solidFill>
              <w14:schemeClr w14:val="tx1"/>
            </w14:solidFill>
          </w14:textFill>
        </w:rPr>
        <w:t>大气</w:t>
      </w:r>
      <w:r>
        <w:rPr>
          <w:rFonts w:hint="eastAsia" w:ascii="Times New Roman" w:hAnsi="Times New Roman" w:eastAsia="黑体" w:cs="Times New Roman"/>
          <w:b/>
          <w:bCs/>
          <w:color w:val="000000" w:themeColor="text1"/>
          <w:sz w:val="21"/>
          <w:szCs w:val="21"/>
          <w:highlight w:val="none"/>
          <w14:textFill>
            <w14:solidFill>
              <w14:schemeClr w14:val="tx1"/>
            </w14:solidFill>
          </w14:textFill>
        </w:rPr>
        <w:t>环境</w:t>
      </w:r>
      <w:bookmarkEnd w:id="382"/>
      <w:r>
        <w:rPr>
          <w:rFonts w:hint="eastAsia" w:ascii="Times New Roman" w:hAnsi="Times New Roman" w:eastAsia="黑体" w:cs="Times New Roman"/>
          <w:b/>
          <w:bCs/>
          <w:color w:val="000000" w:themeColor="text1"/>
          <w:sz w:val="21"/>
          <w:szCs w:val="21"/>
          <w:highlight w:val="none"/>
          <w14:textFill>
            <w14:solidFill>
              <w14:schemeClr w14:val="tx1"/>
            </w14:solidFill>
          </w14:textFill>
        </w:rPr>
        <w:t>保护目标一览表</w:t>
      </w:r>
    </w:p>
    <w:tbl>
      <w:tblPr>
        <w:tblStyle w:val="37"/>
        <w:tblW w:w="502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70"/>
        <w:gridCol w:w="452"/>
        <w:gridCol w:w="1612"/>
        <w:gridCol w:w="2519"/>
        <w:gridCol w:w="2544"/>
        <w:gridCol w:w="908"/>
      </w:tblGrid>
      <w:tr w14:paraId="7DD32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6" w:type="pct"/>
            <w:noWrap w:val="0"/>
            <w:vAlign w:val="center"/>
          </w:tcPr>
          <w:p w14:paraId="640CEF8C">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环境要素</w:t>
            </w:r>
          </w:p>
        </w:tc>
        <w:tc>
          <w:tcPr>
            <w:tcW w:w="265" w:type="pct"/>
            <w:noWrap w:val="0"/>
            <w:vAlign w:val="center"/>
          </w:tcPr>
          <w:p w14:paraId="6B785D4C">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p>
        </w:tc>
        <w:tc>
          <w:tcPr>
            <w:tcW w:w="947" w:type="pct"/>
            <w:noWrap w:val="0"/>
            <w:vAlign w:val="center"/>
          </w:tcPr>
          <w:p w14:paraId="381DFD3D">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名称</w:t>
            </w:r>
          </w:p>
        </w:tc>
        <w:tc>
          <w:tcPr>
            <w:tcW w:w="1480" w:type="pct"/>
            <w:noWrap w:val="0"/>
            <w:vAlign w:val="center"/>
          </w:tcPr>
          <w:p w14:paraId="469902F8">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p>
        </w:tc>
        <w:tc>
          <w:tcPr>
            <w:tcW w:w="1495" w:type="pct"/>
            <w:noWrap w:val="0"/>
            <w:vAlign w:val="center"/>
          </w:tcPr>
          <w:p w14:paraId="05688AB3">
            <w:pPr>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环境功能要求</w:t>
            </w:r>
          </w:p>
        </w:tc>
        <w:tc>
          <w:tcPr>
            <w:tcW w:w="533" w:type="pct"/>
            <w:noWrap w:val="0"/>
            <w:vAlign w:val="center"/>
          </w:tcPr>
          <w:p w14:paraId="751126BC">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备注</w:t>
            </w:r>
          </w:p>
        </w:tc>
      </w:tr>
      <w:tr w14:paraId="2D839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76" w:type="pct"/>
            <w:vMerge w:val="restart"/>
            <w:noWrap w:val="0"/>
            <w:vAlign w:val="center"/>
          </w:tcPr>
          <w:p w14:paraId="01D3CA4D">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bookmarkStart w:id="383" w:name="OLE_LINK1396"/>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大气</w:t>
            </w:r>
            <w:bookmarkEnd w:id="383"/>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环境</w:t>
            </w:r>
          </w:p>
        </w:tc>
        <w:tc>
          <w:tcPr>
            <w:tcW w:w="265" w:type="pct"/>
            <w:vMerge w:val="restart"/>
            <w:noWrap w:val="0"/>
            <w:vAlign w:val="center"/>
          </w:tcPr>
          <w:p w14:paraId="2D80B3FC">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以井场为中心，边长5km的矩形区域</w:t>
            </w:r>
          </w:p>
        </w:tc>
        <w:tc>
          <w:tcPr>
            <w:tcW w:w="947" w:type="pct"/>
            <w:noWrap w:val="0"/>
            <w:vAlign w:val="center"/>
          </w:tcPr>
          <w:p w14:paraId="34D31AAF">
            <w:pPr>
              <w:spacing w:line="0" w:lineRule="atLeast"/>
              <w:jc w:val="center"/>
              <w:rPr>
                <w:rFonts w:hint="default" w:ascii="Times New Roman" w:hAnsi="Times New Roman" w:eastAsia="宋体" w:cs="宋体"/>
                <w:caps w:val="0"/>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宋体"/>
                <w:caps w:val="0"/>
                <w:color w:val="000000" w:themeColor="text1"/>
                <w:spacing w:val="-10"/>
                <w:sz w:val="21"/>
                <w:szCs w:val="21"/>
                <w:highlight w:val="none"/>
                <w:lang w:val="en-US" w:eastAsia="zh-CN"/>
                <w14:textFill>
                  <w14:solidFill>
                    <w14:schemeClr w14:val="tx1"/>
                  </w14:solidFill>
                </w14:textFill>
              </w:rPr>
              <w:t>海力派艾日克</w:t>
            </w:r>
            <w:r>
              <w:rPr>
                <w:rFonts w:hint="eastAsia" w:cs="宋体"/>
                <w:caps w:val="0"/>
                <w:color w:val="000000" w:themeColor="text1"/>
                <w:spacing w:val="-10"/>
                <w:sz w:val="21"/>
                <w:szCs w:val="21"/>
                <w:highlight w:val="none"/>
                <w:lang w:val="en-US" w:eastAsia="zh-CN"/>
                <w14:textFill>
                  <w14:solidFill>
                    <w14:schemeClr w14:val="tx1"/>
                  </w14:solidFill>
                </w14:textFill>
              </w:rPr>
              <w:t>村</w:t>
            </w:r>
          </w:p>
        </w:tc>
        <w:tc>
          <w:tcPr>
            <w:tcW w:w="1480" w:type="pct"/>
            <w:noWrap w:val="0"/>
            <w:vAlign w:val="center"/>
          </w:tcPr>
          <w:p w14:paraId="175E6F21">
            <w:pPr>
              <w:spacing w:line="0" w:lineRule="atLeast"/>
              <w:jc w:val="center"/>
              <w:rPr>
                <w:rFonts w:hint="default" w:ascii="Times New Roman" w:hAnsi="Times New Roman" w:eastAsia="宋体" w:cs="宋体"/>
                <w:caps w:val="0"/>
                <w:color w:val="000000" w:themeColor="text1"/>
                <w:spacing w:val="-10"/>
                <w:sz w:val="21"/>
                <w:szCs w:val="21"/>
                <w:highlight w:val="none"/>
                <w:lang w:val="en-US" w:eastAsia="zh-CN"/>
                <w14:textFill>
                  <w14:solidFill>
                    <w14:schemeClr w14:val="tx1"/>
                  </w14:solidFill>
                </w14:textFill>
              </w:rPr>
            </w:pPr>
            <w:r>
              <w:rPr>
                <w:rFonts w:hint="eastAsia" w:cs="宋体"/>
                <w:caps w:val="0"/>
                <w:color w:val="000000" w:themeColor="text1"/>
                <w:spacing w:val="-10"/>
                <w:sz w:val="21"/>
                <w:szCs w:val="21"/>
                <w:highlight w:val="none"/>
                <w:lang w:val="en-US" w:eastAsia="zh-CN"/>
                <w14:textFill>
                  <w14:solidFill>
                    <w14:schemeClr w14:val="tx1"/>
                  </w14:solidFill>
                </w14:textFill>
              </w:rPr>
              <w:t>星火7</w:t>
            </w:r>
            <w:r>
              <w:rPr>
                <w:rFonts w:hint="eastAsia" w:eastAsia="宋体" w:cs="宋体"/>
                <w:caps w:val="0"/>
                <w:color w:val="000000" w:themeColor="text1"/>
                <w:spacing w:val="-10"/>
                <w:sz w:val="21"/>
                <w:szCs w:val="21"/>
                <w:highlight w:val="none"/>
                <w:lang w:val="en-US" w:eastAsia="zh-CN"/>
                <w14:textFill>
                  <w14:solidFill>
                    <w14:schemeClr w14:val="tx1"/>
                  </w14:solidFill>
                </w14:textFill>
              </w:rPr>
              <w:t>井南侧</w:t>
            </w:r>
            <w:r>
              <w:rPr>
                <w:rFonts w:hint="eastAsia" w:cs="宋体"/>
                <w:caps w:val="0"/>
                <w:color w:val="000000" w:themeColor="text1"/>
                <w:spacing w:val="-10"/>
                <w:sz w:val="21"/>
                <w:szCs w:val="21"/>
                <w:highlight w:val="none"/>
                <w:lang w:val="en-US" w:eastAsia="zh-CN"/>
                <w14:textFill>
                  <w14:solidFill>
                    <w14:schemeClr w14:val="tx1"/>
                  </w14:solidFill>
                </w14:textFill>
              </w:rPr>
              <w:t>0.22</w:t>
            </w:r>
            <w:r>
              <w:rPr>
                <w:rFonts w:hint="eastAsia" w:eastAsia="宋体" w:cs="宋体"/>
                <w:caps w:val="0"/>
                <w:color w:val="000000" w:themeColor="text1"/>
                <w:spacing w:val="-10"/>
                <w:sz w:val="21"/>
                <w:szCs w:val="21"/>
                <w:highlight w:val="none"/>
                <w:lang w:val="en-US" w:eastAsia="zh-CN"/>
                <w14:textFill>
                  <w14:solidFill>
                    <w14:schemeClr w14:val="tx1"/>
                  </w14:solidFill>
                </w14:textFill>
              </w:rPr>
              <w:t>km</w:t>
            </w:r>
          </w:p>
        </w:tc>
        <w:tc>
          <w:tcPr>
            <w:tcW w:w="1495" w:type="pct"/>
            <w:vMerge w:val="restart"/>
            <w:noWrap w:val="0"/>
            <w:vAlign w:val="center"/>
          </w:tcPr>
          <w:p w14:paraId="6CC7CF05">
            <w:pPr>
              <w:spacing w:line="0" w:lineRule="atLeast"/>
              <w:jc w:val="both"/>
              <w:rPr>
                <w:rFonts w:hint="eastAsia" w:ascii="Times New Roman" w:hAnsi="Times New Roman" w:eastAsia="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aps w:val="0"/>
                <w:color w:val="000000" w:themeColor="text1"/>
                <w:spacing w:val="-10"/>
                <w:sz w:val="21"/>
                <w:szCs w:val="21"/>
                <w:highlight w:val="none"/>
                <w14:textFill>
                  <w14:solidFill>
                    <w14:schemeClr w14:val="tx1"/>
                  </w14:solidFill>
                </w14:textFill>
              </w:rPr>
              <w:t>《环境空气质量标准》（GB3095-2012）二类功能区。</w:t>
            </w:r>
          </w:p>
        </w:tc>
        <w:tc>
          <w:tcPr>
            <w:tcW w:w="533" w:type="pct"/>
            <w:vMerge w:val="restart"/>
            <w:noWrap w:val="0"/>
            <w:vAlign w:val="center"/>
          </w:tcPr>
          <w:p w14:paraId="2C58FDDA">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不因该项目的建设而降低空气质量级别。</w:t>
            </w:r>
          </w:p>
        </w:tc>
      </w:tr>
      <w:tr w14:paraId="100DF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76" w:type="pct"/>
            <w:vMerge w:val="continue"/>
            <w:noWrap w:val="0"/>
            <w:vAlign w:val="center"/>
          </w:tcPr>
          <w:p w14:paraId="586F275D">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bookmarkStart w:id="384" w:name="OLE_LINK1395"/>
          </w:p>
        </w:tc>
        <w:tc>
          <w:tcPr>
            <w:tcW w:w="265" w:type="pct"/>
            <w:vMerge w:val="continue"/>
            <w:noWrap w:val="0"/>
            <w:vAlign w:val="center"/>
          </w:tcPr>
          <w:p w14:paraId="13037E53">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947" w:type="pct"/>
            <w:shd w:val="clear" w:color="auto" w:fill="auto"/>
            <w:noWrap w:val="0"/>
            <w:vAlign w:val="center"/>
          </w:tcPr>
          <w:p w14:paraId="7305477C">
            <w:pPr>
              <w:spacing w:line="0" w:lineRule="atLeast"/>
              <w:jc w:val="center"/>
              <w:rPr>
                <w:rFonts w:hint="default" w:ascii="Times New Roman" w:hAnsi="Times New Roman" w:eastAsia="宋体" w:cs="宋体"/>
                <w:caps w:val="0"/>
                <w:color w:val="000000" w:themeColor="text1"/>
                <w:spacing w:val="-1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库什喀奇塔木</w:t>
            </w:r>
            <w:r>
              <w:rPr>
                <w:rFonts w:hint="eastAsia" w:eastAsia="宋体" w:cs="宋体"/>
                <w:caps w:val="0"/>
                <w:color w:val="000000" w:themeColor="text1"/>
                <w:spacing w:val="-10"/>
                <w:sz w:val="21"/>
                <w:szCs w:val="21"/>
                <w:highlight w:val="none"/>
                <w:lang w:val="en-US" w:eastAsia="zh-CN"/>
                <w14:textFill>
                  <w14:solidFill>
                    <w14:schemeClr w14:val="tx1"/>
                  </w14:solidFill>
                </w14:textFill>
              </w:rPr>
              <w:t>村</w:t>
            </w:r>
          </w:p>
        </w:tc>
        <w:tc>
          <w:tcPr>
            <w:tcW w:w="1480" w:type="pct"/>
            <w:shd w:val="clear" w:color="auto" w:fill="auto"/>
            <w:noWrap w:val="0"/>
            <w:vAlign w:val="center"/>
          </w:tcPr>
          <w:p w14:paraId="54F2A96D">
            <w:pPr>
              <w:spacing w:line="0" w:lineRule="atLeast"/>
              <w:jc w:val="center"/>
              <w:rPr>
                <w:rFonts w:hint="eastAsia" w:ascii="Times New Roman" w:hAnsi="Times New Roman" w:eastAsia="宋体" w:cs="宋体"/>
                <w:caps w:val="0"/>
                <w:color w:val="000000" w:themeColor="text1"/>
                <w:spacing w:val="-10"/>
                <w:sz w:val="21"/>
                <w:szCs w:val="21"/>
                <w:highlight w:val="none"/>
                <w:lang w:val="en-US" w:eastAsia="zh-CN" w:bidi="ar-SA"/>
                <w14:textFill>
                  <w14:solidFill>
                    <w14:schemeClr w14:val="tx1"/>
                  </w14:solidFill>
                </w14:textFill>
              </w:rPr>
            </w:pPr>
            <w:r>
              <w:rPr>
                <w:rFonts w:hint="eastAsia" w:cs="宋体"/>
                <w:caps w:val="0"/>
                <w:color w:val="000000" w:themeColor="text1"/>
                <w:spacing w:val="-10"/>
                <w:sz w:val="21"/>
                <w:szCs w:val="21"/>
                <w:highlight w:val="none"/>
                <w:lang w:val="en-US" w:eastAsia="zh-CN"/>
                <w14:textFill>
                  <w14:solidFill>
                    <w14:schemeClr w14:val="tx1"/>
                  </w14:solidFill>
                </w14:textFill>
              </w:rPr>
              <w:t>星火7</w:t>
            </w:r>
            <w:r>
              <w:rPr>
                <w:rFonts w:hint="eastAsia" w:eastAsia="宋体" w:cs="宋体"/>
                <w:caps w:val="0"/>
                <w:color w:val="000000" w:themeColor="text1"/>
                <w:spacing w:val="-10"/>
                <w:sz w:val="21"/>
                <w:szCs w:val="21"/>
                <w:highlight w:val="none"/>
                <w:lang w:val="en-US" w:eastAsia="zh-CN"/>
                <w14:textFill>
                  <w14:solidFill>
                    <w14:schemeClr w14:val="tx1"/>
                  </w14:solidFill>
                </w14:textFill>
              </w:rPr>
              <w:t>井北侧</w:t>
            </w:r>
            <w:r>
              <w:rPr>
                <w:rFonts w:hint="eastAsia" w:cs="宋体"/>
                <w:caps w:val="0"/>
                <w:color w:val="000000" w:themeColor="text1"/>
                <w:spacing w:val="-10"/>
                <w:sz w:val="21"/>
                <w:szCs w:val="21"/>
                <w:highlight w:val="none"/>
                <w:lang w:val="en-US" w:eastAsia="zh-CN"/>
                <w14:textFill>
                  <w14:solidFill>
                    <w14:schemeClr w14:val="tx1"/>
                  </w14:solidFill>
                </w14:textFill>
              </w:rPr>
              <w:t>2.3</w:t>
            </w:r>
            <w:r>
              <w:rPr>
                <w:rFonts w:hint="eastAsia" w:eastAsia="宋体" w:cs="宋体"/>
                <w:caps w:val="0"/>
                <w:color w:val="000000" w:themeColor="text1"/>
                <w:spacing w:val="-10"/>
                <w:sz w:val="21"/>
                <w:szCs w:val="21"/>
                <w:highlight w:val="none"/>
                <w:lang w:val="en-US" w:eastAsia="zh-CN"/>
                <w14:textFill>
                  <w14:solidFill>
                    <w14:schemeClr w14:val="tx1"/>
                  </w14:solidFill>
                </w14:textFill>
              </w:rPr>
              <w:t>km</w:t>
            </w:r>
          </w:p>
        </w:tc>
        <w:tc>
          <w:tcPr>
            <w:tcW w:w="1495" w:type="pct"/>
            <w:vMerge w:val="continue"/>
            <w:noWrap w:val="0"/>
            <w:vAlign w:val="center"/>
          </w:tcPr>
          <w:p w14:paraId="054C71A2">
            <w:pPr>
              <w:spacing w:line="0" w:lineRule="atLeast"/>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33" w:type="pct"/>
            <w:vMerge w:val="continue"/>
            <w:noWrap w:val="0"/>
            <w:vAlign w:val="center"/>
          </w:tcPr>
          <w:p w14:paraId="634129CB">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14:paraId="42909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76" w:type="pct"/>
            <w:vMerge w:val="continue"/>
            <w:noWrap w:val="0"/>
            <w:vAlign w:val="center"/>
          </w:tcPr>
          <w:p w14:paraId="114F0D23">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265" w:type="pct"/>
            <w:vMerge w:val="continue"/>
            <w:noWrap w:val="0"/>
            <w:vAlign w:val="center"/>
          </w:tcPr>
          <w:p w14:paraId="464F5CB8">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947" w:type="pct"/>
            <w:shd w:val="clear" w:color="auto" w:fill="auto"/>
            <w:noWrap w:val="0"/>
            <w:vAlign w:val="center"/>
          </w:tcPr>
          <w:p w14:paraId="313C2293">
            <w:pPr>
              <w:spacing w:line="0" w:lineRule="atLeast"/>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曲尤克勒克村</w:t>
            </w:r>
          </w:p>
        </w:tc>
        <w:tc>
          <w:tcPr>
            <w:tcW w:w="1480" w:type="pct"/>
            <w:shd w:val="clear" w:color="auto" w:fill="auto"/>
            <w:noWrap w:val="0"/>
            <w:vAlign w:val="center"/>
          </w:tcPr>
          <w:p w14:paraId="09F3D75A">
            <w:pPr>
              <w:spacing w:line="0" w:lineRule="atLeast"/>
              <w:jc w:val="center"/>
              <w:rPr>
                <w:rFonts w:hint="eastAsia" w:ascii="Times New Roman" w:hAnsi="Times New Roman" w:eastAsia="宋体" w:cs="宋体"/>
                <w:caps w:val="0"/>
                <w:color w:val="000000" w:themeColor="text1"/>
                <w:spacing w:val="-10"/>
                <w:sz w:val="21"/>
                <w:szCs w:val="21"/>
                <w:highlight w:val="none"/>
                <w:lang w:val="en-US" w:eastAsia="zh-CN" w:bidi="ar-SA"/>
                <w14:textFill>
                  <w14:solidFill>
                    <w14:schemeClr w14:val="tx1"/>
                  </w14:solidFill>
                </w14:textFill>
              </w:rPr>
            </w:pPr>
            <w:r>
              <w:rPr>
                <w:rFonts w:hint="eastAsia" w:cs="宋体"/>
                <w:caps w:val="0"/>
                <w:color w:val="000000" w:themeColor="text1"/>
                <w:spacing w:val="-10"/>
                <w:sz w:val="21"/>
                <w:szCs w:val="21"/>
                <w:highlight w:val="none"/>
                <w:lang w:val="en-US" w:eastAsia="zh-CN"/>
                <w14:textFill>
                  <w14:solidFill>
                    <w14:schemeClr w14:val="tx1"/>
                  </w14:solidFill>
                </w14:textFill>
              </w:rPr>
              <w:t>星火7</w:t>
            </w:r>
            <w:r>
              <w:rPr>
                <w:rFonts w:hint="eastAsia" w:eastAsia="宋体" w:cs="宋体"/>
                <w:caps w:val="0"/>
                <w:color w:val="000000" w:themeColor="text1"/>
                <w:spacing w:val="-10"/>
                <w:sz w:val="21"/>
                <w:szCs w:val="21"/>
                <w:highlight w:val="none"/>
                <w:lang w:val="en-US" w:eastAsia="zh-CN"/>
                <w14:textFill>
                  <w14:solidFill>
                    <w14:schemeClr w14:val="tx1"/>
                  </w14:solidFill>
                </w14:textFill>
              </w:rPr>
              <w:t>井西北侧</w:t>
            </w:r>
            <w:r>
              <w:rPr>
                <w:rFonts w:hint="eastAsia" w:cs="宋体"/>
                <w:caps w:val="0"/>
                <w:color w:val="000000" w:themeColor="text1"/>
                <w:spacing w:val="-10"/>
                <w:sz w:val="21"/>
                <w:szCs w:val="21"/>
                <w:highlight w:val="none"/>
                <w:lang w:val="en-US" w:eastAsia="zh-CN"/>
                <w14:textFill>
                  <w14:solidFill>
                    <w14:schemeClr w14:val="tx1"/>
                  </w14:solidFill>
                </w14:textFill>
              </w:rPr>
              <w:t>1.4</w:t>
            </w:r>
            <w:r>
              <w:rPr>
                <w:rFonts w:hint="eastAsia" w:eastAsia="宋体" w:cs="宋体"/>
                <w:caps w:val="0"/>
                <w:color w:val="000000" w:themeColor="text1"/>
                <w:spacing w:val="-10"/>
                <w:sz w:val="21"/>
                <w:szCs w:val="21"/>
                <w:highlight w:val="none"/>
                <w:lang w:val="en-US" w:eastAsia="zh-CN"/>
                <w14:textFill>
                  <w14:solidFill>
                    <w14:schemeClr w14:val="tx1"/>
                  </w14:solidFill>
                </w14:textFill>
              </w:rPr>
              <w:t>km</w:t>
            </w:r>
          </w:p>
        </w:tc>
        <w:tc>
          <w:tcPr>
            <w:tcW w:w="1495" w:type="pct"/>
            <w:vMerge w:val="continue"/>
            <w:noWrap w:val="0"/>
            <w:vAlign w:val="center"/>
          </w:tcPr>
          <w:p w14:paraId="08029B18">
            <w:pPr>
              <w:spacing w:line="0" w:lineRule="atLeast"/>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33" w:type="pct"/>
            <w:vMerge w:val="continue"/>
            <w:noWrap w:val="0"/>
            <w:vAlign w:val="center"/>
          </w:tcPr>
          <w:p w14:paraId="4FBBEAF4">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14:paraId="39A48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76" w:type="pct"/>
            <w:vMerge w:val="continue"/>
            <w:noWrap w:val="0"/>
            <w:vAlign w:val="center"/>
          </w:tcPr>
          <w:p w14:paraId="4B4EFD95">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265" w:type="pct"/>
            <w:vMerge w:val="continue"/>
            <w:noWrap w:val="0"/>
            <w:vAlign w:val="center"/>
          </w:tcPr>
          <w:p w14:paraId="37EA641E">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947" w:type="pct"/>
            <w:shd w:val="clear" w:color="auto" w:fill="auto"/>
            <w:noWrap w:val="0"/>
            <w:vAlign w:val="center"/>
          </w:tcPr>
          <w:p w14:paraId="38C5E18F">
            <w:pPr>
              <w:spacing w:line="0" w:lineRule="atLeast"/>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霍加吐鲁斯村</w:t>
            </w:r>
          </w:p>
        </w:tc>
        <w:tc>
          <w:tcPr>
            <w:tcW w:w="1480" w:type="pct"/>
            <w:shd w:val="clear" w:color="auto" w:fill="auto"/>
            <w:noWrap w:val="0"/>
            <w:vAlign w:val="center"/>
          </w:tcPr>
          <w:p w14:paraId="538622DD">
            <w:pPr>
              <w:spacing w:line="0" w:lineRule="atLeast"/>
              <w:jc w:val="center"/>
              <w:rPr>
                <w:rFonts w:hint="eastAsia" w:ascii="Times New Roman" w:hAnsi="Times New Roman" w:eastAsia="宋体" w:cs="宋体"/>
                <w:caps w:val="0"/>
                <w:color w:val="000000" w:themeColor="text1"/>
                <w:spacing w:val="-10"/>
                <w:sz w:val="21"/>
                <w:szCs w:val="21"/>
                <w:highlight w:val="none"/>
                <w:lang w:val="en-US" w:eastAsia="zh-CN" w:bidi="ar-SA"/>
                <w14:textFill>
                  <w14:solidFill>
                    <w14:schemeClr w14:val="tx1"/>
                  </w14:solidFill>
                </w14:textFill>
              </w:rPr>
            </w:pPr>
            <w:r>
              <w:rPr>
                <w:rFonts w:hint="eastAsia" w:cs="宋体"/>
                <w:caps w:val="0"/>
                <w:color w:val="000000" w:themeColor="text1"/>
                <w:spacing w:val="-10"/>
                <w:sz w:val="21"/>
                <w:szCs w:val="21"/>
                <w:highlight w:val="none"/>
                <w:lang w:val="en-US" w:eastAsia="zh-CN"/>
                <w14:textFill>
                  <w14:solidFill>
                    <w14:schemeClr w14:val="tx1"/>
                  </w14:solidFill>
                </w14:textFill>
              </w:rPr>
              <w:t>星火7</w:t>
            </w:r>
            <w:r>
              <w:rPr>
                <w:rFonts w:hint="eastAsia" w:eastAsia="宋体" w:cs="宋体"/>
                <w:caps w:val="0"/>
                <w:color w:val="000000" w:themeColor="text1"/>
                <w:spacing w:val="-10"/>
                <w:sz w:val="21"/>
                <w:szCs w:val="21"/>
                <w:highlight w:val="none"/>
                <w:lang w:val="en-US" w:eastAsia="zh-CN"/>
                <w14:textFill>
                  <w14:solidFill>
                    <w14:schemeClr w14:val="tx1"/>
                  </w14:solidFill>
                </w14:textFill>
              </w:rPr>
              <w:t>井西侧</w:t>
            </w:r>
            <w:r>
              <w:rPr>
                <w:rFonts w:hint="eastAsia" w:cs="宋体"/>
                <w:caps w:val="0"/>
                <w:color w:val="000000" w:themeColor="text1"/>
                <w:spacing w:val="-10"/>
                <w:sz w:val="21"/>
                <w:szCs w:val="21"/>
                <w:highlight w:val="none"/>
                <w:lang w:val="en-US" w:eastAsia="zh-CN"/>
                <w14:textFill>
                  <w14:solidFill>
                    <w14:schemeClr w14:val="tx1"/>
                  </w14:solidFill>
                </w14:textFill>
              </w:rPr>
              <w:t>3.1</w:t>
            </w:r>
            <w:r>
              <w:rPr>
                <w:rFonts w:hint="eastAsia" w:eastAsia="宋体" w:cs="宋体"/>
                <w:caps w:val="0"/>
                <w:color w:val="000000" w:themeColor="text1"/>
                <w:spacing w:val="-10"/>
                <w:sz w:val="21"/>
                <w:szCs w:val="21"/>
                <w:highlight w:val="none"/>
                <w:lang w:val="en-US" w:eastAsia="zh-CN"/>
                <w14:textFill>
                  <w14:solidFill>
                    <w14:schemeClr w14:val="tx1"/>
                  </w14:solidFill>
                </w14:textFill>
              </w:rPr>
              <w:t>km</w:t>
            </w:r>
          </w:p>
        </w:tc>
        <w:tc>
          <w:tcPr>
            <w:tcW w:w="1495" w:type="pct"/>
            <w:vMerge w:val="continue"/>
            <w:noWrap w:val="0"/>
            <w:vAlign w:val="center"/>
          </w:tcPr>
          <w:p w14:paraId="19C4391E">
            <w:pPr>
              <w:spacing w:line="0" w:lineRule="atLeast"/>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33" w:type="pct"/>
            <w:vMerge w:val="continue"/>
            <w:noWrap w:val="0"/>
            <w:vAlign w:val="center"/>
          </w:tcPr>
          <w:p w14:paraId="21730791">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14:paraId="33FDC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76" w:type="pct"/>
            <w:vMerge w:val="continue"/>
            <w:noWrap w:val="0"/>
            <w:vAlign w:val="center"/>
          </w:tcPr>
          <w:p w14:paraId="40CE40AE">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265" w:type="pct"/>
            <w:vMerge w:val="continue"/>
            <w:noWrap w:val="0"/>
            <w:vAlign w:val="center"/>
          </w:tcPr>
          <w:p w14:paraId="0EC6BA95">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p>
        </w:tc>
        <w:tc>
          <w:tcPr>
            <w:tcW w:w="947" w:type="pct"/>
            <w:noWrap w:val="0"/>
            <w:vAlign w:val="center"/>
          </w:tcPr>
          <w:p w14:paraId="54C2AA43">
            <w:pPr>
              <w:spacing w:line="0" w:lineRule="atLeas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裁缝铁热克村</w:t>
            </w:r>
          </w:p>
        </w:tc>
        <w:tc>
          <w:tcPr>
            <w:tcW w:w="1480" w:type="pct"/>
            <w:noWrap w:val="0"/>
            <w:vAlign w:val="center"/>
          </w:tcPr>
          <w:p w14:paraId="37549463">
            <w:pPr>
              <w:spacing w:line="0" w:lineRule="atLeast"/>
              <w:jc w:val="center"/>
              <w:rPr>
                <w:rFonts w:hint="eastAsia" w:cs="宋体"/>
                <w:caps w:val="0"/>
                <w:color w:val="000000" w:themeColor="text1"/>
                <w:spacing w:val="-10"/>
                <w:sz w:val="21"/>
                <w:szCs w:val="21"/>
                <w:highlight w:val="none"/>
                <w:lang w:val="en-US" w:eastAsia="zh-CN"/>
                <w14:textFill>
                  <w14:solidFill>
                    <w14:schemeClr w14:val="tx1"/>
                  </w14:solidFill>
                </w14:textFill>
              </w:rPr>
            </w:pPr>
            <w:r>
              <w:rPr>
                <w:rFonts w:hint="eastAsia" w:cs="宋体"/>
                <w:caps w:val="0"/>
                <w:color w:val="000000" w:themeColor="text1"/>
                <w:spacing w:val="-10"/>
                <w:sz w:val="21"/>
                <w:szCs w:val="21"/>
                <w:highlight w:val="none"/>
                <w:lang w:val="en-US" w:eastAsia="zh-CN"/>
                <w14:textFill>
                  <w14:solidFill>
                    <w14:schemeClr w14:val="tx1"/>
                  </w14:solidFill>
                </w14:textFill>
              </w:rPr>
              <w:t>星火7</w:t>
            </w:r>
            <w:r>
              <w:rPr>
                <w:rFonts w:hint="eastAsia" w:eastAsia="宋体" w:cs="宋体"/>
                <w:caps w:val="0"/>
                <w:color w:val="000000" w:themeColor="text1"/>
                <w:spacing w:val="-10"/>
                <w:sz w:val="21"/>
                <w:szCs w:val="21"/>
                <w:highlight w:val="none"/>
                <w:lang w:val="en-US" w:eastAsia="zh-CN"/>
                <w14:textFill>
                  <w14:solidFill>
                    <w14:schemeClr w14:val="tx1"/>
                  </w14:solidFill>
                </w14:textFill>
              </w:rPr>
              <w:t>井西侧</w:t>
            </w:r>
            <w:r>
              <w:rPr>
                <w:rFonts w:hint="eastAsia" w:cs="宋体"/>
                <w:caps w:val="0"/>
                <w:color w:val="000000" w:themeColor="text1"/>
                <w:spacing w:val="-10"/>
                <w:sz w:val="21"/>
                <w:szCs w:val="21"/>
                <w:highlight w:val="none"/>
                <w:lang w:val="en-US" w:eastAsia="zh-CN"/>
                <w14:textFill>
                  <w14:solidFill>
                    <w14:schemeClr w14:val="tx1"/>
                  </w14:solidFill>
                </w14:textFill>
              </w:rPr>
              <w:t>2.1</w:t>
            </w:r>
            <w:r>
              <w:rPr>
                <w:rFonts w:hint="eastAsia" w:eastAsia="宋体" w:cs="宋体"/>
                <w:caps w:val="0"/>
                <w:color w:val="000000" w:themeColor="text1"/>
                <w:spacing w:val="-10"/>
                <w:sz w:val="21"/>
                <w:szCs w:val="21"/>
                <w:highlight w:val="none"/>
                <w:lang w:val="en-US" w:eastAsia="zh-CN"/>
                <w14:textFill>
                  <w14:solidFill>
                    <w14:schemeClr w14:val="tx1"/>
                  </w14:solidFill>
                </w14:textFill>
              </w:rPr>
              <w:t>km</w:t>
            </w:r>
          </w:p>
        </w:tc>
        <w:tc>
          <w:tcPr>
            <w:tcW w:w="1495" w:type="pct"/>
            <w:vMerge w:val="continue"/>
            <w:noWrap w:val="0"/>
            <w:vAlign w:val="center"/>
          </w:tcPr>
          <w:p w14:paraId="68D4C261">
            <w:pPr>
              <w:spacing w:line="0" w:lineRule="atLeast"/>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33" w:type="pct"/>
            <w:vMerge w:val="continue"/>
            <w:noWrap w:val="0"/>
            <w:vAlign w:val="center"/>
          </w:tcPr>
          <w:p w14:paraId="761B0B9F">
            <w:pPr>
              <w:spacing w:line="0" w:lineRule="atLeast"/>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bl>
    <w:p w14:paraId="483008C5">
      <w:pPr>
        <w:ind w:firstLine="482"/>
        <w:jc w:val="center"/>
        <w:rPr>
          <w:rFonts w:hint="eastAsia" w:ascii="Times New Roman" w:hAnsi="Times New Roman" w:eastAsia="宋体"/>
          <w:b/>
          <w:bCs/>
          <w:cap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eastAsia="黑体" w:cs="Times New Roman"/>
          <w:b/>
          <w:bCs/>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eastAsia="黑体" w:cs="Times New Roman"/>
          <w:b/>
          <w:bCs/>
          <w:color w:val="000000" w:themeColor="text1"/>
          <w:sz w:val="21"/>
          <w:szCs w:val="21"/>
          <w:highlight w:val="none"/>
          <w:lang w:val="en-US" w:eastAsia="zh-CN"/>
          <w14:textFill>
            <w14:solidFill>
              <w14:schemeClr w14:val="tx1"/>
            </w14:solidFill>
          </w14:textFill>
        </w:rPr>
        <w:t>声</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环境保护目标一览表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6"/>
        <w:gridCol w:w="1025"/>
        <w:gridCol w:w="1338"/>
        <w:gridCol w:w="1746"/>
        <w:gridCol w:w="1860"/>
        <w:gridCol w:w="1823"/>
      </w:tblGrid>
      <w:tr w14:paraId="387CA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3" w:type="pct"/>
            <w:noWrap w:val="0"/>
            <w:vAlign w:val="center"/>
          </w:tcPr>
          <w:p w14:paraId="2E77EEB0">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环境</w:t>
            </w:r>
          </w:p>
          <w:p w14:paraId="6E8CEFFE">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要素</w:t>
            </w:r>
          </w:p>
        </w:tc>
        <w:tc>
          <w:tcPr>
            <w:tcW w:w="606" w:type="pct"/>
            <w:noWrap w:val="0"/>
            <w:vAlign w:val="center"/>
          </w:tcPr>
          <w:p w14:paraId="0679D325">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p>
        </w:tc>
        <w:tc>
          <w:tcPr>
            <w:tcW w:w="790" w:type="pct"/>
            <w:noWrap w:val="0"/>
            <w:vAlign w:val="center"/>
          </w:tcPr>
          <w:p w14:paraId="6B0C7ADC">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名称</w:t>
            </w:r>
          </w:p>
        </w:tc>
        <w:tc>
          <w:tcPr>
            <w:tcW w:w="1032" w:type="pct"/>
            <w:noWrap w:val="0"/>
            <w:vAlign w:val="center"/>
          </w:tcPr>
          <w:p w14:paraId="0A2B66F5">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p>
        </w:tc>
        <w:tc>
          <w:tcPr>
            <w:tcW w:w="1099" w:type="pct"/>
            <w:noWrap w:val="0"/>
            <w:vAlign w:val="center"/>
          </w:tcPr>
          <w:p w14:paraId="646E9F38">
            <w:pPr>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环境功能要求</w:t>
            </w:r>
          </w:p>
        </w:tc>
        <w:tc>
          <w:tcPr>
            <w:tcW w:w="1077" w:type="pct"/>
            <w:noWrap w:val="0"/>
            <w:vAlign w:val="center"/>
          </w:tcPr>
          <w:p w14:paraId="00720E6B">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备注</w:t>
            </w:r>
          </w:p>
        </w:tc>
      </w:tr>
      <w:tr w14:paraId="7715B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93" w:type="pct"/>
            <w:noWrap w:val="0"/>
            <w:vAlign w:val="center"/>
          </w:tcPr>
          <w:p w14:paraId="5C4A5E49">
            <w:pPr>
              <w:spacing w:line="0" w:lineRule="atLeast"/>
              <w:jc w:val="center"/>
              <w:rPr>
                <w:rFonts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eastAsia="宋体" w:cs="宋体"/>
                <w:caps w:val="0"/>
                <w:color w:val="000000" w:themeColor="text1"/>
                <w:spacing w:val="-10"/>
                <w:sz w:val="21"/>
                <w:szCs w:val="21"/>
                <w:highlight w:val="none"/>
                <w:lang w:val="en-US" w:eastAsia="zh-CN"/>
                <w14:textFill>
                  <w14:solidFill>
                    <w14:schemeClr w14:val="tx1"/>
                  </w14:solidFill>
                </w14:textFill>
              </w:rPr>
              <w:t>声</w:t>
            </w: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环境</w:t>
            </w:r>
          </w:p>
        </w:tc>
        <w:tc>
          <w:tcPr>
            <w:tcW w:w="606" w:type="pct"/>
            <w:noWrap w:val="0"/>
            <w:vAlign w:val="center"/>
          </w:tcPr>
          <w:p w14:paraId="3C70D15B">
            <w:pPr>
              <w:spacing w:line="0" w:lineRule="atLeast"/>
              <w:jc w:val="center"/>
              <w:rPr>
                <w:rFonts w:hint="eastAsia" w:ascii="Times New Roman" w:hAnsi="Times New Roman" w:eastAsia="宋体" w:cs="宋体"/>
                <w:caps w:val="0"/>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井场边界向外200m</w:t>
            </w:r>
            <w:r>
              <w:rPr>
                <w:rFonts w:hint="eastAsia" w:eastAsia="宋体" w:cs="宋体"/>
                <w:caps w:val="0"/>
                <w:color w:val="000000" w:themeColor="text1"/>
                <w:spacing w:val="-10"/>
                <w:sz w:val="21"/>
                <w:szCs w:val="21"/>
                <w:highlight w:val="none"/>
                <w:lang w:val="en-US" w:eastAsia="zh-CN"/>
                <w14:textFill>
                  <w14:solidFill>
                    <w14:schemeClr w14:val="tx1"/>
                  </w14:solidFill>
                </w14:textFill>
              </w:rPr>
              <w:t>内</w:t>
            </w:r>
          </w:p>
        </w:tc>
        <w:tc>
          <w:tcPr>
            <w:tcW w:w="790" w:type="pct"/>
            <w:noWrap w:val="0"/>
            <w:vAlign w:val="center"/>
          </w:tcPr>
          <w:p w14:paraId="2F1C7C55">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工程区声环境</w:t>
            </w:r>
          </w:p>
        </w:tc>
        <w:tc>
          <w:tcPr>
            <w:tcW w:w="1032" w:type="pct"/>
            <w:noWrap w:val="0"/>
            <w:vAlign w:val="center"/>
          </w:tcPr>
          <w:p w14:paraId="2B633A5E">
            <w:pPr>
              <w:spacing w:line="0" w:lineRule="atLeast"/>
              <w:jc w:val="center"/>
              <w:rPr>
                <w:rFonts w:hint="default" w:ascii="Times New Roman" w:hAnsi="Times New Roman" w:eastAsia="宋体"/>
                <w:caps w:val="0"/>
                <w:color w:val="000000" w:themeColor="text1"/>
                <w:spacing w:val="-10"/>
                <w:sz w:val="21"/>
                <w:szCs w:val="21"/>
                <w:highlight w:val="none"/>
                <w:lang w:val="en-US"/>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井场边界向外200m评价范围内</w:t>
            </w:r>
          </w:p>
        </w:tc>
        <w:tc>
          <w:tcPr>
            <w:tcW w:w="1099" w:type="pct"/>
            <w:noWrap w:val="0"/>
            <w:vAlign w:val="center"/>
          </w:tcPr>
          <w:p w14:paraId="2D97052B">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声环境质量标准</w:t>
            </w: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GB3096-2008</w:t>
            </w: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中的2类标准</w:t>
            </w:r>
          </w:p>
        </w:tc>
        <w:tc>
          <w:tcPr>
            <w:tcW w:w="1077" w:type="pct"/>
            <w:noWrap w:val="0"/>
            <w:vAlign w:val="center"/>
          </w:tcPr>
          <w:p w14:paraId="11075592">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不低于现状</w:t>
            </w: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，不对评价区域</w:t>
            </w:r>
            <w:r>
              <w:rPr>
                <w:rFonts w:hint="eastAsia" w:eastAsia="宋体" w:cs="宋体"/>
                <w:caps w:val="0"/>
                <w:color w:val="000000" w:themeColor="text1"/>
                <w:spacing w:val="-10"/>
                <w:sz w:val="21"/>
                <w:szCs w:val="21"/>
                <w:highlight w:val="none"/>
                <w:lang w:val="en-US" w:eastAsia="zh-CN"/>
                <w14:textFill>
                  <w14:solidFill>
                    <w14:schemeClr w14:val="tx1"/>
                  </w14:solidFill>
                </w14:textFill>
              </w:rPr>
              <w:t>声环境</w:t>
            </w: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产生</w:t>
            </w:r>
            <w:r>
              <w:rPr>
                <w:rFonts w:hint="eastAsia" w:cs="宋体"/>
                <w:caps w:val="0"/>
                <w:color w:val="000000" w:themeColor="text1"/>
                <w:spacing w:val="-10"/>
                <w:sz w:val="21"/>
                <w:szCs w:val="21"/>
                <w:highlight w:val="none"/>
                <w:lang w:val="en-US" w:eastAsia="zh-CN"/>
                <w14:textFill>
                  <w14:solidFill>
                    <w14:schemeClr w14:val="tx1"/>
                  </w14:solidFill>
                </w14:textFill>
              </w:rPr>
              <w:t>影响</w:t>
            </w:r>
            <w: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t>。</w:t>
            </w:r>
          </w:p>
        </w:tc>
      </w:tr>
      <w:bookmarkEnd w:id="384"/>
    </w:tbl>
    <w:p w14:paraId="3744B9E9">
      <w:pPr>
        <w:ind w:firstLine="482"/>
        <w:jc w:val="center"/>
        <w:rPr>
          <w:rFonts w:hint="eastAsia" w:ascii="Times New Roman" w:hAnsi="Times New Roman" w:eastAsia="宋体"/>
          <w:b/>
          <w:bCs/>
          <w:cap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eastAsia="黑体" w:cs="Times New Roman"/>
          <w:b/>
          <w:bCs/>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w:t>
      </w:r>
      <w:r>
        <w:rPr>
          <w:rFonts w:hint="eastAsia" w:eastAsia="黑体" w:cs="Times New Roman"/>
          <w:b/>
          <w:bCs/>
          <w:color w:val="000000" w:themeColor="text1"/>
          <w:sz w:val="21"/>
          <w:szCs w:val="21"/>
          <w:highlight w:val="none"/>
          <w:lang w:val="en-US" w:eastAsia="zh-CN"/>
          <w14:textFill>
            <w14:solidFill>
              <w14:schemeClr w14:val="tx1"/>
            </w14:solidFill>
          </w14:textFill>
        </w:rPr>
        <w:t>环境风险</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保护目标一览表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6"/>
        <w:gridCol w:w="1026"/>
        <w:gridCol w:w="1266"/>
        <w:gridCol w:w="1467"/>
        <w:gridCol w:w="3272"/>
        <w:gridCol w:w="761"/>
      </w:tblGrid>
      <w:tr w14:paraId="72E18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3" w:type="pct"/>
            <w:noWrap w:val="0"/>
            <w:vAlign w:val="center"/>
          </w:tcPr>
          <w:p w14:paraId="46728E0C">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环境</w:t>
            </w:r>
          </w:p>
          <w:p w14:paraId="2D05CE69">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要素</w:t>
            </w:r>
          </w:p>
        </w:tc>
        <w:tc>
          <w:tcPr>
            <w:tcW w:w="606" w:type="pct"/>
            <w:noWrap w:val="0"/>
            <w:vAlign w:val="center"/>
          </w:tcPr>
          <w:p w14:paraId="210D61E0">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评价范围</w:t>
            </w:r>
          </w:p>
        </w:tc>
        <w:tc>
          <w:tcPr>
            <w:tcW w:w="748" w:type="pct"/>
            <w:noWrap w:val="0"/>
            <w:vAlign w:val="center"/>
          </w:tcPr>
          <w:p w14:paraId="4C2E318E">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t>名称</w:t>
            </w:r>
          </w:p>
        </w:tc>
        <w:tc>
          <w:tcPr>
            <w:tcW w:w="867" w:type="pct"/>
            <w:noWrap w:val="0"/>
            <w:vAlign w:val="center"/>
          </w:tcPr>
          <w:p w14:paraId="176039FF">
            <w:pPr>
              <w:spacing w:line="0" w:lineRule="atLeast"/>
              <w:jc w:val="center"/>
              <w:rPr>
                <w:rFonts w:hint="eastAsia" w:ascii="Times New Roman" w:hAnsi="Times New Roman" w:eastAsia="宋体" w:cs="宋体"/>
                <w:b/>
                <w:bCs/>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相对</w:t>
            </w:r>
            <w:r>
              <w:rPr>
                <w:rFonts w:hint="default" w:ascii="Times New Roman" w:hAnsi="Times New Roman" w:eastAsia="宋体" w:cs="Times New Roman"/>
                <w:b/>
                <w:bCs/>
                <w:caps w:val="0"/>
                <w:color w:val="000000" w:themeColor="text1"/>
                <w:spacing w:val="-10"/>
                <w:sz w:val="21"/>
                <w:szCs w:val="21"/>
                <w:highlight w:val="none"/>
                <w:lang w:eastAsia="zh-CN"/>
                <w14:textFill>
                  <w14:solidFill>
                    <w14:schemeClr w14:val="tx1"/>
                  </w14:solidFill>
                </w14:textFill>
              </w:rPr>
              <w:t>本</w:t>
            </w:r>
            <w:r>
              <w:rPr>
                <w:rFonts w:hint="eastAsia" w:ascii="Times New Roman" w:hAnsi="Times New Roman" w:eastAsia="宋体" w:cs="Times New Roman"/>
                <w:b/>
                <w:bCs/>
                <w:caps w:val="0"/>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aps w:val="0"/>
                <w:color w:val="000000" w:themeColor="text1"/>
                <w:spacing w:val="-10"/>
                <w:sz w:val="21"/>
                <w:szCs w:val="21"/>
                <w:highlight w:val="none"/>
                <w14:textFill>
                  <w14:solidFill>
                    <w14:schemeClr w14:val="tx1"/>
                  </w14:solidFill>
                </w14:textFill>
              </w:rPr>
              <w:t>位置</w:t>
            </w:r>
          </w:p>
        </w:tc>
        <w:tc>
          <w:tcPr>
            <w:tcW w:w="1934" w:type="pct"/>
            <w:noWrap w:val="0"/>
            <w:vAlign w:val="center"/>
          </w:tcPr>
          <w:p w14:paraId="7F0D9B1B">
            <w:pPr>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环境功能要求</w:t>
            </w:r>
          </w:p>
        </w:tc>
        <w:tc>
          <w:tcPr>
            <w:tcW w:w="449" w:type="pct"/>
            <w:noWrap w:val="0"/>
            <w:vAlign w:val="center"/>
          </w:tcPr>
          <w:p w14:paraId="44CF162C">
            <w:pPr>
              <w:adjustRightInd w:val="0"/>
              <w:spacing w:line="0" w:lineRule="atLeast"/>
              <w:jc w:val="cente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pPr>
            <w:r>
              <w:rPr>
                <w:rFonts w:hint="eastAsia" w:ascii="Times New Roman" w:hAnsi="Times New Roman" w:eastAsia="宋体"/>
                <w:b/>
                <w:bCs/>
                <w:caps w:val="0"/>
                <w:color w:val="000000" w:themeColor="text1"/>
                <w:spacing w:val="-10"/>
                <w:sz w:val="21"/>
                <w:szCs w:val="21"/>
                <w:highlight w:val="none"/>
                <w14:textFill>
                  <w14:solidFill>
                    <w14:schemeClr w14:val="tx1"/>
                  </w14:solidFill>
                </w14:textFill>
              </w:rPr>
              <w:t>备注</w:t>
            </w:r>
          </w:p>
        </w:tc>
      </w:tr>
      <w:tr w14:paraId="4A1C7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93" w:type="pct"/>
            <w:noWrap w:val="0"/>
            <w:vAlign w:val="center"/>
          </w:tcPr>
          <w:p w14:paraId="6B3F4D0C">
            <w:pPr>
              <w:spacing w:line="0" w:lineRule="atLeast"/>
              <w:jc w:val="center"/>
              <w:rPr>
                <w:rFonts w:hint="eastAsia" w:eastAsia="宋体" w:cs="宋体"/>
                <w:caps w:val="0"/>
                <w:color w:val="000000" w:themeColor="text1"/>
                <w:spacing w:val="-10"/>
                <w:sz w:val="21"/>
                <w:szCs w:val="21"/>
                <w:highlight w:val="none"/>
                <w:lang w:val="en-US" w:eastAsia="zh-CN"/>
                <w14:textFill>
                  <w14:solidFill>
                    <w14:schemeClr w14:val="tx1"/>
                  </w14:solidFill>
                </w14:textFill>
              </w:rPr>
            </w:pPr>
            <w:bookmarkStart w:id="385" w:name="OLE_LINK1397"/>
            <w:r>
              <w:rPr>
                <w:rFonts w:hint="eastAsia" w:eastAsia="宋体" w:cs="宋体"/>
                <w:caps w:val="0"/>
                <w:color w:val="000000" w:themeColor="text1"/>
                <w:spacing w:val="-10"/>
                <w:sz w:val="21"/>
                <w:szCs w:val="21"/>
                <w:highlight w:val="none"/>
                <w:lang w:val="en-US" w:eastAsia="zh-CN"/>
                <w14:textFill>
                  <w14:solidFill>
                    <w14:schemeClr w14:val="tx1"/>
                  </w14:solidFill>
                </w14:textFill>
              </w:rPr>
              <w:t>环境</w:t>
            </w:r>
          </w:p>
          <w:p w14:paraId="6945B175">
            <w:pPr>
              <w:spacing w:line="0" w:lineRule="atLeast"/>
              <w:jc w:val="center"/>
              <w:rPr>
                <w:rFonts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eastAsia="宋体" w:cs="宋体"/>
                <w:caps w:val="0"/>
                <w:color w:val="000000" w:themeColor="text1"/>
                <w:spacing w:val="-10"/>
                <w:sz w:val="21"/>
                <w:szCs w:val="21"/>
                <w:highlight w:val="none"/>
                <w:lang w:val="en-US" w:eastAsia="zh-CN"/>
                <w14:textFill>
                  <w14:solidFill>
                    <w14:schemeClr w14:val="tx1"/>
                  </w14:solidFill>
                </w14:textFill>
              </w:rPr>
              <w:t>风险</w:t>
            </w:r>
            <w:bookmarkEnd w:id="385"/>
          </w:p>
        </w:tc>
        <w:tc>
          <w:tcPr>
            <w:tcW w:w="606" w:type="pct"/>
            <w:noWrap w:val="0"/>
            <w:vAlign w:val="center"/>
          </w:tcPr>
          <w:p w14:paraId="356F15C2">
            <w:pPr>
              <w:spacing w:line="0" w:lineRule="atLeast"/>
              <w:jc w:val="center"/>
              <w:rPr>
                <w:rFonts w:hint="default" w:ascii="Times New Roman" w:hAnsi="Times New Roman" w:eastAsia="宋体" w:cs="宋体"/>
                <w:caps w:val="0"/>
                <w:color w:val="000000" w:themeColor="text1"/>
                <w:spacing w:val="-10"/>
                <w:sz w:val="21"/>
                <w:szCs w:val="21"/>
                <w:highlight w:val="none"/>
                <w:lang w:val="en-US" w:eastAsia="zh-CN"/>
                <w14:textFill>
                  <w14:solidFill>
                    <w14:schemeClr w14:val="tx1"/>
                  </w14:solidFill>
                </w14:textFill>
              </w:rPr>
            </w:pPr>
            <w:r>
              <w:rPr>
                <w:rFonts w:hint="eastAsia" w:eastAsia="宋体" w:cs="宋体"/>
                <w:caps w:val="0"/>
                <w:color w:val="000000" w:themeColor="text1"/>
                <w:spacing w:val="-10"/>
                <w:sz w:val="21"/>
                <w:szCs w:val="21"/>
                <w:highlight w:val="none"/>
                <w:lang w:val="en-US" w:eastAsia="zh-CN"/>
                <w14:textFill>
                  <w14:solidFill>
                    <w14:schemeClr w14:val="tx1"/>
                  </w14:solidFill>
                </w14:textFill>
              </w:rPr>
              <w:t>参照大气环境评价范围</w:t>
            </w:r>
          </w:p>
        </w:tc>
        <w:tc>
          <w:tcPr>
            <w:tcW w:w="748" w:type="pct"/>
            <w:noWrap w:val="0"/>
            <w:vAlign w:val="center"/>
          </w:tcPr>
          <w:p w14:paraId="384042B6">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eastAsia" w:eastAsia="宋体" w:cs="宋体"/>
                <w:caps w:val="0"/>
                <w:color w:val="000000" w:themeColor="text1"/>
                <w:spacing w:val="-10"/>
                <w:sz w:val="21"/>
                <w:szCs w:val="21"/>
                <w:highlight w:val="none"/>
                <w:lang w:val="en-US" w:eastAsia="zh-CN"/>
                <w14:textFill>
                  <w14:solidFill>
                    <w14:schemeClr w14:val="tx1"/>
                  </w14:solidFill>
                </w14:textFill>
              </w:rPr>
              <w:t>环境风险</w:t>
            </w:r>
          </w:p>
        </w:tc>
        <w:tc>
          <w:tcPr>
            <w:tcW w:w="867" w:type="pct"/>
            <w:noWrap w:val="0"/>
            <w:vAlign w:val="center"/>
          </w:tcPr>
          <w:p w14:paraId="48366680">
            <w:pPr>
              <w:spacing w:line="0" w:lineRule="atLeast"/>
              <w:jc w:val="center"/>
              <w:rPr>
                <w:rFonts w:hint="default" w:ascii="Times New Roman" w:hAnsi="Times New Roman" w:eastAsia="宋体"/>
                <w:caps w:val="0"/>
                <w:color w:val="000000" w:themeColor="text1"/>
                <w:spacing w:val="-10"/>
                <w:sz w:val="21"/>
                <w:szCs w:val="21"/>
                <w:highlight w:val="none"/>
                <w:lang w:val="en-US"/>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井场</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及周边</w:t>
            </w:r>
          </w:p>
        </w:tc>
        <w:tc>
          <w:tcPr>
            <w:tcW w:w="1934" w:type="pct"/>
            <w:noWrap w:val="0"/>
            <w:vAlign w:val="center"/>
          </w:tcPr>
          <w:p w14:paraId="1051129E">
            <w:pPr>
              <w:spacing w:line="0" w:lineRule="atLeast"/>
              <w:jc w:val="center"/>
              <w:rPr>
                <w:rFonts w:hint="eastAsia" w:ascii="Times New Roman" w:hAnsi="Times New Roman" w:eastAsia="宋体" w:cs="宋体"/>
                <w:cap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发生风险事故时，可快速采取环境风险防范措施，确保风险事故对土壤、地下水等环境的影响程度可控</w:t>
            </w:r>
          </w:p>
        </w:tc>
        <w:tc>
          <w:tcPr>
            <w:tcW w:w="449" w:type="pct"/>
            <w:noWrap w:val="0"/>
            <w:vAlign w:val="center"/>
          </w:tcPr>
          <w:p w14:paraId="3C00C768">
            <w:pPr>
              <w:spacing w:line="0" w:lineRule="atLeast"/>
              <w:jc w:val="center"/>
              <w:rPr>
                <w:rFonts w:hint="eastAsia" w:ascii="Times New Roman" w:hAnsi="Times New Roman" w:eastAsia="宋体" w:cs="宋体"/>
                <w:caps w:val="0"/>
                <w:color w:val="000000" w:themeColor="text1"/>
                <w:spacing w:val="-10"/>
                <w:sz w:val="21"/>
                <w:szCs w:val="21"/>
                <w:highlight w:val="none"/>
                <w:lang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w:t>
            </w:r>
          </w:p>
        </w:tc>
      </w:tr>
      <w:bookmarkEnd w:id="325"/>
      <w:bookmarkEnd w:id="367"/>
    </w:tbl>
    <w:p w14:paraId="02C2359E">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386" w:name="_Toc30415"/>
      <w:bookmarkStart w:id="387" w:name="OLE_LINK481"/>
      <w:r>
        <w:rPr>
          <w:rFonts w:hint="default" w:ascii="Times New Roman" w:hAnsi="Times New Roman" w:cs="Times New Roman"/>
          <w:color w:val="000000" w:themeColor="text1"/>
          <w:highlight w:val="none"/>
          <w14:textFill>
            <w14:solidFill>
              <w14:schemeClr w14:val="tx1"/>
            </w14:solidFill>
          </w14:textFill>
        </w:rPr>
        <w:t>2.7</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default" w:ascii="Times New Roman" w:hAnsi="Times New Roman" w:cs="Times New Roman"/>
          <w:color w:val="000000" w:themeColor="text1"/>
          <w:highlight w:val="none"/>
          <w14:textFill>
            <w14:solidFill>
              <w14:schemeClr w14:val="tx1"/>
            </w14:solidFill>
          </w14:textFill>
        </w:rPr>
        <w:t>评价内容和评价重点</w:t>
      </w:r>
      <w:bookmarkEnd w:id="386"/>
    </w:p>
    <w:bookmarkEnd w:id="387"/>
    <w:p w14:paraId="2BADE75E">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388" w:name="OLE_LINK476"/>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\l _Toc2023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.1 评价内容</w:t>
      </w:r>
      <w:r>
        <w:rPr>
          <w:rFonts w:hint="default" w:ascii="Times New Roman" w:hAnsi="Times New Roman" w:eastAsia="宋体" w:cs="Times New Roman"/>
          <w:color w:val="000000" w:themeColor="text1"/>
          <w:highlight w:val="none"/>
          <w14:textFill>
            <w14:solidFill>
              <w14:schemeClr w14:val="tx1"/>
            </w14:solidFill>
          </w14:textFill>
        </w:rPr>
        <w:fldChar w:fldCharType="end"/>
      </w:r>
    </w:p>
    <w:bookmarkEnd w:id="388"/>
    <w:p w14:paraId="32601A3E">
      <w:pPr>
        <w:pStyle w:val="67"/>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000000" w:themeColor="text1"/>
          <w:highlight w:val="none"/>
          <w:lang w:val="en-US" w:eastAsia="zh-CN"/>
          <w14:textFill>
            <w14:solidFill>
              <w14:schemeClr w14:val="tx1"/>
            </w14:solidFill>
          </w14:textFill>
        </w:rPr>
      </w:pPr>
      <w:bookmarkStart w:id="389" w:name="OLE_LINK482"/>
      <w:r>
        <w:rPr>
          <w:rFonts w:hint="default" w:ascii="Times New Roman" w:hAnsi="Times New Roman" w:cs="Times New Roman"/>
          <w:color w:val="000000" w:themeColor="text1"/>
          <w:highlight w:val="none"/>
          <w14:textFill>
            <w14:solidFill>
              <w14:schemeClr w14:val="tx1"/>
            </w14:solidFill>
          </w14:textFill>
        </w:rPr>
        <w:t>根据《</w:t>
      </w:r>
      <w:bookmarkStart w:id="390" w:name="OLE_LINK478"/>
      <w:r>
        <w:rPr>
          <w:rFonts w:hint="default" w:ascii="Times New Roman" w:hAnsi="Times New Roman" w:cs="Times New Roman"/>
          <w:color w:val="000000" w:themeColor="text1"/>
          <w:highlight w:val="none"/>
          <w14:textFill>
            <w14:solidFill>
              <w14:schemeClr w14:val="tx1"/>
            </w14:solidFill>
          </w14:textFill>
        </w:rPr>
        <w:t>建设项目环境影响评价技术导则</w:t>
      </w:r>
      <w:bookmarkEnd w:id="390"/>
      <w:r>
        <w:rPr>
          <w:rFonts w:hint="eastAsia" w:cs="Times New Roman"/>
          <w:color w:val="000000" w:themeColor="text1"/>
          <w:highlight w:val="none"/>
          <w:lang w:val="en-US" w:eastAsia="zh-CN"/>
          <w14:textFill>
            <w14:solidFill>
              <w14:schemeClr w14:val="tx1"/>
            </w14:solidFill>
          </w14:textFill>
        </w:rPr>
        <w:t xml:space="preserve"> 总纲</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HJ2.1-2016</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要求，结合建设项目具体特点、周围区域环境现状、环境功能区划，确定本次评价内容包括</w:t>
      </w:r>
      <w:bookmarkStart w:id="391" w:name="OLE_LINK480"/>
      <w:r>
        <w:rPr>
          <w:rFonts w:hint="default" w:ascii="Times New Roman" w:hAnsi="Times New Roman" w:cs="Times New Roman"/>
          <w:color w:val="000000" w:themeColor="text1"/>
          <w:highlight w:val="none"/>
          <w14:textFill>
            <w14:solidFill>
              <w14:schemeClr w14:val="tx1"/>
            </w14:solidFill>
          </w14:textFill>
        </w:rPr>
        <w:t>建设项目工程概况和工程分析</w:t>
      </w:r>
      <w:bookmarkEnd w:id="391"/>
      <w:r>
        <w:rPr>
          <w:rFonts w:hint="default" w:ascii="Times New Roman" w:hAnsi="Times New Roman" w:cs="Times New Roman"/>
          <w:color w:val="000000" w:themeColor="text1"/>
          <w:highlight w:val="none"/>
          <w14:textFill>
            <w14:solidFill>
              <w14:schemeClr w14:val="tx1"/>
            </w14:solidFill>
          </w14:textFill>
        </w:rPr>
        <w:t>、</w:t>
      </w:r>
      <w:bookmarkStart w:id="392" w:name="OLE_LINK484"/>
      <w:r>
        <w:rPr>
          <w:rFonts w:hint="default" w:ascii="Times New Roman" w:hAnsi="Times New Roman" w:cs="Times New Roman"/>
          <w:color w:val="000000" w:themeColor="text1"/>
          <w:highlight w:val="none"/>
          <w14:textFill>
            <w14:solidFill>
              <w14:schemeClr w14:val="tx1"/>
            </w14:solidFill>
          </w14:textFill>
        </w:rPr>
        <w:t>环境现状调查与评价</w:t>
      </w:r>
      <w:bookmarkEnd w:id="392"/>
      <w:r>
        <w:rPr>
          <w:rFonts w:hint="default" w:ascii="Times New Roman" w:hAnsi="Times New Roman" w:cs="Times New Roman"/>
          <w:color w:val="000000" w:themeColor="text1"/>
          <w:highlight w:val="none"/>
          <w14:textFill>
            <w14:solidFill>
              <w14:schemeClr w14:val="tx1"/>
            </w14:solidFill>
          </w14:textFill>
        </w:rPr>
        <w:t>、</w:t>
      </w:r>
      <w:bookmarkStart w:id="393" w:name="OLE_LINK485"/>
      <w:r>
        <w:rPr>
          <w:rFonts w:hint="default" w:ascii="Times New Roman" w:hAnsi="Times New Roman" w:cs="Times New Roman"/>
          <w:color w:val="000000" w:themeColor="text1"/>
          <w:highlight w:val="none"/>
          <w14:textFill>
            <w14:solidFill>
              <w14:schemeClr w14:val="tx1"/>
            </w14:solidFill>
          </w14:textFill>
        </w:rPr>
        <w:t>环境影响预测与评价</w:t>
      </w:r>
      <w:bookmarkEnd w:id="393"/>
      <w:r>
        <w:rPr>
          <w:rFonts w:hint="default" w:ascii="Times New Roman" w:hAnsi="Times New Roman" w:cs="Times New Roman"/>
          <w:color w:val="000000" w:themeColor="text1"/>
          <w:highlight w:val="none"/>
          <w14:textFill>
            <w14:solidFill>
              <w14:schemeClr w14:val="tx1"/>
            </w14:solidFill>
          </w14:textFill>
        </w:rPr>
        <w:t>、</w:t>
      </w:r>
      <w:bookmarkStart w:id="394" w:name="OLE_LINK486"/>
      <w:r>
        <w:rPr>
          <w:rFonts w:hint="default" w:ascii="Times New Roman" w:hAnsi="Times New Roman" w:cs="Times New Roman"/>
          <w:color w:val="000000" w:themeColor="text1"/>
          <w:highlight w:val="none"/>
          <w14:textFill>
            <w14:solidFill>
              <w14:schemeClr w14:val="tx1"/>
            </w14:solidFill>
          </w14:textFill>
        </w:rPr>
        <w:t>环境保护措施可行性论证</w:t>
      </w:r>
      <w:bookmarkEnd w:id="394"/>
      <w:r>
        <w:rPr>
          <w:rFonts w:hint="default" w:ascii="Times New Roman" w:hAnsi="Times New Roman" w:cs="Times New Roman"/>
          <w:color w:val="000000" w:themeColor="text1"/>
          <w:highlight w:val="none"/>
          <w14:textFill>
            <w14:solidFill>
              <w14:schemeClr w14:val="tx1"/>
            </w14:solidFill>
          </w14:textFill>
        </w:rPr>
        <w:t>、</w:t>
      </w:r>
      <w:bookmarkStart w:id="395" w:name="OLE_LINK487"/>
      <w:r>
        <w:rPr>
          <w:rFonts w:hint="default" w:ascii="Times New Roman" w:hAnsi="Times New Roman" w:cs="Times New Roman"/>
          <w:color w:val="000000" w:themeColor="text1"/>
          <w:highlight w:val="none"/>
          <w14:textFill>
            <w14:solidFill>
              <w14:schemeClr w14:val="tx1"/>
            </w14:solidFill>
          </w14:textFill>
        </w:rPr>
        <w:t>温室气体排放影响评价</w:t>
      </w:r>
      <w:bookmarkEnd w:id="395"/>
      <w:r>
        <w:rPr>
          <w:rFonts w:hint="default" w:ascii="Times New Roman" w:hAnsi="Times New Roman" w:cs="Times New Roman"/>
          <w:color w:val="000000" w:themeColor="text1"/>
          <w:highlight w:val="none"/>
          <w14:textFill>
            <w14:solidFill>
              <w14:schemeClr w14:val="tx1"/>
            </w14:solidFill>
          </w14:textFill>
        </w:rPr>
        <w:t>、</w:t>
      </w:r>
      <w:bookmarkStart w:id="396" w:name="OLE_LINK488"/>
      <w:r>
        <w:rPr>
          <w:rFonts w:hint="default" w:ascii="Times New Roman" w:hAnsi="Times New Roman" w:cs="Times New Roman"/>
          <w:color w:val="000000" w:themeColor="text1"/>
          <w:highlight w:val="none"/>
          <w14:textFill>
            <w14:solidFill>
              <w14:schemeClr w14:val="tx1"/>
            </w14:solidFill>
          </w14:textFill>
        </w:rPr>
        <w:t>环境影响经济损益分析</w:t>
      </w:r>
      <w:bookmarkEnd w:id="396"/>
      <w:r>
        <w:rPr>
          <w:rFonts w:hint="default" w:ascii="Times New Roman" w:hAnsi="Times New Roman" w:cs="Times New Roman"/>
          <w:color w:val="000000" w:themeColor="text1"/>
          <w:highlight w:val="none"/>
          <w14:textFill>
            <w14:solidFill>
              <w14:schemeClr w14:val="tx1"/>
            </w14:solidFill>
          </w14:textFill>
        </w:rPr>
        <w:t>、</w:t>
      </w:r>
      <w:bookmarkStart w:id="397" w:name="OLE_LINK489"/>
      <w:r>
        <w:rPr>
          <w:rFonts w:hint="default" w:ascii="Times New Roman" w:hAnsi="Times New Roman" w:cs="Times New Roman"/>
          <w:color w:val="000000" w:themeColor="text1"/>
          <w:highlight w:val="none"/>
          <w14:textFill>
            <w14:solidFill>
              <w14:schemeClr w14:val="tx1"/>
            </w14:solidFill>
          </w14:textFill>
        </w:rPr>
        <w:t>环境管理与监测计划</w:t>
      </w:r>
      <w:bookmarkEnd w:id="397"/>
      <w:r>
        <w:rPr>
          <w:rFonts w:hint="eastAsia" w:cs="Times New Roman"/>
          <w:color w:val="000000" w:themeColor="text1"/>
          <w:highlight w:val="none"/>
          <w:lang w:eastAsia="zh-CN"/>
          <w14:textFill>
            <w14:solidFill>
              <w14:schemeClr w14:val="tx1"/>
            </w14:solidFill>
          </w14:textFill>
        </w:rPr>
        <w:t>、结论</w:t>
      </w:r>
      <w:r>
        <w:rPr>
          <w:rFonts w:hint="default" w:ascii="Times New Roman" w:hAnsi="Times New Roman" w:cs="Times New Roman"/>
          <w:color w:val="000000" w:themeColor="text1"/>
          <w:highlight w:val="none"/>
          <w14:textFill>
            <w14:solidFill>
              <w14:schemeClr w14:val="tx1"/>
            </w14:solidFill>
          </w14:textFill>
        </w:rPr>
        <w:t>，见表</w:t>
      </w:r>
      <w:r>
        <w:rPr>
          <w:rFonts w:hint="eastAsia" w:cs="Times New Roman"/>
          <w:color w:val="000000" w:themeColor="text1"/>
          <w:highlight w:val="none"/>
          <w:lang w:val="en-US" w:eastAsia="zh-CN"/>
          <w14:textFill>
            <w14:solidFill>
              <w14:schemeClr w14:val="tx1"/>
            </w14:solidFill>
          </w14:textFill>
        </w:rPr>
        <w:t>2.7-1。</w:t>
      </w:r>
    </w:p>
    <w:p w14:paraId="58168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黑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-1</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评价内容一览表</w:t>
      </w:r>
    </w:p>
    <w:tbl>
      <w:tblPr>
        <w:tblStyle w:val="37"/>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47"/>
        <w:gridCol w:w="3004"/>
        <w:gridCol w:w="4972"/>
      </w:tblGrid>
      <w:tr w14:paraId="1FA85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0542A3D1">
            <w:pPr>
              <w:spacing w:line="240" w:lineRule="auto"/>
              <w:ind w:firstLine="0" w:firstLineChars="0"/>
              <w:jc w:val="center"/>
              <w:textAlignment w:val="baseline"/>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741" w:type="pct"/>
            <w:vAlign w:val="center"/>
          </w:tcPr>
          <w:p w14:paraId="63F0717B">
            <w:pPr>
              <w:spacing w:line="240" w:lineRule="auto"/>
              <w:ind w:firstLine="0" w:firstLineChars="0"/>
              <w:jc w:val="center"/>
              <w:textAlignment w:val="baseline"/>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评价专题</w:t>
            </w:r>
          </w:p>
        </w:tc>
        <w:tc>
          <w:tcPr>
            <w:tcW w:w="2882" w:type="pct"/>
            <w:vAlign w:val="center"/>
          </w:tcPr>
          <w:p w14:paraId="775B79B2">
            <w:pPr>
              <w:spacing w:line="240" w:lineRule="auto"/>
              <w:ind w:firstLine="0" w:firstLineChars="0"/>
              <w:jc w:val="center"/>
              <w:textAlignment w:val="baseline"/>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评价内容</w:t>
            </w:r>
          </w:p>
        </w:tc>
      </w:tr>
      <w:tr w14:paraId="4DC71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33F29475">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741" w:type="pct"/>
            <w:vAlign w:val="center"/>
          </w:tcPr>
          <w:p w14:paraId="32506D7D">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建设项目工程概况和工程分析</w:t>
            </w:r>
          </w:p>
        </w:tc>
        <w:tc>
          <w:tcPr>
            <w:tcW w:w="2882" w:type="pct"/>
            <w:vAlign w:val="center"/>
          </w:tcPr>
          <w:p w14:paraId="62C07E27">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项目概况、</w:t>
            </w:r>
            <w:r>
              <w:rPr>
                <w:rFonts w:hint="eastAsia"/>
                <w:color w:val="000000" w:themeColor="text1"/>
                <w:sz w:val="21"/>
                <w:szCs w:val="21"/>
                <w:highlight w:val="none"/>
                <w14:textFill>
                  <w14:solidFill>
                    <w14:schemeClr w14:val="tx1"/>
                  </w14:solidFill>
                </w14:textFill>
              </w:rPr>
              <w:t>油气资源概况</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工程组成</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工程分析</w:t>
            </w:r>
            <w:r>
              <w:rPr>
                <w:color w:val="000000" w:themeColor="text1"/>
                <w:sz w:val="21"/>
                <w:szCs w:val="21"/>
                <w:highlight w:val="none"/>
                <w14:textFill>
                  <w14:solidFill>
                    <w14:schemeClr w14:val="tx1"/>
                  </w14:solidFill>
                </w14:textFill>
              </w:rPr>
              <w:t>、依托工程，根据污染物产生环节、方式及治理措施，核算有组织与无组织的污染物产生和排放强度，给出污染因子及其产生和排放的方式、浓度及数量等</w:t>
            </w:r>
            <w:r>
              <w:rPr>
                <w:rFonts w:hint="eastAsia"/>
                <w:color w:val="000000" w:themeColor="text1"/>
                <w:sz w:val="21"/>
                <w:szCs w:val="21"/>
                <w:highlight w:val="none"/>
                <w:lang w:eastAsia="zh-CN"/>
                <w14:textFill>
                  <w14:solidFill>
                    <w14:schemeClr w14:val="tx1"/>
                  </w14:solidFill>
                </w14:textFill>
              </w:rPr>
              <w:t>。</w:t>
            </w:r>
          </w:p>
        </w:tc>
      </w:tr>
      <w:tr w14:paraId="373562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4D68BA9E">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741" w:type="pct"/>
            <w:vAlign w:val="center"/>
          </w:tcPr>
          <w:p w14:paraId="657A6E44">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环境现状调查与评价</w:t>
            </w:r>
          </w:p>
        </w:tc>
        <w:tc>
          <w:tcPr>
            <w:tcW w:w="2882" w:type="pct"/>
            <w:vAlign w:val="center"/>
          </w:tcPr>
          <w:p w14:paraId="66AE6FE3">
            <w:pPr>
              <w:spacing w:line="240" w:lineRule="auto"/>
              <w:ind w:firstLine="0" w:firstLineChars="0"/>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自然环境概况</w:t>
            </w:r>
            <w:r>
              <w:rPr>
                <w:color w:val="000000" w:themeColor="text1"/>
                <w:sz w:val="21"/>
                <w:szCs w:val="21"/>
                <w:highlight w:val="none"/>
                <w14:textFill>
                  <w14:solidFill>
                    <w14:schemeClr w14:val="tx1"/>
                  </w14:solidFill>
                </w14:textFill>
              </w:rPr>
              <w:t>、环境质量现状调查（包括生态环境</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地下水</w:t>
            </w:r>
            <w:r>
              <w:rPr>
                <w:rFonts w:hint="eastAsia"/>
                <w:color w:val="000000" w:themeColor="text1"/>
                <w:sz w:val="21"/>
                <w:szCs w:val="21"/>
                <w:highlight w:val="none"/>
                <w:lang w:val="en-US" w:eastAsia="zh-CN"/>
                <w14:textFill>
                  <w14:solidFill>
                    <w14:schemeClr w14:val="tx1"/>
                  </w14:solidFill>
                </w14:textFill>
              </w:rPr>
              <w:t>环境</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地表水环境、</w:t>
            </w:r>
            <w:r>
              <w:rPr>
                <w:color w:val="000000" w:themeColor="text1"/>
                <w:sz w:val="21"/>
                <w:szCs w:val="21"/>
                <w:highlight w:val="none"/>
                <w14:textFill>
                  <w14:solidFill>
                    <w14:schemeClr w14:val="tx1"/>
                  </w14:solidFill>
                </w14:textFill>
              </w:rPr>
              <w:t>土壤</w:t>
            </w:r>
            <w:r>
              <w:rPr>
                <w:rFonts w:hint="eastAsia"/>
                <w:color w:val="000000" w:themeColor="text1"/>
                <w:sz w:val="21"/>
                <w:szCs w:val="21"/>
                <w:highlight w:val="none"/>
                <w:lang w:val="en-US" w:eastAsia="zh-CN"/>
                <w14:textFill>
                  <w14:solidFill>
                    <w14:schemeClr w14:val="tx1"/>
                  </w14:solidFill>
                </w14:textFill>
              </w:rPr>
              <w:t>环境、大气环境</w:t>
            </w:r>
            <w:r>
              <w:rPr>
                <w:color w:val="000000" w:themeColor="text1"/>
                <w:sz w:val="21"/>
                <w:szCs w:val="21"/>
                <w:highlight w:val="none"/>
                <w14:textFill>
                  <w14:solidFill>
                    <w14:schemeClr w14:val="tx1"/>
                  </w14:solidFill>
                </w14:textFill>
              </w:rPr>
              <w:t>、声环境）</w:t>
            </w:r>
          </w:p>
        </w:tc>
      </w:tr>
      <w:tr w14:paraId="3355EC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3095AAF1">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741" w:type="pct"/>
            <w:vAlign w:val="center"/>
          </w:tcPr>
          <w:p w14:paraId="62358875">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环境影响预测与评价</w:t>
            </w:r>
          </w:p>
        </w:tc>
        <w:tc>
          <w:tcPr>
            <w:tcW w:w="2882" w:type="pct"/>
            <w:vAlign w:val="center"/>
          </w:tcPr>
          <w:p w14:paraId="73FA0F45">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分为施工期</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运营期</w:t>
            </w:r>
            <w:r>
              <w:rPr>
                <w:rFonts w:hint="eastAsia"/>
                <w:color w:val="000000" w:themeColor="text1"/>
                <w:sz w:val="21"/>
                <w:szCs w:val="21"/>
                <w:highlight w:val="none"/>
                <w:lang w:val="en-US" w:eastAsia="zh-CN"/>
                <w14:textFill>
                  <w14:solidFill>
                    <w14:schemeClr w14:val="tx1"/>
                  </w14:solidFill>
                </w14:textFill>
              </w:rPr>
              <w:t>和退役期</w:t>
            </w:r>
            <w:r>
              <w:rPr>
                <w:color w:val="000000" w:themeColor="text1"/>
                <w:sz w:val="21"/>
                <w:szCs w:val="21"/>
                <w:highlight w:val="none"/>
                <w14:textFill>
                  <w14:solidFill>
                    <w14:schemeClr w14:val="tx1"/>
                  </w14:solidFill>
                </w14:textFill>
              </w:rPr>
              <w:t>。</w:t>
            </w:r>
            <w:bookmarkStart w:id="398" w:name="OLE_LINK490"/>
            <w:r>
              <w:rPr>
                <w:color w:val="000000" w:themeColor="text1"/>
                <w:sz w:val="21"/>
                <w:szCs w:val="21"/>
                <w:highlight w:val="none"/>
                <w14:textFill>
                  <w14:solidFill>
                    <w14:schemeClr w14:val="tx1"/>
                  </w14:solidFill>
                </w14:textFill>
              </w:rPr>
              <w:t>对施工期扬尘、废水、噪声、固废、生态环境和土壤环境等进行分析，并提出切实可行的减缓措施。</w:t>
            </w:r>
            <w:bookmarkEnd w:id="398"/>
            <w:r>
              <w:rPr>
                <w:color w:val="000000" w:themeColor="text1"/>
                <w:sz w:val="21"/>
                <w:szCs w:val="21"/>
                <w:highlight w:val="none"/>
                <w14:textFill>
                  <w14:solidFill>
                    <w14:schemeClr w14:val="tx1"/>
                  </w14:solidFill>
                </w14:textFill>
              </w:rPr>
              <w:t>运营期对废气、废水、噪声、固体废物、土壤进行了影响预测和分析。对</w:t>
            </w:r>
            <w:r>
              <w:rPr>
                <w:rFonts w:hint="eastAsia"/>
                <w:color w:val="000000" w:themeColor="text1"/>
                <w:sz w:val="21"/>
                <w:szCs w:val="21"/>
                <w:highlight w:val="none"/>
                <w:lang w:val="en-US" w:eastAsia="zh-CN"/>
                <w14:textFill>
                  <w14:solidFill>
                    <w14:schemeClr w14:val="tx1"/>
                  </w14:solidFill>
                </w14:textFill>
              </w:rPr>
              <w:t>退役</w:t>
            </w:r>
            <w:r>
              <w:rPr>
                <w:color w:val="000000" w:themeColor="text1"/>
                <w:sz w:val="21"/>
                <w:szCs w:val="21"/>
                <w:highlight w:val="none"/>
                <w14:textFill>
                  <w14:solidFill>
                    <w14:schemeClr w14:val="tx1"/>
                  </w14:solidFill>
                </w14:textFill>
              </w:rPr>
              <w:t>期扬尘、废水、噪声、固废、生态环境和土壤环境等进行分析，并提出切实可行的减缓措施。根据项目特点开展了环境风险评价</w:t>
            </w:r>
            <w:r>
              <w:rPr>
                <w:rFonts w:hint="eastAsia"/>
                <w:color w:val="000000" w:themeColor="text1"/>
                <w:sz w:val="21"/>
                <w:szCs w:val="21"/>
                <w:highlight w:val="none"/>
                <w:lang w:eastAsia="zh-CN"/>
                <w14:textFill>
                  <w14:solidFill>
                    <w14:schemeClr w14:val="tx1"/>
                  </w14:solidFill>
                </w14:textFill>
              </w:rPr>
              <w:t>。</w:t>
            </w:r>
          </w:p>
        </w:tc>
      </w:tr>
      <w:tr w14:paraId="7C190E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16C9A733">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741" w:type="pct"/>
            <w:vAlign w:val="center"/>
          </w:tcPr>
          <w:p w14:paraId="77CF236C">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环境保护措施可行性论证</w:t>
            </w:r>
          </w:p>
        </w:tc>
        <w:tc>
          <w:tcPr>
            <w:tcW w:w="2882" w:type="pct"/>
            <w:vAlign w:val="center"/>
          </w:tcPr>
          <w:p w14:paraId="5F1AF72E">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针对废气、废水、噪声、固体废物、土壤污染防治措施及依托措施进行论证</w:t>
            </w:r>
            <w:r>
              <w:rPr>
                <w:rFonts w:hint="eastAsia"/>
                <w:color w:val="000000" w:themeColor="text1"/>
                <w:sz w:val="21"/>
                <w:szCs w:val="21"/>
                <w:highlight w:val="none"/>
                <w:lang w:eastAsia="zh-CN"/>
                <w14:textFill>
                  <w14:solidFill>
                    <w14:schemeClr w14:val="tx1"/>
                  </w14:solidFill>
                </w14:textFill>
              </w:rPr>
              <w:t>。</w:t>
            </w:r>
          </w:p>
        </w:tc>
      </w:tr>
      <w:tr w14:paraId="0D99E6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5E803F2B">
            <w:pPr>
              <w:spacing w:line="240" w:lineRule="auto"/>
              <w:ind w:firstLine="0" w:firstLineChars="0"/>
              <w:jc w:val="center"/>
              <w:textAlignment w:val="baseline"/>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741" w:type="pct"/>
            <w:vAlign w:val="center"/>
          </w:tcPr>
          <w:p w14:paraId="0482412E">
            <w:pPr>
              <w:spacing w:line="240" w:lineRule="auto"/>
              <w:ind w:firstLine="0" w:firstLineChars="0"/>
              <w:jc w:val="center"/>
              <w:textAlignment w:val="baseline"/>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温室气体排放影响评价</w:t>
            </w:r>
          </w:p>
        </w:tc>
        <w:tc>
          <w:tcPr>
            <w:tcW w:w="2882" w:type="pct"/>
            <w:vAlign w:val="center"/>
          </w:tcPr>
          <w:p w14:paraId="5D47C96E">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在节能降耗技术、余热余能利用、清洁运输、挥发性有机物与甲烷协同控制等方面提出针对性的控制措施与要求</w:t>
            </w:r>
            <w:r>
              <w:rPr>
                <w:rFonts w:hint="eastAsia"/>
                <w:color w:val="000000" w:themeColor="text1"/>
                <w:sz w:val="21"/>
                <w:szCs w:val="21"/>
                <w:highlight w:val="none"/>
                <w:lang w:eastAsia="zh-CN"/>
                <w14:textFill>
                  <w14:solidFill>
                    <w14:schemeClr w14:val="tx1"/>
                  </w14:solidFill>
                </w14:textFill>
              </w:rPr>
              <w:t>。</w:t>
            </w:r>
          </w:p>
        </w:tc>
      </w:tr>
      <w:tr w14:paraId="55CE55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1B719E59">
            <w:pPr>
              <w:spacing w:line="240" w:lineRule="auto"/>
              <w:ind w:firstLine="0" w:firstLineChars="0"/>
              <w:jc w:val="center"/>
              <w:textAlignment w:val="baseline"/>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741" w:type="pct"/>
            <w:vAlign w:val="center"/>
          </w:tcPr>
          <w:p w14:paraId="4DA8BE40">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环境影响经济损益分析</w:t>
            </w:r>
          </w:p>
        </w:tc>
        <w:tc>
          <w:tcPr>
            <w:tcW w:w="2882" w:type="pct"/>
            <w:vAlign w:val="center"/>
          </w:tcPr>
          <w:p w14:paraId="51B5DFED">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从项目环境效益</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社会效益、</w:t>
            </w:r>
            <w:r>
              <w:rPr>
                <w:rFonts w:hint="eastAsia"/>
                <w:color w:val="000000" w:themeColor="text1"/>
                <w:sz w:val="21"/>
                <w:szCs w:val="21"/>
                <w:highlight w:val="none"/>
                <w:lang w:val="en-US" w:eastAsia="zh-CN"/>
                <w14:textFill>
                  <w14:solidFill>
                    <w14:schemeClr w14:val="tx1"/>
                  </w14:solidFill>
                </w14:textFill>
              </w:rPr>
              <w:t>综合</w:t>
            </w:r>
            <w:r>
              <w:rPr>
                <w:color w:val="000000" w:themeColor="text1"/>
                <w:sz w:val="21"/>
                <w:szCs w:val="21"/>
                <w:highlight w:val="none"/>
                <w14:textFill>
                  <w14:solidFill>
                    <w14:schemeClr w14:val="tx1"/>
                  </w14:solidFill>
                </w14:textFill>
              </w:rPr>
              <w:t>效益等方面叙述</w:t>
            </w:r>
            <w:r>
              <w:rPr>
                <w:rFonts w:hint="eastAsia"/>
                <w:color w:val="000000" w:themeColor="text1"/>
                <w:sz w:val="21"/>
                <w:szCs w:val="21"/>
                <w:highlight w:val="none"/>
                <w:lang w:eastAsia="zh-CN"/>
                <w14:textFill>
                  <w14:solidFill>
                    <w14:schemeClr w14:val="tx1"/>
                  </w14:solidFill>
                </w14:textFill>
              </w:rPr>
              <w:t>。</w:t>
            </w:r>
          </w:p>
        </w:tc>
      </w:tr>
      <w:tr w14:paraId="181B74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46D0D4F8">
            <w:pPr>
              <w:spacing w:line="240" w:lineRule="auto"/>
              <w:ind w:firstLine="0" w:firstLineChars="0"/>
              <w:jc w:val="center"/>
              <w:textAlignment w:val="baseline"/>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1741" w:type="pct"/>
            <w:vAlign w:val="center"/>
          </w:tcPr>
          <w:p w14:paraId="09021E4F">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环境管理与监测计划</w:t>
            </w:r>
          </w:p>
        </w:tc>
        <w:tc>
          <w:tcPr>
            <w:tcW w:w="2882" w:type="pct"/>
            <w:vAlign w:val="center"/>
          </w:tcPr>
          <w:p w14:paraId="1187F4D6">
            <w:pPr>
              <w:spacing w:line="240" w:lineRule="auto"/>
              <w:ind w:firstLine="0" w:firstLineChars="0"/>
              <w:textAlignment w:val="baseline"/>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根据国家环境管理与监测要求，给出项目环境管理制度和日常监测计划，给出污染物排放清单、制定环保</w:t>
            </w:r>
            <w:bookmarkStart w:id="399" w:name="OLE_LINK491"/>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三同时</w:t>
            </w:r>
            <w:r>
              <w:rPr>
                <w:rFonts w:hint="eastAsia"/>
                <w:color w:val="000000" w:themeColor="text1"/>
                <w:sz w:val="21"/>
                <w:szCs w:val="21"/>
                <w:highlight w:val="none"/>
                <w:lang w:eastAsia="zh-CN"/>
                <w14:textFill>
                  <w14:solidFill>
                    <w14:schemeClr w14:val="tx1"/>
                  </w14:solidFill>
                </w14:textFill>
              </w:rPr>
              <w:t>”</w:t>
            </w:r>
            <w:bookmarkEnd w:id="399"/>
            <w:r>
              <w:rPr>
                <w:color w:val="000000" w:themeColor="text1"/>
                <w:sz w:val="21"/>
                <w:szCs w:val="21"/>
                <w:highlight w:val="none"/>
                <w14:textFill>
                  <w14:solidFill>
                    <w14:schemeClr w14:val="tx1"/>
                  </w14:solidFill>
                </w14:textFill>
              </w:rPr>
              <w:t>验收一览表</w:t>
            </w:r>
            <w:r>
              <w:rPr>
                <w:rFonts w:hint="eastAsia"/>
                <w:color w:val="000000" w:themeColor="text1"/>
                <w:sz w:val="21"/>
                <w:szCs w:val="21"/>
                <w:highlight w:val="none"/>
                <w:lang w:eastAsia="zh-CN"/>
                <w14:textFill>
                  <w14:solidFill>
                    <w14:schemeClr w14:val="tx1"/>
                  </w14:solidFill>
                </w14:textFill>
              </w:rPr>
              <w:t>。</w:t>
            </w:r>
          </w:p>
        </w:tc>
      </w:tr>
      <w:tr w14:paraId="07D5EB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75" w:type="pct"/>
            <w:vAlign w:val="center"/>
          </w:tcPr>
          <w:p w14:paraId="75A281A3">
            <w:pPr>
              <w:spacing w:line="240" w:lineRule="auto"/>
              <w:ind w:firstLine="0" w:firstLineChars="0"/>
              <w:jc w:val="center"/>
              <w:textAlignment w:val="baseline"/>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741" w:type="pct"/>
            <w:vAlign w:val="center"/>
          </w:tcPr>
          <w:p w14:paraId="2CEA66DE">
            <w:pPr>
              <w:spacing w:line="240" w:lineRule="auto"/>
              <w:ind w:firstLine="0" w:firstLineChars="0"/>
              <w:jc w:val="center"/>
              <w:textAlignment w:val="baseline"/>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结论</w:t>
            </w:r>
          </w:p>
        </w:tc>
        <w:tc>
          <w:tcPr>
            <w:tcW w:w="2882" w:type="pct"/>
            <w:vAlign w:val="center"/>
          </w:tcPr>
          <w:p w14:paraId="6368CE4C">
            <w:pPr>
              <w:spacing w:line="240" w:lineRule="auto"/>
              <w:ind w:firstLine="0" w:firstLineChars="0"/>
              <w:textAlignment w:val="baseline"/>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根据上述各章节的相关分析结果，</w:t>
            </w:r>
            <w:r>
              <w:rPr>
                <w:rFonts w:hint="eastAsia"/>
                <w:color w:val="000000" w:themeColor="text1"/>
                <w:sz w:val="21"/>
                <w:szCs w:val="21"/>
                <w:highlight w:val="none"/>
                <w14:textFill>
                  <w14:solidFill>
                    <w14:schemeClr w14:val="tx1"/>
                  </w14:solidFill>
                </w14:textFill>
              </w:rPr>
              <w:t>结合生态环境质量目标要求，明确给出建设项目的生态环境影响可行或不可行的结论</w:t>
            </w:r>
            <w:r>
              <w:rPr>
                <w:rFonts w:hint="eastAsia"/>
                <w:color w:val="000000" w:themeColor="text1"/>
                <w:sz w:val="21"/>
                <w:szCs w:val="21"/>
                <w:highlight w:val="none"/>
                <w:lang w:eastAsia="zh-CN"/>
                <w14:textFill>
                  <w14:solidFill>
                    <w14:schemeClr w14:val="tx1"/>
                  </w14:solidFill>
                </w14:textFill>
              </w:rPr>
              <w:t>。</w:t>
            </w:r>
          </w:p>
        </w:tc>
      </w:tr>
      <w:bookmarkEnd w:id="389"/>
    </w:tbl>
    <w:p w14:paraId="0DF53A81">
      <w:pPr>
        <w:pStyle w:val="58"/>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\l _Toc2023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eastAsia"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 xml:space="preserve"> 评价重点</w:t>
      </w:r>
      <w:r>
        <w:rPr>
          <w:rFonts w:hint="default" w:ascii="Times New Roman" w:hAnsi="Times New Roman" w:eastAsia="宋体" w:cs="Times New Roman"/>
          <w:color w:val="000000" w:themeColor="text1"/>
          <w:highlight w:val="none"/>
          <w14:textFill>
            <w14:solidFill>
              <w14:schemeClr w14:val="tx1"/>
            </w14:solidFill>
          </w14:textFill>
        </w:rPr>
        <w:fldChar w:fldCharType="end"/>
      </w:r>
    </w:p>
    <w:p w14:paraId="235F7902">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经对</w:t>
      </w:r>
      <w:r>
        <w:rPr>
          <w:rFonts w:hint="eastAsia" w:cs="Times New Roman"/>
          <w:color w:val="000000" w:themeColor="text1"/>
          <w:highlight w:val="none"/>
          <w:lang w:val="en-US" w:eastAsia="zh-CN"/>
          <w14:textFill>
            <w14:solidFill>
              <w14:schemeClr w14:val="tx1"/>
            </w14:solidFill>
          </w14:textFill>
        </w:rPr>
        <w:t>本工程所在</w:t>
      </w:r>
      <w:r>
        <w:rPr>
          <w:rFonts w:hint="default" w:ascii="Times New Roman" w:hAnsi="Times New Roman" w:cs="Times New Roman"/>
          <w:color w:val="000000" w:themeColor="text1"/>
          <w:highlight w:val="none"/>
          <w14:textFill>
            <w14:solidFill>
              <w14:schemeClr w14:val="tx1"/>
            </w14:solidFill>
          </w14:textFill>
        </w:rPr>
        <w:t>区域自然地理、环境现状和社会经济的调查研究及工程排污特点的分析，确定评价工作的重点如下：</w:t>
      </w:r>
    </w:p>
    <w:p w14:paraId="212226C5">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（1）工程分析；</w:t>
      </w:r>
    </w:p>
    <w:p w14:paraId="79FBB9DD">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（2）生态环境影响评价；</w:t>
      </w:r>
    </w:p>
    <w:p w14:paraId="6DF1CAEB">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土壤及</w:t>
      </w:r>
      <w:r>
        <w:rPr>
          <w:rFonts w:hint="default" w:ascii="Times New Roman" w:hAnsi="Times New Roman" w:cs="Times New Roman"/>
          <w:color w:val="000000" w:themeColor="text1"/>
          <w:highlight w:val="none"/>
          <w14:textFill>
            <w14:solidFill>
              <w14:schemeClr w14:val="tx1"/>
            </w14:solidFill>
          </w14:textFill>
        </w:rPr>
        <w:t>地下水环境影响评价；</w:t>
      </w:r>
    </w:p>
    <w:p w14:paraId="1AFD9B37">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（4）固体废物影响评价；</w:t>
      </w:r>
    </w:p>
    <w:p w14:paraId="4B339AED">
      <w:pPr>
        <w:pStyle w:val="67"/>
        <w:keepNext w:val="0"/>
        <w:keepLines w:val="0"/>
        <w:pageBreakBefore w:val="0"/>
        <w:kinsoku/>
        <w:wordWrap/>
        <w:overflowPunct/>
        <w:topLinePunct w:val="0"/>
        <w:autoSpaceDE/>
        <w:autoSpaceDN/>
        <w:bidi w:val="0"/>
        <w:adjustRightInd w:val="0"/>
        <w:snapToGrid w:val="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（5）环境风险影响评价及风险管理；</w:t>
      </w:r>
    </w:p>
    <w:p w14:paraId="21B5CFFA">
      <w:pPr>
        <w:pStyle w:val="67"/>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（6）环境保护措施技术经济及可行性论证。</w:t>
      </w:r>
      <w:bookmarkEnd w:id="343"/>
    </w:p>
    <w:p w14:paraId="20EB7474">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400" w:name="_Toc30179"/>
      <w:r>
        <w:rPr>
          <w:rFonts w:hint="default" w:ascii="Times New Roman" w:hAnsi="Times New Roman" w:cs="Times New Roman"/>
          <w:color w:val="000000" w:themeColor="text1"/>
          <w:highlight w:val="none"/>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评价时段和评价方法</w:t>
      </w:r>
      <w:bookmarkEnd w:id="400"/>
    </w:p>
    <w:p w14:paraId="27D14DF7">
      <w:pPr>
        <w:pStyle w:val="67"/>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评价时段包括施工期、运营期、退役期三个时段，其中以施工期和运营期为主。</w:t>
      </w:r>
    </w:p>
    <w:p w14:paraId="4E3954C0">
      <w:pPr>
        <w:pStyle w:val="67"/>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环境影响评价采用定量评价与定性评价相结合的方法，以量化评价为主。采用环境影响评价技术导则规定的评价方法予以分析。本次评价采用了实测法、类比分析法、产污系数法、排污系数法等。本次环境评价使用的评价方法见表</w:t>
      </w:r>
      <w:r>
        <w:rPr>
          <w:rFonts w:hint="eastAsia" w:cs="Times New Roman"/>
          <w:color w:val="000000" w:themeColor="text1"/>
          <w:highlight w:val="none"/>
          <w:lang w:val="en-US" w:eastAsia="zh-CN"/>
          <w14:textFill>
            <w14:solidFill>
              <w14:schemeClr w14:val="tx1"/>
            </w14:solidFill>
          </w14:textFill>
        </w:rPr>
        <w:t>2.8-1。</w:t>
      </w:r>
    </w:p>
    <w:p w14:paraId="6EAE0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bookmarkStart w:id="401" w:name="OLE_LINK479"/>
      <w:r>
        <w:rPr>
          <w:rFonts w:hint="default" w:ascii="Times New Roman" w:hAnsi="Times New Roman" w:eastAsia="黑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黑体"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-1</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评价内容一览表</w:t>
      </w:r>
    </w:p>
    <w:bookmarkEnd w:id="401"/>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526"/>
        <w:gridCol w:w="5265"/>
      </w:tblGrid>
      <w:tr w14:paraId="52AF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4F73B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465" w:type="pct"/>
            <w:noWrap w:val="0"/>
            <w:vAlign w:val="center"/>
          </w:tcPr>
          <w:p w14:paraId="00A47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3053" w:type="pct"/>
            <w:noWrap w:val="0"/>
            <w:vAlign w:val="center"/>
          </w:tcPr>
          <w:p w14:paraId="634C41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采用方法</w:t>
            </w:r>
          </w:p>
        </w:tc>
      </w:tr>
      <w:tr w14:paraId="4FFF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35AF3C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465" w:type="pct"/>
            <w:noWrap w:val="0"/>
            <w:vAlign w:val="center"/>
          </w:tcPr>
          <w:p w14:paraId="58890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环境影响因素识别方法</w:t>
            </w:r>
          </w:p>
        </w:tc>
        <w:tc>
          <w:tcPr>
            <w:tcW w:w="3053" w:type="pct"/>
            <w:noWrap w:val="0"/>
            <w:vAlign w:val="center"/>
          </w:tcPr>
          <w:p w14:paraId="2AA00C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矩阵法</w:t>
            </w:r>
          </w:p>
        </w:tc>
      </w:tr>
      <w:tr w14:paraId="4979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9" w:type="dxa"/>
            <w:noWrap w:val="0"/>
            <w:vAlign w:val="center"/>
          </w:tcPr>
          <w:p w14:paraId="38BF1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465" w:type="pct"/>
            <w:noWrap w:val="0"/>
            <w:vAlign w:val="center"/>
          </w:tcPr>
          <w:p w14:paraId="602CE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环境现状调查</w:t>
            </w:r>
          </w:p>
        </w:tc>
        <w:tc>
          <w:tcPr>
            <w:tcW w:w="3053" w:type="pct"/>
            <w:noWrap w:val="0"/>
            <w:vAlign w:val="center"/>
          </w:tcPr>
          <w:p w14:paraId="287B23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实测法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收集资料法、现场调查法</w:t>
            </w:r>
          </w:p>
        </w:tc>
      </w:tr>
      <w:tr w14:paraId="163A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29" w:type="dxa"/>
            <w:noWrap w:val="0"/>
            <w:vAlign w:val="center"/>
          </w:tcPr>
          <w:p w14:paraId="68A43D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465" w:type="pct"/>
            <w:noWrap w:val="0"/>
            <w:vAlign w:val="center"/>
          </w:tcPr>
          <w:p w14:paraId="5DCB6B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工程分析</w:t>
            </w:r>
          </w:p>
        </w:tc>
        <w:tc>
          <w:tcPr>
            <w:tcW w:w="3053" w:type="pct"/>
            <w:noWrap w:val="0"/>
            <w:vAlign w:val="center"/>
          </w:tcPr>
          <w:p w14:paraId="2017D3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类比分析法、产污系数法</w:t>
            </w:r>
            <w:r>
              <w:rPr>
                <w:rFonts w:hint="default" w:ascii="Times New Roman" w:hAnsi="Times New Roman" w:eastAsia="宋体" w:cs="Times New Roman"/>
                <w:color w:val="000000" w:themeColor="text1"/>
                <w:sz w:val="21"/>
                <w:szCs w:val="21"/>
                <w:highlight w:val="none"/>
                <w14:textFill>
                  <w14:solidFill>
                    <w14:schemeClr w14:val="tx1"/>
                  </w14:solidFill>
                </w14:textFill>
              </w:rPr>
              <w:t>、排污系数法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查阅参考资料法</w:t>
            </w:r>
          </w:p>
        </w:tc>
      </w:tr>
      <w:tr w14:paraId="6D73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38DE03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465" w:type="pct"/>
            <w:noWrap w:val="0"/>
            <w:vAlign w:val="center"/>
          </w:tcPr>
          <w:p w14:paraId="682A5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影响评价</w:t>
            </w:r>
          </w:p>
        </w:tc>
        <w:tc>
          <w:tcPr>
            <w:tcW w:w="3053" w:type="pct"/>
            <w:noWrap w:val="0"/>
            <w:vAlign w:val="center"/>
          </w:tcPr>
          <w:p w14:paraId="2033F1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类比分析法</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数学模式法、预测模式</w:t>
            </w:r>
          </w:p>
        </w:tc>
      </w:tr>
    </w:tbl>
    <w:p w14:paraId="7CF47DC9">
      <w:pPr>
        <w:rPr>
          <w:rFonts w:hint="default"/>
          <w:color w:val="000000" w:themeColor="text1"/>
          <w:highlight w:val="none"/>
          <w14:textFill>
            <w14:solidFill>
              <w14:schemeClr w14:val="tx1"/>
            </w14:solidFill>
          </w14:textFill>
        </w:rPr>
      </w:pPr>
      <w:bookmarkStart w:id="402" w:name="_Toc21960"/>
      <w:r>
        <w:rPr>
          <w:rFonts w:hint="default"/>
          <w:color w:val="000000" w:themeColor="text1"/>
          <w:highlight w:val="none"/>
          <w14:textFill>
            <w14:solidFill>
              <w14:schemeClr w14:val="tx1"/>
            </w14:solidFill>
          </w14:textFill>
        </w:rPr>
        <w:br w:type="page"/>
      </w:r>
    </w:p>
    <w:p w14:paraId="746F0415">
      <w:pPr>
        <w:pStyle w:val="2"/>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0"/>
        <w:rPr>
          <w:rFonts w:hint="default" w:ascii="Times New Roman" w:hAnsi="Times New Roman" w:cs="Times New Roman"/>
          <w:color w:val="000000" w:themeColor="text1"/>
          <w:sz w:val="36"/>
          <w:szCs w:val="36"/>
          <w:highlight w:val="none"/>
          <w14:textFill>
            <w14:solidFill>
              <w14:schemeClr w14:val="tx1"/>
            </w14:solidFill>
          </w14:textFill>
        </w:rPr>
      </w:pPr>
      <w:bookmarkStart w:id="403" w:name="_Toc14139"/>
      <w:r>
        <w:rPr>
          <w:rFonts w:hint="default" w:ascii="Times New Roman" w:hAnsi="Times New Roman" w:cs="Times New Roman"/>
          <w:color w:val="000000" w:themeColor="text1"/>
          <w:sz w:val="36"/>
          <w:szCs w:val="36"/>
          <w:highlight w:val="none"/>
          <w14:textFill>
            <w14:solidFill>
              <w14:schemeClr w14:val="tx1"/>
            </w14:solidFill>
          </w14:textFill>
        </w:rPr>
        <w:t>3</w:t>
      </w:r>
      <w:bookmarkEnd w:id="402"/>
      <w:r>
        <w:rPr>
          <w:rFonts w:hint="eastAsia" w:ascii="Times New Roman" w:hAnsi="Times New Roman" w:cs="Times New Roman"/>
          <w:color w:val="000000" w:themeColor="text1"/>
          <w:sz w:val="36"/>
          <w:szCs w:val="36"/>
          <w:highlight w:val="none"/>
          <w:lang w:val="en-US" w:eastAsia="zh-CN"/>
          <w14:textFill>
            <w14:solidFill>
              <w14:schemeClr w14:val="tx1"/>
            </w14:solidFill>
          </w14:textFill>
        </w:rPr>
        <w:t>建设项目工程概况和工程分析</w:t>
      </w:r>
      <w:bookmarkEnd w:id="403"/>
    </w:p>
    <w:p w14:paraId="513100A5">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404" w:name="_Toc6640"/>
      <w:bookmarkStart w:id="405" w:name="_Toc15972"/>
      <w:r>
        <w:rPr>
          <w:rFonts w:hint="default" w:ascii="Times New Roman" w:hAnsi="Times New Roman" w:eastAsia="宋体"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1</w:t>
      </w:r>
      <w:bookmarkEnd w:id="404"/>
      <w:r>
        <w:rPr>
          <w:rFonts w:hint="default" w:ascii="Times New Roman" w:hAnsi="Times New Roman" w:eastAsia="宋体" w:cs="Times New Roman"/>
          <w:color w:val="000000" w:themeColor="text1"/>
          <w:highlight w:val="none"/>
          <w:lang w:val="en-US" w:eastAsia="zh-CN"/>
          <w14:textFill>
            <w14:solidFill>
              <w14:schemeClr w14:val="tx1"/>
            </w14:solidFill>
          </w14:textFill>
        </w:rPr>
        <w:t>现有工程</w:t>
      </w:r>
      <w:bookmarkEnd w:id="405"/>
    </w:p>
    <w:p w14:paraId="4FA57F24">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3.</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.1现有工程概况</w:t>
      </w:r>
    </w:p>
    <w:p w14:paraId="4E6E532C">
      <w:pPr>
        <w:numPr>
          <w:ilvl w:val="0"/>
          <w:numId w:val="0"/>
        </w:numPr>
        <w:spacing w:line="360" w:lineRule="auto"/>
        <w:ind w:firstLine="480" w:firstLineChars="200"/>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bidi="ar-SA"/>
          <w14:textFill>
            <w14:solidFill>
              <w14:schemeClr w14:val="tx1"/>
            </w14:solidFill>
          </w14:textFill>
        </w:rPr>
        <w:t>（1）</w:t>
      </w:r>
      <w:r>
        <w:rPr>
          <w:rFonts w:hint="default" w:ascii="Times New Roman" w:hAnsi="Times New Roman" w:cs="Times New Roman"/>
          <w:color w:val="000000" w:themeColor="text1"/>
          <w:szCs w:val="22"/>
          <w:highlight w:val="none"/>
          <w:lang w:val="en-US" w:eastAsia="zh-CN"/>
          <w14:textFill>
            <w14:solidFill>
              <w14:schemeClr w14:val="tx1"/>
            </w14:solidFill>
          </w14:textFill>
        </w:rPr>
        <w:t>基本情况</w:t>
      </w:r>
    </w:p>
    <w:p w14:paraId="71120B89">
      <w:pPr>
        <w:pageBreakBefore w:val="0"/>
        <w:kinsoku/>
        <w:wordWrap/>
        <w:overflowPunct/>
        <w:topLinePunct w:val="0"/>
        <w:autoSpaceDE/>
        <w:autoSpaceDN/>
        <w:bidi w:val="0"/>
        <w:spacing w:line="360" w:lineRule="auto"/>
        <w:ind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根据《</w:t>
      </w:r>
      <w:bookmarkStart w:id="406" w:name="OLE_LINK184"/>
      <w:r>
        <w:rPr>
          <w:rFonts w:hint="eastAsia" w:cs="Times New Roman"/>
          <w:color w:val="000000" w:themeColor="text1"/>
          <w:szCs w:val="22"/>
          <w:highlight w:val="none"/>
          <w:lang w:val="en-US" w:eastAsia="zh-CN"/>
          <w14:textFill>
            <w14:solidFill>
              <w14:schemeClr w14:val="tx1"/>
            </w14:solidFill>
          </w14:textFill>
        </w:rPr>
        <w:t>中国石油化工股份有限公司西北油田分公司“十四五”规划</w:t>
      </w:r>
      <w:bookmarkEnd w:id="406"/>
      <w:r>
        <w:rPr>
          <w:rFonts w:hint="eastAsia" w:cs="Times New Roman"/>
          <w:color w:val="000000" w:themeColor="text1"/>
          <w:szCs w:val="22"/>
          <w:highlight w:val="none"/>
          <w:lang w:val="en-US" w:eastAsia="zh-CN"/>
          <w14:textFill>
            <w14:solidFill>
              <w14:schemeClr w14:val="tx1"/>
            </w14:solidFill>
          </w14:textFill>
        </w:rPr>
        <w:t>环境影响报告书》，“目前西北油田分公司负责勘查、开采的区块合计26个，其中勘查区块16个（新疆塔里木盆地中3区块油气勘查、中2区块油气勘查、中1区块油气勘查、阿东区块油气勘查、夏河区块油气勘查、顺托果勒区块油气勘查、顺托果勒西区块油气勘查、小海子区块油气勘查、卡塔4区块油气勘查、顺托果勒南区块油气勘查、</w:t>
      </w:r>
      <w:bookmarkStart w:id="407" w:name="OLE_LINK183"/>
      <w:r>
        <w:rPr>
          <w:rFonts w:hint="eastAsia" w:cs="Times New Roman"/>
          <w:color w:val="000000" w:themeColor="text1"/>
          <w:szCs w:val="22"/>
          <w:highlight w:val="none"/>
          <w:lang w:val="en-US" w:eastAsia="zh-CN"/>
          <w14:textFill>
            <w14:solidFill>
              <w14:schemeClr w14:val="tx1"/>
            </w14:solidFill>
          </w14:textFill>
        </w:rPr>
        <w:t>天山南缘区块油气勘查</w:t>
      </w:r>
      <w:bookmarkEnd w:id="407"/>
      <w:r>
        <w:rPr>
          <w:rFonts w:hint="eastAsia" w:cs="Times New Roman"/>
          <w:color w:val="000000" w:themeColor="text1"/>
          <w:szCs w:val="22"/>
          <w:highlight w:val="none"/>
          <w:lang w:val="en-US" w:eastAsia="zh-CN"/>
          <w14:textFill>
            <w14:solidFill>
              <w14:schemeClr w14:val="tx1"/>
            </w14:solidFill>
          </w14:textFill>
        </w:rPr>
        <w:t>、巴什托区块油气勘查、玉北1区块油气勘查、玉北2区块油气勘查、顺托果勒北地区油气勘查、于奇区块油气勘查）；开采区块10个（新疆塔里木盆地亚松迪油气开采、雅克拉凝析气田、天山南缘三道桥油气开采、巴什托油气田、轮台气田、大涝坝天然气开采、塔河油田、跃进油气开采、顺北油田顺北1井区油气开采、顺北油田顺北5井区石油开采）。”。</w:t>
      </w:r>
    </w:p>
    <w:p w14:paraId="48D922D4">
      <w:pPr>
        <w:pageBreakBefore w:val="0"/>
        <w:kinsoku/>
        <w:wordWrap/>
        <w:overflowPunct/>
        <w:topLinePunct w:val="0"/>
        <w:autoSpaceDE/>
        <w:autoSpaceDN/>
        <w:bidi w:val="0"/>
        <w:spacing w:line="360" w:lineRule="auto"/>
        <w:ind w:firstLine="480" w:firstLineChars="200"/>
        <w:textAlignment w:val="auto"/>
        <w:rPr>
          <w:rFonts w:hint="eastAsia"/>
          <w:color w:val="000000" w:themeColor="text1"/>
          <w:szCs w:val="24"/>
          <w:highlight w:val="none"/>
          <w:lang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本工程位于中国石油化工股份有限公司西北油田分公司“十四五”规划范围</w:t>
      </w:r>
      <w:bookmarkStart w:id="408" w:name="OLE_LINK200"/>
      <w:r>
        <w:rPr>
          <w:rFonts w:hint="eastAsia" w:cs="Times New Roman"/>
          <w:color w:val="000000" w:themeColor="text1"/>
          <w:szCs w:val="22"/>
          <w:highlight w:val="none"/>
          <w:lang w:val="en-US" w:eastAsia="zh-CN"/>
          <w14:textFill>
            <w14:solidFill>
              <w14:schemeClr w14:val="tx1"/>
            </w14:solidFill>
          </w14:textFill>
        </w:rPr>
        <w:t>的天山南缘区块油气勘查区</w:t>
      </w:r>
      <w:bookmarkEnd w:id="408"/>
      <w:r>
        <w:rPr>
          <w:rFonts w:hint="eastAsia" w:cs="Times New Roman"/>
          <w:color w:val="000000" w:themeColor="text1"/>
          <w:szCs w:val="22"/>
          <w:highlight w:val="none"/>
          <w:lang w:val="en-US" w:eastAsia="zh-CN"/>
          <w14:textFill>
            <w14:solidFill>
              <w14:schemeClr w14:val="tx1"/>
            </w14:solidFill>
          </w14:textFill>
        </w:rPr>
        <w:t>。目前星火7井区块</w:t>
      </w:r>
      <w:r>
        <w:rPr>
          <w:rFonts w:hint="eastAsia"/>
          <w:color w:val="000000" w:themeColor="text1"/>
          <w:szCs w:val="24"/>
          <w:highlight w:val="none"/>
          <w14:textFill>
            <w14:solidFill>
              <w14:schemeClr w14:val="tx1"/>
            </w14:solidFill>
          </w14:textFill>
        </w:rPr>
        <w:t>仅有</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color w:val="000000" w:themeColor="text1"/>
          <w:szCs w:val="24"/>
          <w:highlight w:val="none"/>
          <w14:textFill>
            <w14:solidFill>
              <w14:schemeClr w14:val="tx1"/>
            </w14:solidFill>
          </w14:textFill>
        </w:rPr>
        <w:t>探井项目</w:t>
      </w:r>
      <w:r>
        <w:rPr>
          <w:rFonts w:hint="eastAsia"/>
          <w:color w:val="000000" w:themeColor="text1"/>
          <w:szCs w:val="24"/>
          <w:highlight w:val="none"/>
          <w:lang w:eastAsia="zh-CN"/>
          <w14:textFill>
            <w14:solidFill>
              <w14:schemeClr w14:val="tx1"/>
            </w14:solidFill>
          </w14:textFill>
        </w:rPr>
        <w:t>。</w:t>
      </w:r>
    </w:p>
    <w:p w14:paraId="6875B3C3">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color w:val="000000" w:themeColor="text1"/>
          <w:highlight w:val="none"/>
          <w14:textFill>
            <w14:solidFill>
              <w14:schemeClr w14:val="tx1"/>
            </w14:solidFill>
          </w14:textFill>
        </w:rPr>
      </w:pPr>
    </w:p>
    <w:p w14:paraId="40B45CE9">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图3.1-1   项目与</w:t>
      </w:r>
      <w:r>
        <w:rPr>
          <w:rFonts w:hint="eastAsia" w:cs="Times New Roman"/>
          <w:b/>
          <w:bCs/>
          <w:color w:val="000000" w:themeColor="text1"/>
          <w:szCs w:val="22"/>
          <w:highlight w:val="none"/>
          <w:lang w:val="en-US" w:eastAsia="zh-CN"/>
          <w14:textFill>
            <w14:solidFill>
              <w14:schemeClr w14:val="tx1"/>
            </w14:solidFill>
          </w14:textFill>
        </w:rPr>
        <w:t>天山南片区</w:t>
      </w:r>
      <w:r>
        <w:rPr>
          <w:rFonts w:hint="eastAsia"/>
          <w:b/>
          <w:bCs/>
          <w:color w:val="000000" w:themeColor="text1"/>
          <w:highlight w:val="none"/>
          <w:lang w:val="en-US" w:eastAsia="zh-CN"/>
          <w14:textFill>
            <w14:solidFill>
              <w14:schemeClr w14:val="tx1"/>
            </w14:solidFill>
          </w14:textFill>
        </w:rPr>
        <w:t>的位置关系图</w:t>
      </w:r>
    </w:p>
    <w:p w14:paraId="04FD03BA">
      <w:pPr>
        <w:pageBreakBefore w:val="0"/>
        <w:kinsoku/>
        <w:wordWrap/>
        <w:overflowPunct/>
        <w:topLinePunct w:val="0"/>
        <w:autoSpaceDE/>
        <w:autoSpaceDN/>
        <w:bidi w:val="0"/>
        <w:spacing w:line="360" w:lineRule="auto"/>
        <w:ind w:firstLine="480" w:firstLineChars="200"/>
        <w:textAlignment w:val="auto"/>
        <w:rPr>
          <w:rFonts w:hint="eastAsia" w:eastAsia="宋体" w:cs="Times New Roman"/>
          <w:color w:val="000000" w:themeColor="text1"/>
          <w:szCs w:val="22"/>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星火7斜井于2024年2月7日取得阿克苏地区生态环境局《关于西北油田分公司星火7斜井（勘探井）钻井工程环境影响报告表的批复》（阿地环审</w:t>
      </w:r>
      <w:r>
        <w:rPr>
          <w:rFonts w:hint="eastAsia" w:ascii="宋体" w:hAnsi="宋体" w:eastAsia="宋体" w:cs="宋体"/>
          <w:color w:val="000000" w:themeColor="text1"/>
          <w:szCs w:val="24"/>
          <w:highlight w:val="none"/>
          <w:lang w:val="en-US" w:eastAsia="zh-CN"/>
          <w14:textFill>
            <w14:solidFill>
              <w14:schemeClr w14:val="tx1"/>
            </w14:solidFill>
          </w14:textFill>
        </w:rPr>
        <w:t>〔2024〕108号</w:t>
      </w:r>
      <w:r>
        <w:rPr>
          <w:rFonts w:hint="eastAsia"/>
          <w:color w:val="000000" w:themeColor="text1"/>
          <w:szCs w:val="24"/>
          <w:highlight w:val="none"/>
          <w:lang w:val="en-US" w:eastAsia="zh-CN"/>
          <w14:textFill>
            <w14:solidFill>
              <w14:schemeClr w14:val="tx1"/>
            </w14:solidFill>
          </w14:textFill>
        </w:rPr>
        <w:t>），根据《</w:t>
      </w:r>
      <w:r>
        <w:rPr>
          <w:rFonts w:hint="eastAsia" w:cs="Times New Roman"/>
          <w:color w:val="000000" w:themeColor="text1"/>
          <w:szCs w:val="22"/>
          <w:highlight w:val="none"/>
          <w:lang w:val="en-US" w:eastAsia="zh-CN"/>
          <w14:textFill>
            <w14:solidFill>
              <w14:schemeClr w14:val="tx1"/>
            </w14:solidFill>
          </w14:textFill>
        </w:rPr>
        <w:t>西北油田分公司星火7</w:t>
      </w:r>
      <w:r>
        <w:rPr>
          <w:rFonts w:hint="eastAsia"/>
          <w:color w:val="000000" w:themeColor="text1"/>
          <w:szCs w:val="24"/>
          <w:highlight w:val="none"/>
          <w:lang w:val="en-US" w:eastAsia="zh-CN"/>
          <w14:textFill>
            <w14:solidFill>
              <w14:schemeClr w14:val="tx1"/>
            </w14:solidFill>
          </w14:textFill>
        </w:rPr>
        <w:t>斜井（勘探井）钻井工程</w:t>
      </w:r>
      <w:r>
        <w:rPr>
          <w:rFonts w:hint="eastAsia"/>
          <w:color w:val="000000" w:themeColor="text1"/>
          <w:highlight w:val="none"/>
          <w14:textFill>
            <w14:solidFill>
              <w14:schemeClr w14:val="tx1"/>
            </w14:solidFill>
          </w14:textFill>
        </w:rPr>
        <w:t>环境影响报告表</w:t>
      </w:r>
      <w:r>
        <w:rPr>
          <w:rFonts w:hint="eastAsia"/>
          <w:color w:val="000000" w:themeColor="text1"/>
          <w:szCs w:val="24"/>
          <w:highlight w:val="none"/>
          <w:lang w:val="en-US" w:eastAsia="zh-CN"/>
          <w14:textFill>
            <w14:solidFill>
              <w14:schemeClr w14:val="tx1"/>
            </w14:solidFill>
          </w14:textFill>
        </w:rPr>
        <w:t>》，</w:t>
      </w:r>
      <w:r>
        <w:rPr>
          <w:bCs/>
          <w:snapToGrid w:val="0"/>
          <w:color w:val="000000" w:themeColor="text1"/>
          <w:highlight w:val="none"/>
          <w14:textFill>
            <w14:solidFill>
              <w14:schemeClr w14:val="tx1"/>
            </w14:solidFill>
          </w14:textFill>
        </w:rPr>
        <w:t>井型为斜井</w:t>
      </w:r>
      <w:r>
        <w:rPr>
          <w:rFonts w:hint="eastAsia"/>
          <w:bCs/>
          <w:snapToGrid w:val="0"/>
          <w:color w:val="000000" w:themeColor="text1"/>
          <w:highlight w:val="none"/>
          <w:lang w:eastAsia="zh-CN"/>
          <w14:textFill>
            <w14:solidFill>
              <w14:schemeClr w14:val="tx1"/>
            </w14:solidFill>
          </w14:textFill>
        </w:rPr>
        <w:t>，设计井深</w:t>
      </w:r>
      <w:r>
        <w:rPr>
          <w:rFonts w:hint="eastAsia"/>
          <w:bCs/>
          <w:snapToGrid w:val="0"/>
          <w:color w:val="000000" w:themeColor="text1"/>
          <w:highlight w:val="none"/>
          <w:lang w:val="en-US" w:eastAsia="zh-CN"/>
          <w14:textFill>
            <w14:solidFill>
              <w14:schemeClr w14:val="tx1"/>
            </w14:solidFill>
          </w14:textFill>
        </w:rPr>
        <w:t>为5950</w:t>
      </w:r>
      <w:r>
        <w:rPr>
          <w:rFonts w:hint="eastAsia"/>
          <w:bCs/>
          <w:snapToGrid w:val="0"/>
          <w:color w:val="000000" w:themeColor="text1"/>
          <w:highlight w:val="none"/>
          <w:lang w:eastAsia="zh-CN"/>
          <w14:textFill>
            <w14:solidFill>
              <w14:schemeClr w14:val="tx1"/>
            </w14:solidFill>
          </w14:textFill>
        </w:rPr>
        <w:t>m，采用</w:t>
      </w:r>
      <w:r>
        <w:rPr>
          <w:rFonts w:hint="eastAsia"/>
          <w:bCs/>
          <w:snapToGrid w:val="0"/>
          <w:color w:val="000000" w:themeColor="text1"/>
          <w:highlight w:val="none"/>
          <w:lang w:val="en-US" w:eastAsia="zh-CN"/>
          <w14:textFill>
            <w14:solidFill>
              <w14:schemeClr w14:val="tx1"/>
            </w14:solidFill>
          </w14:textFill>
        </w:rPr>
        <w:t>四</w:t>
      </w:r>
      <w:r>
        <w:rPr>
          <w:rFonts w:hint="eastAsia"/>
          <w:bCs/>
          <w:snapToGrid w:val="0"/>
          <w:color w:val="000000" w:themeColor="text1"/>
          <w:highlight w:val="none"/>
          <w:lang w:eastAsia="zh-CN"/>
          <w14:textFill>
            <w14:solidFill>
              <w14:schemeClr w14:val="tx1"/>
            </w14:solidFill>
          </w14:textFill>
        </w:rPr>
        <w:t>开井身结构。</w:t>
      </w:r>
      <w:r>
        <w:rPr>
          <w:rFonts w:hint="eastAsia"/>
          <w:color w:val="000000" w:themeColor="text1"/>
          <w:highlight w:val="none"/>
          <w14:textFill>
            <w14:solidFill>
              <w14:schemeClr w14:val="tx1"/>
            </w14:solidFill>
          </w14:textFill>
        </w:rPr>
        <w:t>项目建设内容</w:t>
      </w:r>
      <w:r>
        <w:rPr>
          <w:rFonts w:hint="eastAsia"/>
          <w:bCs/>
          <w:snapToGrid w:val="0"/>
          <w:color w:val="000000" w:themeColor="text1"/>
          <w:highlight w:val="none"/>
          <w:lang w:eastAsia="zh-CN"/>
          <w14:textFill>
            <w14:solidFill>
              <w14:schemeClr w14:val="tx1"/>
            </w14:solidFill>
          </w14:textFill>
        </w:rPr>
        <w:t>包括主体工程（钻前工程、钻井工程、试油、钻后工程等）、辅助公用工程（供电、供水等）、环保工程（放喷池、钻井废弃物不落地处理系统等），办公及生活设施（全部为活动房），以及仓储工程（泥浆储备罐等）等组成。</w:t>
      </w:r>
      <w:r>
        <w:rPr>
          <w:rFonts w:hint="eastAsia"/>
          <w:color w:val="000000" w:themeColor="text1"/>
          <w:highlight w:val="none"/>
          <w14:textFill>
            <w14:solidFill>
              <w14:schemeClr w14:val="tx1"/>
            </w14:solidFill>
          </w14:textFill>
        </w:rPr>
        <w:t>完钻后进行试油，获取有关技术参数。</w:t>
      </w:r>
    </w:p>
    <w:p w14:paraId="7ED9BBDE">
      <w:pPr>
        <w:pageBreakBefore w:val="0"/>
        <w:kinsoku/>
        <w:wordWrap/>
        <w:overflowPunct/>
        <w:topLinePunct w:val="0"/>
        <w:autoSpaceDE/>
        <w:autoSpaceDN/>
        <w:bidi w:val="0"/>
        <w:spacing w:line="360" w:lineRule="auto"/>
        <w:ind w:firstLine="480" w:firstLineChars="200"/>
        <w:textAlignment w:val="auto"/>
        <w:rPr>
          <w:rFonts w:hint="eastAsia" w:eastAsia="宋体"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color w:val="000000" w:themeColor="text1"/>
          <w:szCs w:val="24"/>
          <w:highlight w:val="none"/>
          <w14:textFill>
            <w14:solidFill>
              <w14:schemeClr w14:val="tx1"/>
            </w14:solidFill>
          </w14:textFill>
        </w:rPr>
        <w:t>探井</w:t>
      </w:r>
      <w:r>
        <w:rPr>
          <w:rFonts w:hint="eastAsia"/>
          <w:color w:val="000000" w:themeColor="text1"/>
          <w:szCs w:val="24"/>
          <w:highlight w:val="none"/>
          <w:lang w:val="en-US" w:eastAsia="zh-CN"/>
          <w14:textFill>
            <w14:solidFill>
              <w14:schemeClr w14:val="tx1"/>
            </w14:solidFill>
          </w14:textFill>
        </w:rPr>
        <w:t>于2025年7月18日取得阿克苏地区生态环境局《关于西北油田分公司星火701斜井（勘探井）钻井工程环境影响报告表的批复》（阿地环审</w:t>
      </w:r>
      <w:r>
        <w:rPr>
          <w:rFonts w:hint="eastAsia" w:ascii="宋体" w:hAnsi="宋体" w:eastAsia="宋体" w:cs="宋体"/>
          <w:color w:val="000000" w:themeColor="text1"/>
          <w:szCs w:val="24"/>
          <w:highlight w:val="none"/>
          <w:lang w:val="en-US" w:eastAsia="zh-CN"/>
          <w14:textFill>
            <w14:solidFill>
              <w14:schemeClr w14:val="tx1"/>
            </w14:solidFill>
          </w14:textFill>
        </w:rPr>
        <w:t>〔202</w:t>
      </w:r>
      <w:r>
        <w:rPr>
          <w:rFonts w:hint="eastAsia" w:ascii="宋体" w:hAnsi="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lang w:val="en-US" w:eastAsia="zh-CN"/>
          <w14:textFill>
            <w14:solidFill>
              <w14:schemeClr w14:val="tx1"/>
            </w14:solidFill>
          </w14:textFill>
        </w:rPr>
        <w:t>〕</w:t>
      </w:r>
      <w:r>
        <w:rPr>
          <w:rFonts w:hint="eastAsia" w:ascii="宋体" w:hAnsi="宋体" w:cs="宋体"/>
          <w:color w:val="000000" w:themeColor="text1"/>
          <w:szCs w:val="24"/>
          <w:highlight w:val="none"/>
          <w:lang w:val="en-US" w:eastAsia="zh-CN"/>
          <w14:textFill>
            <w14:solidFill>
              <w14:schemeClr w14:val="tx1"/>
            </w14:solidFill>
          </w14:textFill>
        </w:rPr>
        <w:t>312</w:t>
      </w:r>
      <w:r>
        <w:rPr>
          <w:rFonts w:hint="eastAsia" w:ascii="宋体" w:hAnsi="宋体" w:eastAsia="宋体" w:cs="宋体"/>
          <w:color w:val="000000" w:themeColor="text1"/>
          <w:szCs w:val="24"/>
          <w:highlight w:val="none"/>
          <w:lang w:val="en-US" w:eastAsia="zh-CN"/>
          <w14:textFill>
            <w14:solidFill>
              <w14:schemeClr w14:val="tx1"/>
            </w14:solidFill>
          </w14:textFill>
        </w:rPr>
        <w:t>号</w:t>
      </w:r>
      <w:r>
        <w:rPr>
          <w:rFonts w:hint="eastAsia"/>
          <w:color w:val="000000" w:themeColor="text1"/>
          <w:szCs w:val="24"/>
          <w:highlight w:val="none"/>
          <w:lang w:val="en-US" w:eastAsia="zh-CN"/>
          <w14:textFill>
            <w14:solidFill>
              <w14:schemeClr w14:val="tx1"/>
            </w14:solidFill>
          </w14:textFill>
        </w:rPr>
        <w:t>），根据《</w:t>
      </w:r>
      <w:r>
        <w:rPr>
          <w:rFonts w:hint="eastAsia" w:cs="Times New Roman"/>
          <w:color w:val="000000" w:themeColor="text1"/>
          <w:szCs w:val="22"/>
          <w:highlight w:val="none"/>
          <w:lang w:val="en-US" w:eastAsia="zh-CN"/>
          <w14:textFill>
            <w14:solidFill>
              <w14:schemeClr w14:val="tx1"/>
            </w14:solidFill>
          </w14:textFill>
        </w:rPr>
        <w:t>西北油田分公司星火701</w:t>
      </w:r>
      <w:r>
        <w:rPr>
          <w:rFonts w:hint="eastAsia"/>
          <w:color w:val="000000" w:themeColor="text1"/>
          <w:szCs w:val="24"/>
          <w:highlight w:val="none"/>
          <w:lang w:val="en-US" w:eastAsia="zh-CN"/>
          <w14:textFill>
            <w14:solidFill>
              <w14:schemeClr w14:val="tx1"/>
            </w14:solidFill>
          </w14:textFill>
        </w:rPr>
        <w:t>斜井（勘探井）钻井工程</w:t>
      </w:r>
      <w:r>
        <w:rPr>
          <w:rFonts w:hint="eastAsia"/>
          <w:color w:val="000000" w:themeColor="text1"/>
          <w:highlight w:val="none"/>
          <w14:textFill>
            <w14:solidFill>
              <w14:schemeClr w14:val="tx1"/>
            </w14:solidFill>
          </w14:textFill>
        </w:rPr>
        <w:t>环境影响报告表</w:t>
      </w:r>
      <w:r>
        <w:rPr>
          <w:rFonts w:hint="eastAsia"/>
          <w:color w:val="000000" w:themeColor="text1"/>
          <w:szCs w:val="24"/>
          <w:highlight w:val="none"/>
          <w:lang w:val="en-US" w:eastAsia="zh-CN"/>
          <w14:textFill>
            <w14:solidFill>
              <w14:schemeClr w14:val="tx1"/>
            </w14:solidFill>
          </w14:textFill>
        </w:rPr>
        <w:t>》，</w:t>
      </w:r>
      <w:r>
        <w:rPr>
          <w:bCs/>
          <w:snapToGrid w:val="0"/>
          <w:color w:val="000000" w:themeColor="text1"/>
          <w:highlight w:val="none"/>
          <w14:textFill>
            <w14:solidFill>
              <w14:schemeClr w14:val="tx1"/>
            </w14:solidFill>
          </w14:textFill>
        </w:rPr>
        <w:t>井型为斜井</w:t>
      </w:r>
      <w:r>
        <w:rPr>
          <w:rFonts w:hint="eastAsia"/>
          <w:bCs/>
          <w:snapToGrid w:val="0"/>
          <w:color w:val="000000" w:themeColor="text1"/>
          <w:highlight w:val="none"/>
          <w:lang w:eastAsia="zh-CN"/>
          <w14:textFill>
            <w14:solidFill>
              <w14:schemeClr w14:val="tx1"/>
            </w14:solidFill>
          </w14:textFill>
        </w:rPr>
        <w:t>，设计井深</w:t>
      </w:r>
      <w:r>
        <w:rPr>
          <w:rFonts w:hint="eastAsia"/>
          <w:bCs/>
          <w:snapToGrid w:val="0"/>
          <w:color w:val="000000" w:themeColor="text1"/>
          <w:highlight w:val="none"/>
          <w:lang w:val="en-US" w:eastAsia="zh-CN"/>
          <w14:textFill>
            <w14:solidFill>
              <w14:schemeClr w14:val="tx1"/>
            </w14:solidFill>
          </w14:textFill>
        </w:rPr>
        <w:t>为5180m（垂）/5575.03</w:t>
      </w:r>
      <w:r>
        <w:rPr>
          <w:rFonts w:hint="eastAsia"/>
          <w:bCs/>
          <w:snapToGrid w:val="0"/>
          <w:color w:val="000000" w:themeColor="text1"/>
          <w:highlight w:val="none"/>
          <w:lang w:eastAsia="zh-CN"/>
          <w14:textFill>
            <w14:solidFill>
              <w14:schemeClr w14:val="tx1"/>
            </w14:solidFill>
          </w14:textFill>
        </w:rPr>
        <w:t>m（</w:t>
      </w:r>
      <w:r>
        <w:rPr>
          <w:rFonts w:hint="eastAsia"/>
          <w:bCs/>
          <w:snapToGrid w:val="0"/>
          <w:color w:val="000000" w:themeColor="text1"/>
          <w:highlight w:val="none"/>
          <w:lang w:val="en-US" w:eastAsia="zh-CN"/>
          <w14:textFill>
            <w14:solidFill>
              <w14:schemeClr w14:val="tx1"/>
            </w14:solidFill>
          </w14:textFill>
        </w:rPr>
        <w:t>斜）</w:t>
      </w:r>
      <w:r>
        <w:rPr>
          <w:rFonts w:hint="eastAsia"/>
          <w:bCs/>
          <w:snapToGrid w:val="0"/>
          <w:color w:val="000000" w:themeColor="text1"/>
          <w:highlight w:val="none"/>
          <w:lang w:eastAsia="zh-CN"/>
          <w14:textFill>
            <w14:solidFill>
              <w14:schemeClr w14:val="tx1"/>
            </w14:solidFill>
          </w14:textFill>
        </w:rPr>
        <w:t>，采用</w:t>
      </w:r>
      <w:r>
        <w:rPr>
          <w:rFonts w:hint="eastAsia"/>
          <w:bCs/>
          <w:snapToGrid w:val="0"/>
          <w:color w:val="000000" w:themeColor="text1"/>
          <w:highlight w:val="none"/>
          <w:lang w:val="en-US" w:eastAsia="zh-CN"/>
          <w14:textFill>
            <w14:solidFill>
              <w14:schemeClr w14:val="tx1"/>
            </w14:solidFill>
          </w14:textFill>
        </w:rPr>
        <w:t>三级</w:t>
      </w:r>
      <w:r>
        <w:rPr>
          <w:rFonts w:hint="eastAsia"/>
          <w:bCs/>
          <w:snapToGrid w:val="0"/>
          <w:color w:val="000000" w:themeColor="text1"/>
          <w:highlight w:val="none"/>
          <w:lang w:eastAsia="zh-CN"/>
          <w14:textFill>
            <w14:solidFill>
              <w14:schemeClr w14:val="tx1"/>
            </w14:solidFill>
          </w14:textFill>
        </w:rPr>
        <w:t>井身结构。</w:t>
      </w:r>
      <w:r>
        <w:rPr>
          <w:rFonts w:hint="eastAsia"/>
          <w:color w:val="000000" w:themeColor="text1"/>
          <w:highlight w:val="none"/>
          <w14:textFill>
            <w14:solidFill>
              <w14:schemeClr w14:val="tx1"/>
            </w14:solidFill>
          </w14:textFill>
        </w:rPr>
        <w:t>项目建设内容</w:t>
      </w:r>
      <w:r>
        <w:rPr>
          <w:rFonts w:hint="eastAsia"/>
          <w:bCs/>
          <w:snapToGrid w:val="0"/>
          <w:color w:val="000000" w:themeColor="text1"/>
          <w:highlight w:val="none"/>
          <w:lang w:eastAsia="zh-CN"/>
          <w14:textFill>
            <w14:solidFill>
              <w14:schemeClr w14:val="tx1"/>
            </w14:solidFill>
          </w14:textFill>
        </w:rPr>
        <w:t>包括主体工程（钻前工程、钻井工程、试油、钻后工程等）、辅助公用工程（供电、供水等）、环保工程（放喷池、钻井废弃物不落地处理系统等），办公及生活设施（全部为活动房）等组成。</w:t>
      </w:r>
      <w:r>
        <w:rPr>
          <w:rFonts w:hint="eastAsia"/>
          <w:color w:val="000000" w:themeColor="text1"/>
          <w:highlight w:val="none"/>
          <w14:textFill>
            <w14:solidFill>
              <w14:schemeClr w14:val="tx1"/>
            </w14:solidFill>
          </w14:textFill>
        </w:rPr>
        <w:t>完钻后进行试油，获取有关技术参数。</w:t>
      </w:r>
    </w:p>
    <w:p w14:paraId="1613FA45">
      <w:pPr>
        <w:pageBreakBefore w:val="0"/>
        <w:kinsoku/>
        <w:wordWrap/>
        <w:overflowPunct/>
        <w:topLinePunct w:val="0"/>
        <w:autoSpaceDE/>
        <w:autoSpaceDN/>
        <w:bidi w:val="0"/>
        <w:spacing w:line="360" w:lineRule="auto"/>
        <w:ind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目前区块内仅有</w:t>
      </w:r>
      <w:r>
        <w:rPr>
          <w:rFonts w:hint="eastAsia"/>
          <w:color w:val="000000" w:themeColor="text1"/>
          <w:szCs w:val="24"/>
          <w:highlight w:val="none"/>
          <w:lang w:val="en-US" w:eastAsia="zh-CN"/>
          <w14:textFill>
            <w14:solidFill>
              <w14:schemeClr w14:val="tx1"/>
            </w14:solidFill>
          </w14:textFill>
        </w:rPr>
        <w:t>星火7斜井</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于2024年12月4日完钻，2025年3月2日</w:t>
      </w:r>
      <w:r>
        <w:rPr>
          <w:rFonts w:hint="eastAsia"/>
          <w:color w:val="000000" w:themeColor="text1"/>
          <w:szCs w:val="24"/>
          <w:highlight w:val="none"/>
          <w:lang w:val="en-US" w:eastAsia="zh-CN"/>
          <w14:textFill>
            <w14:solidFill>
              <w14:schemeClr w14:val="tx1"/>
            </w14:solidFill>
          </w14:textFill>
        </w:rPr>
        <w:t>进行了完井测试，</w:t>
      </w:r>
      <w:r>
        <w:rPr>
          <w:rFonts w:hint="eastAsia"/>
          <w:color w:val="000000" w:themeColor="text1"/>
          <w:highlight w:val="none"/>
          <w14:textFill>
            <w14:solidFill>
              <w14:schemeClr w14:val="tx1"/>
            </w14:solidFill>
          </w14:textFill>
        </w:rPr>
        <w:t>测试层位为白垩系巴什基奇克组，油嘴4mm，油压37MPa、产液11.3方/天、产油11方/天、产气6.9万方/天。</w:t>
      </w:r>
      <w:r>
        <w:rPr>
          <w:rFonts w:hint="eastAsia"/>
          <w:color w:val="000000" w:themeColor="text1"/>
          <w:highlight w:val="none"/>
          <w:lang w:val="en-US" w:eastAsia="zh-CN"/>
          <w14:textFill>
            <w14:solidFill>
              <w14:schemeClr w14:val="tx1"/>
            </w14:solidFill>
          </w14:textFill>
        </w:rPr>
        <w:t>测试结果表明</w:t>
      </w:r>
      <w:r>
        <w:rPr>
          <w:rFonts w:hint="eastAsia"/>
          <w:color w:val="000000" w:themeColor="text1"/>
          <w:szCs w:val="24"/>
          <w:highlight w:val="none"/>
          <w:lang w:val="en-US" w:eastAsia="zh-CN"/>
          <w14:textFill>
            <w14:solidFill>
              <w14:schemeClr w14:val="tx1"/>
            </w14:solidFill>
          </w14:textFill>
        </w:rPr>
        <w:t>该区块有一定储量的石油天然气资源，需要配套完善地面工程，实施星火7斜井探转采工程，摸清星火7斜井区块油藏地质规模，进一步探明星火7斜井区块产能，实现该区块开发。</w:t>
      </w:r>
    </w:p>
    <w:p w14:paraId="0D2BD5F3">
      <w:pPr>
        <w:keepNext/>
        <w:keepLines/>
        <w:spacing w:before="120" w:after="120"/>
        <w:outlineLvl w:val="2"/>
        <w:rPr>
          <w:rFonts w:hint="default" w:ascii="Times New Roman" w:hAnsi="Times New Roman" w:eastAsia="宋体" w:cs="Times New Roman"/>
          <w:b/>
          <w:color w:val="000000" w:themeColor="text1"/>
          <w:sz w:val="28"/>
          <w:szCs w:val="22"/>
          <w:highlight w:val="none"/>
          <w14:textFill>
            <w14:solidFill>
              <w14:schemeClr w14:val="tx1"/>
            </w14:solidFill>
          </w14:textFill>
        </w:rPr>
      </w:pPr>
      <w:r>
        <w:rPr>
          <w:rFonts w:hint="default" w:ascii="Times New Roman" w:hAnsi="Times New Roman" w:eastAsia="宋体" w:cs="Times New Roman"/>
          <w:b/>
          <w:color w:val="000000" w:themeColor="text1"/>
          <w:sz w:val="28"/>
          <w:szCs w:val="22"/>
          <w:highlight w:val="none"/>
          <w14:textFill>
            <w14:solidFill>
              <w14:schemeClr w14:val="tx1"/>
            </w14:solidFill>
          </w14:textFill>
        </w:rPr>
        <w:t>3.</w:t>
      </w:r>
      <w:r>
        <w:rPr>
          <w:rFonts w:hint="eastAsia" w:cs="Times New Roman"/>
          <w:b/>
          <w:color w:val="000000" w:themeColor="text1"/>
          <w:sz w:val="28"/>
          <w:szCs w:val="2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2"/>
          <w:highlight w:val="none"/>
          <w14:textFill>
            <w14:solidFill>
              <w14:schemeClr w14:val="tx1"/>
            </w14:solidFill>
          </w14:textFill>
        </w:rPr>
        <w:t>.</w:t>
      </w:r>
      <w:r>
        <w:rPr>
          <w:rFonts w:hint="default" w:ascii="Times New Roman" w:hAnsi="Times New Roman" w:eastAsia="宋体" w:cs="Times New Roman"/>
          <w:b/>
          <w:color w:val="000000" w:themeColor="text1"/>
          <w:sz w:val="28"/>
          <w:szCs w:val="2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2"/>
          <w:highlight w:val="none"/>
          <w14:textFill>
            <w14:solidFill>
              <w14:schemeClr w14:val="tx1"/>
            </w14:solidFill>
          </w14:textFill>
        </w:rPr>
        <w:t>现有工程“三同时”执行情况</w:t>
      </w:r>
    </w:p>
    <w:p w14:paraId="04420D84">
      <w:pPr>
        <w:spacing w:line="360" w:lineRule="auto"/>
        <w:ind w:firstLine="480" w:firstLineChars="200"/>
        <w:rPr>
          <w:rFonts w:hint="default" w:ascii="Times New Roman" w:hAnsi="Times New Roman" w:cs="Times New Roman"/>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t>本</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为</w:t>
      </w:r>
      <w:r>
        <w:rPr>
          <w:rFonts w:hint="eastAsia"/>
          <w:color w:val="000000" w:themeColor="text1"/>
          <w:highlight w:val="none"/>
          <w14:textFill>
            <w14:solidFill>
              <w14:schemeClr w14:val="tx1"/>
            </w14:solidFill>
          </w14:textFill>
        </w:rPr>
        <w:t>新区块</w:t>
      </w:r>
      <w:r>
        <w:rPr>
          <w:color w:val="000000" w:themeColor="text1"/>
          <w:highlight w:val="none"/>
          <w14:textFill>
            <w14:solidFill>
              <w14:schemeClr w14:val="tx1"/>
            </w14:solidFill>
          </w14:textFill>
        </w:rPr>
        <w:t>开发</w:t>
      </w:r>
      <w:r>
        <w:rPr>
          <w:rFonts w:hint="eastAsia"/>
          <w:color w:val="000000" w:themeColor="text1"/>
          <w:highlight w:val="none"/>
          <w14:textFill>
            <w14:solidFill>
              <w14:schemeClr w14:val="tx1"/>
            </w14:solidFill>
          </w14:textFill>
        </w:rPr>
        <w:t>，</w:t>
      </w:r>
      <w:bookmarkStart w:id="409" w:name="OLE_LINK202"/>
      <w:r>
        <w:rPr>
          <w:rFonts w:hint="default" w:ascii="Times New Roman" w:hAnsi="Times New Roman" w:cs="Times New Roman"/>
          <w:color w:val="000000" w:themeColor="text1"/>
          <w:szCs w:val="22"/>
          <w:highlight w:val="none"/>
          <w14:textFill>
            <w14:solidFill>
              <w14:schemeClr w14:val="tx1"/>
            </w14:solidFill>
          </w14:textFill>
        </w:rPr>
        <w:t>现有工程环评及验收情况一览表</w:t>
      </w:r>
      <w:r>
        <w:rPr>
          <w:rFonts w:hint="eastAsia" w:ascii="Times New Roman" w:hAnsi="Times New Roman" w:cs="Times New Roman"/>
          <w:color w:val="000000" w:themeColor="text1"/>
          <w:szCs w:val="22"/>
          <w:highlight w:val="none"/>
          <w:lang w:val="en-US" w:eastAsia="zh-CN"/>
          <w14:textFill>
            <w14:solidFill>
              <w14:schemeClr w14:val="tx1"/>
            </w14:solidFill>
          </w14:textFill>
        </w:rPr>
        <w:t>见表</w:t>
      </w:r>
      <w:r>
        <w:rPr>
          <w:rFonts w:hint="default" w:ascii="Times New Roman" w:hAnsi="Times New Roman" w:cs="Times New Roman"/>
          <w:color w:val="000000" w:themeColor="text1"/>
          <w:szCs w:val="22"/>
          <w:highlight w:val="none"/>
          <w14:textFill>
            <w14:solidFill>
              <w14:schemeClr w14:val="tx1"/>
            </w14:solidFill>
          </w14:textFill>
        </w:rPr>
        <w:t>3.</w:t>
      </w:r>
      <w:r>
        <w:rPr>
          <w:rFonts w:hint="eastAsia" w:ascii="Times New Roman" w:hAnsi="Times New Roman" w:cs="Times New Roman"/>
          <w:color w:val="000000" w:themeColor="text1"/>
          <w:szCs w:val="22"/>
          <w:highlight w:val="none"/>
          <w:lang w:val="en-US" w:eastAsia="zh-CN"/>
          <w14:textFill>
            <w14:solidFill>
              <w14:schemeClr w14:val="tx1"/>
            </w14:solidFill>
          </w14:textFill>
        </w:rPr>
        <w:t>1</w:t>
      </w:r>
      <w:r>
        <w:rPr>
          <w:rFonts w:hint="default" w:ascii="Times New Roman" w:hAnsi="Times New Roman" w:cs="Times New Roman"/>
          <w:color w:val="000000" w:themeColor="text1"/>
          <w:szCs w:val="22"/>
          <w:highlight w:val="none"/>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1</w:t>
      </w:r>
      <w:r>
        <w:rPr>
          <w:rFonts w:hint="default" w:ascii="Times New Roman" w:hAnsi="Times New Roman" w:cs="Times New Roman"/>
          <w:color w:val="000000" w:themeColor="text1"/>
          <w:szCs w:val="22"/>
          <w:highlight w:val="none"/>
          <w14:textFill>
            <w14:solidFill>
              <w14:schemeClr w14:val="tx1"/>
            </w14:solidFill>
          </w14:textFill>
        </w:rPr>
        <w:t>所示。</w:t>
      </w:r>
    </w:p>
    <w:p w14:paraId="49484720">
      <w:pPr>
        <w:keepNext w:val="0"/>
        <w:keepLines w:val="0"/>
        <w:pageBreakBefore w:val="0"/>
        <w:widowControl/>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环保手续履行情况一览表</w:t>
      </w:r>
    </w:p>
    <w:tbl>
      <w:tblPr>
        <w:tblStyle w:val="37"/>
        <w:tblW w:w="506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35"/>
        <w:gridCol w:w="3210"/>
        <w:gridCol w:w="2386"/>
      </w:tblGrid>
      <w:tr w14:paraId="0DFA9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0" w:type="pct"/>
            <w:vMerge w:val="restart"/>
            <w:noWrap w:val="0"/>
            <w:vAlign w:val="center"/>
          </w:tcPr>
          <w:p w14:paraId="6BDB23B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t>项目名称</w:t>
            </w:r>
          </w:p>
        </w:tc>
        <w:tc>
          <w:tcPr>
            <w:tcW w:w="1881" w:type="pct"/>
            <w:noWrap w:val="0"/>
            <w:vAlign w:val="center"/>
          </w:tcPr>
          <w:p w14:paraId="69D4D2C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t>环评文件</w:t>
            </w:r>
          </w:p>
        </w:tc>
        <w:tc>
          <w:tcPr>
            <w:tcW w:w="1398" w:type="pct"/>
            <w:noWrap w:val="0"/>
            <w:vAlign w:val="center"/>
          </w:tcPr>
          <w:p w14:paraId="40B0B5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t>验收文件</w:t>
            </w:r>
          </w:p>
        </w:tc>
      </w:tr>
      <w:tr w14:paraId="170C7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0" w:type="pct"/>
            <w:vMerge w:val="continue"/>
            <w:noWrap w:val="0"/>
            <w:vAlign w:val="center"/>
          </w:tcPr>
          <w:p w14:paraId="20ADA47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p>
        </w:tc>
        <w:tc>
          <w:tcPr>
            <w:tcW w:w="1881" w:type="pct"/>
            <w:noWrap w:val="0"/>
            <w:vAlign w:val="center"/>
          </w:tcPr>
          <w:p w14:paraId="194400D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t>审批部门、文号、审批日期</w:t>
            </w:r>
          </w:p>
        </w:tc>
        <w:tc>
          <w:tcPr>
            <w:tcW w:w="1398" w:type="pct"/>
            <w:noWrap w:val="0"/>
            <w:vAlign w:val="center"/>
          </w:tcPr>
          <w:p w14:paraId="2A56CF2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zh-CN"/>
                <w14:textFill>
                  <w14:solidFill>
                    <w14:schemeClr w14:val="tx1"/>
                  </w14:solidFill>
                </w14:textFill>
              </w:rPr>
              <w:t>验收单位、验收文号、验收时间</w:t>
            </w:r>
          </w:p>
        </w:tc>
      </w:tr>
      <w:tr w14:paraId="40DF8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0" w:type="pct"/>
            <w:noWrap w:val="0"/>
            <w:vAlign w:val="center"/>
          </w:tcPr>
          <w:p w14:paraId="72B99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西北油田分公司星火7斜井（勘探井）钻井工程</w:t>
            </w:r>
          </w:p>
        </w:tc>
        <w:tc>
          <w:tcPr>
            <w:tcW w:w="1881" w:type="pct"/>
            <w:noWrap w:val="0"/>
            <w:vAlign w:val="center"/>
          </w:tcPr>
          <w:p w14:paraId="127C5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阿地环审〔2024〕108号</w:t>
            </w:r>
          </w:p>
          <w:p w14:paraId="763E3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2024年2月7日</w:t>
            </w:r>
          </w:p>
        </w:tc>
        <w:tc>
          <w:tcPr>
            <w:tcW w:w="1398" w:type="pct"/>
            <w:noWrap w:val="0"/>
            <w:vAlign w:val="center"/>
          </w:tcPr>
          <w:p w14:paraId="5C7B1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cs="Times New Roman"/>
                <w:color w:val="000000" w:themeColor="text1"/>
                <w:sz w:val="21"/>
                <w:szCs w:val="21"/>
                <w:highlight w:val="none"/>
                <w:lang w:val="en-US" w:eastAsia="zh-CN" w:bidi="zh-CN"/>
                <w14:textFill>
                  <w14:solidFill>
                    <w14:schemeClr w14:val="tx1"/>
                  </w14:solidFill>
                </w14:textFill>
              </w:rPr>
              <w:t>正在组织验收</w:t>
            </w:r>
          </w:p>
        </w:tc>
      </w:tr>
      <w:tr w14:paraId="07D0D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0" w:type="pct"/>
            <w:noWrap w:val="0"/>
            <w:vAlign w:val="center"/>
          </w:tcPr>
          <w:p w14:paraId="3A77C59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西北油田分公司星火701斜井（勘探井）钻井工程</w:t>
            </w:r>
          </w:p>
        </w:tc>
        <w:tc>
          <w:tcPr>
            <w:tcW w:w="1881" w:type="pct"/>
            <w:noWrap w:val="0"/>
            <w:vAlign w:val="center"/>
          </w:tcPr>
          <w:p w14:paraId="11ED7DC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阿地环审〔2025〕312号</w:t>
            </w:r>
          </w:p>
          <w:p w14:paraId="70030B4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2025年7月18日</w:t>
            </w:r>
          </w:p>
        </w:tc>
        <w:tc>
          <w:tcPr>
            <w:tcW w:w="1398" w:type="pct"/>
            <w:noWrap w:val="0"/>
            <w:vAlign w:val="center"/>
          </w:tcPr>
          <w:p w14:paraId="13F5B6C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eastAsia" w:cs="Times New Roman"/>
                <w:color w:val="000000" w:themeColor="text1"/>
                <w:sz w:val="21"/>
                <w:szCs w:val="21"/>
                <w:highlight w:val="none"/>
                <w:lang w:val="en-US" w:eastAsia="zh-CN" w:bidi="zh-CN"/>
                <w14:textFill>
                  <w14:solidFill>
                    <w14:schemeClr w14:val="tx1"/>
                  </w14:solidFill>
                </w14:textFill>
              </w:rPr>
              <w:t>未实施</w:t>
            </w:r>
          </w:p>
        </w:tc>
      </w:tr>
      <w:bookmarkEnd w:id="409"/>
    </w:tbl>
    <w:p w14:paraId="077EBC8C">
      <w:pPr>
        <w:keepNext/>
        <w:keepLines/>
        <w:spacing w:before="120" w:after="120"/>
        <w:outlineLvl w:val="2"/>
        <w:rPr>
          <w:rFonts w:hint="default" w:ascii="Times New Roman" w:hAnsi="Times New Roman" w:eastAsia="宋体" w:cs="Times New Roman"/>
          <w:b/>
          <w:color w:val="000000" w:themeColor="text1"/>
          <w:sz w:val="28"/>
          <w:szCs w:val="22"/>
          <w:highlight w:val="none"/>
          <w14:textFill>
            <w14:solidFill>
              <w14:schemeClr w14:val="tx1"/>
            </w14:solidFill>
          </w14:textFill>
        </w:rPr>
      </w:pPr>
      <w:bookmarkStart w:id="410" w:name="OLE_LINK494"/>
      <w:r>
        <w:rPr>
          <w:rFonts w:hint="default" w:ascii="Times New Roman" w:hAnsi="Times New Roman" w:eastAsia="宋体" w:cs="Times New Roman"/>
          <w:b/>
          <w:color w:val="000000" w:themeColor="text1"/>
          <w:sz w:val="28"/>
          <w:szCs w:val="22"/>
          <w:highlight w:val="none"/>
          <w14:textFill>
            <w14:solidFill>
              <w14:schemeClr w14:val="tx1"/>
            </w14:solidFill>
          </w14:textFill>
        </w:rPr>
        <w:t>3.</w:t>
      </w:r>
      <w:r>
        <w:rPr>
          <w:rFonts w:hint="eastAsia" w:cs="Times New Roman"/>
          <w:b/>
          <w:color w:val="000000" w:themeColor="text1"/>
          <w:sz w:val="28"/>
          <w:szCs w:val="2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2"/>
          <w:highlight w:val="none"/>
          <w14:textFill>
            <w14:solidFill>
              <w14:schemeClr w14:val="tx1"/>
            </w14:solidFill>
          </w14:textFill>
        </w:rPr>
        <w:t>.</w:t>
      </w:r>
      <w:r>
        <w:rPr>
          <w:rFonts w:hint="eastAsia" w:cs="Times New Roman"/>
          <w:b/>
          <w:color w:val="000000" w:themeColor="text1"/>
          <w:sz w:val="28"/>
          <w:szCs w:val="2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2"/>
          <w:highlight w:val="none"/>
          <w14:textFill>
            <w14:solidFill>
              <w14:schemeClr w14:val="tx1"/>
            </w14:solidFill>
          </w14:textFill>
        </w:rPr>
        <w:t>现有工程污染物达标情况</w:t>
      </w:r>
    </w:p>
    <w:p w14:paraId="678E64B6">
      <w:pPr>
        <w:pageBreakBefore w:val="0"/>
        <w:kinsoku/>
        <w:wordWrap/>
        <w:overflowPunct/>
        <w:topLinePunct w:val="0"/>
        <w:autoSpaceDE/>
        <w:autoSpaceDN/>
        <w:bidi w:val="0"/>
        <w:spacing w:line="360" w:lineRule="auto"/>
        <w:ind w:firstLine="500" w:firstLineChars="200"/>
        <w:textAlignment w:val="auto"/>
        <w:rPr>
          <w:rFonts w:hint="eastAsia" w:cs="Times New Roman"/>
          <w:color w:val="000000" w:themeColor="text1"/>
          <w:spacing w:val="5"/>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本次拟开发</w:t>
      </w:r>
      <w:bookmarkEnd w:id="410"/>
      <w:r>
        <w:rPr>
          <w:rFonts w:hint="eastAsia" w:cs="Times New Roman"/>
          <w:color w:val="000000" w:themeColor="text1"/>
          <w:spacing w:val="5"/>
          <w:kern w:val="2"/>
          <w:sz w:val="24"/>
          <w:szCs w:val="24"/>
          <w:highlight w:val="none"/>
          <w:lang w:val="en-US" w:eastAsia="zh-CN" w:bidi="ar-SA"/>
          <w14:textFill>
            <w14:solidFill>
              <w14:schemeClr w14:val="tx1"/>
            </w14:solidFill>
          </w14:textFill>
        </w:rPr>
        <w:t>星火7井区2025年产能建设项目</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（以下简称</w:t>
      </w:r>
      <w:r>
        <w:rPr>
          <w:rFonts w:hint="eastAsia" w:cs="Times New Roman"/>
          <w:color w:val="000000" w:themeColor="text1"/>
          <w:spacing w:val="5"/>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本工程</w:t>
      </w:r>
      <w:r>
        <w:rPr>
          <w:rFonts w:hint="eastAsia" w:cs="Times New Roman"/>
          <w:color w:val="000000" w:themeColor="text1"/>
          <w:spacing w:val="5"/>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）位于中国石油化工股份有限公司西北油田分公司“十四五”规划范围的天山南缘区块油气勘查区，</w:t>
      </w:r>
      <w:r>
        <w:rPr>
          <w:rFonts w:hint="eastAsia" w:cs="Times New Roman"/>
          <w:color w:val="000000" w:themeColor="text1"/>
          <w:szCs w:val="22"/>
          <w:highlight w:val="none"/>
          <w:lang w:val="en-US" w:eastAsia="zh-CN"/>
          <w14:textFill>
            <w14:solidFill>
              <w14:schemeClr w14:val="tx1"/>
            </w14:solidFill>
          </w14:textFill>
        </w:rPr>
        <w:t>目前星火7井区块</w:t>
      </w:r>
      <w:r>
        <w:rPr>
          <w:rFonts w:hint="eastAsia"/>
          <w:color w:val="000000" w:themeColor="text1"/>
          <w:szCs w:val="24"/>
          <w:highlight w:val="none"/>
          <w14:textFill>
            <w14:solidFill>
              <w14:schemeClr w14:val="tx1"/>
            </w14:solidFill>
          </w14:textFill>
        </w:rPr>
        <w:t>仅有</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color w:val="000000" w:themeColor="text1"/>
          <w:szCs w:val="24"/>
          <w:highlight w:val="none"/>
          <w14:textFill>
            <w14:solidFill>
              <w14:schemeClr w14:val="tx1"/>
            </w14:solidFill>
          </w14:textFill>
        </w:rPr>
        <w:t>探井项目</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于2024年和2025年实施，</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现阶段</w:t>
      </w:r>
      <w:r>
        <w:rPr>
          <w:rFonts w:hint="eastAsia" w:cs="Times New Roman"/>
          <w:color w:val="000000" w:themeColor="text1"/>
          <w:szCs w:val="22"/>
          <w:highlight w:val="none"/>
          <w:lang w:val="en-US" w:eastAsia="zh-CN"/>
          <w14:textFill>
            <w14:solidFill>
              <w14:schemeClr w14:val="tx1"/>
            </w14:solidFill>
          </w14:textFill>
        </w:rPr>
        <w:t>星火7斜井</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关井，</w:t>
      </w:r>
      <w:r>
        <w:rPr>
          <w:rFonts w:hint="eastAsia" w:cs="Times New Roman"/>
          <w:color w:val="000000" w:themeColor="text1"/>
          <w:spacing w:val="5"/>
          <w:kern w:val="2"/>
          <w:sz w:val="24"/>
          <w:szCs w:val="24"/>
          <w:highlight w:val="none"/>
          <w:lang w:val="en-US" w:eastAsia="zh-CN" w:bidi="ar-SA"/>
          <w14:textFill>
            <w14:solidFill>
              <w14:schemeClr w14:val="tx1"/>
            </w14:solidFill>
          </w14:textFill>
        </w:rPr>
        <w:t>星火701斜井正在钻井。</w:t>
      </w:r>
    </w:p>
    <w:p w14:paraId="323B3926">
      <w:pPr>
        <w:pageBreakBefore w:val="0"/>
        <w:kinsoku/>
        <w:wordWrap/>
        <w:overflowPunct/>
        <w:topLinePunct w:val="0"/>
        <w:autoSpaceDE/>
        <w:autoSpaceDN/>
        <w:bidi w:val="0"/>
        <w:spacing w:line="360" w:lineRule="auto"/>
        <w:ind w:firstLine="500" w:firstLineChars="200"/>
        <w:textAlignment w:val="auto"/>
        <w:rPr>
          <w:rFonts w:hint="default" w:cs="Times New Roman"/>
          <w:color w:val="000000" w:themeColor="text1"/>
          <w:spacing w:val="5"/>
          <w:kern w:val="2"/>
          <w:sz w:val="25"/>
          <w:szCs w:val="25"/>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根据现场踏勘及资料收集，施工期运输车辆沿临时道路行驶，井场周边均为耕地，无随意破坏耕地的现象，无车辆乱碾乱压的情况发生。施工期间洒水降尘，施工结束后及时进行了施工迹地的清理工作。场地整理、平整和压实，以减少水土流失。在施工过程中严格落实了防沙治沙要求。</w:t>
      </w:r>
      <w:r>
        <w:rPr>
          <w:rFonts w:hint="eastAsia" w:cs="Times New Roman"/>
          <w:color w:val="000000" w:themeColor="text1"/>
          <w:spacing w:val="5"/>
          <w:kern w:val="2"/>
          <w:sz w:val="24"/>
          <w:szCs w:val="24"/>
          <w:highlight w:val="none"/>
          <w:lang w:val="en-US" w:eastAsia="zh-CN" w:bidi="ar-SA"/>
          <w14:textFill>
            <w14:solidFill>
              <w14:schemeClr w14:val="tx1"/>
            </w14:solidFill>
          </w14:textFill>
        </w:rPr>
        <w:t>施工期</w:t>
      </w:r>
      <w:r>
        <w:rPr>
          <w:rFonts w:hint="default" w:ascii="Times New Roman" w:hAnsi="Times New Roman" w:eastAsia="宋体" w:cs="Times New Roman"/>
          <w:color w:val="000000" w:themeColor="text1"/>
          <w:spacing w:val="5"/>
          <w:kern w:val="2"/>
          <w:sz w:val="24"/>
          <w:szCs w:val="24"/>
          <w:highlight w:val="none"/>
          <w:lang w:val="en-US" w:eastAsia="zh-CN" w:bidi="ar-SA"/>
          <w14:textFill>
            <w14:solidFill>
              <w14:schemeClr w14:val="tx1"/>
            </w14:solidFill>
          </w14:textFill>
        </w:rPr>
        <w:t>使用符合国家标准的燃油，柴油机烟气、汽车尾气排放集中在钻井期和试油期，其影响随工程的结束而消失</w:t>
      </w:r>
      <w:r>
        <w:rPr>
          <w:rFonts w:hint="eastAsia" w:cs="Times New Roman"/>
          <w:color w:val="000000" w:themeColor="text1"/>
          <w:spacing w:val="5"/>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5"/>
          <w:kern w:val="2"/>
          <w:sz w:val="25"/>
          <w:szCs w:val="25"/>
          <w:highlight w:val="none"/>
          <w:lang w:val="en-US" w:eastAsia="zh-CN" w:bidi="ar-SA"/>
          <w14:textFill>
            <w14:solidFill>
              <w14:schemeClr w14:val="tx1"/>
            </w14:solidFill>
          </w14:textFill>
        </w:rPr>
        <w:t>钻井泥浆、岩屑一同进入不落地处理系统处理，分离后的液体转运至环保工作站处置</w:t>
      </w:r>
      <w:r>
        <w:rPr>
          <w:rFonts w:hint="eastAsia" w:cs="Times New Roman"/>
          <w:color w:val="000000" w:themeColor="text1"/>
          <w:spacing w:val="5"/>
          <w:kern w:val="2"/>
          <w:sz w:val="25"/>
          <w:szCs w:val="25"/>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5"/>
          <w:kern w:val="2"/>
          <w:sz w:val="25"/>
          <w:szCs w:val="25"/>
          <w:highlight w:val="none"/>
          <w:lang w:val="en-US" w:eastAsia="zh-CN" w:bidi="ar-SA"/>
          <w14:textFill>
            <w14:solidFill>
              <w14:schemeClr w14:val="tx1"/>
            </w14:solidFill>
          </w14:textFill>
        </w:rPr>
        <w:t>岩屑进入随钻不落地处理技术进行就地无害化处理，经处置检测合格并按规定进行留样，满足《油气田钻井固体废物综合利用污染控制要求》（DB65/T3997-2017）中综合利用污染物限值要求后用于铺垫油区内的井场、道路等。试油期井下作业废水在储液罐内收集，罐车拉运至阿克苏塔河环保工程有限公司绿色环保工作站处理。酸化压裂废水采用专用废液收集罐收集后拉运至阿克苏塔河环保工程有限公司绿色环保工作站处理。钻井过程中采用套管封堵防止钻井过程中地下水受到污染</w:t>
      </w:r>
      <w:r>
        <w:rPr>
          <w:rFonts w:hint="eastAsia" w:cs="Times New Roman"/>
          <w:color w:val="000000" w:themeColor="text1"/>
          <w:spacing w:val="5"/>
          <w:kern w:val="2"/>
          <w:sz w:val="25"/>
          <w:szCs w:val="25"/>
          <w:highlight w:val="none"/>
          <w:lang w:val="en-US" w:eastAsia="zh-CN" w:bidi="ar-SA"/>
          <w14:textFill>
            <w14:solidFill>
              <w14:schemeClr w14:val="tx1"/>
            </w14:solidFill>
          </w14:textFill>
        </w:rPr>
        <w:t>。</w:t>
      </w:r>
      <w:r>
        <w:rPr>
          <w:rFonts w:hint="default" w:cs="Times New Roman"/>
          <w:color w:val="000000" w:themeColor="text1"/>
          <w:spacing w:val="5"/>
          <w:kern w:val="2"/>
          <w:sz w:val="25"/>
          <w:szCs w:val="25"/>
          <w:highlight w:val="none"/>
          <w:lang w:val="en-US" w:eastAsia="zh-CN" w:bidi="ar-SA"/>
          <w14:textFill>
            <w14:solidFill>
              <w14:schemeClr w14:val="tx1"/>
            </w14:solidFill>
          </w14:textFill>
        </w:rPr>
        <w:t>采用低噪声设备，加强设备维护，通过对柴油机、发电机、泥浆泵等设施安装隔震垫、弹性垫料等措施降低噪声的影响，同时工作人员配备耳塞，发放个人防护器材。施工噪声待施工期结束后影响随即消失</w:t>
      </w:r>
      <w:r>
        <w:rPr>
          <w:rFonts w:hint="eastAsia" w:cs="Times New Roman"/>
          <w:color w:val="000000" w:themeColor="text1"/>
          <w:spacing w:val="5"/>
          <w:kern w:val="2"/>
          <w:sz w:val="25"/>
          <w:szCs w:val="25"/>
          <w:highlight w:val="none"/>
          <w:lang w:val="en-US" w:eastAsia="zh-CN" w:bidi="ar-SA"/>
          <w14:textFill>
            <w14:solidFill>
              <w14:schemeClr w14:val="tx1"/>
            </w14:solidFill>
          </w14:textFill>
        </w:rPr>
        <w:t>。</w:t>
      </w:r>
    </w:p>
    <w:p w14:paraId="0F00C4D9">
      <w:pPr>
        <w:keepNext/>
        <w:keepLines/>
        <w:pageBreakBefore w:val="0"/>
        <w:widowControl/>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color w:val="000000" w:themeColor="text1"/>
          <w:sz w:val="28"/>
          <w:szCs w:val="22"/>
          <w:highlight w:val="none"/>
          <w14:textFill>
            <w14:solidFill>
              <w14:schemeClr w14:val="tx1"/>
            </w14:solidFill>
          </w14:textFill>
        </w:rPr>
      </w:pPr>
      <w:r>
        <w:rPr>
          <w:rFonts w:hint="default" w:ascii="Times New Roman" w:hAnsi="Times New Roman" w:eastAsia="宋体" w:cs="Times New Roman"/>
          <w:b/>
          <w:color w:val="000000" w:themeColor="text1"/>
          <w:sz w:val="28"/>
          <w:szCs w:val="22"/>
          <w:highlight w:val="none"/>
          <w14:textFill>
            <w14:solidFill>
              <w14:schemeClr w14:val="tx1"/>
            </w14:solidFill>
          </w14:textFill>
        </w:rPr>
        <w:t>3.</w:t>
      </w:r>
      <w:r>
        <w:rPr>
          <w:rFonts w:hint="eastAsia" w:cs="Times New Roman"/>
          <w:b/>
          <w:color w:val="000000" w:themeColor="text1"/>
          <w:sz w:val="28"/>
          <w:szCs w:val="2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2"/>
          <w:highlight w:val="none"/>
          <w14:textFill>
            <w14:solidFill>
              <w14:schemeClr w14:val="tx1"/>
            </w14:solidFill>
          </w14:textFill>
        </w:rPr>
        <w:t>.</w:t>
      </w:r>
      <w:bookmarkStart w:id="411" w:name="OLE_LINK493"/>
      <w:r>
        <w:rPr>
          <w:rFonts w:hint="eastAsia" w:cs="Times New Roman"/>
          <w:b/>
          <w:color w:val="000000" w:themeColor="text1"/>
          <w:sz w:val="28"/>
          <w:szCs w:val="2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2"/>
          <w:highlight w:val="none"/>
          <w14:textFill>
            <w14:solidFill>
              <w14:schemeClr w14:val="tx1"/>
            </w14:solidFill>
          </w14:textFill>
        </w:rPr>
        <w:t>现有工程环境问题</w:t>
      </w:r>
      <w:bookmarkEnd w:id="411"/>
      <w:r>
        <w:rPr>
          <w:rFonts w:hint="default" w:ascii="Times New Roman" w:hAnsi="Times New Roman" w:eastAsia="宋体" w:cs="Times New Roman"/>
          <w:b/>
          <w:color w:val="000000" w:themeColor="text1"/>
          <w:sz w:val="28"/>
          <w:szCs w:val="22"/>
          <w:highlight w:val="none"/>
          <w14:textFill>
            <w14:solidFill>
              <w14:schemeClr w14:val="tx1"/>
            </w14:solidFill>
          </w14:textFill>
        </w:rPr>
        <w:t>及“以新带老”</w:t>
      </w:r>
      <w:bookmarkStart w:id="412" w:name="OLE_LINK499"/>
      <w:r>
        <w:rPr>
          <w:rFonts w:hint="default" w:ascii="Times New Roman" w:hAnsi="Times New Roman" w:eastAsia="宋体" w:cs="Times New Roman"/>
          <w:b/>
          <w:color w:val="000000" w:themeColor="text1"/>
          <w:sz w:val="28"/>
          <w:szCs w:val="22"/>
          <w:highlight w:val="none"/>
          <w14:textFill>
            <w14:solidFill>
              <w14:schemeClr w14:val="tx1"/>
            </w14:solidFill>
          </w14:textFill>
        </w:rPr>
        <w:t>改进意见</w:t>
      </w:r>
      <w:bookmarkEnd w:id="412"/>
    </w:p>
    <w:p w14:paraId="0652BFFF">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Cs w:val="22"/>
          <w:highlight w:val="none"/>
          <w:lang w:eastAsia="zh-CN"/>
          <w14:textFill>
            <w14:solidFill>
              <w14:schemeClr w14:val="tx1"/>
            </w14:solidFill>
          </w14:textFill>
        </w:rPr>
      </w:pPr>
      <w:bookmarkStart w:id="413" w:name="OLE_LINK498"/>
      <w:r>
        <w:rPr>
          <w:rFonts w:hint="eastAsia" w:cs="Times New Roman"/>
          <w:color w:val="000000" w:themeColor="text1"/>
          <w:szCs w:val="22"/>
          <w:highlight w:val="none"/>
          <w:lang w:eastAsia="zh-CN"/>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1</w:t>
      </w:r>
      <w:r>
        <w:rPr>
          <w:rFonts w:hint="eastAsia" w:cs="Times New Roman"/>
          <w:color w:val="000000" w:themeColor="text1"/>
          <w:szCs w:val="22"/>
          <w:highlight w:val="none"/>
          <w:lang w:eastAsia="zh-CN"/>
          <w14:textFill>
            <w14:solidFill>
              <w14:schemeClr w14:val="tx1"/>
            </w14:solidFill>
          </w14:textFill>
        </w:rPr>
        <w:t>）现有工程环境问题</w:t>
      </w:r>
    </w:p>
    <w:bookmarkEnd w:id="413"/>
    <w:p w14:paraId="71E38258">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Cs w:val="22"/>
          <w:highlight w:val="none"/>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①星火7斜井（勘探井）钻井工程、星火701斜井（勘探井）钻井工程未完成验收。</w:t>
      </w:r>
    </w:p>
    <w:p w14:paraId="4F63853C">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②</w:t>
      </w:r>
      <w:r>
        <w:rPr>
          <w:rFonts w:hint="default" w:ascii="Times New Roman" w:hAnsi="Times New Roman" w:cs="Times New Roman"/>
          <w:color w:val="000000" w:themeColor="text1"/>
          <w:szCs w:val="22"/>
          <w:highlight w:val="none"/>
          <w14:textFill>
            <w14:solidFill>
              <w14:schemeClr w14:val="tx1"/>
            </w14:solidFill>
          </w14:textFill>
        </w:rPr>
        <w:t>根据现场踏勘，进场道路</w:t>
      </w:r>
      <w:r>
        <w:rPr>
          <w:rFonts w:hint="eastAsia" w:cs="Times New Roman"/>
          <w:color w:val="000000" w:themeColor="text1"/>
          <w:szCs w:val="22"/>
          <w:highlight w:val="none"/>
          <w:lang w:eastAsia="zh-CN"/>
          <w14:textFill>
            <w14:solidFill>
              <w14:schemeClr w14:val="tx1"/>
            </w14:solidFill>
          </w14:textFill>
        </w:rPr>
        <w:t>未</w:t>
      </w:r>
      <w:r>
        <w:rPr>
          <w:rFonts w:hint="default" w:ascii="Times New Roman" w:hAnsi="Times New Roman" w:cs="Times New Roman"/>
          <w:color w:val="000000" w:themeColor="text1"/>
          <w:szCs w:val="22"/>
          <w:highlight w:val="none"/>
          <w14:textFill>
            <w14:solidFill>
              <w14:schemeClr w14:val="tx1"/>
            </w14:solidFill>
          </w14:textFill>
        </w:rPr>
        <w:t>铺设砂石垫层，车辆</w:t>
      </w:r>
      <w:r>
        <w:rPr>
          <w:rFonts w:hint="eastAsia" w:cs="Times New Roman"/>
          <w:color w:val="000000" w:themeColor="text1"/>
          <w:szCs w:val="22"/>
          <w:highlight w:val="none"/>
          <w:lang w:val="en-US" w:eastAsia="zh-CN"/>
          <w14:textFill>
            <w14:solidFill>
              <w14:schemeClr w14:val="tx1"/>
            </w14:solidFill>
          </w14:textFill>
        </w:rPr>
        <w:t>进出</w:t>
      </w:r>
      <w:r>
        <w:rPr>
          <w:rFonts w:hint="default" w:ascii="Times New Roman" w:hAnsi="Times New Roman" w:cs="Times New Roman"/>
          <w:color w:val="000000" w:themeColor="text1"/>
          <w:szCs w:val="22"/>
          <w:highlight w:val="none"/>
          <w14:textFill>
            <w14:solidFill>
              <w14:schemeClr w14:val="tx1"/>
            </w14:solidFill>
          </w14:textFill>
        </w:rPr>
        <w:t>时产生大量扬尘，影响周边大气环境及施工人员健康。干旱气候加剧粉尘扩散，可能对周边农田、居民区造成影响。</w:t>
      </w:r>
    </w:p>
    <w:p w14:paraId="4CDABBF8">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③临时占地内井架部件未放置专门存储区，无序堆放，存在机械损伤风险。</w:t>
      </w:r>
    </w:p>
    <w:tbl>
      <w:tblPr>
        <w:tblStyle w:val="3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9"/>
        <w:gridCol w:w="3880"/>
      </w:tblGrid>
      <w:tr w14:paraId="18F4D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1" w:hRule="atLeast"/>
          <w:jc w:val="center"/>
        </w:trPr>
        <w:tc>
          <w:tcPr>
            <w:tcW w:w="3879" w:type="dxa"/>
          </w:tcPr>
          <w:p w14:paraId="0E1472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Cs/>
                <w:color w:val="000000" w:themeColor="text1"/>
                <w:sz w:val="21"/>
                <w:szCs w:val="16"/>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Cs w:val="22"/>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6985</wp:posOffset>
                      </wp:positionH>
                      <wp:positionV relativeFrom="paragraph">
                        <wp:posOffset>33020</wp:posOffset>
                      </wp:positionV>
                      <wp:extent cx="2009140" cy="28194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2009140" cy="281940"/>
                              </a:xfrm>
                              <a:prstGeom prst="rect">
                                <a:avLst/>
                              </a:prstGeom>
                              <a:noFill/>
                              <a:ln>
                                <a:noFill/>
                              </a:ln>
                            </wps:spPr>
                            <wps:txbx>
                              <w:txbxContent>
                                <w:p w14:paraId="43E0B8C4">
                                  <w:pPr>
                                    <w:rPr>
                                      <w:rFonts w:hint="default" w:eastAsia="宋体"/>
                                      <w:b/>
                                      <w:bCs/>
                                      <w:color w:val="FF0000"/>
                                      <w:sz w:val="21"/>
                                      <w:szCs w:val="16"/>
                                      <w:lang w:val="en-US" w:eastAsia="zh-CN"/>
                                    </w:rPr>
                                  </w:pPr>
                                  <w:r>
                                    <w:rPr>
                                      <w:rFonts w:hint="eastAsia"/>
                                      <w:b/>
                                      <w:bCs/>
                                      <w:color w:val="FF0000"/>
                                      <w:sz w:val="21"/>
                                      <w:szCs w:val="16"/>
                                      <w:lang w:val="en-US" w:eastAsia="zh-CN"/>
                                    </w:rPr>
                                    <w:t>进场道路</w:t>
                                  </w:r>
                                </w:p>
                              </w:txbxContent>
                            </wps:txbx>
                            <wps:bodyPr upright="1"/>
                          </wps:wsp>
                        </a:graphicData>
                      </a:graphic>
                    </wp:anchor>
                  </w:drawing>
                </mc:Choice>
                <mc:Fallback>
                  <w:pict>
                    <v:shape id="_x0000_s1026" o:spid="_x0000_s1026" o:spt="202" type="#_x0000_t202" style="position:absolute;left:0pt;margin-left:0.55pt;margin-top:2.6pt;height:22.2pt;width:158.2pt;z-index:251681792;mso-width-relative:page;mso-height-relative:page;" filled="f" stroked="f" coordsize="21600,21600" o:gfxdata="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Db0HtMAAAAGAQAA&#10;DwAAAAAAAAABACAAAAAiAAAAZHJzL2Rvd25yZXYueG1sUEsBAhQAFAAAAAgAh07iQFFxGZ+sAQAA&#10;UgMAAA4AAAAAAAAAAQAgAAAAIgEAAGRycy9lMm9Eb2MueG1sUEsFBgAAAAAGAAYAWQEAAEAFAAAA&#10;AA==&#10;">
                      <v:fill on="f" focussize="0,0"/>
                      <v:stroke on="f"/>
                      <v:imagedata o:title=""/>
                      <o:lock v:ext="edit" aspectratio="f"/>
                      <v:textbox>
                        <w:txbxContent>
                          <w:p w14:paraId="43E0B8C4">
                            <w:pPr>
                              <w:rPr>
                                <w:rFonts w:hint="default" w:eastAsia="宋体"/>
                                <w:b/>
                                <w:bCs/>
                                <w:color w:val="FF0000"/>
                                <w:sz w:val="21"/>
                                <w:szCs w:val="16"/>
                                <w:lang w:val="en-US" w:eastAsia="zh-CN"/>
                              </w:rPr>
                            </w:pPr>
                            <w:r>
                              <w:rPr>
                                <w:rFonts w:hint="eastAsia"/>
                                <w:b/>
                                <w:bCs/>
                                <w:color w:val="FF0000"/>
                                <w:sz w:val="21"/>
                                <w:szCs w:val="16"/>
                                <w:lang w:val="en-US" w:eastAsia="zh-CN"/>
                              </w:rPr>
                              <w:t>进场道路</w:t>
                            </w:r>
                          </w:p>
                        </w:txbxContent>
                      </v:textbox>
                    </v:shape>
                  </w:pict>
                </mc:Fallback>
              </mc:AlternateContent>
            </w:r>
          </w:p>
        </w:tc>
        <w:tc>
          <w:tcPr>
            <w:tcW w:w="3880" w:type="dxa"/>
          </w:tcPr>
          <w:p w14:paraId="3864E73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黑体" w:cs="Times New Roman"/>
                <w:bCs/>
                <w:color w:val="000000" w:themeColor="text1"/>
                <w:sz w:val="21"/>
                <w:szCs w:val="16"/>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Cs w:val="22"/>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57785</wp:posOffset>
                      </wp:positionH>
                      <wp:positionV relativeFrom="paragraph">
                        <wp:posOffset>53340</wp:posOffset>
                      </wp:positionV>
                      <wp:extent cx="2009140" cy="28194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2009140" cy="281940"/>
                              </a:xfrm>
                              <a:prstGeom prst="rect">
                                <a:avLst/>
                              </a:prstGeom>
                              <a:noFill/>
                              <a:ln>
                                <a:noFill/>
                              </a:ln>
                            </wps:spPr>
                            <wps:txbx>
                              <w:txbxContent>
                                <w:p w14:paraId="65FAFA28">
                                  <w:pPr>
                                    <w:rPr>
                                      <w:b/>
                                      <w:bCs/>
                                      <w:color w:val="FF0000"/>
                                      <w:sz w:val="21"/>
                                      <w:szCs w:val="16"/>
                                    </w:rPr>
                                  </w:pPr>
                                  <w:r>
                                    <w:rPr>
                                      <w:rFonts w:hint="eastAsia"/>
                                      <w:b/>
                                      <w:bCs/>
                                      <w:color w:val="FF0000"/>
                                      <w:sz w:val="21"/>
                                      <w:szCs w:val="16"/>
                                    </w:rPr>
                                    <w:t>周边</w:t>
                                  </w:r>
                                  <w:r>
                                    <w:rPr>
                                      <w:rFonts w:hint="eastAsia"/>
                                      <w:b/>
                                      <w:bCs/>
                                      <w:color w:val="FF0000"/>
                                      <w:sz w:val="21"/>
                                      <w:szCs w:val="16"/>
                                      <w:lang w:val="en-US" w:eastAsia="zh-CN"/>
                                    </w:rPr>
                                    <w:t>情况</w:t>
                                  </w:r>
                                </w:p>
                                <w:p w14:paraId="6B8FEB40"/>
                              </w:txbxContent>
                            </wps:txbx>
                            <wps:bodyPr upright="1"/>
                          </wps:wsp>
                        </a:graphicData>
                      </a:graphic>
                    </wp:anchor>
                  </w:drawing>
                </mc:Choice>
                <mc:Fallback>
                  <w:pict>
                    <v:shape id="_x0000_s1026" o:spid="_x0000_s1026" o:spt="202" type="#_x0000_t202" style="position:absolute;left:0pt;margin-left:4.55pt;margin-top:4.2pt;height:22.2pt;width:158.2pt;z-index:251682816;mso-width-relative:page;mso-height-relative:page;" filled="f" stroked="f" coordsize="21600,21600" o:gfxdata="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l3t/DUAAAABgEA&#10;AA8AAAAAAAAAAQAgAAAAIgAAAGRycy9kb3ducmV2LnhtbFBLAQIUABQAAAAIAIdO4kDpXFnnrAEA&#10;AFIDAAAOAAAAAAAAAAEAIAAAACMBAABkcnMvZTJvRG9jLnhtbFBLBQYAAAAABgAGAFkBAABBBQAA&#10;AAA=&#10;">
                      <v:fill on="f" focussize="0,0"/>
                      <v:stroke on="f"/>
                      <v:imagedata o:title=""/>
                      <o:lock v:ext="edit" aspectratio="f"/>
                      <v:textbox>
                        <w:txbxContent>
                          <w:p w14:paraId="65FAFA28">
                            <w:pPr>
                              <w:rPr>
                                <w:b/>
                                <w:bCs/>
                                <w:color w:val="FF0000"/>
                                <w:sz w:val="21"/>
                                <w:szCs w:val="16"/>
                              </w:rPr>
                            </w:pPr>
                            <w:r>
                              <w:rPr>
                                <w:rFonts w:hint="eastAsia"/>
                                <w:b/>
                                <w:bCs/>
                                <w:color w:val="FF0000"/>
                                <w:sz w:val="21"/>
                                <w:szCs w:val="16"/>
                              </w:rPr>
                              <w:t>周边</w:t>
                            </w:r>
                            <w:r>
                              <w:rPr>
                                <w:rFonts w:hint="eastAsia"/>
                                <w:b/>
                                <w:bCs/>
                                <w:color w:val="FF0000"/>
                                <w:sz w:val="21"/>
                                <w:szCs w:val="16"/>
                                <w:lang w:val="en-US" w:eastAsia="zh-CN"/>
                              </w:rPr>
                              <w:t>情况</w:t>
                            </w:r>
                          </w:p>
                          <w:p w14:paraId="6B8FEB40"/>
                        </w:txbxContent>
                      </v:textbox>
                    </v:shape>
                  </w:pict>
                </mc:Fallback>
              </mc:AlternateContent>
            </w:r>
          </w:p>
        </w:tc>
      </w:tr>
    </w:tbl>
    <w:p w14:paraId="78B817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val="0"/>
          <w:color w:val="000000" w:themeColor="text1"/>
          <w:sz w:val="21"/>
          <w:szCs w:val="16"/>
          <w:highlight w:val="none"/>
          <w:lang w:val="en-US" w:eastAsia="zh-CN" w:bidi="ar-SA"/>
          <w14:textFill>
            <w14:solidFill>
              <w14:schemeClr w14:val="tx1"/>
            </w14:solidFill>
          </w14:textFill>
        </w:rPr>
      </w:pPr>
      <w:r>
        <w:rPr>
          <w:rFonts w:hint="default" w:ascii="Times New Roman" w:hAnsi="Times New Roman" w:eastAsia="黑体" w:cs="Times New Roman"/>
          <w:b/>
          <w:bCs w:val="0"/>
          <w:color w:val="000000" w:themeColor="text1"/>
          <w:sz w:val="21"/>
          <w:szCs w:val="16"/>
          <w:highlight w:val="none"/>
          <w:lang w:val="en-US" w:eastAsia="zh-CN" w:bidi="ar-SA"/>
          <w14:textFill>
            <w14:solidFill>
              <w14:schemeClr w14:val="tx1"/>
            </w14:solidFill>
          </w14:textFill>
        </w:rPr>
        <w:t>图3.</w:t>
      </w:r>
      <w:r>
        <w:rPr>
          <w:rFonts w:hint="eastAsia" w:eastAsia="黑体" w:cs="Times New Roman"/>
          <w:b/>
          <w:bCs w:val="0"/>
          <w:color w:val="000000" w:themeColor="text1"/>
          <w:sz w:val="21"/>
          <w:szCs w:val="16"/>
          <w:highlight w:val="none"/>
          <w:lang w:val="en-US" w:eastAsia="zh-CN" w:bidi="ar-SA"/>
          <w14:textFill>
            <w14:solidFill>
              <w14:schemeClr w14:val="tx1"/>
            </w14:solidFill>
          </w14:textFill>
        </w:rPr>
        <w:t>1</w:t>
      </w:r>
      <w:r>
        <w:rPr>
          <w:rFonts w:hint="default" w:ascii="Times New Roman" w:hAnsi="Times New Roman" w:eastAsia="黑体" w:cs="Times New Roman"/>
          <w:b/>
          <w:bCs w:val="0"/>
          <w:color w:val="000000" w:themeColor="text1"/>
          <w:sz w:val="21"/>
          <w:szCs w:val="16"/>
          <w:highlight w:val="none"/>
          <w:lang w:val="en-US" w:eastAsia="zh-CN" w:bidi="ar-SA"/>
          <w14:textFill>
            <w14:solidFill>
              <w14:schemeClr w14:val="tx1"/>
            </w14:solidFill>
          </w14:textFill>
        </w:rPr>
        <w:t>-</w:t>
      </w:r>
      <w:r>
        <w:rPr>
          <w:rFonts w:hint="eastAsia" w:eastAsia="黑体" w:cs="Times New Roman"/>
          <w:b/>
          <w:bCs w:val="0"/>
          <w:color w:val="000000" w:themeColor="text1"/>
          <w:sz w:val="21"/>
          <w:szCs w:val="16"/>
          <w:highlight w:val="none"/>
          <w:lang w:val="en-US" w:eastAsia="zh-CN" w:bidi="ar-SA"/>
          <w14:textFill>
            <w14:solidFill>
              <w14:schemeClr w14:val="tx1"/>
            </w14:solidFill>
          </w14:textFill>
        </w:rPr>
        <w:t>2</w:t>
      </w:r>
      <w:r>
        <w:rPr>
          <w:rFonts w:hint="default" w:ascii="Times New Roman" w:hAnsi="Times New Roman" w:eastAsia="黑体" w:cs="Times New Roman"/>
          <w:b/>
          <w:bCs w:val="0"/>
          <w:color w:val="000000" w:themeColor="text1"/>
          <w:sz w:val="21"/>
          <w:szCs w:val="16"/>
          <w:highlight w:val="none"/>
          <w:lang w:val="en-US" w:eastAsia="zh-CN" w:bidi="ar-SA"/>
          <w14:textFill>
            <w14:solidFill>
              <w14:schemeClr w14:val="tx1"/>
            </w14:solidFill>
          </w14:textFill>
        </w:rPr>
        <w:t xml:space="preserve">   </w:t>
      </w:r>
      <w:r>
        <w:rPr>
          <w:rFonts w:hint="eastAsia" w:eastAsia="黑体" w:cs="Times New Roman"/>
          <w:b/>
          <w:bCs w:val="0"/>
          <w:color w:val="000000" w:themeColor="text1"/>
          <w:sz w:val="21"/>
          <w:szCs w:val="16"/>
          <w:highlight w:val="none"/>
          <w:lang w:val="en-US" w:eastAsia="zh-CN" w:bidi="ar-SA"/>
          <w14:textFill>
            <w14:solidFill>
              <w14:schemeClr w14:val="tx1"/>
            </w14:solidFill>
          </w14:textFill>
        </w:rPr>
        <w:t>星火7井区</w:t>
      </w:r>
      <w:r>
        <w:rPr>
          <w:rFonts w:hint="default" w:ascii="Times New Roman" w:hAnsi="Times New Roman" w:eastAsia="黑体" w:cs="Times New Roman"/>
          <w:b/>
          <w:bCs w:val="0"/>
          <w:color w:val="000000" w:themeColor="text1"/>
          <w:sz w:val="21"/>
          <w:szCs w:val="16"/>
          <w:highlight w:val="none"/>
          <w:lang w:val="en-US" w:eastAsia="zh-CN" w:bidi="ar-SA"/>
          <w14:textFill>
            <w14:solidFill>
              <w14:schemeClr w14:val="tx1"/>
            </w14:solidFill>
          </w14:textFill>
        </w:rPr>
        <w:t>现状环境</w:t>
      </w:r>
    </w:p>
    <w:p w14:paraId="05D2A5D9">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（2）</w:t>
      </w:r>
      <w:r>
        <w:rPr>
          <w:rFonts w:hint="eastAsia" w:cs="宋体"/>
          <w:color w:val="000000" w:themeColor="text1"/>
          <w:sz w:val="24"/>
          <w:szCs w:val="24"/>
          <w:highlight w:val="none"/>
          <w:lang w:val="en-US" w:eastAsia="zh-CN" w:bidi="ar-SA"/>
          <w14:textFill>
            <w14:solidFill>
              <w14:schemeClr w14:val="tx1"/>
            </w14:solidFill>
          </w14:textFill>
        </w:rPr>
        <w:t>“以新带老”</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整改措施</w:t>
      </w:r>
    </w:p>
    <w:p w14:paraId="32F5BCE0">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①尽快完成星火7斜井、星火701斜井两口井的（勘探井）钻井工程竣工环保验收。</w:t>
      </w:r>
    </w:p>
    <w:p w14:paraId="08B7925F">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②尽快清理井场遗留废弃物和设备，</w:t>
      </w:r>
      <w:r>
        <w:rPr>
          <w:rFonts w:hint="eastAsia" w:cs="Times New Roman"/>
          <w:color w:val="000000" w:themeColor="text1"/>
          <w:szCs w:val="22"/>
          <w:highlight w:val="none"/>
          <w:lang w:eastAsia="zh-CN"/>
          <w14:textFill>
            <w14:solidFill>
              <w14:schemeClr w14:val="tx1"/>
            </w14:solidFill>
          </w14:textFill>
        </w:rPr>
        <w:t>对进场道路铺设砂石垫层，定期</w:t>
      </w:r>
      <w:r>
        <w:rPr>
          <w:rFonts w:hint="eastAsia" w:cs="Times New Roman"/>
          <w:color w:val="000000" w:themeColor="text1"/>
          <w:szCs w:val="22"/>
          <w:highlight w:val="none"/>
          <w:lang w:val="en-US" w:eastAsia="zh-CN"/>
          <w14:textFill>
            <w14:solidFill>
              <w14:schemeClr w14:val="tx1"/>
            </w14:solidFill>
          </w14:textFill>
        </w:rPr>
        <w:t>洒水</w:t>
      </w:r>
      <w:r>
        <w:rPr>
          <w:rFonts w:hint="eastAsia" w:cs="Times New Roman"/>
          <w:color w:val="000000" w:themeColor="text1"/>
          <w:szCs w:val="22"/>
          <w:highlight w:val="none"/>
          <w:lang w:eastAsia="zh-CN"/>
          <w14:textFill>
            <w14:solidFill>
              <w14:schemeClr w14:val="tx1"/>
            </w14:solidFill>
          </w14:textFill>
        </w:rPr>
        <w:t>抑尘。</w:t>
      </w:r>
    </w:p>
    <w:p w14:paraId="52DBF09C">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③</w:t>
      </w:r>
      <w:r>
        <w:rPr>
          <w:rFonts w:hint="eastAsia" w:cs="Times New Roman"/>
          <w:color w:val="000000" w:themeColor="text1"/>
          <w:szCs w:val="22"/>
          <w:highlight w:val="none"/>
          <w:lang w:eastAsia="zh-CN"/>
          <w14:textFill>
            <w14:solidFill>
              <w14:schemeClr w14:val="tx1"/>
            </w14:solidFill>
          </w14:textFill>
        </w:rPr>
        <w:t>规范化物料管理，对已乱堆的部件分类整理。</w:t>
      </w:r>
    </w:p>
    <w:p w14:paraId="11E4D85D">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2"/>
          <w:highlight w:val="none"/>
          <w:lang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④</w:t>
      </w:r>
      <w:r>
        <w:rPr>
          <w:rFonts w:hint="eastAsia" w:cs="Times New Roman"/>
          <w:color w:val="000000" w:themeColor="text1"/>
          <w:szCs w:val="22"/>
          <w:highlight w:val="none"/>
          <w:lang w:eastAsia="zh-CN"/>
          <w14:textFill>
            <w14:solidFill>
              <w14:schemeClr w14:val="tx1"/>
            </w14:solidFill>
          </w14:textFill>
        </w:rPr>
        <w:t>制度完善，明确“工完料净场地清”流程，建立环境巡查台账。</w:t>
      </w:r>
    </w:p>
    <w:p w14:paraId="262EE525">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p>
    <w:p w14:paraId="39E8E751">
      <w:pPr>
        <w:pStyle w:val="3"/>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414" w:name="_Toc13754"/>
      <w:bookmarkStart w:id="415" w:name="_Toc29319"/>
      <w:r>
        <w:rPr>
          <w:rFonts w:hint="default" w:ascii="Times New Roman" w:hAnsi="Times New Roman" w:eastAsia="宋体" w:cs="Times New Roman"/>
          <w:color w:val="000000" w:themeColor="text1"/>
          <w:highlight w:val="none"/>
          <w:lang w:val="en-US" w:eastAsia="en-US"/>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2</w:t>
      </w:r>
      <w:bookmarkEnd w:id="414"/>
      <w:r>
        <w:rPr>
          <w:rFonts w:hint="eastAsia" w:ascii="Times New Roman" w:hAnsi="Times New Roman" w:cs="Times New Roman"/>
          <w:color w:val="000000" w:themeColor="text1"/>
          <w:highlight w:val="none"/>
          <w:lang w:val="en-US" w:eastAsia="zh-CN"/>
          <w14:textFill>
            <w14:solidFill>
              <w14:schemeClr w14:val="tx1"/>
            </w14:solidFill>
          </w14:textFill>
        </w:rPr>
        <w:t>拟建工程</w:t>
      </w:r>
      <w:bookmarkEnd w:id="415"/>
    </w:p>
    <w:p w14:paraId="336711E0">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416" w:name="_Toc11569"/>
      <w:bookmarkStart w:id="417" w:name="_Toc32424"/>
      <w:bookmarkStart w:id="418" w:name="_Toc30189"/>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w:t>
      </w:r>
      <w:bookmarkEnd w:id="416"/>
      <w:bookmarkEnd w:id="417"/>
      <w:bookmarkEnd w:id="418"/>
      <w:r>
        <w:rPr>
          <w:rFonts w:hint="default" w:ascii="Times New Roman" w:hAnsi="Times New Roman" w:cs="Times New Roman"/>
          <w:color w:val="000000" w:themeColor="text1"/>
          <w:highlight w:val="none"/>
          <w14:textFill>
            <w14:solidFill>
              <w14:schemeClr w14:val="tx1"/>
            </w14:solidFill>
          </w14:textFill>
        </w:rPr>
        <w:t>项目概况</w:t>
      </w:r>
    </w:p>
    <w:p w14:paraId="27ECA270">
      <w:pPr>
        <w:pStyle w:val="5"/>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"3.1.1.1"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项目名称和性质</w:t>
      </w:r>
    </w:p>
    <w:p w14:paraId="4ED426A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5"/>
          <w:sz w:val="24"/>
          <w:szCs w:val="24"/>
          <w:highlight w:val="none"/>
          <w14:textFill>
            <w14:solidFill>
              <w14:schemeClr w14:val="tx1"/>
            </w14:solidFill>
          </w14:textFill>
        </w:rPr>
        <w:t>项目名称：</w:t>
      </w:r>
      <w:r>
        <w:rPr>
          <w:rFonts w:hint="eastAsia" w:ascii="Times New Roman" w:hAnsi="Times New Roman" w:cs="Times New Roman"/>
          <w:color w:val="000000" w:themeColor="text1"/>
          <w:spacing w:val="-5"/>
          <w:sz w:val="24"/>
          <w:szCs w:val="24"/>
          <w:highlight w:val="none"/>
          <w:lang w:eastAsia="zh-CN"/>
          <w14:textFill>
            <w14:solidFill>
              <w14:schemeClr w14:val="tx1"/>
            </w14:solidFill>
          </w14:textFill>
        </w:rPr>
        <w:t>星火7井区2025年产能建设项目</w:t>
      </w:r>
    </w:p>
    <w:p w14:paraId="63352E3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default" w:ascii="Times New Roman" w:hAnsi="Times New Roman" w:cs="Times New Roman"/>
          <w:color w:val="000000" w:themeColor="text1"/>
          <w:spacing w:val="-19"/>
          <w:sz w:val="24"/>
          <w:szCs w:val="24"/>
          <w:highlight w:val="none"/>
          <w14:textFill>
            <w14:solidFill>
              <w14:schemeClr w14:val="tx1"/>
            </w14:solidFill>
          </w14:textFill>
        </w:rPr>
      </w:pPr>
      <w:bookmarkStart w:id="419" w:name="OLE_LINK500"/>
      <w:r>
        <w:rPr>
          <w:rFonts w:hint="eastAsia" w:ascii="Times New Roman" w:hAnsi="Times New Roman" w:cs="Times New Roman"/>
          <w:color w:val="000000" w:themeColor="text1"/>
          <w:spacing w:val="-5"/>
          <w:sz w:val="24"/>
          <w:szCs w:val="24"/>
          <w:highlight w:val="none"/>
          <w:lang w:val="en-US" w:eastAsia="zh-CN"/>
          <w14:textFill>
            <w14:solidFill>
              <w14:schemeClr w14:val="tx1"/>
            </w14:solidFill>
          </w14:textFill>
        </w:rPr>
        <w:t>建设</w:t>
      </w:r>
      <w:r>
        <w:rPr>
          <w:rFonts w:hint="default" w:ascii="Times New Roman" w:hAnsi="Times New Roman" w:cs="Times New Roman"/>
          <w:color w:val="000000" w:themeColor="text1"/>
          <w:spacing w:val="-5"/>
          <w:sz w:val="24"/>
          <w:szCs w:val="24"/>
          <w:highlight w:val="none"/>
          <w14:textFill>
            <w14:solidFill>
              <w14:schemeClr w14:val="tx1"/>
            </w14:solidFill>
          </w14:textFill>
        </w:rPr>
        <w:t>性质</w:t>
      </w:r>
      <w:r>
        <w:rPr>
          <w:rFonts w:hint="default" w:ascii="Times New Roman" w:hAnsi="Times New Roman" w:cs="Times New Roman"/>
          <w:color w:val="000000" w:themeColor="text1"/>
          <w:spacing w:val="-19"/>
          <w:sz w:val="24"/>
          <w:szCs w:val="24"/>
          <w:highlight w:val="none"/>
          <w14:textFill>
            <w14:solidFill>
              <w14:schemeClr w14:val="tx1"/>
            </w14:solidFill>
          </w14:textFill>
        </w:rPr>
        <w:t>：</w:t>
      </w:r>
      <w:bookmarkEnd w:id="419"/>
      <w:r>
        <w:rPr>
          <w:rFonts w:hint="eastAsia" w:ascii="Times New Roman" w:hAnsi="Times New Roman" w:cs="Times New Roman"/>
          <w:color w:val="000000" w:themeColor="text1"/>
          <w:spacing w:val="-19"/>
          <w:sz w:val="24"/>
          <w:szCs w:val="24"/>
          <w:highlight w:val="none"/>
          <w:lang w:val="en-US" w:eastAsia="zh-CN"/>
          <w14:textFill>
            <w14:solidFill>
              <w14:schemeClr w14:val="tx1"/>
            </w14:solidFill>
          </w14:textFill>
        </w:rPr>
        <w:t>改扩建</w:t>
      </w:r>
    </w:p>
    <w:p w14:paraId="621A873F">
      <w:pPr>
        <w:pStyle w:val="5"/>
        <w:pageBreakBefore w:val="0"/>
        <w:wordWrap/>
        <w:overflowPunct/>
        <w:topLinePunct w:val="0"/>
        <w:bidi w:val="0"/>
        <w:adjustRightInd w:val="0"/>
        <w:snapToGrid w:val="0"/>
        <w:spacing w:beforeLines="0" w:afterLines="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.1.2建设地点</w:t>
      </w:r>
    </w:p>
    <w:p w14:paraId="3376251D">
      <w:pPr>
        <w:keepNext w:val="0"/>
        <w:keepLines w:val="0"/>
        <w:pageBreakBefore w:val="0"/>
        <w:widowControl/>
        <w:kinsoku/>
        <w:wordWrap/>
        <w:overflowPunct/>
        <w:topLinePunct w:val="0"/>
        <w:autoSpaceDE/>
        <w:autoSpaceDN/>
        <w:bidi w:val="0"/>
        <w:adjustRightInd w:val="0"/>
        <w:snapToGrid w:val="0"/>
        <w:spacing w:line="360" w:lineRule="auto"/>
        <w:ind w:firstLine="460" w:firstLineChars="200"/>
        <w:jc w:val="both"/>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pacing w:val="-5"/>
          <w:sz w:val="24"/>
          <w:szCs w:val="24"/>
          <w:highlight w:val="none"/>
          <w:lang w:eastAsia="zh-CN"/>
          <w14:textFill>
            <w14:solidFill>
              <w14:schemeClr w14:val="tx1"/>
            </w14:solidFill>
          </w14:textFill>
        </w:rPr>
        <w:t>星火7井区2025年产能建设项目</w:t>
      </w:r>
      <w:r>
        <w:rPr>
          <w:rFonts w:hint="default" w:ascii="Times New Roman" w:hAnsi="Times New Roman" w:cs="Times New Roman"/>
          <w:color w:val="000000" w:themeColor="text1"/>
          <w:sz w:val="24"/>
          <w:szCs w:val="24"/>
          <w:highlight w:val="none"/>
          <w14:textFill>
            <w14:solidFill>
              <w14:schemeClr w14:val="tx1"/>
            </w14:solidFill>
          </w14:textFill>
        </w:rPr>
        <w:t>位于阿克苏地区</w:t>
      </w:r>
      <w:r>
        <w:rPr>
          <w:rFonts w:hint="eastAsia" w:cs="Times New Roman"/>
          <w:color w:val="000000" w:themeColor="text1"/>
          <w:sz w:val="24"/>
          <w:szCs w:val="24"/>
          <w:highlight w:val="none"/>
          <w:lang w:val="en-US" w:eastAsia="zh-CN"/>
          <w14:textFill>
            <w14:solidFill>
              <w14:schemeClr w14:val="tx1"/>
            </w14:solidFill>
          </w14:textFill>
        </w:rPr>
        <w:t>新和</w:t>
      </w:r>
      <w:r>
        <w:rPr>
          <w:rFonts w:hint="default" w:ascii="Times New Roman" w:hAnsi="Times New Roman" w:cs="Times New Roman"/>
          <w:color w:val="000000" w:themeColor="text1"/>
          <w:sz w:val="24"/>
          <w:szCs w:val="24"/>
          <w:highlight w:val="none"/>
          <w14:textFill>
            <w14:solidFill>
              <w14:schemeClr w14:val="tx1"/>
            </w14:solidFill>
          </w14:textFill>
        </w:rPr>
        <w:t>县境内，距新和县</w:t>
      </w:r>
      <w:r>
        <w:rPr>
          <w:rFonts w:hint="eastAsia" w:cs="Times New Roman"/>
          <w:color w:val="000000" w:themeColor="text1"/>
          <w:sz w:val="24"/>
          <w:szCs w:val="24"/>
          <w:highlight w:val="none"/>
          <w:lang w:val="en-US" w:eastAsia="zh-CN"/>
          <w14:textFill>
            <w14:solidFill>
              <w14:schemeClr w14:val="tx1"/>
            </w14:solidFill>
          </w14:textFill>
        </w:rPr>
        <w:t>城</w:t>
      </w:r>
      <w:r>
        <w:rPr>
          <w:rFonts w:hint="default" w:ascii="Times New Roman" w:hAnsi="Times New Roman" w:cs="Times New Roman"/>
          <w:color w:val="000000" w:themeColor="text1"/>
          <w:sz w:val="24"/>
          <w:szCs w:val="24"/>
          <w:highlight w:val="none"/>
          <w14:textFill>
            <w14:solidFill>
              <w14:schemeClr w14:val="tx1"/>
            </w14:solidFill>
          </w14:textFill>
        </w:rPr>
        <w:t>约</w:t>
      </w:r>
      <w:r>
        <w:rPr>
          <w:rFonts w:hint="eastAsia"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14:textFill>
            <w14:solidFill>
              <w14:schemeClr w14:val="tx1"/>
            </w14:solidFill>
          </w14:textFill>
        </w:rPr>
        <w:t>km，由雅克拉采气厂管辖。本工程不涉及中央及自治区生态环境保护督察整改问题。</w:t>
      </w:r>
      <w:r>
        <w:rPr>
          <w:rFonts w:hint="default" w:ascii="Times New Roman" w:hAnsi="Times New Roman" w:cs="Times New Roman"/>
          <w:color w:val="000000" w:themeColor="text1"/>
          <w:kern w:val="24"/>
          <w:sz w:val="24"/>
          <w:szCs w:val="24"/>
          <w:highlight w:val="none"/>
          <w:lang w:val="en-US" w:eastAsia="zh-CN"/>
          <w14:textFill>
            <w14:solidFill>
              <w14:schemeClr w14:val="tx1"/>
            </w14:solidFill>
          </w14:textFill>
        </w:rPr>
        <w:t>本</w:t>
      </w:r>
      <w:r>
        <w:rPr>
          <w:rFonts w:hint="eastAsia" w:cs="Times New Roman"/>
          <w:color w:val="000000" w:themeColor="text1"/>
          <w:kern w:val="24"/>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14:textFill>
            <w14:solidFill>
              <w14:schemeClr w14:val="tx1"/>
            </w14:solidFill>
          </w14:textFill>
        </w:rPr>
        <w:t>地理</w:t>
      </w:r>
      <w:bookmarkStart w:id="420" w:name="OLE_LINK189"/>
      <w:r>
        <w:rPr>
          <w:rFonts w:hint="default" w:ascii="Times New Roman" w:hAnsi="Times New Roman" w:cs="Times New Roman"/>
          <w:color w:val="000000" w:themeColor="text1"/>
          <w:sz w:val="24"/>
          <w:szCs w:val="24"/>
          <w:highlight w:val="none"/>
          <w14:textFill>
            <w14:solidFill>
              <w14:schemeClr w14:val="tx1"/>
            </w14:solidFill>
          </w14:textFill>
        </w:rPr>
        <w:t>坐标</w:t>
      </w:r>
      <w:bookmarkEnd w:id="420"/>
      <w:r>
        <w:rPr>
          <w:rFonts w:hint="eastAsia" w:cs="Times New Roman"/>
          <w:color w:val="000000" w:themeColor="text1"/>
          <w:sz w:val="24"/>
          <w:szCs w:val="24"/>
          <w:highlight w:val="none"/>
          <w:lang w:val="en-US" w:eastAsia="zh-CN"/>
          <w14:textFill>
            <w14:solidFill>
              <w14:schemeClr w14:val="tx1"/>
            </w14:solidFill>
          </w14:textFill>
        </w:rPr>
        <w:t>见表3.2-1。</w:t>
      </w:r>
      <w:r>
        <w:rPr>
          <w:rFonts w:hint="default" w:ascii="Times New Roman" w:hAnsi="Times New Roman" w:cs="Times New Roman"/>
          <w:color w:val="000000" w:themeColor="text1"/>
          <w:spacing w:val="-3"/>
          <w:sz w:val="24"/>
          <w:szCs w:val="24"/>
          <w:highlight w:val="none"/>
          <w14:textFill>
            <w14:solidFill>
              <w14:schemeClr w14:val="tx1"/>
            </w14:solidFill>
          </w14:textFill>
        </w:rPr>
        <w:t>地理位置</w:t>
      </w:r>
      <w:r>
        <w:rPr>
          <w:rFonts w:hint="eastAsia" w:cs="Times New Roman"/>
          <w:color w:val="000000" w:themeColor="text1"/>
          <w:spacing w:val="-3"/>
          <w:sz w:val="24"/>
          <w:szCs w:val="24"/>
          <w:highlight w:val="none"/>
          <w:lang w:val="en-US" w:eastAsia="zh-CN"/>
          <w14:textFill>
            <w14:solidFill>
              <w14:schemeClr w14:val="tx1"/>
            </w14:solidFill>
          </w14:textFill>
        </w:rPr>
        <w:t>附图3</w:t>
      </w:r>
      <w:r>
        <w:rPr>
          <w:rFonts w:hint="default" w:ascii="Times New Roman" w:hAnsi="Times New Roman" w:cs="Times New Roman"/>
          <w:color w:val="000000" w:themeColor="text1"/>
          <w:spacing w:val="-3"/>
          <w:sz w:val="24"/>
          <w:szCs w:val="24"/>
          <w:highlight w:val="none"/>
          <w14:textFill>
            <w14:solidFill>
              <w14:schemeClr w14:val="tx1"/>
            </w14:solidFill>
          </w14:textFill>
        </w:rPr>
        <w:t>。</w:t>
      </w:r>
    </w:p>
    <w:p w14:paraId="39EE056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表3.2-1   本工程坐标一览表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074"/>
        <w:gridCol w:w="4077"/>
        <w:gridCol w:w="1679"/>
      </w:tblGrid>
      <w:tr w14:paraId="560C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vAlign w:val="center"/>
          </w:tcPr>
          <w:p w14:paraId="181C8F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名称</w:t>
            </w:r>
          </w:p>
        </w:tc>
        <w:tc>
          <w:tcPr>
            <w:tcW w:w="623" w:type="pct"/>
            <w:vAlign w:val="center"/>
          </w:tcPr>
          <w:p w14:paraId="52ED448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井号</w:t>
            </w:r>
          </w:p>
        </w:tc>
        <w:tc>
          <w:tcPr>
            <w:tcW w:w="2364" w:type="pct"/>
            <w:vAlign w:val="center"/>
          </w:tcPr>
          <w:p w14:paraId="20ADEB6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坐标</w:t>
            </w:r>
          </w:p>
        </w:tc>
        <w:tc>
          <w:tcPr>
            <w:tcW w:w="973" w:type="pct"/>
            <w:vAlign w:val="center"/>
          </w:tcPr>
          <w:p w14:paraId="37FA0B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备注</w:t>
            </w:r>
          </w:p>
        </w:tc>
      </w:tr>
      <w:tr w14:paraId="7E58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vAlign w:val="center"/>
          </w:tcPr>
          <w:p w14:paraId="4BFCA5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星火7斜井</w:t>
            </w:r>
          </w:p>
        </w:tc>
        <w:tc>
          <w:tcPr>
            <w:tcW w:w="623" w:type="pct"/>
            <w:vAlign w:val="center"/>
          </w:tcPr>
          <w:p w14:paraId="531CDE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XH7</w:t>
            </w:r>
          </w:p>
        </w:tc>
        <w:tc>
          <w:tcPr>
            <w:tcW w:w="2364" w:type="pct"/>
            <w:vAlign w:val="center"/>
          </w:tcPr>
          <w:p w14:paraId="792299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73" w:type="pct"/>
            <w:vMerge w:val="restart"/>
            <w:vAlign w:val="center"/>
          </w:tcPr>
          <w:p w14:paraId="7B422F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勘探井转为生产井</w:t>
            </w:r>
          </w:p>
        </w:tc>
      </w:tr>
      <w:tr w14:paraId="4209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038" w:type="pct"/>
            <w:vAlign w:val="center"/>
          </w:tcPr>
          <w:p w14:paraId="0BB7DBA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星火701斜井</w:t>
            </w:r>
          </w:p>
        </w:tc>
        <w:tc>
          <w:tcPr>
            <w:tcW w:w="623" w:type="pct"/>
            <w:vAlign w:val="center"/>
          </w:tcPr>
          <w:p w14:paraId="4A6E45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XH701</w:t>
            </w:r>
          </w:p>
        </w:tc>
        <w:tc>
          <w:tcPr>
            <w:tcW w:w="2364" w:type="pct"/>
            <w:vAlign w:val="center"/>
          </w:tcPr>
          <w:p w14:paraId="40516EE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73" w:type="pct"/>
            <w:vMerge w:val="continue"/>
            <w:vAlign w:val="center"/>
          </w:tcPr>
          <w:p w14:paraId="5CE80D6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r>
      <w:tr w14:paraId="117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vAlign w:val="center"/>
          </w:tcPr>
          <w:p w14:paraId="1E260C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星火7-2斜井</w:t>
            </w:r>
          </w:p>
        </w:tc>
        <w:tc>
          <w:tcPr>
            <w:tcW w:w="623" w:type="pct"/>
            <w:vAlign w:val="center"/>
          </w:tcPr>
          <w:p w14:paraId="15E34FF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XH7-2X</w:t>
            </w:r>
          </w:p>
        </w:tc>
        <w:tc>
          <w:tcPr>
            <w:tcW w:w="2364" w:type="pct"/>
            <w:vAlign w:val="center"/>
          </w:tcPr>
          <w:p w14:paraId="41A80C6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73" w:type="pct"/>
            <w:vAlign w:val="center"/>
          </w:tcPr>
          <w:p w14:paraId="70F0204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bookmarkStart w:id="421" w:name="OLE_LINK1220"/>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新钻井</w:t>
            </w:r>
            <w:bookmarkEnd w:id="421"/>
          </w:p>
        </w:tc>
      </w:tr>
    </w:tbl>
    <w:p w14:paraId="3E83C9F8">
      <w:pPr>
        <w:pStyle w:val="11"/>
        <w:keepNext w:val="0"/>
        <w:keepLines w:val="0"/>
        <w:pageBreakBefore w:val="0"/>
        <w:widowControl w:val="0"/>
        <w:kinsoku/>
        <w:wordWrap/>
        <w:overflowPunct/>
        <w:topLinePunct w:val="0"/>
        <w:autoSpaceDE/>
        <w:autoSpaceDN/>
        <w:bidi w:val="0"/>
        <w:adjustRightInd w:val="0"/>
        <w:snapToGrid w:val="0"/>
        <w:jc w:val="both"/>
        <w:textAlignment w:val="auto"/>
        <w:outlineLvl w:val="3"/>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.1.3建设规模</w:t>
      </w:r>
    </w:p>
    <w:p w14:paraId="36EC5634">
      <w:pPr>
        <w:pStyle w:val="12"/>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bookmarkStart w:id="422" w:name="OLE_LINK388"/>
      <w:bookmarkStart w:id="423" w:name="OLE_LINK389"/>
      <w:bookmarkStart w:id="424" w:name="OLE_LINK1239"/>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eastAsia"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lang w:eastAsia="zh-CN"/>
          <w14:textFill>
            <w14:solidFill>
              <w14:schemeClr w14:val="tx1"/>
            </w14:solidFill>
          </w14:textFill>
        </w:rPr>
        <w:t>主要建设内容包括：①</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w:t>
      </w:r>
      <w:r>
        <w:rPr>
          <w:rFonts w:hint="eastAsia" w:cs="Times New Roman"/>
          <w:color w:val="000000" w:themeColor="text1"/>
          <w:sz w:val="24"/>
          <w:szCs w:val="24"/>
          <w:highlight w:val="none"/>
          <w:lang w:val="en-US" w:eastAsia="zh-CN" w:bidi="ar-SA"/>
          <w14:textFill>
            <w14:solidFill>
              <w14:schemeClr w14:val="tx1"/>
            </w14:solidFill>
          </w14:textFill>
        </w:rPr>
        <w:t>建产能</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建设拉油流程1座</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新建电磁加热器1台、计量分离器</w:t>
      </w:r>
      <w:r>
        <w:rPr>
          <w:rFonts w:hint="eastAsia" w:cs="Times New Roman"/>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多功能储集器</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台，配套火炬及装车实现原油装车外运，天然气经油气计量分离器分离后，湿气销售至第三方公司，由第三方公司处理后装车外销。</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油气分离后凝析油装车外运至雅克拉集气处理站处理。</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4"/>
          <w:szCs w:val="24"/>
          <w:highlight w:val="none"/>
          <w14:textFill>
            <w14:solidFill>
              <w14:schemeClr w14:val="tx1"/>
            </w14:solidFill>
          </w14:textFill>
        </w:rPr>
        <w:t>建设电力、自控、</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构、通信、消防等公辅工程。</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本工程产能规模为</w:t>
      </w:r>
      <w:bookmarkStart w:id="425" w:name="OLE_LINK1346"/>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凝析油</w:t>
      </w:r>
      <w:r>
        <w:rPr>
          <w:rFonts w:hint="eastAsia" w:cs="Times New Roman"/>
          <w:color w:val="000000" w:themeColor="text1"/>
          <w:sz w:val="24"/>
          <w:szCs w:val="24"/>
          <w:highlight w:val="none"/>
          <w:lang w:val="en-US" w:eastAsia="zh-CN" w:bidi="ar-SA"/>
          <w14:textFill>
            <w14:solidFill>
              <w14:schemeClr w14:val="tx1"/>
            </w14:solidFill>
          </w14:textFill>
        </w:rPr>
        <w:t>33.9</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d，天然气</w:t>
      </w:r>
      <w:bookmarkStart w:id="426" w:name="OLE_LINK208"/>
      <w:r>
        <w:rPr>
          <w:rFonts w:hint="eastAsia" w:cs="Times New Roman"/>
          <w:color w:val="000000" w:themeColor="text1"/>
          <w:sz w:val="24"/>
          <w:szCs w:val="24"/>
          <w:highlight w:val="none"/>
          <w:lang w:val="en-US" w:eastAsia="zh-CN" w:bidi="ar-SA"/>
          <w14:textFill>
            <w14:solidFill>
              <w14:schemeClr w14:val="tx1"/>
            </w14:solidFill>
          </w14:textFill>
        </w:rPr>
        <w:t>18.2</w:t>
      </w:r>
      <w:bookmarkStart w:id="427" w:name="OLE_LINK1080"/>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End w:id="426"/>
      <w:bookmarkStart w:id="428" w:name="OLE_LINK207"/>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4</w:t>
      </w:r>
      <w:bookmarkEnd w:id="427"/>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w:t>
      </w:r>
      <w:bookmarkEnd w:id="425"/>
      <w:bookmarkEnd w:id="428"/>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End w:id="422"/>
      <w:bookmarkEnd w:id="423"/>
    </w:p>
    <w:bookmarkEnd w:id="424"/>
    <w:p w14:paraId="0224173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3"/>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.1.4工程组成</w:t>
      </w:r>
    </w:p>
    <w:p w14:paraId="0A8254D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66" w:firstLine="480" w:firstLineChars="200"/>
        <w:jc w:val="both"/>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本工程组成包括主体工程、</w:t>
      </w:r>
      <w:bookmarkStart w:id="429" w:name="OLE_LINK215"/>
      <w:r>
        <w:rPr>
          <w:rFonts w:hint="default" w:ascii="Times New Roman" w:hAnsi="Times New Roman" w:cs="Times New Roman"/>
          <w:color w:val="000000" w:themeColor="text1"/>
          <w:highlight w:val="none"/>
          <w:lang w:eastAsia="zh-CN"/>
          <w14:textFill>
            <w14:solidFill>
              <w14:schemeClr w14:val="tx1"/>
            </w14:solidFill>
          </w14:textFill>
        </w:rPr>
        <w:t>公辅工程</w:t>
      </w:r>
      <w:bookmarkEnd w:id="429"/>
      <w:r>
        <w:rPr>
          <w:rFonts w:hint="default" w:ascii="Times New Roman" w:hAnsi="Times New Roman" w:cs="Times New Roman"/>
          <w:color w:val="000000" w:themeColor="text1"/>
          <w:highlight w:val="none"/>
          <w:lang w:eastAsia="zh-CN"/>
          <w14:textFill>
            <w14:solidFill>
              <w14:schemeClr w14:val="tx1"/>
            </w14:solidFill>
          </w14:textFill>
        </w:rPr>
        <w:t>、环保工程、依托工程等</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工程组成见表3.</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p>
    <w:p w14:paraId="4D5D4C6A">
      <w:pPr>
        <w:pStyle w:val="12"/>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b/>
          <w:bCs/>
          <w:color w:val="000000" w:themeColor="text1"/>
          <w:highlight w:val="none"/>
          <w14:textFill>
            <w14:solidFill>
              <w14:schemeClr w14:val="tx1"/>
            </w14:solidFill>
          </w14:textFill>
        </w:rPr>
      </w:pPr>
      <w:bookmarkStart w:id="430" w:name="OLE_LINK33"/>
      <w:r>
        <w:rPr>
          <w:rFonts w:hint="default" w:ascii="Times New Roman" w:hAnsi="Times New Roman" w:eastAsia="黑体" w:cs="Times New Roman"/>
          <w:b/>
          <w:bCs/>
          <w:i w:val="0"/>
          <w:iCs w:val="0"/>
          <w:color w:val="000000" w:themeColor="text1"/>
          <w:kern w:val="0"/>
          <w:sz w:val="21"/>
          <w:szCs w:val="21"/>
          <w:highlight w:val="none"/>
          <w:u w:val="none"/>
          <w:lang w:val="en-US" w:eastAsia="zh-CN" w:bidi="ar"/>
          <w14:textFill>
            <w14:solidFill>
              <w14:schemeClr w14:val="tx1"/>
            </w14:solidFill>
          </w14:textFill>
        </w:rPr>
        <w:t>表3.</w:t>
      </w:r>
      <w:r>
        <w:rPr>
          <w:rFonts w:hint="eastAsia" w:eastAsia="黑体" w:cs="Times New Roman"/>
          <w:b/>
          <w:bCs/>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黑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   工程组成一览表</w:t>
      </w:r>
      <w:bookmarkEnd w:id="430"/>
    </w:p>
    <w:tbl>
      <w:tblPr>
        <w:tblStyle w:val="3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2"/>
        <w:gridCol w:w="654"/>
        <w:gridCol w:w="935"/>
        <w:gridCol w:w="1298"/>
        <w:gridCol w:w="4779"/>
        <w:gridCol w:w="664"/>
      </w:tblGrid>
      <w:tr w14:paraId="0655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1" w:hRule="atLeast"/>
          <w:jc w:val="center"/>
        </w:trPr>
        <w:tc>
          <w:tcPr>
            <w:tcW w:w="402" w:type="dxa"/>
            <w:shd w:val="clear" w:color="auto" w:fill="auto"/>
            <w:vAlign w:val="center"/>
          </w:tcPr>
          <w:p w14:paraId="3ECB06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654" w:type="dxa"/>
            <w:shd w:val="clear" w:color="auto" w:fill="auto"/>
            <w:vAlign w:val="center"/>
          </w:tcPr>
          <w:p w14:paraId="0B7BF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w:t>
            </w:r>
          </w:p>
          <w:p w14:paraId="1168BD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2233" w:type="dxa"/>
            <w:gridSpan w:val="2"/>
            <w:shd w:val="clear" w:color="auto" w:fill="auto"/>
            <w:vAlign w:val="center"/>
          </w:tcPr>
          <w:p w14:paraId="5965BE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类型</w:t>
            </w:r>
          </w:p>
        </w:tc>
        <w:tc>
          <w:tcPr>
            <w:tcW w:w="4779" w:type="dxa"/>
            <w:shd w:val="clear" w:color="auto" w:fill="auto"/>
            <w:vAlign w:val="center"/>
          </w:tcPr>
          <w:p w14:paraId="040C04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工程内容及规模</w:t>
            </w:r>
          </w:p>
        </w:tc>
        <w:tc>
          <w:tcPr>
            <w:tcW w:w="664" w:type="dxa"/>
            <w:shd w:val="clear" w:color="auto" w:fill="auto"/>
            <w:vAlign w:val="center"/>
          </w:tcPr>
          <w:p w14:paraId="56447A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备注</w:t>
            </w:r>
          </w:p>
        </w:tc>
      </w:tr>
      <w:tr w14:paraId="1976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 w:hRule="atLeast"/>
          <w:jc w:val="center"/>
        </w:trPr>
        <w:tc>
          <w:tcPr>
            <w:tcW w:w="402" w:type="dxa"/>
            <w:vMerge w:val="restart"/>
            <w:shd w:val="clear" w:color="auto" w:fill="auto"/>
            <w:vAlign w:val="center"/>
          </w:tcPr>
          <w:p w14:paraId="2C7592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31" w:name="OLE_LINK222" w:colFirst="4" w:colLast="4"/>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54" w:type="dxa"/>
            <w:vMerge w:val="restart"/>
            <w:shd w:val="clear" w:color="auto" w:fill="auto"/>
            <w:vAlign w:val="center"/>
          </w:tcPr>
          <w:p w14:paraId="5EA5D9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产能</w:t>
            </w:r>
          </w:p>
        </w:tc>
        <w:tc>
          <w:tcPr>
            <w:tcW w:w="2233" w:type="dxa"/>
            <w:gridSpan w:val="2"/>
            <w:shd w:val="clear" w:color="auto" w:fill="auto"/>
            <w:vAlign w:val="center"/>
          </w:tcPr>
          <w:p w14:paraId="130549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天然气</w:t>
            </w:r>
          </w:p>
        </w:tc>
        <w:tc>
          <w:tcPr>
            <w:tcW w:w="4779" w:type="dxa"/>
            <w:shd w:val="clear" w:color="auto" w:fill="auto"/>
            <w:vAlign w:val="center"/>
          </w:tcPr>
          <w:p w14:paraId="0F6DDB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18.2</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eastAsia" w:ascii="Times New Roman" w:hAnsi="Times New Roman"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/d</w:t>
            </w:r>
          </w:p>
        </w:tc>
        <w:tc>
          <w:tcPr>
            <w:tcW w:w="664" w:type="dxa"/>
            <w:shd w:val="clear" w:color="auto" w:fill="auto"/>
            <w:vAlign w:val="center"/>
          </w:tcPr>
          <w:p w14:paraId="23D3C3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49F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 w:hRule="atLeast"/>
          <w:jc w:val="center"/>
        </w:trPr>
        <w:tc>
          <w:tcPr>
            <w:tcW w:w="402" w:type="dxa"/>
            <w:vMerge w:val="continue"/>
            <w:shd w:val="clear" w:color="auto" w:fill="auto"/>
            <w:vAlign w:val="center"/>
          </w:tcPr>
          <w:p w14:paraId="2732EA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54" w:type="dxa"/>
            <w:vMerge w:val="continue"/>
            <w:shd w:val="clear" w:color="auto" w:fill="auto"/>
            <w:vAlign w:val="center"/>
          </w:tcPr>
          <w:p w14:paraId="54216F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233" w:type="dxa"/>
            <w:gridSpan w:val="2"/>
            <w:shd w:val="clear" w:color="auto" w:fill="auto"/>
            <w:vAlign w:val="center"/>
          </w:tcPr>
          <w:p w14:paraId="406A5E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凝析油</w:t>
            </w:r>
          </w:p>
        </w:tc>
        <w:tc>
          <w:tcPr>
            <w:tcW w:w="4779" w:type="dxa"/>
            <w:shd w:val="clear" w:color="auto" w:fill="auto"/>
            <w:vAlign w:val="center"/>
          </w:tcPr>
          <w:p w14:paraId="39830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33.9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d</w:t>
            </w:r>
          </w:p>
        </w:tc>
        <w:tc>
          <w:tcPr>
            <w:tcW w:w="664" w:type="dxa"/>
            <w:shd w:val="clear" w:color="auto" w:fill="auto"/>
            <w:vAlign w:val="center"/>
          </w:tcPr>
          <w:p w14:paraId="5EF5D5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bookmarkEnd w:id="431"/>
      <w:tr w14:paraId="15CA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 w:hRule="atLeast"/>
          <w:jc w:val="center"/>
        </w:trPr>
        <w:tc>
          <w:tcPr>
            <w:tcW w:w="402" w:type="dxa"/>
            <w:vMerge w:val="restart"/>
            <w:shd w:val="clear" w:color="auto" w:fill="auto"/>
            <w:vAlign w:val="center"/>
          </w:tcPr>
          <w:p w14:paraId="4279E5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32" w:name="OLE_LINK211" w:colFirst="2" w:colLast="5"/>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54" w:type="dxa"/>
            <w:vMerge w:val="restart"/>
            <w:shd w:val="clear" w:color="auto" w:fill="auto"/>
            <w:vAlign w:val="center"/>
          </w:tcPr>
          <w:p w14:paraId="0341A4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主体</w:t>
            </w:r>
          </w:p>
          <w:p w14:paraId="76A894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w:t>
            </w:r>
          </w:p>
        </w:tc>
        <w:tc>
          <w:tcPr>
            <w:tcW w:w="935" w:type="dxa"/>
            <w:shd w:val="clear" w:color="auto" w:fill="auto"/>
            <w:vAlign w:val="center"/>
          </w:tcPr>
          <w:p w14:paraId="510C01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钻井</w:t>
            </w:r>
          </w:p>
          <w:p w14:paraId="785B8B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w:t>
            </w:r>
          </w:p>
        </w:tc>
        <w:tc>
          <w:tcPr>
            <w:tcW w:w="1298" w:type="dxa"/>
            <w:shd w:val="clear" w:color="auto" w:fill="auto"/>
            <w:vAlign w:val="center"/>
          </w:tcPr>
          <w:p w14:paraId="1A27980D">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星火</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7-2斜井</w:t>
            </w:r>
          </w:p>
        </w:tc>
        <w:tc>
          <w:tcPr>
            <w:tcW w:w="4779" w:type="dxa"/>
            <w:shd w:val="clear" w:color="auto" w:fill="auto"/>
            <w:vAlign w:val="center"/>
          </w:tcPr>
          <w:p w14:paraId="1F6FE5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星火</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7-2斜井</w:t>
            </w:r>
            <w:r>
              <w:rPr>
                <w:color w:val="000000" w:themeColor="text1"/>
                <w:sz w:val="21"/>
                <w:szCs w:val="21"/>
                <w:highlight w:val="none"/>
                <w14:textFill>
                  <w14:solidFill>
                    <w14:schemeClr w14:val="tx1"/>
                  </w14:solidFill>
                </w14:textFill>
              </w:rPr>
              <w:t>为新钻井，</w:t>
            </w:r>
            <w:r>
              <w:rPr>
                <w:rFonts w:hint="eastAsia"/>
                <w:color w:val="000000" w:themeColor="text1"/>
                <w:sz w:val="21"/>
                <w:szCs w:val="21"/>
                <w:highlight w:val="none"/>
                <w14:textFill>
                  <w14:solidFill>
                    <w14:schemeClr w14:val="tx1"/>
                  </w14:solidFill>
                </w14:textFill>
              </w:rPr>
              <w:t>井深</w:t>
            </w:r>
            <w:r>
              <w:rPr>
                <w:rFonts w:hint="eastAsia"/>
                <w:color w:val="000000" w:themeColor="text1"/>
                <w:sz w:val="21"/>
                <w:szCs w:val="21"/>
                <w:highlight w:val="none"/>
                <w:lang w:val="en-US" w:eastAsia="zh-CN"/>
                <w14:textFill>
                  <w14:solidFill>
                    <w14:schemeClr w14:val="tx1"/>
                  </w14:solidFill>
                </w14:textFill>
              </w:rPr>
              <w:t>5943</w:t>
            </w:r>
            <w:r>
              <w:rPr>
                <w:rFonts w:hint="eastAsia"/>
                <w:color w:val="000000" w:themeColor="text1"/>
                <w:sz w:val="21"/>
                <w:szCs w:val="21"/>
                <w:highlight w:val="none"/>
                <w14:textFill>
                  <w14:solidFill>
                    <w14:schemeClr w14:val="tx1"/>
                  </w14:solidFill>
                </w14:textFill>
              </w:rPr>
              <w:t>m</w:t>
            </w:r>
            <w:r>
              <w:rPr>
                <w:color w:val="000000" w:themeColor="text1"/>
                <w:sz w:val="21"/>
                <w:szCs w:val="21"/>
                <w:highlight w:val="none"/>
                <w14:textFill>
                  <w14:solidFill>
                    <w14:schemeClr w14:val="tx1"/>
                  </w14:solidFill>
                </w14:textFill>
              </w:rPr>
              <w:t>。井场外设置放喷池2座，2×200m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；井场设置应急池1座，600m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，井场设便携式H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S监测仪</w:t>
            </w:r>
            <w:r>
              <w:rPr>
                <w:rFonts w:hint="eastAsia"/>
                <w:color w:val="000000" w:themeColor="text1"/>
                <w:sz w:val="21"/>
                <w:szCs w:val="21"/>
                <w:highlight w:val="none"/>
                <w14:textFill>
                  <w14:solidFill>
                    <w14:schemeClr w14:val="tx1"/>
                  </w14:solidFill>
                </w14:textFill>
              </w:rPr>
              <w:t>。</w:t>
            </w:r>
          </w:p>
        </w:tc>
        <w:tc>
          <w:tcPr>
            <w:tcW w:w="664" w:type="dxa"/>
            <w:shd w:val="clear" w:color="auto" w:fill="auto"/>
            <w:vAlign w:val="center"/>
          </w:tcPr>
          <w:p w14:paraId="432BCF2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433" w:name="OLE_LINK209"/>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bookmarkEnd w:id="433"/>
          </w:p>
        </w:tc>
      </w:tr>
      <w:tr w14:paraId="0B1D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 w:hRule="atLeast"/>
          <w:jc w:val="center"/>
        </w:trPr>
        <w:tc>
          <w:tcPr>
            <w:tcW w:w="402" w:type="dxa"/>
            <w:vMerge w:val="continue"/>
            <w:shd w:val="clear" w:color="auto" w:fill="auto"/>
            <w:vAlign w:val="center"/>
          </w:tcPr>
          <w:p w14:paraId="359D4B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54" w:type="dxa"/>
            <w:vMerge w:val="continue"/>
            <w:shd w:val="clear" w:color="auto" w:fill="auto"/>
            <w:vAlign w:val="center"/>
          </w:tcPr>
          <w:p w14:paraId="3BA59A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5" w:type="dxa"/>
            <w:vMerge w:val="restart"/>
            <w:shd w:val="clear" w:color="auto" w:fill="auto"/>
            <w:vAlign w:val="center"/>
          </w:tcPr>
          <w:p w14:paraId="6AB7B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地面</w:t>
            </w:r>
          </w:p>
          <w:p w14:paraId="600478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w:t>
            </w:r>
          </w:p>
        </w:tc>
        <w:tc>
          <w:tcPr>
            <w:tcW w:w="1298" w:type="dxa"/>
            <w:shd w:val="clear" w:color="auto" w:fill="auto"/>
            <w:vAlign w:val="center"/>
          </w:tcPr>
          <w:p w14:paraId="3365B696">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星火7斜井和星火701斜井</w:t>
            </w:r>
          </w:p>
        </w:tc>
        <w:tc>
          <w:tcPr>
            <w:tcW w:w="4779" w:type="dxa"/>
            <w:shd w:val="clear" w:color="auto" w:fill="auto"/>
            <w:vAlign w:val="center"/>
          </w:tcPr>
          <w:p w14:paraId="68283C0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星火7斜井、</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星火701斜井</w:t>
            </w:r>
            <w:r>
              <w:rPr>
                <w:rFonts w:hint="eastAsia"/>
                <w:color w:val="000000" w:themeColor="text1"/>
                <w:sz w:val="21"/>
                <w:szCs w:val="21"/>
                <w:highlight w:val="none"/>
                <w:lang w:val="en-US" w:eastAsia="zh-CN"/>
                <w14:textFill>
                  <w14:solidFill>
                    <w14:schemeClr w14:val="tx1"/>
                  </w14:solidFill>
                </w14:textFill>
              </w:rPr>
              <w:t>已经</w:t>
            </w:r>
            <w:r>
              <w:rPr>
                <w:rFonts w:hint="eastAsia"/>
                <w:color w:val="000000" w:themeColor="text1"/>
                <w:sz w:val="21"/>
                <w:szCs w:val="21"/>
                <w:highlight w:val="none"/>
                <w14:textFill>
                  <w14:solidFill>
                    <w14:schemeClr w14:val="tx1"/>
                  </w14:solidFill>
                </w14:textFill>
              </w:rPr>
              <w:t>单独开展</w:t>
            </w:r>
            <w:r>
              <w:rPr>
                <w:color w:val="000000" w:themeColor="text1"/>
                <w:sz w:val="21"/>
                <w:szCs w:val="21"/>
                <w:highlight w:val="none"/>
                <w14:textFill>
                  <w14:solidFill>
                    <w14:schemeClr w14:val="tx1"/>
                  </w14:solidFill>
                </w14:textFill>
              </w:rPr>
              <w:t>钻井环评</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本次进行勘探井转生产井</w:t>
            </w:r>
            <w:r>
              <w:rPr>
                <w:color w:val="000000" w:themeColor="text1"/>
                <w:sz w:val="21"/>
                <w:szCs w:val="21"/>
                <w:highlight w:val="none"/>
                <w14:textFill>
                  <w14:solidFill>
                    <w14:schemeClr w14:val="tx1"/>
                  </w14:solidFill>
                </w14:textFill>
              </w:rPr>
              <w:t>。</w:t>
            </w:r>
          </w:p>
        </w:tc>
        <w:tc>
          <w:tcPr>
            <w:tcW w:w="664" w:type="dxa"/>
            <w:shd w:val="clear" w:color="auto" w:fill="auto"/>
            <w:vAlign w:val="center"/>
          </w:tcPr>
          <w:p w14:paraId="7E9152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bookmarkEnd w:id="432"/>
      <w:tr w14:paraId="5D8D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 w:hRule="atLeast"/>
          <w:jc w:val="center"/>
        </w:trPr>
        <w:tc>
          <w:tcPr>
            <w:tcW w:w="402" w:type="dxa"/>
            <w:vMerge w:val="continue"/>
            <w:shd w:val="clear" w:color="auto" w:fill="auto"/>
            <w:vAlign w:val="center"/>
          </w:tcPr>
          <w:p w14:paraId="3CACC5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54" w:type="dxa"/>
            <w:vMerge w:val="continue"/>
            <w:shd w:val="clear" w:color="auto" w:fill="auto"/>
            <w:vAlign w:val="center"/>
          </w:tcPr>
          <w:p w14:paraId="568FA8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5" w:type="dxa"/>
            <w:vMerge w:val="continue"/>
            <w:shd w:val="clear" w:color="auto" w:fill="auto"/>
            <w:vAlign w:val="center"/>
          </w:tcPr>
          <w:p w14:paraId="6F6457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298" w:type="dxa"/>
            <w:shd w:val="clear" w:color="auto" w:fill="auto"/>
            <w:vAlign w:val="center"/>
          </w:tcPr>
          <w:p w14:paraId="26584FFC">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拉油流程</w:t>
            </w:r>
          </w:p>
        </w:tc>
        <w:tc>
          <w:tcPr>
            <w:tcW w:w="4779" w:type="dxa"/>
            <w:shd w:val="clear" w:color="auto" w:fill="auto"/>
            <w:vAlign w:val="center"/>
          </w:tcPr>
          <w:p w14:paraId="213E11D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星火7斜井、</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星火701斜井</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和星火</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7-2斜井</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共用一个井场，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井场内</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新建电磁加热器1台、计量分离器</w:t>
            </w:r>
            <w:r>
              <w:rPr>
                <w:rFonts w:hint="eastAsia" w:cs="Times New Roman"/>
                <w:color w:val="000000" w:themeColor="text1"/>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台、多功能储集器</w:t>
            </w:r>
            <w:r>
              <w:rPr>
                <w:rFonts w:hint="eastAsia" w:cs="Times New Roman"/>
                <w:color w:val="000000" w:themeColor="text1"/>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台，配套火炬及装车</w:t>
            </w:r>
            <w:r>
              <w:rPr>
                <w:rFonts w:hint="eastAsia" w:cs="Times New Roman"/>
                <w:color w:val="000000" w:themeColor="text1"/>
                <w:sz w:val="21"/>
                <w:szCs w:val="21"/>
                <w:highlight w:val="none"/>
                <w:lang w:val="en-US" w:eastAsia="zh-CN" w:bidi="ar-SA"/>
                <w14:textFill>
                  <w14:solidFill>
                    <w14:schemeClr w14:val="tx1"/>
                  </w14:solidFill>
                </w14:textFill>
              </w:rPr>
              <w:t>系统。</w:t>
            </w:r>
          </w:p>
        </w:tc>
        <w:tc>
          <w:tcPr>
            <w:tcW w:w="664" w:type="dxa"/>
            <w:shd w:val="clear" w:color="auto" w:fill="auto"/>
            <w:vAlign w:val="center"/>
          </w:tcPr>
          <w:p w14:paraId="1068E1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14:paraId="184D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6" w:hRule="atLeast"/>
          <w:jc w:val="center"/>
        </w:trPr>
        <w:tc>
          <w:tcPr>
            <w:tcW w:w="402" w:type="dxa"/>
            <w:vMerge w:val="continue"/>
            <w:shd w:val="clear" w:color="auto" w:fill="auto"/>
            <w:vAlign w:val="center"/>
          </w:tcPr>
          <w:p w14:paraId="359DE05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noWrap/>
            <w:vAlign w:val="center"/>
          </w:tcPr>
          <w:p w14:paraId="3355649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35" w:type="dxa"/>
            <w:vMerge w:val="restart"/>
            <w:shd w:val="clear" w:color="auto" w:fill="auto"/>
            <w:vAlign w:val="center"/>
          </w:tcPr>
          <w:p w14:paraId="4179861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油气</w:t>
            </w:r>
            <w:r>
              <w:rPr>
                <w:rFonts w:hint="eastAsia" w:cs="Times New Roman"/>
                <w:i w:val="0"/>
                <w:iCs w:val="0"/>
                <w:color w:val="000000" w:themeColor="text1"/>
                <w:sz w:val="21"/>
                <w:szCs w:val="21"/>
                <w:highlight w:val="none"/>
                <w:u w:val="none"/>
                <w:lang w:val="en-US" w:eastAsia="zh-CN"/>
                <w14:textFill>
                  <w14:solidFill>
                    <w14:schemeClr w14:val="tx1"/>
                  </w14:solidFill>
                </w14:textFill>
              </w:rPr>
              <w:t>处理</w:t>
            </w: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工程</w:t>
            </w:r>
          </w:p>
        </w:tc>
        <w:tc>
          <w:tcPr>
            <w:tcW w:w="1298" w:type="dxa"/>
            <w:shd w:val="clear" w:color="auto" w:fill="auto"/>
            <w:vAlign w:val="center"/>
          </w:tcPr>
          <w:p w14:paraId="11FFDBA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天然气</w:t>
            </w:r>
          </w:p>
        </w:tc>
        <w:tc>
          <w:tcPr>
            <w:tcW w:w="4779" w:type="dxa"/>
            <w:shd w:val="clear" w:color="auto" w:fill="auto"/>
            <w:vAlign w:val="center"/>
          </w:tcPr>
          <w:p w14:paraId="3F20F2C7">
            <w:pPr>
              <w:keepNext w:val="0"/>
              <w:keepLines w:val="0"/>
              <w:pageBreakBefore w:val="0"/>
              <w:widowControl/>
              <w:kinsoku/>
              <w:wordWrap/>
              <w:overflowPunct/>
              <w:topLinePunct w:val="0"/>
              <w:autoSpaceDE/>
              <w:autoSpaceDN/>
              <w:bidi w:val="0"/>
              <w:adjustRightInd/>
              <w:snapToGrid/>
              <w:spacing w:line="240" w:lineRule="auto"/>
              <w:jc w:val="both"/>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天然气经油气计量分离器分离后，湿气销售至第三方公司，由第三方公司处理后装车外销。</w:t>
            </w:r>
          </w:p>
        </w:tc>
        <w:tc>
          <w:tcPr>
            <w:tcW w:w="664" w:type="dxa"/>
            <w:shd w:val="clear" w:color="auto" w:fill="auto"/>
            <w:vAlign w:val="center"/>
          </w:tcPr>
          <w:p w14:paraId="4035149E">
            <w:pPr>
              <w:keepNext w:val="0"/>
              <w:keepLines w:val="0"/>
              <w:pageBreakBefore w:val="0"/>
              <w:widowControl/>
              <w:kinsoku/>
              <w:wordWrap/>
              <w:overflowPunct/>
              <w:topLinePunct w:val="0"/>
              <w:autoSpaceDE/>
              <w:autoSpaceDN/>
              <w:bidi w:val="0"/>
              <w:adjustRightInd/>
              <w:snapToGrid/>
              <w:spacing w:line="240" w:lineRule="auto"/>
              <w:jc w:val="both"/>
              <w:rPr>
                <w:rFonts w:hint="default" w:ascii="Times New Roman" w:hAnsi="Times New Roman" w:cs="Times New Roman"/>
                <w:color w:val="000000" w:themeColor="text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14:paraId="2155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6" w:hRule="atLeast"/>
          <w:jc w:val="center"/>
        </w:trPr>
        <w:tc>
          <w:tcPr>
            <w:tcW w:w="402" w:type="dxa"/>
            <w:vMerge w:val="continue"/>
            <w:shd w:val="clear" w:color="auto" w:fill="auto"/>
            <w:vAlign w:val="center"/>
          </w:tcPr>
          <w:p w14:paraId="57630A6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noWrap/>
            <w:vAlign w:val="center"/>
          </w:tcPr>
          <w:p w14:paraId="064AE35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935" w:type="dxa"/>
            <w:vMerge w:val="continue"/>
            <w:shd w:val="clear" w:color="auto" w:fill="auto"/>
            <w:vAlign w:val="center"/>
          </w:tcPr>
          <w:p w14:paraId="2538314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1298" w:type="dxa"/>
            <w:shd w:val="clear" w:color="auto" w:fill="auto"/>
            <w:vAlign w:val="center"/>
          </w:tcPr>
          <w:p w14:paraId="4566265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凝析油</w:t>
            </w:r>
          </w:p>
        </w:tc>
        <w:tc>
          <w:tcPr>
            <w:tcW w:w="4779" w:type="dxa"/>
            <w:shd w:val="clear" w:color="auto" w:fill="auto"/>
            <w:vAlign w:val="center"/>
          </w:tcPr>
          <w:p w14:paraId="1EA17BB4">
            <w:pP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设置60方多功能储集器</w:t>
            </w:r>
            <w:r>
              <w:rPr>
                <w:rFonts w:hint="eastAsia" w:cs="Times New Roman"/>
                <w:color w:val="000000" w:themeColor="text1"/>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台，预留多功能储集器接口。</w:t>
            </w:r>
            <w:r>
              <w:rPr>
                <w:rFonts w:hint="eastAsia" w:ascii="Times New Roman" w:hAnsi="宋体" w:eastAsia="宋体" w:cs="Times New Roman"/>
                <w:color w:val="000000" w:themeColor="text1"/>
                <w:sz w:val="21"/>
                <w:szCs w:val="16"/>
                <w:highlight w:val="none"/>
                <w:lang w:val="en-US" w:eastAsia="zh-CN"/>
                <w14:textFill>
                  <w14:solidFill>
                    <w14:schemeClr w14:val="tx1"/>
                  </w14:solidFill>
                </w14:textFill>
              </w:rPr>
              <w:t>满足2</w:t>
            </w:r>
            <w:r>
              <w:rPr>
                <w:rFonts w:hint="eastAsia" w:hAnsi="宋体" w:cs="Times New Roman"/>
                <w:color w:val="000000" w:themeColor="text1"/>
                <w:sz w:val="21"/>
                <w:szCs w:val="16"/>
                <w:highlight w:val="none"/>
                <w:lang w:val="en-US" w:eastAsia="zh-CN"/>
                <w14:textFill>
                  <w14:solidFill>
                    <w14:schemeClr w14:val="tx1"/>
                  </w14:solidFill>
                </w14:textFill>
              </w:rPr>
              <w:t>～</w:t>
            </w:r>
            <w:r>
              <w:rPr>
                <w:rFonts w:hint="eastAsia" w:ascii="Times New Roman" w:hAnsi="宋体" w:eastAsia="宋体" w:cs="Times New Roman"/>
                <w:color w:val="000000" w:themeColor="text1"/>
                <w:sz w:val="21"/>
                <w:szCs w:val="16"/>
                <w:highlight w:val="none"/>
                <w:lang w:val="en-US" w:eastAsia="zh-CN"/>
                <w14:textFill>
                  <w14:solidFill>
                    <w14:schemeClr w14:val="tx1"/>
                  </w14:solidFill>
                </w14:textFill>
              </w:rPr>
              <w:t>5天储存时间，拉运至雅克拉处理站</w:t>
            </w:r>
            <w:r>
              <w:rPr>
                <w:rFonts w:hint="eastAsia" w:hAnsi="宋体" w:eastAsia="宋体" w:cs="Times New Roman"/>
                <w:color w:val="000000" w:themeColor="text1"/>
                <w:sz w:val="21"/>
                <w:szCs w:val="16"/>
                <w:highlight w:val="none"/>
                <w:lang w:val="en-US" w:eastAsia="zh-CN"/>
                <w14:textFill>
                  <w14:solidFill>
                    <w14:schemeClr w14:val="tx1"/>
                  </w14:solidFill>
                </w14:textFill>
              </w:rPr>
              <w:t>。</w:t>
            </w:r>
          </w:p>
        </w:tc>
        <w:tc>
          <w:tcPr>
            <w:tcW w:w="664" w:type="dxa"/>
            <w:shd w:val="clear" w:color="auto" w:fill="auto"/>
            <w:vAlign w:val="center"/>
          </w:tcPr>
          <w:p w14:paraId="0C13B305">
            <w:pPr>
              <w:keepNext w:val="0"/>
              <w:keepLines w:val="0"/>
              <w:pageBreakBefore w:val="0"/>
              <w:widowControl/>
              <w:kinsoku/>
              <w:wordWrap/>
              <w:overflowPunct/>
              <w:topLinePunct w:val="0"/>
              <w:autoSpaceDE/>
              <w:autoSpaceDN/>
              <w:bidi w:val="0"/>
              <w:adjustRightInd/>
              <w:snapToGrid/>
              <w:spacing w:line="240" w:lineRule="auto"/>
              <w:jc w:val="both"/>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14:paraId="7B08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jc w:val="center"/>
        </w:trPr>
        <w:tc>
          <w:tcPr>
            <w:tcW w:w="402" w:type="dxa"/>
            <w:vMerge w:val="restart"/>
            <w:shd w:val="clear" w:color="auto" w:fill="auto"/>
            <w:vAlign w:val="center"/>
          </w:tcPr>
          <w:p w14:paraId="121674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654" w:type="dxa"/>
            <w:vMerge w:val="restart"/>
            <w:shd w:val="clear" w:color="auto" w:fill="auto"/>
            <w:vAlign w:val="center"/>
          </w:tcPr>
          <w:p w14:paraId="2A8CD0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公辅工程</w:t>
            </w:r>
          </w:p>
        </w:tc>
        <w:tc>
          <w:tcPr>
            <w:tcW w:w="2233" w:type="dxa"/>
            <w:gridSpan w:val="2"/>
            <w:shd w:val="clear" w:color="auto" w:fill="auto"/>
            <w:vAlign w:val="center"/>
          </w:tcPr>
          <w:p w14:paraId="11E029E1">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供水</w:t>
            </w:r>
            <w:r>
              <w:rPr>
                <w:rFonts w:hint="default" w:ascii="Times New Roman" w:hAnsi="Times New Roman" w:cs="Times New Roman"/>
                <w:color w:val="000000" w:themeColor="text1"/>
                <w:sz w:val="21"/>
                <w:szCs w:val="21"/>
                <w:highlight w:val="none"/>
                <w14:textFill>
                  <w14:solidFill>
                    <w14:schemeClr w14:val="tx1"/>
                  </w14:solidFill>
                </w14:textFill>
              </w:rPr>
              <w:t>工程</w:t>
            </w:r>
          </w:p>
        </w:tc>
        <w:tc>
          <w:tcPr>
            <w:tcW w:w="4779" w:type="dxa"/>
            <w:shd w:val="clear" w:color="auto" w:fill="auto"/>
            <w:vAlign w:val="center"/>
          </w:tcPr>
          <w:p w14:paraId="79703938">
            <w:pPr>
              <w:keepNext w:val="0"/>
              <w:keepLines w:val="0"/>
              <w:pageBreakBefore w:val="0"/>
              <w:kinsoku/>
              <w:wordWrap/>
              <w:overflowPunct/>
              <w:topLinePunct w:val="0"/>
              <w:autoSpaceDE/>
              <w:autoSpaceDN/>
              <w:bidi w:val="0"/>
              <w:adjustRightInd w:val="0"/>
              <w:snapToGrid w:val="0"/>
              <w:spacing w:line="240" w:lineRule="atLeast"/>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生产用水、生活用水采用水罐车就近拉运至井场。</w:t>
            </w:r>
          </w:p>
        </w:tc>
        <w:tc>
          <w:tcPr>
            <w:tcW w:w="664" w:type="dxa"/>
            <w:shd w:val="clear" w:color="auto" w:fill="auto"/>
            <w:vAlign w:val="center"/>
          </w:tcPr>
          <w:p w14:paraId="12809B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434" w:name="OLE_LINK772"/>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bookmarkEnd w:id="434"/>
          </w:p>
        </w:tc>
      </w:tr>
      <w:tr w14:paraId="24C7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jc w:val="center"/>
        </w:trPr>
        <w:tc>
          <w:tcPr>
            <w:tcW w:w="402" w:type="dxa"/>
            <w:vMerge w:val="continue"/>
            <w:shd w:val="clear" w:color="auto" w:fill="auto"/>
            <w:vAlign w:val="center"/>
          </w:tcPr>
          <w:p w14:paraId="15F67D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351402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27ADF1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供电工程</w:t>
            </w:r>
          </w:p>
        </w:tc>
        <w:tc>
          <w:tcPr>
            <w:tcW w:w="4779" w:type="dxa"/>
            <w:shd w:val="clear" w:color="auto" w:fill="auto"/>
            <w:vAlign w:val="center"/>
          </w:tcPr>
          <w:p w14:paraId="7384FB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星火7井井场旁已建国网10KV电源，单井及流程用电就近接入国网线路，新建10KV架空线路0.2km，导线JL/G1A-120/20。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250KVA户外变压器一座，建议箱式配电室一座。</w:t>
            </w:r>
          </w:p>
        </w:tc>
        <w:tc>
          <w:tcPr>
            <w:tcW w:w="664" w:type="dxa"/>
            <w:shd w:val="clear" w:color="auto" w:fill="auto"/>
            <w:vAlign w:val="center"/>
          </w:tcPr>
          <w:p w14:paraId="490F7C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35" w:name="OLE_LINK247"/>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bookmarkEnd w:id="435"/>
          </w:p>
        </w:tc>
      </w:tr>
      <w:tr w14:paraId="3E5E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 w:hRule="atLeast"/>
          <w:jc w:val="center"/>
        </w:trPr>
        <w:tc>
          <w:tcPr>
            <w:tcW w:w="402" w:type="dxa"/>
            <w:vMerge w:val="continue"/>
            <w:shd w:val="clear" w:color="auto" w:fill="auto"/>
            <w:vAlign w:val="center"/>
          </w:tcPr>
          <w:p w14:paraId="745E4F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54" w:type="dxa"/>
            <w:vMerge w:val="continue"/>
            <w:shd w:val="clear" w:color="auto" w:fill="auto"/>
            <w:vAlign w:val="center"/>
          </w:tcPr>
          <w:p w14:paraId="688D62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233" w:type="dxa"/>
            <w:gridSpan w:val="2"/>
            <w:shd w:val="clear" w:color="auto" w:fill="auto"/>
            <w:vAlign w:val="center"/>
          </w:tcPr>
          <w:p w14:paraId="26DDE8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自控</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w:t>
            </w:r>
          </w:p>
        </w:tc>
        <w:tc>
          <w:tcPr>
            <w:tcW w:w="4779" w:type="dxa"/>
            <w:shd w:val="clear" w:color="auto" w:fill="auto"/>
            <w:vAlign w:val="center"/>
          </w:tcPr>
          <w:p w14:paraId="0FED501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采用RTU将仪表信号上传上级站场，实现远程监控。拉油流程配置关键工艺节点自控仪表，接入站控PLC系统，实现远程监控。天然气处理单元由第三方建设实施。</w:t>
            </w:r>
          </w:p>
        </w:tc>
        <w:tc>
          <w:tcPr>
            <w:tcW w:w="664" w:type="dxa"/>
            <w:shd w:val="clear" w:color="auto" w:fill="auto"/>
            <w:vAlign w:val="center"/>
          </w:tcPr>
          <w:p w14:paraId="622FFEC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14:paraId="0659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 w:hRule="atLeast"/>
          <w:jc w:val="center"/>
        </w:trPr>
        <w:tc>
          <w:tcPr>
            <w:tcW w:w="402" w:type="dxa"/>
            <w:vMerge w:val="continue"/>
            <w:shd w:val="clear" w:color="auto" w:fill="auto"/>
            <w:vAlign w:val="center"/>
          </w:tcPr>
          <w:p w14:paraId="469617C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36" w:name="OLE_LINK220" w:colFirst="3" w:colLast="4"/>
          </w:p>
        </w:tc>
        <w:tc>
          <w:tcPr>
            <w:tcW w:w="654" w:type="dxa"/>
            <w:vMerge w:val="continue"/>
            <w:shd w:val="clear" w:color="auto" w:fill="auto"/>
            <w:vAlign w:val="center"/>
          </w:tcPr>
          <w:p w14:paraId="5DA5BD5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44CCA6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通信工程</w:t>
            </w:r>
          </w:p>
        </w:tc>
        <w:tc>
          <w:tcPr>
            <w:tcW w:w="4779" w:type="dxa"/>
            <w:shd w:val="clear" w:color="auto" w:fill="auto"/>
            <w:vAlign w:val="center"/>
          </w:tcPr>
          <w:p w14:paraId="2DD0C8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单井部分：在单井井口敷设4芯光缆，与单井集输管线同沟敷设，井口设置摄像头，视频信号及RTU数据通过工业以太网交换机，经光缆上传星火7拉油流程。</w:t>
            </w:r>
          </w:p>
          <w:p w14:paraId="1F2FBE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拉油流程部分：星火7拉油流程设置视频监控，中央控制室配置硬盘录像机、通信机柜和视频监控电脑，视频信号通过工业以太网交换机汇聚，接入视频硬盘录像机。考虑现场与生产指挥中心间无通信光缆依托，生产数据及视频信号通过租赁电信光纤专线上传生产指挥中心。</w:t>
            </w:r>
          </w:p>
        </w:tc>
        <w:tc>
          <w:tcPr>
            <w:tcW w:w="664" w:type="dxa"/>
            <w:shd w:val="clear" w:color="auto" w:fill="auto"/>
            <w:vAlign w:val="center"/>
          </w:tcPr>
          <w:p w14:paraId="7C7C3C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bookmarkEnd w:id="436"/>
      <w:tr w14:paraId="144B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402" w:type="dxa"/>
            <w:vMerge w:val="continue"/>
            <w:shd w:val="clear" w:color="auto" w:fill="auto"/>
            <w:vAlign w:val="center"/>
          </w:tcPr>
          <w:p w14:paraId="5849249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3763A4E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535B5D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消防</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w:t>
            </w:r>
          </w:p>
        </w:tc>
        <w:tc>
          <w:tcPr>
            <w:tcW w:w="4779" w:type="dxa"/>
            <w:shd w:val="clear" w:color="auto" w:fill="auto"/>
            <w:vAlign w:val="center"/>
          </w:tcPr>
          <w:p w14:paraId="27F7C0A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设置手提式磷酸铵盐干粉灭火器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MF/ABC8 （2具1箱）8套，</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推车式磷酸铵盐干粉灭火器4台，手提式二氧化碳灭火器MT7配二氧化碳防冻手套（2具1箱）5套。</w:t>
            </w:r>
          </w:p>
        </w:tc>
        <w:tc>
          <w:tcPr>
            <w:tcW w:w="664" w:type="dxa"/>
            <w:shd w:val="clear" w:color="auto" w:fill="auto"/>
            <w:vAlign w:val="center"/>
          </w:tcPr>
          <w:p w14:paraId="06F961A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w:t>
            </w:r>
          </w:p>
        </w:tc>
      </w:tr>
      <w:tr w14:paraId="382A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7D94A79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48269C1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75BD3D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道路工程</w:t>
            </w:r>
          </w:p>
        </w:tc>
        <w:tc>
          <w:tcPr>
            <w:tcW w:w="4779" w:type="dxa"/>
            <w:shd w:val="clear" w:color="auto" w:fill="auto"/>
            <w:vAlign w:val="center"/>
          </w:tcPr>
          <w:p w14:paraId="57088AE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依托本工程附近已建道路。</w:t>
            </w:r>
          </w:p>
        </w:tc>
        <w:tc>
          <w:tcPr>
            <w:tcW w:w="664" w:type="dxa"/>
            <w:shd w:val="clear" w:color="auto" w:fill="auto"/>
            <w:vAlign w:val="center"/>
          </w:tcPr>
          <w:p w14:paraId="3422BAA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利旧</w:t>
            </w:r>
          </w:p>
        </w:tc>
      </w:tr>
      <w:tr w14:paraId="4827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restart"/>
            <w:shd w:val="clear" w:color="auto" w:fill="auto"/>
            <w:vAlign w:val="center"/>
          </w:tcPr>
          <w:p w14:paraId="45EBE3DF">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4</w:t>
            </w:r>
          </w:p>
        </w:tc>
        <w:tc>
          <w:tcPr>
            <w:tcW w:w="654" w:type="dxa"/>
            <w:vMerge w:val="restart"/>
            <w:shd w:val="clear" w:color="auto" w:fill="auto"/>
            <w:vAlign w:val="center"/>
          </w:tcPr>
          <w:p w14:paraId="1D21E48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环保工程</w:t>
            </w:r>
          </w:p>
        </w:tc>
        <w:tc>
          <w:tcPr>
            <w:tcW w:w="2233" w:type="dxa"/>
            <w:gridSpan w:val="2"/>
            <w:shd w:val="clear" w:color="auto" w:fill="auto"/>
            <w:vAlign w:val="center"/>
          </w:tcPr>
          <w:p w14:paraId="01D434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w:t>
            </w:r>
          </w:p>
        </w:tc>
        <w:tc>
          <w:tcPr>
            <w:tcW w:w="4779" w:type="dxa"/>
            <w:shd w:val="clear" w:color="auto" w:fill="auto"/>
            <w:vAlign w:val="center"/>
          </w:tcPr>
          <w:p w14:paraId="02642D95">
            <w:pPr>
              <w:pStyle w:val="47"/>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废气包括施工扬尘、测试放喷废气，机械、车辆尾气、储层改造废气</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废弃油基泥浆岩屑暂存废气</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采取进出车辆减速慢行、物料苫盖，采取国家合格燃料等的措施；压裂液和压裂返排液密闭罐存放措施；试油放喷阶段采取疏散周边作业人员，控制放喷时间的措施。</w:t>
            </w:r>
          </w:p>
          <w:p w14:paraId="1F607864">
            <w:pPr>
              <w:pStyle w:val="47"/>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w:t>
            </w:r>
            <w:r>
              <w:rPr>
                <w:rFonts w:hint="default"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天然气采用密闭流程</w:t>
            </w:r>
            <w:r>
              <w:rPr>
                <w:rFonts w:hint="eastAsia"/>
                <w:color w:val="000000" w:themeColor="text1"/>
                <w:highlight w:val="none"/>
                <w14:textFill>
                  <w14:solidFill>
                    <w14:schemeClr w14:val="tx1"/>
                  </w14:solidFill>
                </w14:textFill>
              </w:rPr>
              <w:t>，</w:t>
            </w:r>
            <w:bookmarkStart w:id="437" w:name="OLE_LINK236"/>
            <w:r>
              <w:rPr>
                <w:rFonts w:hint="eastAsia"/>
                <w:bCs/>
                <w:color w:val="000000" w:themeColor="text1"/>
                <w:highlight w:val="none"/>
                <w:lang w:val="en-US" w:eastAsia="zh-CN"/>
                <w14:textFill>
                  <w14:solidFill>
                    <w14:schemeClr w14:val="tx1"/>
                  </w14:solidFill>
                </w14:textFill>
              </w:rPr>
              <w:t>凝析油</w:t>
            </w:r>
            <w:bookmarkEnd w:id="437"/>
            <w:r>
              <w:rPr>
                <w:bCs/>
                <w:color w:val="000000" w:themeColor="text1"/>
                <w:highlight w:val="none"/>
                <w14:textFill>
                  <w14:solidFill>
                    <w14:schemeClr w14:val="tx1"/>
                  </w14:solidFill>
                </w14:textFill>
              </w:rPr>
              <w:t>采用装车拉运，</w:t>
            </w:r>
            <w:r>
              <w:rPr>
                <w:rFonts w:hint="eastAsia"/>
                <w:color w:val="000000" w:themeColor="text1"/>
                <w:highlight w:val="none"/>
                <w14:textFill>
                  <w14:solidFill>
                    <w14:schemeClr w14:val="tx1"/>
                  </w14:solidFill>
                </w14:textFill>
              </w:rPr>
              <w:t>事故状态下</w:t>
            </w:r>
            <w:r>
              <w:rPr>
                <w:color w:val="000000" w:themeColor="text1"/>
                <w:highlight w:val="none"/>
                <w14:textFill>
                  <w14:solidFill>
                    <w14:schemeClr w14:val="tx1"/>
                  </w14:solidFill>
                </w14:textFill>
              </w:rPr>
              <w:t>去往</w:t>
            </w:r>
            <w:r>
              <w:rPr>
                <w:rFonts w:hint="eastAsia"/>
                <w:color w:val="000000" w:themeColor="text1"/>
                <w:highlight w:val="none"/>
                <w14:textFill>
                  <w14:solidFill>
                    <w14:schemeClr w14:val="tx1"/>
                  </w14:solidFill>
                </w14:textFill>
              </w:rPr>
              <w:t>井场</w:t>
            </w:r>
            <w:r>
              <w:rPr>
                <w:color w:val="000000" w:themeColor="text1"/>
                <w:highlight w:val="none"/>
                <w14:textFill>
                  <w14:solidFill>
                    <w14:schemeClr w14:val="tx1"/>
                  </w14:solidFill>
                </w14:textFill>
              </w:rPr>
              <w:t>火炬放空燃烧处理。</w:t>
            </w:r>
            <w:r>
              <w:rPr>
                <w:bCs/>
                <w:color w:val="000000" w:themeColor="text1"/>
                <w:highlight w:val="none"/>
                <w14:textFill>
                  <w14:solidFill>
                    <w14:schemeClr w14:val="tx1"/>
                  </w14:solidFill>
                </w14:textFill>
              </w:rPr>
              <w:t>可减少烃类气体排放，减少对大气的污染。</w:t>
            </w:r>
          </w:p>
          <w:p w14:paraId="048F46CF">
            <w:pPr>
              <w:pStyle w:val="47"/>
              <w:ind w:firstLine="0" w:firstLineChars="0"/>
              <w:jc w:val="both"/>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退役期：废气主要为施工扬尘，采取洒水抑尘的措施</w:t>
            </w:r>
            <w:r>
              <w:rPr>
                <w:rFonts w:hint="eastAsia"/>
                <w:color w:val="000000" w:themeColor="text1"/>
                <w:highlight w:val="none"/>
                <w:lang w:eastAsia="zh-CN"/>
                <w14:textFill>
                  <w14:solidFill>
                    <w14:schemeClr w14:val="tx1"/>
                  </w14:solidFill>
                </w14:textFill>
              </w:rPr>
              <w:t>。</w:t>
            </w:r>
          </w:p>
        </w:tc>
        <w:tc>
          <w:tcPr>
            <w:tcW w:w="664" w:type="dxa"/>
            <w:shd w:val="clear" w:color="auto" w:fill="auto"/>
            <w:vAlign w:val="center"/>
          </w:tcPr>
          <w:p w14:paraId="181D6BC9">
            <w:pPr>
              <w:pStyle w:val="47"/>
              <w:ind w:firstLine="0" w:firstLineChars="0"/>
              <w:jc w:val="center"/>
              <w:rPr>
                <w:rFonts w:hint="eastAsia" w:eastAsia="宋体"/>
                <w:color w:val="000000" w:themeColor="text1"/>
                <w:highlight w:val="none"/>
                <w:lang w:val="en-US" w:eastAsia="zh-CN"/>
                <w14:textFill>
                  <w14:solidFill>
                    <w14:schemeClr w14:val="tx1"/>
                  </w14:solidFill>
                </w14:textFill>
              </w:rPr>
            </w:pPr>
            <w:bookmarkStart w:id="438" w:name="OLE_LINK216"/>
            <w:r>
              <w:rPr>
                <w:rFonts w:hint="eastAsia"/>
                <w:color w:val="000000" w:themeColor="text1"/>
                <w:highlight w:val="none"/>
                <w:lang w:val="en-US" w:eastAsia="zh-CN"/>
                <w14:textFill>
                  <w14:solidFill>
                    <w14:schemeClr w14:val="tx1"/>
                  </w14:solidFill>
                </w14:textFill>
              </w:rPr>
              <w:t>-</w:t>
            </w:r>
            <w:bookmarkEnd w:id="438"/>
          </w:p>
        </w:tc>
      </w:tr>
      <w:tr w14:paraId="2F52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5951FEE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3DD5316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0C4E72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w:t>
            </w:r>
          </w:p>
        </w:tc>
        <w:tc>
          <w:tcPr>
            <w:tcW w:w="4779" w:type="dxa"/>
            <w:shd w:val="clear" w:color="auto" w:fill="auto"/>
            <w:vAlign w:val="center"/>
          </w:tcPr>
          <w:p w14:paraId="18C8E18B">
            <w:pPr>
              <w:pStyle w:val="47"/>
              <w:jc w:val="both"/>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施工期：</w:t>
            </w:r>
            <w:r>
              <w:rPr>
                <w:rFonts w:hint="eastAsia" w:ascii="Times New Roman" w:hAnsi="Times New Roman" w:eastAsia="宋体" w:cs="Times New Roman"/>
                <w:color w:val="000000" w:themeColor="text1"/>
                <w:highlight w:val="none"/>
                <w14:textFill>
                  <w14:solidFill>
                    <w14:schemeClr w14:val="tx1"/>
                  </w14:solidFill>
                </w14:textFill>
              </w:rPr>
              <w:t>本工程钻井泥浆、岩屑一同进入井队固控系统进行分离处理，分离后的液体统一转运至阿克苏塔河环保工程有限公司绿色环保工作站处置。</w:t>
            </w:r>
            <w:r>
              <w:rPr>
                <w:rFonts w:hint="eastAsia"/>
                <w:color w:val="000000" w:themeColor="text1"/>
                <w:highlight w:val="none"/>
                <w:lang w:eastAsia="zh-CN"/>
                <w14:textFill>
                  <w14:solidFill>
                    <w14:schemeClr w14:val="tx1"/>
                  </w14:solidFill>
                </w14:textFill>
              </w:rPr>
              <w:t>酸化压裂废水采用专用废液收集罐收集后运至阿克苏塔河环保工程有限公司绿色环保工作站处理。</w:t>
            </w:r>
            <w:bookmarkStart w:id="439" w:name="OLE_LINK217"/>
          </w:p>
          <w:p w14:paraId="7CFDFE84">
            <w:pPr>
              <w:pStyle w:val="47"/>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w:t>
            </w:r>
            <w:bookmarkEnd w:id="439"/>
            <w:r>
              <w:rPr>
                <w:color w:val="000000" w:themeColor="text1"/>
                <w:highlight w:val="none"/>
                <w14:textFill>
                  <w14:solidFill>
                    <w14:schemeClr w14:val="tx1"/>
                  </w14:solidFill>
                </w14:textFill>
              </w:rPr>
              <w:t>：废水包括</w:t>
            </w:r>
            <w:bookmarkStart w:id="440" w:name="OLE_LINK89"/>
            <w:r>
              <w:rPr>
                <w:rFonts w:hint="eastAsia"/>
                <w:color w:val="000000" w:themeColor="text1"/>
                <w:highlight w:val="none"/>
                <w:lang w:val="en-US" w:eastAsia="zh-CN"/>
                <w14:textFill>
                  <w14:solidFill>
                    <w14:schemeClr w14:val="tx1"/>
                  </w14:solidFill>
                </w14:textFill>
              </w:rPr>
              <w:t>采出水</w:t>
            </w:r>
            <w:r>
              <w:rPr>
                <w:color w:val="000000" w:themeColor="text1"/>
                <w:highlight w:val="none"/>
                <w14:textFill>
                  <w14:solidFill>
                    <w14:schemeClr w14:val="tx1"/>
                  </w14:solidFill>
                </w14:textFill>
              </w:rPr>
              <w:t>、</w:t>
            </w:r>
            <w:bookmarkEnd w:id="440"/>
            <w:r>
              <w:rPr>
                <w:rFonts w:hint="eastAsia"/>
                <w:color w:val="000000" w:themeColor="text1"/>
                <w:highlight w:val="none"/>
                <w14:textFill>
                  <w14:solidFill>
                    <w14:schemeClr w14:val="tx1"/>
                  </w14:solidFill>
                </w14:textFill>
              </w:rPr>
              <w:t>井下作业废水</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开采</w:t>
            </w:r>
            <w:r>
              <w:rPr>
                <w:rFonts w:hint="default"/>
                <w:color w:val="000000" w:themeColor="text1"/>
                <w:highlight w:val="none"/>
                <w:lang w:val="en-US" w:eastAsia="zh-CN"/>
                <w14:textFill>
                  <w14:solidFill>
                    <w14:schemeClr w14:val="tx1"/>
                  </w14:solidFill>
                </w14:textFill>
              </w:rPr>
              <w:t>初期不含水</w:t>
            </w:r>
            <w:r>
              <w:rPr>
                <w:rFonts w:hint="eastAsia"/>
                <w:color w:val="000000" w:themeColor="text1"/>
                <w:highlight w:val="none"/>
                <w:lang w:val="en-US" w:eastAsia="zh-CN"/>
                <w14:textFill>
                  <w14:solidFill>
                    <w14:schemeClr w14:val="tx1"/>
                  </w14:solidFill>
                </w14:textFill>
              </w:rPr>
              <w:t>，后期若产生采出水，随凝析油一同</w:t>
            </w:r>
            <w:r>
              <w:rPr>
                <w:rFonts w:hint="default"/>
                <w:color w:val="000000" w:themeColor="text1"/>
                <w:highlight w:val="none"/>
                <w:lang w:val="en-US" w:eastAsia="zh-CN"/>
                <w14:textFill>
                  <w14:solidFill>
                    <w14:schemeClr w14:val="tx1"/>
                  </w14:solidFill>
                </w14:textFill>
              </w:rPr>
              <w:t>运至雅克拉集气处理站处理。</w:t>
            </w:r>
            <w:r>
              <w:rPr>
                <w:rFonts w:hint="eastAsia"/>
                <w:color w:val="000000" w:themeColor="text1"/>
                <w:highlight w:val="none"/>
                <w14:textFill>
                  <w14:solidFill>
                    <w14:schemeClr w14:val="tx1"/>
                  </w14:solidFill>
                </w14:textFill>
              </w:rPr>
              <w:t>井下作业废水</w:t>
            </w:r>
            <w:r>
              <w:rPr>
                <w:color w:val="000000" w:themeColor="text1"/>
                <w:highlight w:val="none"/>
                <w14:textFill>
                  <w14:solidFill>
                    <w14:schemeClr w14:val="tx1"/>
                  </w14:solidFill>
                </w14:textFill>
              </w:rPr>
              <w:t>经专用</w:t>
            </w:r>
            <w:r>
              <w:rPr>
                <w:rFonts w:hint="eastAsia"/>
                <w:color w:val="000000" w:themeColor="text1"/>
                <w:highlight w:val="none"/>
                <w14:textFill>
                  <w14:solidFill>
                    <w14:schemeClr w14:val="tx1"/>
                  </w14:solidFill>
                </w14:textFill>
              </w:rPr>
              <w:t>储液罐</w:t>
            </w:r>
            <w:r>
              <w:rPr>
                <w:color w:val="000000" w:themeColor="text1"/>
                <w:kern w:val="24"/>
                <w:highlight w:val="none"/>
                <w14:textFill>
                  <w14:solidFill>
                    <w14:schemeClr w14:val="tx1"/>
                  </w14:solidFill>
                </w14:textFill>
              </w:rPr>
              <w:t>收集后</w:t>
            </w:r>
            <w:r>
              <w:rPr>
                <w:rFonts w:hint="eastAsia"/>
                <w:color w:val="000000" w:themeColor="text1"/>
                <w:highlight w:val="none"/>
                <w14:textFill>
                  <w14:solidFill>
                    <w14:schemeClr w14:val="tx1"/>
                  </w14:solidFill>
                </w14:textFill>
              </w:rPr>
              <w:t>拉运至阿克苏塔河环保工程有限公司绿色环保工作站处理</w:t>
            </w:r>
            <w:r>
              <w:rPr>
                <w:rFonts w:hint="eastAsia"/>
                <w:color w:val="000000" w:themeColor="text1"/>
                <w:highlight w:val="none"/>
                <w:lang w:eastAsia="zh-CN"/>
                <w14:textFill>
                  <w14:solidFill>
                    <w14:schemeClr w14:val="tx1"/>
                  </w14:solidFill>
                </w14:textFill>
              </w:rPr>
              <w:t>。</w:t>
            </w:r>
          </w:p>
          <w:p w14:paraId="7E95B2D4">
            <w:pPr>
              <w:pStyle w:val="47"/>
              <w:ind w:firstLine="0" w:firstLineChars="0"/>
              <w:jc w:val="both"/>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退役期：无废水产生。</w:t>
            </w:r>
          </w:p>
        </w:tc>
        <w:tc>
          <w:tcPr>
            <w:tcW w:w="664" w:type="dxa"/>
            <w:shd w:val="clear" w:color="auto" w:fill="auto"/>
            <w:vAlign w:val="center"/>
          </w:tcPr>
          <w:p w14:paraId="4D4869C2">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5663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0AEAB6B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5B1EBCD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72DB6D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噪声</w:t>
            </w:r>
          </w:p>
        </w:tc>
        <w:tc>
          <w:tcPr>
            <w:tcW w:w="4779" w:type="dxa"/>
            <w:shd w:val="clear" w:color="auto" w:fill="auto"/>
            <w:vAlign w:val="center"/>
          </w:tcPr>
          <w:p w14:paraId="10AEFCC1">
            <w:pPr>
              <w:pStyle w:val="47"/>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施工期：选用低噪声施工设备，合理安排作业时间</w:t>
            </w:r>
            <w:r>
              <w:rPr>
                <w:rFonts w:hint="eastAsia"/>
                <w:color w:val="000000" w:themeColor="text1"/>
                <w:highlight w:val="none"/>
                <w:lang w:eastAsia="zh-CN"/>
                <w14:textFill>
                  <w14:solidFill>
                    <w14:schemeClr w14:val="tx1"/>
                  </w14:solidFill>
                </w14:textFill>
              </w:rPr>
              <w:t>。</w:t>
            </w:r>
          </w:p>
          <w:p w14:paraId="54E24D74">
            <w:pPr>
              <w:pStyle w:val="47"/>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运营期：选用低噪声设备、基础减振</w:t>
            </w:r>
            <w:r>
              <w:rPr>
                <w:rFonts w:hint="eastAsia"/>
                <w:color w:val="000000" w:themeColor="text1"/>
                <w:highlight w:val="none"/>
                <w:lang w:eastAsia="zh-CN"/>
                <w14:textFill>
                  <w14:solidFill>
                    <w14:schemeClr w14:val="tx1"/>
                  </w14:solidFill>
                </w14:textFill>
              </w:rPr>
              <w:t>。</w:t>
            </w:r>
          </w:p>
          <w:p w14:paraId="7E2F6D49">
            <w:pPr>
              <w:pStyle w:val="47"/>
              <w:ind w:firstLine="0" w:firstLineChars="0"/>
              <w:jc w:val="both"/>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退役期：合理安排作业时间</w:t>
            </w:r>
            <w:r>
              <w:rPr>
                <w:rFonts w:hint="eastAsia"/>
                <w:color w:val="000000" w:themeColor="text1"/>
                <w:highlight w:val="none"/>
                <w:lang w:eastAsia="zh-CN"/>
                <w14:textFill>
                  <w14:solidFill>
                    <w14:schemeClr w14:val="tx1"/>
                  </w14:solidFill>
                </w14:textFill>
              </w:rPr>
              <w:t>。</w:t>
            </w:r>
          </w:p>
        </w:tc>
        <w:tc>
          <w:tcPr>
            <w:tcW w:w="664" w:type="dxa"/>
            <w:shd w:val="clear" w:color="auto" w:fill="auto"/>
            <w:vAlign w:val="center"/>
          </w:tcPr>
          <w:p w14:paraId="5E788EC8">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7D0B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5A00B10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375BB39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08FBEC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固废</w:t>
            </w:r>
          </w:p>
        </w:tc>
        <w:tc>
          <w:tcPr>
            <w:tcW w:w="4779" w:type="dxa"/>
            <w:shd w:val="clear" w:color="auto" w:fill="auto"/>
            <w:vAlign w:val="center"/>
          </w:tcPr>
          <w:p w14:paraId="3346E85A">
            <w:pPr>
              <w:pStyle w:val="47"/>
              <w:jc w:val="both"/>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施工期：</w:t>
            </w:r>
            <w:r>
              <w:rPr>
                <w:rFonts w:hint="eastAsia"/>
                <w:color w:val="000000" w:themeColor="text1"/>
                <w:highlight w:val="none"/>
                <w14:textFill>
                  <w14:solidFill>
                    <w14:schemeClr w14:val="tx1"/>
                  </w14:solidFill>
                </w14:textFill>
              </w:rPr>
              <w:t>钻井泥浆、岩屑一同进入井队固控系统进行分离处理，分离后的岩屑进入随钻不落地处理技术进行就地无害化处理，经处置检测合格并按规定进行留样，满足《油气田钻井固体废物综合利用污染控制要求》（DB65/T3997-2017）中综合利用污染物限值要求后用于铺垫油区内的井场、道路等。</w:t>
            </w:r>
            <w:r>
              <w:rPr>
                <w:rFonts w:hint="eastAsia"/>
                <w:color w:val="000000" w:themeColor="text1"/>
                <w:highlight w:val="none"/>
                <w:lang w:eastAsia="zh-CN"/>
                <w14:textFill>
                  <w14:solidFill>
                    <w14:schemeClr w14:val="tx1"/>
                  </w14:solidFill>
                </w14:textFill>
              </w:rPr>
              <w:t>废弃油基泥浆和废弃油基岩屑在钻井井场配置储罐集中储存，委托有危废处置资质单位处置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施工期固废主要为施工土方、施工废料和生活垃圾。施工土方全部用于井场平整</w:t>
            </w:r>
            <w:r>
              <w:rPr>
                <w:rFonts w:hint="default" w:ascii="Times New Roman" w:hAnsi="Times New Roman" w:eastAsia="宋体" w:cs="Times New Roman"/>
                <w:b w:val="0"/>
                <w:bCs/>
                <w:color w:val="000000" w:themeColor="text1"/>
                <w:spacing w:val="0"/>
                <w:sz w:val="21"/>
                <w:szCs w:val="21"/>
                <w:highlight w:val="none"/>
                <w14:textFill>
                  <w14:solidFill>
                    <w14:schemeClr w14:val="tx1"/>
                  </w14:solidFill>
                </w14:textFill>
              </w:rPr>
              <w:t>或回填至周边低洼场地</w:t>
            </w:r>
            <w:r>
              <w:rPr>
                <w:rFonts w:hint="eastAsia" w:eastAsia="宋体"/>
                <w:color w:val="000000" w:themeColor="text1"/>
                <w:highlight w:val="none"/>
                <w:lang w:eastAsia="zh-CN"/>
                <w14:textFill>
                  <w14:solidFill>
                    <w14:schemeClr w14:val="tx1"/>
                  </w14:solidFill>
                </w14:textFill>
              </w:rPr>
              <w:t>。</w:t>
            </w:r>
            <w:bookmarkStart w:id="441" w:name="OLE_LINK645"/>
            <w:r>
              <w:rPr>
                <w:rFonts w:hint="eastAsia"/>
                <w:color w:val="000000" w:themeColor="text1"/>
                <w:highlight w:val="none"/>
                <w14:textFill>
                  <w14:solidFill>
                    <w14:schemeClr w14:val="tx1"/>
                  </w14:solidFill>
                </w14:textFill>
              </w:rPr>
              <w:t>施工废料应首先考虑回收利用，不可回收利用部分</w:t>
            </w:r>
            <w:r>
              <w:rPr>
                <w:rFonts w:hint="eastAsia"/>
                <w:color w:val="000000" w:themeColor="text1"/>
                <w:highlight w:val="none"/>
                <w:lang w:val="en-US" w:eastAsia="zh-CN"/>
                <w14:textFill>
                  <w14:solidFill>
                    <w14:schemeClr w14:val="tx1"/>
                  </w14:solidFill>
                </w14:textFill>
              </w:rPr>
              <w:t>拉运至当地</w:t>
            </w:r>
            <w:r>
              <w:rPr>
                <w:rFonts w:hint="eastAsia"/>
                <w:color w:val="000000" w:themeColor="text1"/>
                <w:highlight w:val="none"/>
                <w14:textFill>
                  <w14:solidFill>
                    <w14:schemeClr w14:val="tx1"/>
                  </w14:solidFill>
                </w14:textFill>
              </w:rPr>
              <w:t>工业固废填埋场合规处置</w:t>
            </w:r>
            <w:bookmarkEnd w:id="441"/>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废烧碱包装材料收集后委托持有危险废物经营许可证的单位利用处置。废润滑油自行利用回注系统或委托持有危险废物经营许可证的单位利用处置</w:t>
            </w:r>
          </w:p>
          <w:p w14:paraId="77C49961">
            <w:pPr>
              <w:pStyle w:val="47"/>
              <w:jc w:val="both"/>
              <w:rPr>
                <w:rFonts w:hint="default"/>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运营期：废防渗材料</w:t>
            </w:r>
            <w:r>
              <w:rPr>
                <w:rFonts w:hint="eastAsia"/>
                <w:color w:val="000000" w:themeColor="text1"/>
                <w:highlight w:val="none"/>
                <w14:textFill>
                  <w14:solidFill>
                    <w14:schemeClr w14:val="tx1"/>
                  </w14:solidFill>
                </w14:textFill>
              </w:rPr>
              <w:t>、清罐底泥</w:t>
            </w:r>
            <w:r>
              <w:rPr>
                <w:color w:val="000000" w:themeColor="text1"/>
                <w:highlight w:val="none"/>
                <w14:textFill>
                  <w14:solidFill>
                    <w14:schemeClr w14:val="tx1"/>
                  </w14:solidFill>
                </w14:textFill>
              </w:rPr>
              <w:t>属于危险废物，</w:t>
            </w:r>
            <w:r>
              <w:rPr>
                <w:rFonts w:hint="eastAsia"/>
                <w:color w:val="000000" w:themeColor="text1"/>
                <w:highlight w:val="none"/>
                <w14:textFill>
                  <w14:solidFill>
                    <w14:schemeClr w14:val="tx1"/>
                  </w14:solidFill>
                </w14:textFill>
              </w:rPr>
              <w:t>委托</w:t>
            </w:r>
            <w:r>
              <w:rPr>
                <w:rFonts w:hint="eastAsia"/>
                <w:color w:val="000000" w:themeColor="text1"/>
                <w:highlight w:val="none"/>
                <w:lang w:val="en-US" w:eastAsia="zh-CN"/>
                <w14:textFill>
                  <w14:solidFill>
                    <w14:schemeClr w14:val="tx1"/>
                  </w14:solidFill>
                </w14:textFill>
              </w:rPr>
              <w:t>持有危险废物经营许可证的单位利用处置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废润滑油自行利用回注系统或委托持有危险废物经营许可证的单位利用处置。</w:t>
            </w:r>
            <w:r>
              <w:rPr>
                <w:rFonts w:hint="eastAsia"/>
                <w:color w:val="000000" w:themeColor="text1"/>
                <w:highlight w:val="none"/>
                <w14:textFill>
                  <w14:solidFill>
                    <w14:schemeClr w14:val="tx1"/>
                  </w14:solidFill>
                </w14:textFill>
              </w:rPr>
              <w:t>落地油要求100%回收，不在</w:t>
            </w:r>
            <w:r>
              <w:rPr>
                <w:rFonts w:hint="eastAsia"/>
                <w:color w:val="000000" w:themeColor="text1"/>
                <w:highlight w:val="none"/>
                <w:lang w:eastAsia="zh-CN"/>
                <w14:textFill>
                  <w14:solidFill>
                    <w14:schemeClr w14:val="tx1"/>
                  </w14:solidFill>
                </w14:textFill>
              </w:rPr>
              <w:t>施工现场</w:t>
            </w:r>
            <w:r>
              <w:rPr>
                <w:rFonts w:hint="eastAsia"/>
                <w:color w:val="000000" w:themeColor="text1"/>
                <w:highlight w:val="none"/>
                <w14:textFill>
                  <w14:solidFill>
                    <w14:schemeClr w14:val="tx1"/>
                  </w14:solidFill>
                </w14:textFill>
              </w:rPr>
              <w:t>储存，直接在作业施工现场由施工人员</w:t>
            </w:r>
            <w:bookmarkStart w:id="442" w:name="OLE_LINK223"/>
            <w:r>
              <w:rPr>
                <w:rFonts w:hint="eastAsia"/>
                <w:color w:val="000000" w:themeColor="text1"/>
                <w:highlight w:val="none"/>
                <w14:textFill>
                  <w14:solidFill>
                    <w14:schemeClr w14:val="tx1"/>
                  </w14:solidFill>
                </w14:textFill>
              </w:rPr>
              <w:t>回收至罐车内，罐车采用密闭的专用罐车，统一由阿克苏塔河环保工程有限公司绿色环保工作站进行无害化处理</w:t>
            </w:r>
            <w:bookmarkEnd w:id="442"/>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不定期井下作业产生的钻井</w:t>
            </w:r>
            <w:r>
              <w:rPr>
                <w:rFonts w:hint="eastAsia"/>
                <w:color w:val="000000" w:themeColor="text1"/>
                <w:highlight w:val="none"/>
                <w:lang w:eastAsia="zh-CN"/>
                <w14:textFill>
                  <w14:solidFill>
                    <w14:schemeClr w14:val="tx1"/>
                  </w14:solidFill>
                </w14:textFill>
              </w:rPr>
              <w:t>废弃油基泥浆和废弃油基岩屑委托有危废处置资质单位处置。</w:t>
            </w:r>
          </w:p>
          <w:p w14:paraId="2B1C61D8">
            <w:pPr>
              <w:pStyle w:val="47"/>
              <w:ind w:firstLine="0" w:firstLineChars="0"/>
              <w:jc w:val="both"/>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退役期：退役期设备拆除过程中产生的落地油</w:t>
            </w:r>
            <w:r>
              <w:rPr>
                <w:rFonts w:hint="eastAsia"/>
                <w:color w:val="000000" w:themeColor="text1"/>
                <w:highlight w:val="none"/>
                <w14:textFill>
                  <w14:solidFill>
                    <w14:schemeClr w14:val="tx1"/>
                  </w14:solidFill>
                </w14:textFill>
              </w:rPr>
              <w:t>回收至罐车内，罐车采用密闭的专用罐车，统一由阿克苏塔河环保工程有限公司绿色环保工作站进行无害化处理</w:t>
            </w:r>
            <w:r>
              <w:rPr>
                <w:rFonts w:hint="eastAsia"/>
                <w:color w:val="000000" w:themeColor="text1"/>
                <w:highlight w:val="none"/>
                <w:lang w:eastAsia="zh-CN"/>
                <w14:textFill>
                  <w14:solidFill>
                    <w14:schemeClr w14:val="tx1"/>
                  </w14:solidFill>
                </w14:textFill>
              </w:rPr>
              <w:t>。</w:t>
            </w:r>
          </w:p>
        </w:tc>
        <w:tc>
          <w:tcPr>
            <w:tcW w:w="664" w:type="dxa"/>
            <w:shd w:val="clear" w:color="auto" w:fill="auto"/>
            <w:vAlign w:val="center"/>
          </w:tcPr>
          <w:p w14:paraId="0C7416FE">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79BC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1BCCF97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2E6F3F8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54B1C019">
            <w:pPr>
              <w:pStyle w:val="47"/>
              <w:ind w:firstLine="0" w:firstLineChars="0"/>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生态</w:t>
            </w:r>
          </w:p>
        </w:tc>
        <w:tc>
          <w:tcPr>
            <w:tcW w:w="4779" w:type="dxa"/>
            <w:shd w:val="clear" w:color="auto" w:fill="auto"/>
            <w:vAlign w:val="center"/>
          </w:tcPr>
          <w:p w14:paraId="5AD30C63">
            <w:pPr>
              <w:pStyle w:val="47"/>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施工期：严格控制施工作业带宽度</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临时堆土防尘网苫盖设置限行彩条旗</w:t>
            </w:r>
            <w:r>
              <w:rPr>
                <w:rFonts w:hint="eastAsia"/>
                <w:color w:val="000000" w:themeColor="text1"/>
                <w:highlight w:val="none"/>
                <w:lang w:eastAsia="zh-CN"/>
                <w14:textFill>
                  <w14:solidFill>
                    <w14:schemeClr w14:val="tx1"/>
                  </w14:solidFill>
                </w14:textFill>
              </w:rPr>
              <w:t>。</w:t>
            </w:r>
          </w:p>
          <w:p w14:paraId="552A7C2B">
            <w:pPr>
              <w:pStyle w:val="47"/>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运营期：定时巡查井场</w:t>
            </w:r>
            <w:r>
              <w:rPr>
                <w:rFonts w:hint="eastAsia"/>
                <w:color w:val="000000" w:themeColor="text1"/>
                <w:highlight w:val="none"/>
                <w:lang w:eastAsia="zh-CN"/>
                <w14:textFill>
                  <w14:solidFill>
                    <w14:schemeClr w14:val="tx1"/>
                  </w14:solidFill>
                </w14:textFill>
              </w:rPr>
              <w:t>。</w:t>
            </w:r>
          </w:p>
          <w:p w14:paraId="52AF3198">
            <w:pPr>
              <w:pStyle w:val="47"/>
              <w:ind w:firstLine="0" w:firstLineChars="0"/>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退役期：地面设施拆除</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sz w:val="21"/>
                <w:szCs w:val="21"/>
                <w:highlight w:val="none"/>
                <w:lang w:bidi="ar"/>
                <w14:textFill>
                  <w14:solidFill>
                    <w14:schemeClr w14:val="tx1"/>
                  </w14:solidFill>
                </w14:textFill>
              </w:rPr>
              <w:t>封井和井场清理等工作</w:t>
            </w:r>
            <w:r>
              <w:rPr>
                <w:rFonts w:hint="eastAsia" w:ascii="Times New Roman" w:hAnsi="Times New Roman" w:eastAsia="宋体" w:cs="Times New Roman"/>
                <w:b w:val="0"/>
                <w:bCs/>
                <w:color w:val="000000" w:themeColor="text1"/>
                <w:spacing w:val="0"/>
                <w:sz w:val="21"/>
                <w:szCs w:val="21"/>
                <w:highlight w:val="none"/>
                <w:lang w:eastAsia="zh-CN" w:bidi="ar"/>
                <w14:textFill>
                  <w14:solidFill>
                    <w14:schemeClr w14:val="tx1"/>
                  </w14:solidFill>
                </w14:textFill>
              </w:rPr>
              <w:t>。</w:t>
            </w:r>
          </w:p>
        </w:tc>
        <w:tc>
          <w:tcPr>
            <w:tcW w:w="664" w:type="dxa"/>
            <w:shd w:val="clear" w:color="auto" w:fill="auto"/>
            <w:vAlign w:val="center"/>
          </w:tcPr>
          <w:p w14:paraId="0EC2F151">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680E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02" w:type="dxa"/>
            <w:vMerge w:val="continue"/>
            <w:shd w:val="clear" w:color="auto" w:fill="auto"/>
            <w:vAlign w:val="center"/>
          </w:tcPr>
          <w:p w14:paraId="12D24F6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4" w:type="dxa"/>
            <w:vMerge w:val="continue"/>
            <w:shd w:val="clear" w:color="auto" w:fill="auto"/>
            <w:vAlign w:val="center"/>
          </w:tcPr>
          <w:p w14:paraId="0DE0D13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33" w:type="dxa"/>
            <w:gridSpan w:val="2"/>
            <w:shd w:val="clear" w:color="auto" w:fill="auto"/>
            <w:vAlign w:val="center"/>
          </w:tcPr>
          <w:p w14:paraId="1DEDB719">
            <w:pPr>
              <w:pStyle w:val="47"/>
              <w:ind w:firstLine="0" w:firstLineChars="0"/>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color w:val="000000" w:themeColor="text1"/>
                <w:highlight w:val="none"/>
                <w14:textFill>
                  <w14:solidFill>
                    <w14:schemeClr w14:val="tx1"/>
                  </w14:solidFill>
                </w14:textFill>
              </w:rPr>
              <w:t>环境风险</w:t>
            </w:r>
          </w:p>
        </w:tc>
        <w:tc>
          <w:tcPr>
            <w:tcW w:w="4779" w:type="dxa"/>
            <w:shd w:val="clear" w:color="auto" w:fill="auto"/>
            <w:vAlign w:val="center"/>
          </w:tcPr>
          <w:p w14:paraId="12C6A455">
            <w:pPr>
              <w:pStyle w:val="47"/>
              <w:ind w:firstLine="0" w:firstLineChars="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井场</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设置可燃气体报警仪和硫化氢检测仪</w:t>
            </w:r>
            <w:r>
              <w:rPr>
                <w:rFonts w:hint="eastAsia"/>
                <w:color w:val="000000" w:themeColor="text1"/>
                <w:highlight w:val="none"/>
                <w14:textFill>
                  <w14:solidFill>
                    <w14:schemeClr w14:val="tx1"/>
                  </w14:solidFill>
                </w14:textFill>
              </w:rPr>
              <w:t>，事故状态下及时放空</w:t>
            </w:r>
            <w:r>
              <w:rPr>
                <w:color w:val="000000" w:themeColor="text1"/>
                <w:highlight w:val="none"/>
                <w14:textFill>
                  <w14:solidFill>
                    <w14:schemeClr w14:val="tx1"/>
                  </w14:solidFill>
                </w14:textFill>
              </w:rPr>
              <w:t>。</w:t>
            </w:r>
          </w:p>
        </w:tc>
        <w:tc>
          <w:tcPr>
            <w:tcW w:w="664" w:type="dxa"/>
            <w:shd w:val="clear" w:color="auto" w:fill="auto"/>
            <w:vAlign w:val="center"/>
          </w:tcPr>
          <w:p w14:paraId="3872752E">
            <w:pPr>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5C98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 w:hRule="atLeast"/>
          <w:jc w:val="center"/>
        </w:trPr>
        <w:tc>
          <w:tcPr>
            <w:tcW w:w="402" w:type="dxa"/>
            <w:shd w:val="clear" w:color="auto" w:fill="auto"/>
            <w:vAlign w:val="center"/>
          </w:tcPr>
          <w:p w14:paraId="0AAF48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654" w:type="dxa"/>
            <w:shd w:val="clear" w:color="auto" w:fill="auto"/>
            <w:vAlign w:val="center"/>
          </w:tcPr>
          <w:p w14:paraId="34EBF4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依托 工程</w:t>
            </w:r>
          </w:p>
        </w:tc>
        <w:tc>
          <w:tcPr>
            <w:tcW w:w="2233" w:type="dxa"/>
            <w:gridSpan w:val="2"/>
            <w:shd w:val="clear" w:color="auto" w:fill="auto"/>
            <w:vAlign w:val="center"/>
          </w:tcPr>
          <w:p w14:paraId="1AD81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sz w:val="21"/>
                <w:highlight w:val="none"/>
                <w14:textFill>
                  <w14:solidFill>
                    <w14:schemeClr w14:val="tx1"/>
                  </w14:solidFill>
                </w14:textFill>
              </w:rPr>
            </w:pPr>
            <w:bookmarkStart w:id="443" w:name="OLE_LINK448"/>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钻井泥浆、落地油、酸化压裂废水、</w:t>
            </w:r>
            <w:bookmarkStart w:id="444" w:name="OLE_LINK451"/>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井下作业废水</w:t>
            </w:r>
            <w:bookmarkEnd w:id="443"/>
            <w:bookmarkEnd w:id="444"/>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79" w:type="dxa"/>
            <w:shd w:val="clear" w:color="auto" w:fill="auto"/>
            <w:vAlign w:val="center"/>
          </w:tcPr>
          <w:p w14:paraId="435A6CA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sz w:val="21"/>
                <w:szCs w:val="18"/>
                <w:highlight w:val="none"/>
                <w14:textFill>
                  <w14:solidFill>
                    <w14:schemeClr w14:val="tx1"/>
                  </w14:solidFill>
                </w14:textFill>
              </w:rPr>
              <w:t>依托阿克苏塔河环保工程有限公司绿色环保工作站处理。</w:t>
            </w:r>
          </w:p>
        </w:tc>
        <w:tc>
          <w:tcPr>
            <w:tcW w:w="664" w:type="dxa"/>
            <w:shd w:val="clear" w:color="auto" w:fill="auto"/>
            <w:vAlign w:val="center"/>
          </w:tcPr>
          <w:p w14:paraId="431F6D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bl>
    <w:p w14:paraId="312C8E7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3"/>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445" w:name="_Toc26363"/>
      <w:bookmarkStart w:id="446" w:name="_Toc15750"/>
      <w:r>
        <w:rPr>
          <w:rFonts w:hint="default" w:ascii="Times New Roman" w:hAnsi="Times New Roman" w:cs="Times New Roman"/>
          <w:b/>
          <w:bCs/>
          <w:color w:val="000000" w:themeColor="text1"/>
          <w:highlight w:val="none"/>
          <w14:textFill>
            <w14:solidFill>
              <w14:schemeClr w14:val="tx1"/>
            </w14:solidFill>
          </w14:textFill>
        </w:rPr>
        <w:t>3.</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.1.5工程投资</w:t>
      </w:r>
    </w:p>
    <w:p w14:paraId="41DEAFDB">
      <w:pPr>
        <w:pStyle w:val="11"/>
        <w:pageBreakBefore w:val="0"/>
        <w:wordWrap/>
        <w:overflowPunct/>
        <w:topLinePunct w:val="0"/>
        <w:bidi w:val="0"/>
        <w:adjustRightInd w:val="0"/>
        <w:snapToGrid w:val="0"/>
        <w:ind w:left="0" w:leftChars="0"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本工程总投资为6329.31万元，其中环保投资126万元，占总投资的</w:t>
      </w:r>
      <w:r>
        <w:rPr>
          <w:rFonts w:hint="eastAsia" w:ascii="Times New Roman" w:hAnsi="Times New Roman" w:cs="Times New Roman"/>
          <w:color w:val="000000" w:themeColor="text1"/>
          <w:highlight w:val="none"/>
          <w:lang w:val="en-US" w:eastAsia="zh-CN"/>
          <w14:textFill>
            <w14:solidFill>
              <w14:schemeClr w14:val="tx1"/>
            </w14:solidFill>
          </w14:textFill>
        </w:rPr>
        <w:t>2.0</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4AD0154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3"/>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.1.6劳动组织及定员</w:t>
      </w:r>
    </w:p>
    <w:p w14:paraId="0B6DFDD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本</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不新增劳动定员，均依托现有</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雅克拉采气厂</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工作人员。</w:t>
      </w:r>
    </w:p>
    <w:p w14:paraId="51D8BAC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6"/>
        <w:jc w:val="both"/>
        <w:textAlignment w:val="baseline"/>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w:t>
      </w:r>
      <w:bookmarkEnd w:id="445"/>
      <w:bookmarkEnd w:id="446"/>
      <w:bookmarkStart w:id="447" w:name="_Hlk65162652"/>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油气资源概况</w:t>
      </w:r>
    </w:p>
    <w:p w14:paraId="4027EA38">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outlineLvl w:val="9"/>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（1）</w:t>
      </w:r>
      <w:bookmarkStart w:id="448" w:name="OLE_LINK226"/>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天然气</w:t>
      </w:r>
      <w:bookmarkEnd w:id="447"/>
      <w:bookmarkEnd w:id="448"/>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性质</w:t>
      </w:r>
    </w:p>
    <w:p w14:paraId="02294CC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val="0"/>
        <w:spacing w:line="400" w:lineRule="exact"/>
        <w:ind w:firstLine="480" w:firstLineChars="200"/>
        <w:jc w:val="left"/>
        <w:textAlignment w:val="cente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pPr>
      <w:bookmarkStart w:id="449" w:name="OLE_LINK227"/>
      <w:r>
        <w:rPr>
          <w:rFonts w:hint="eastAsia" w:ascii="Times New Roman" w:hAnsi="Times New Roman" w:cs="Times New Roman"/>
          <w:color w:val="000000" w:themeColor="text1"/>
          <w:highlight w:val="none"/>
          <w:lang w:val="en-US" w:eastAsia="zh-CN"/>
          <w14:textFill>
            <w14:solidFill>
              <w14:schemeClr w14:val="tx1"/>
            </w14:solidFill>
          </w14:textFill>
        </w:rPr>
        <w:t>根据</w:t>
      </w:r>
      <w:bookmarkEnd w:id="449"/>
      <w:r>
        <w:rPr>
          <w:rFonts w:hint="eastAsia" w:ascii="Times New Roman" w:hAnsi="Times New Roman" w:cs="Times New Roman"/>
          <w:color w:val="000000" w:themeColor="text1"/>
          <w:highlight w:val="none"/>
          <w:lang w:val="en-US" w:eastAsia="zh-CN"/>
          <w14:textFill>
            <w14:solidFill>
              <w14:schemeClr w14:val="tx1"/>
            </w14:solidFill>
          </w14:textFill>
        </w:rPr>
        <w:t>星火7斜井</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天然气</w:t>
      </w:r>
      <w:r>
        <w:rPr>
          <w:rFonts w:hint="default" w:ascii="Times New Roman" w:hAnsi="Times New Roman" w:cs="Times New Roman"/>
          <w:color w:val="000000" w:themeColor="text1"/>
          <w:highlight w:val="none"/>
          <w:lang w:val="en-US" w:eastAsia="zh-CN"/>
          <w14:textFill>
            <w14:solidFill>
              <w14:schemeClr w14:val="tx1"/>
            </w14:solidFill>
          </w14:textFill>
        </w:rPr>
        <w:t>分析结果，</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属于低含硫（10.9</w:t>
      </w:r>
      <w:r>
        <w:rPr>
          <w:rFonts w:hint="eastAsia" w:hAnsi="宋体" w:cs="Times New Roman"/>
          <w:color w:val="000000" w:themeColor="text1"/>
          <w:sz w:val="24"/>
          <w:szCs w:val="20"/>
          <w:highlight w:val="none"/>
          <w:lang w:val="en-US" w:eastAsia="zh-CN"/>
          <w14:textFill>
            <w14:solidFill>
              <w14:schemeClr w14:val="tx1"/>
            </w14:solidFill>
          </w14:textFill>
        </w:rPr>
        <w:t>～</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21.9mg/m³）、低含CO</w:t>
      </w:r>
      <w:r>
        <w:rPr>
          <w:rFonts w:hint="eastAsia" w:ascii="Times New Roman" w:hAnsi="宋体" w:eastAsia="宋体" w:cs="Times New Roman"/>
          <w:color w:val="000000" w:themeColor="text1"/>
          <w:sz w:val="24"/>
          <w:szCs w:val="20"/>
          <w:highlight w:val="none"/>
          <w:vertAlign w:val="subscript"/>
          <w:lang w:val="en-US" w:eastAsia="zh-CN"/>
          <w14:textFill>
            <w14:solidFill>
              <w14:schemeClr w14:val="tx1"/>
            </w14:solidFill>
          </w14:textFill>
        </w:rPr>
        <w:t>2</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（0.61%）天然气，气质较贫，C</w:t>
      </w:r>
      <w:r>
        <w:rPr>
          <w:rFonts w:hint="eastAsia" w:ascii="Times New Roman" w:hAnsi="宋体" w:eastAsia="宋体" w:cs="Times New Roman"/>
          <w:color w:val="000000" w:themeColor="text1"/>
          <w:sz w:val="24"/>
          <w:szCs w:val="20"/>
          <w:highlight w:val="none"/>
          <w:vertAlign w:val="subscript"/>
          <w:lang w:val="en-US" w:eastAsia="zh-CN"/>
          <w14:textFill>
            <w14:solidFill>
              <w14:schemeClr w14:val="tx1"/>
            </w14:solidFill>
          </w14:textFill>
        </w:rPr>
        <w:t>3</w:t>
      </w:r>
      <w:r>
        <w:rPr>
          <w:rFonts w:hint="eastAsia" w:ascii="Times New Roman" w:hAnsi="宋体" w:eastAsia="宋体" w:cs="Times New Roman"/>
          <w:color w:val="000000" w:themeColor="text1"/>
          <w:sz w:val="24"/>
          <w:szCs w:val="20"/>
          <w:highlight w:val="none"/>
          <w:vertAlign w:val="superscript"/>
          <w:lang w:val="en-US" w:eastAsia="zh-CN"/>
          <w14:textFill>
            <w14:solidFill>
              <w14:schemeClr w14:val="tx1"/>
            </w14:solidFill>
          </w14:textFill>
        </w:rPr>
        <w:t>+</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含量2.21%。</w:t>
      </w:r>
    </w:p>
    <w:p w14:paraId="3FC076E2">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3.2-3 </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天然</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气物性参数表</w:t>
      </w:r>
    </w:p>
    <w:tbl>
      <w:tblPr>
        <w:tblStyle w:val="3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3"/>
        <w:gridCol w:w="1032"/>
        <w:gridCol w:w="1011"/>
        <w:gridCol w:w="1097"/>
        <w:gridCol w:w="1213"/>
        <w:gridCol w:w="990"/>
        <w:gridCol w:w="904"/>
        <w:gridCol w:w="1448"/>
      </w:tblGrid>
      <w:tr w14:paraId="2F54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9"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177D63D3">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组分</w:t>
            </w:r>
          </w:p>
        </w:tc>
        <w:tc>
          <w:tcPr>
            <w:tcW w:w="598"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A606690">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w:t>
            </w:r>
          </w:p>
          <w:p w14:paraId="6ECA5A88">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CDCA00E">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p w14:paraId="483C75A2">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6"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5A37D55A">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p>
          <w:p w14:paraId="7AA4F9A3">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03"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2F903C08">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p w14:paraId="54F030FC">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4"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2BA17476">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p w14:paraId="5D079526">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01D8BDAA">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p w14:paraId="190BE912">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39"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D75CD48">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p>
          <w:p w14:paraId="479D214F">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mg/m³</w:t>
            </w:r>
            <w:r>
              <w:rPr>
                <w:rFonts w:hint="eastAsia" w:cs="Times New Roman"/>
                <w:color w:val="000000" w:themeColor="text1"/>
                <w:sz w:val="21"/>
                <w:szCs w:val="21"/>
                <w:highlight w:val="none"/>
                <w:lang w:val="en-US" w:eastAsia="zh-CN"/>
                <w14:textFill>
                  <w14:solidFill>
                    <w14:schemeClr w14:val="tx1"/>
                  </w14:solidFill>
                </w14:textFill>
              </w:rPr>
              <w:t>)</w:t>
            </w:r>
          </w:p>
        </w:tc>
      </w:tr>
      <w:tr w14:paraId="6136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F70AE">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数值</w:t>
            </w:r>
          </w:p>
        </w:tc>
        <w:tc>
          <w:tcPr>
            <w:tcW w:w="5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E91D7">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88.21</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0CC42F9A">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6.20</w:t>
            </w:r>
          </w:p>
        </w:tc>
        <w:tc>
          <w:tcPr>
            <w:tcW w:w="636"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FCB0C38">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w:t>
            </w:r>
          </w:p>
        </w:tc>
        <w:tc>
          <w:tcPr>
            <w:tcW w:w="703"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A29A5FA">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0.20</w:t>
            </w:r>
          </w:p>
        </w:tc>
        <w:tc>
          <w:tcPr>
            <w:tcW w:w="574"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06081476">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2.57</w:t>
            </w:r>
          </w:p>
        </w:tc>
        <w:tc>
          <w:tcPr>
            <w:tcW w:w="524"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101EE66A">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0.61</w:t>
            </w:r>
          </w:p>
        </w:tc>
        <w:tc>
          <w:tcPr>
            <w:tcW w:w="839"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5C612C80">
            <w:pPr>
              <w:pStyle w:val="77"/>
              <w:pageBreakBefore w:val="0"/>
              <w:pBdr>
                <w:top w:val="none" w:color="auto" w:sz="0" w:space="1"/>
                <w:left w:val="none" w:color="auto" w:sz="0" w:space="4"/>
                <w:bottom w:val="none" w:color="auto" w:sz="0" w:space="1"/>
                <w:right w:val="none" w:color="auto" w:sz="0" w:space="4"/>
                <w:between w:val="none" w:color="auto" w:sz="0" w:space="0"/>
              </w:pBdr>
              <w:shd w:val="clear" w:color="auto" w:fill="auto"/>
              <w:tabs>
                <w:tab w:val="left" w:pos="3000"/>
              </w:tabs>
              <w:kinsoku/>
              <w:wordWrap/>
              <w:overflowPunct/>
              <w:topLinePunct w:val="0"/>
              <w:autoSpaceDE/>
              <w:autoSpaceDN/>
              <w:bidi w:val="0"/>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10.9-21.9</w:t>
            </w:r>
          </w:p>
        </w:tc>
      </w:tr>
    </w:tbl>
    <w:p w14:paraId="10CF09E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凝析油性质</w:t>
      </w:r>
    </w:p>
    <w:p w14:paraId="79B320C4">
      <w:pPr>
        <w:spacing w:line="360" w:lineRule="auto"/>
        <w:ind w:firstLine="480" w:firstLineChars="200"/>
        <w:jc w:val="both"/>
        <w:rPr>
          <w:rFonts w:hint="default" w:ascii="Times New Roman" w:hAnsi="Times New Roman" w:cs="Times New Roman"/>
          <w:color w:val="000000" w:themeColor="text1"/>
          <w:highlight w:val="none"/>
          <w:lang w:val="en-US" w:eastAsia="zh-CN"/>
          <w14:textFill>
            <w14:solidFill>
              <w14:schemeClr w14:val="tx1"/>
            </w14:solidFill>
          </w14:textFill>
        </w:rPr>
      </w:pPr>
      <w:bookmarkStart w:id="450" w:name="OLE_LINK228"/>
      <w:bookmarkStart w:id="451" w:name="OLE_LINK225"/>
      <w:r>
        <w:rPr>
          <w:rFonts w:hint="eastAsia" w:ascii="Times New Roman" w:hAnsi="Times New Roman" w:cs="Times New Roman"/>
          <w:color w:val="000000" w:themeColor="text1"/>
          <w:highlight w:val="none"/>
          <w:lang w:val="en-US" w:eastAsia="zh-CN"/>
          <w14:textFill>
            <w14:solidFill>
              <w14:schemeClr w14:val="tx1"/>
            </w14:solidFill>
          </w14:textFill>
        </w:rPr>
        <w:t>根据</w:t>
      </w:r>
      <w:bookmarkEnd w:id="450"/>
      <w:r>
        <w:rPr>
          <w:rFonts w:hint="eastAsia" w:cs="Times New Roman"/>
          <w:color w:val="000000" w:themeColor="text1"/>
          <w:highlight w:val="none"/>
          <w:lang w:val="en-US" w:eastAsia="zh-CN"/>
          <w14:textFill>
            <w14:solidFill>
              <w14:schemeClr w14:val="tx1"/>
            </w14:solidFill>
          </w14:textFill>
        </w:rPr>
        <w:t>星火7斜井</w:t>
      </w:r>
      <w:r>
        <w:rPr>
          <w:rFonts w:hint="default" w:ascii="Times New Roman" w:hAnsi="Times New Roman" w:cs="Times New Roman"/>
          <w:color w:val="000000" w:themeColor="text1"/>
          <w:highlight w:val="none"/>
          <w:lang w:val="en-US" w:eastAsia="zh-CN"/>
          <w14:textFill>
            <w14:solidFill>
              <w14:schemeClr w14:val="tx1"/>
            </w14:solidFill>
          </w14:textFill>
        </w:rPr>
        <w:t>油样分析结果，</w:t>
      </w:r>
      <w:bookmarkEnd w:id="451"/>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平均密度0.772g/cm</w:t>
      </w:r>
      <w:r>
        <w:rPr>
          <w:rFonts w:hint="eastAsia" w:ascii="Times New Roman" w:hAnsi="宋体" w:eastAsia="宋体" w:cs="Times New Roman"/>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宋体" w:eastAsia="宋体" w:cs="Times New Roman"/>
          <w:color w:val="000000" w:themeColor="text1"/>
          <w:sz w:val="24"/>
          <w:szCs w:val="20"/>
          <w:highlight w:val="none"/>
          <w:lang w:val="en-US" w:eastAsia="zh-CN"/>
          <w14:textFill>
            <w14:solidFill>
              <w14:schemeClr w14:val="tx1"/>
            </w14:solidFill>
          </w14:textFill>
        </w:rPr>
        <w:t>，属于低密度、低粘度凝析油</w:t>
      </w:r>
      <w:r>
        <w:rPr>
          <w:rFonts w:hint="eastAsia" w:ascii="Times New Roman" w:hAnsi="宋体" w:eastAsia="宋体" w:cs="Times New Roman"/>
          <w:color w:val="000000" w:themeColor="text1"/>
          <w:sz w:val="24"/>
          <w:szCs w:val="20"/>
          <w:highlight w:val="none"/>
          <w:lang w:eastAsia="zh-CN"/>
          <w14:textFill>
            <w14:solidFill>
              <w14:schemeClr w14:val="tx1"/>
            </w14:solidFill>
          </w14:textFill>
        </w:rPr>
        <w:t>。</w:t>
      </w:r>
    </w:p>
    <w:p w14:paraId="0C8D84B2">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rPr>
          <w:rFonts w:hint="eastAsia" w:ascii="Times New Roman" w:hAnsi="Times New Roman" w:eastAsia="宋体" w:cs="Times New Roman"/>
          <w:b/>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3.2-4 </w:t>
      </w:r>
      <w:r>
        <w:rPr>
          <w:rFonts w:hint="eastAsia" w:ascii="Times New Roman" w:hAnsi="Times New Roman" w:eastAsia="宋体" w:cs="Times New Roman"/>
          <w:b/>
          <w:bCs w:val="0"/>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凝析油物性参数</w:t>
      </w:r>
      <w:r>
        <w:rPr>
          <w:rFonts w:hint="eastAsia" w:ascii="Times New Roman" w:hAnsi="Times New Roman" w:eastAsia="宋体" w:cs="Times New Roman"/>
          <w:b/>
          <w:bCs w:val="0"/>
          <w:color w:val="000000" w:themeColor="text1"/>
          <w:sz w:val="21"/>
          <w:szCs w:val="21"/>
          <w:highlight w:val="none"/>
          <w14:textFill>
            <w14:solidFill>
              <w14:schemeClr w14:val="tx1"/>
            </w14:solidFill>
          </w14:textFill>
        </w:rPr>
        <w:t>表</w:t>
      </w:r>
    </w:p>
    <w:tbl>
      <w:tblPr>
        <w:tblStyle w:val="3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16"/>
        <w:gridCol w:w="1383"/>
        <w:gridCol w:w="1778"/>
        <w:gridCol w:w="1661"/>
        <w:gridCol w:w="1223"/>
        <w:gridCol w:w="1459"/>
      </w:tblGrid>
      <w:tr w14:paraId="28B09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 w:hRule="atLeast"/>
          <w:jc w:val="center"/>
        </w:trPr>
        <w:tc>
          <w:tcPr>
            <w:tcW w:w="647"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5792C8D">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p>
        </w:tc>
        <w:tc>
          <w:tcPr>
            <w:tcW w:w="802"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4C707860">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密度</w:t>
            </w:r>
          </w:p>
          <w:p w14:paraId="6F1F5565">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g/cm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1031"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0882C683">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粘度</w:t>
            </w:r>
          </w:p>
          <w:p w14:paraId="76A0FFE0">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mm·s</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963"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197C3183">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凝固点</w:t>
            </w:r>
          </w:p>
          <w:p w14:paraId="1DB2BE0B">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09"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65791A8A">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含蜡</w:t>
            </w:r>
          </w:p>
          <w:p w14:paraId="52109FA9">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5"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72FB7466">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含硫</w:t>
            </w:r>
          </w:p>
          <w:p w14:paraId="2E0AE03C">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851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 w:hRule="atLeast"/>
          <w:jc w:val="center"/>
        </w:trPr>
        <w:tc>
          <w:tcPr>
            <w:tcW w:w="64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20558">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数值</w:t>
            </w:r>
          </w:p>
        </w:tc>
        <w:tc>
          <w:tcPr>
            <w:tcW w:w="8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87363">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0.772</w:t>
            </w:r>
          </w:p>
        </w:tc>
        <w:tc>
          <w:tcPr>
            <w:tcW w:w="1031"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11670805">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2.080</w:t>
            </w:r>
          </w:p>
        </w:tc>
        <w:tc>
          <w:tcPr>
            <w:tcW w:w="963"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2A8A2F75">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709"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2D0B0106">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845" w:type="pct"/>
            <w:tcBorders>
              <w:top w:val="single" w:color="000000" w:sz="4" w:space="0"/>
              <w:left w:val="single" w:color="000000" w:sz="4" w:space="0"/>
              <w:bottom w:val="single" w:color="000000" w:sz="4" w:space="0"/>
              <w:right w:val="single" w:color="000000" w:sz="4" w:space="0"/>
            </w:tcBorders>
            <w:noWrap w:val="0"/>
            <w:tcMar>
              <w:top w:w="15" w:type="dxa"/>
              <w:left w:w="108" w:type="dxa"/>
              <w:right w:w="108" w:type="dxa"/>
            </w:tcMar>
            <w:vAlign w:val="center"/>
          </w:tcPr>
          <w:p w14:paraId="683073BC">
            <w:pPr>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0.012</w:t>
            </w:r>
          </w:p>
        </w:tc>
      </w:tr>
    </w:tbl>
    <w:p w14:paraId="553922A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（3）采出水</w:t>
      </w:r>
      <w:r>
        <w:rPr>
          <w:rFonts w:hint="eastAsia" w:ascii="Times New Roman" w:hAnsi="Times New Roman" w:cs="Times New Roman"/>
          <w:color w:val="000000" w:themeColor="text1"/>
          <w:highlight w:val="none"/>
          <w:lang w:val="en-US" w:eastAsia="zh-CN"/>
          <w14:textFill>
            <w14:solidFill>
              <w14:schemeClr w14:val="tx1"/>
            </w14:solidFill>
          </w14:textFill>
        </w:rPr>
        <w:t>性质</w:t>
      </w:r>
    </w:p>
    <w:p w14:paraId="226ADF60">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星火7斜井</w:t>
      </w:r>
      <w:r>
        <w:rPr>
          <w:rFonts w:hint="default" w:ascii="Times New Roman" w:hAnsi="Times New Roman" w:cs="Times New Roman"/>
          <w:color w:val="000000" w:themeColor="text1"/>
          <w:highlight w:val="none"/>
          <w:lang w:val="en-US" w:eastAsia="zh-CN"/>
          <w14:textFill>
            <w14:solidFill>
              <w14:schemeClr w14:val="tx1"/>
            </w14:solidFill>
          </w14:textFill>
        </w:rPr>
        <w:t>前期试油期间，未见水。参考邻区水分析资料，水型为氯化钙，矿化度6.5~17.2×10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mg/L。</w:t>
      </w:r>
      <w:bookmarkStart w:id="452" w:name="OLE_LINK251"/>
    </w:p>
    <w:bookmarkEnd w:id="452"/>
    <w:p w14:paraId="68E37E16">
      <w:pPr>
        <w:pStyle w:val="4"/>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主要技术经济指标</w:t>
      </w:r>
    </w:p>
    <w:p w14:paraId="10BCA566">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主要技术经济指标见表3.</w:t>
      </w:r>
      <w:r>
        <w:rPr>
          <w:rFonts w:hint="eastAsia" w:cs="Times New Roman"/>
          <w:color w:val="000000" w:themeColor="text1"/>
          <w:highlight w:val="none"/>
          <w:lang w:val="en-US" w:eastAsia="zh-CN"/>
          <w14:textFill>
            <w14:solidFill>
              <w14:schemeClr w14:val="tx1"/>
            </w14:solidFill>
          </w14:textFill>
        </w:rPr>
        <w:t>2-5</w:t>
      </w:r>
      <w:r>
        <w:rPr>
          <w:rFonts w:hint="default" w:ascii="Times New Roman" w:hAnsi="Times New Roman" w:cs="Times New Roman"/>
          <w:color w:val="000000" w:themeColor="text1"/>
          <w:highlight w:val="none"/>
          <w14:textFill>
            <w14:solidFill>
              <w14:schemeClr w14:val="tx1"/>
            </w14:solidFill>
          </w14:textFill>
        </w:rPr>
        <w:t>。</w:t>
      </w:r>
    </w:p>
    <w:p w14:paraId="21628355">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bookmarkStart w:id="453" w:name="OLE_LINK254"/>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表</w:t>
      </w:r>
      <w:bookmarkStart w:id="454" w:name="OLE_LINK244"/>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2-</w:t>
      </w:r>
      <w:bookmarkEnd w:id="454"/>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本</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工程</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主要技术经济指标一览表</w:t>
      </w:r>
      <w:bookmarkEnd w:id="453"/>
    </w:p>
    <w:tbl>
      <w:tblPr>
        <w:tblStyle w:val="37"/>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68"/>
        <w:gridCol w:w="1457"/>
        <w:gridCol w:w="2056"/>
        <w:gridCol w:w="1345"/>
        <w:gridCol w:w="2729"/>
      </w:tblGrid>
      <w:tr w14:paraId="17246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noWrap w:val="0"/>
            <w:vAlign w:val="center"/>
          </w:tcPr>
          <w:p w14:paraId="320FA1A5">
            <w:pPr>
              <w:adjustRightInd w:val="0"/>
              <w:snapToGrid w:val="0"/>
              <w:spacing w:line="0" w:lineRule="atLeast"/>
              <w:jc w:val="center"/>
              <w:rPr>
                <w:rFonts w:hint="default" w:ascii="Times New Roman" w:hAnsi="Times New Roman"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14:textFill>
                  <w14:solidFill>
                    <w14:schemeClr w14:val="tx1"/>
                  </w14:solidFill>
                </w14:textFill>
              </w:rPr>
              <w:t>序号</w:t>
            </w:r>
          </w:p>
        </w:tc>
        <w:tc>
          <w:tcPr>
            <w:tcW w:w="2077" w:type="pct"/>
            <w:gridSpan w:val="2"/>
            <w:noWrap w:val="0"/>
            <w:vAlign w:val="center"/>
          </w:tcPr>
          <w:p w14:paraId="1DD509E5">
            <w:pPr>
              <w:adjustRightInd w:val="0"/>
              <w:snapToGrid w:val="0"/>
              <w:spacing w:line="0" w:lineRule="atLeast"/>
              <w:jc w:val="center"/>
              <w:rPr>
                <w:rFonts w:hint="default" w:ascii="Times New Roman" w:hAnsi="Times New Roman"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14:textFill>
                  <w14:solidFill>
                    <w14:schemeClr w14:val="tx1"/>
                  </w14:solidFill>
                </w14:textFill>
              </w:rPr>
              <w:t>项目</w:t>
            </w:r>
          </w:p>
        </w:tc>
        <w:tc>
          <w:tcPr>
            <w:tcW w:w="795" w:type="pct"/>
            <w:noWrap w:val="0"/>
            <w:vAlign w:val="center"/>
          </w:tcPr>
          <w:p w14:paraId="05DDCF65">
            <w:pPr>
              <w:adjustRightInd w:val="0"/>
              <w:snapToGrid w:val="0"/>
              <w:spacing w:line="0" w:lineRule="atLeast"/>
              <w:jc w:val="center"/>
              <w:rPr>
                <w:rFonts w:hint="default" w:ascii="Times New Roman" w:hAnsi="Times New Roman"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14:textFill>
                  <w14:solidFill>
                    <w14:schemeClr w14:val="tx1"/>
                  </w14:solidFill>
                </w14:textFill>
              </w:rPr>
              <w:t>单位</w:t>
            </w:r>
          </w:p>
        </w:tc>
        <w:tc>
          <w:tcPr>
            <w:tcW w:w="1613" w:type="pct"/>
            <w:noWrap w:val="0"/>
            <w:vAlign w:val="center"/>
          </w:tcPr>
          <w:p w14:paraId="44CE6095">
            <w:pPr>
              <w:adjustRightInd w:val="0"/>
              <w:snapToGrid w:val="0"/>
              <w:spacing w:line="0" w:lineRule="atLeast"/>
              <w:jc w:val="center"/>
              <w:rPr>
                <w:rFonts w:hint="default" w:ascii="Times New Roman" w:hAnsi="Times New Roman"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cs="Times New Roman"/>
                <w:b/>
                <w:bCs/>
                <w:color w:val="000000" w:themeColor="text1"/>
                <w:spacing w:val="-10"/>
                <w:sz w:val="21"/>
                <w:szCs w:val="21"/>
                <w:highlight w:val="none"/>
                <w14:textFill>
                  <w14:solidFill>
                    <w14:schemeClr w14:val="tx1"/>
                  </w14:solidFill>
                </w14:textFill>
              </w:rPr>
              <w:t>数量</w:t>
            </w:r>
          </w:p>
        </w:tc>
      </w:tr>
      <w:tr w14:paraId="23548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noWrap w:val="0"/>
            <w:vAlign w:val="center"/>
          </w:tcPr>
          <w:p w14:paraId="640ED54F">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1</w:t>
            </w:r>
          </w:p>
        </w:tc>
        <w:tc>
          <w:tcPr>
            <w:tcW w:w="861" w:type="pct"/>
            <w:vMerge w:val="restart"/>
            <w:noWrap w:val="0"/>
            <w:vAlign w:val="center"/>
          </w:tcPr>
          <w:p w14:paraId="3497B76F">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开发指标</w:t>
            </w:r>
          </w:p>
        </w:tc>
        <w:tc>
          <w:tcPr>
            <w:tcW w:w="1215" w:type="pct"/>
            <w:noWrap w:val="0"/>
            <w:vAlign w:val="center"/>
          </w:tcPr>
          <w:p w14:paraId="3AF41A79">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井场数量</w:t>
            </w:r>
          </w:p>
        </w:tc>
        <w:tc>
          <w:tcPr>
            <w:tcW w:w="795" w:type="pct"/>
            <w:noWrap w:val="0"/>
            <w:vAlign w:val="center"/>
          </w:tcPr>
          <w:p w14:paraId="0C6E5BCB">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座</w:t>
            </w:r>
          </w:p>
        </w:tc>
        <w:tc>
          <w:tcPr>
            <w:tcW w:w="1613" w:type="pct"/>
            <w:noWrap w:val="0"/>
            <w:vAlign w:val="center"/>
          </w:tcPr>
          <w:p w14:paraId="7D1BADB2">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1（3口井共用一个井场）</w:t>
            </w:r>
          </w:p>
        </w:tc>
      </w:tr>
      <w:tr w14:paraId="6A81B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5955841B">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3</w:t>
            </w:r>
          </w:p>
        </w:tc>
        <w:tc>
          <w:tcPr>
            <w:tcW w:w="861" w:type="pct"/>
            <w:vMerge w:val="continue"/>
            <w:noWrap w:val="0"/>
            <w:vAlign w:val="center"/>
          </w:tcPr>
          <w:p w14:paraId="28148793">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6B16E5E9">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天然气总产量</w:t>
            </w:r>
          </w:p>
        </w:tc>
        <w:tc>
          <w:tcPr>
            <w:tcW w:w="795" w:type="pct"/>
            <w:noWrap w:val="0"/>
            <w:vAlign w:val="center"/>
          </w:tcPr>
          <w:p w14:paraId="50BB24C5">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10</w:t>
            </w:r>
            <w:r>
              <w:rPr>
                <w:rFonts w:hint="eastAsia" w:cs="Times New Roman"/>
                <w:color w:val="000000" w:themeColor="text1"/>
                <w:spacing w:val="-10"/>
                <w:sz w:val="21"/>
                <w:szCs w:val="21"/>
                <w:highlight w:val="none"/>
                <w:vertAlign w:val="superscript"/>
                <w:lang w:val="en-US" w:eastAsia="zh-CN"/>
                <w14:textFill>
                  <w14:solidFill>
                    <w14:schemeClr w14:val="tx1"/>
                  </w14:solidFill>
                </w14:textFill>
              </w:rPr>
              <w:t>4</w:t>
            </w:r>
            <w:r>
              <w:rPr>
                <w:rFonts w:hint="default" w:ascii="Times New Roman" w:hAnsi="Times New Roman" w:cs="Times New Roman"/>
                <w:color w:val="000000" w:themeColor="text1"/>
                <w:spacing w:val="-10"/>
                <w:sz w:val="21"/>
                <w:szCs w:val="21"/>
                <w:highlight w:val="none"/>
                <w14:textFill>
                  <w14:solidFill>
                    <w14:schemeClr w14:val="tx1"/>
                  </w14:solidFill>
                </w14:textFill>
              </w:rPr>
              <w:t>m</w:t>
            </w:r>
            <w:r>
              <w:rPr>
                <w:rFonts w:hint="default" w:ascii="Times New Roman" w:hAnsi="Times New Roman"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pacing w:val="-10"/>
                <w:sz w:val="21"/>
                <w:szCs w:val="21"/>
                <w:highlight w:val="none"/>
                <w14:textFill>
                  <w14:solidFill>
                    <w14:schemeClr w14:val="tx1"/>
                  </w14:solidFill>
                </w14:textFill>
              </w:rPr>
              <w:t>/d</w:t>
            </w:r>
          </w:p>
        </w:tc>
        <w:tc>
          <w:tcPr>
            <w:tcW w:w="1613" w:type="pct"/>
            <w:noWrap w:val="0"/>
            <w:vAlign w:val="center"/>
          </w:tcPr>
          <w:p w14:paraId="4E1E03E2">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18.2</w:t>
            </w:r>
          </w:p>
        </w:tc>
      </w:tr>
      <w:tr w14:paraId="7305C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5B9CB4EE">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4</w:t>
            </w:r>
          </w:p>
        </w:tc>
        <w:tc>
          <w:tcPr>
            <w:tcW w:w="861" w:type="pct"/>
            <w:vMerge w:val="continue"/>
            <w:noWrap w:val="0"/>
            <w:vAlign w:val="center"/>
          </w:tcPr>
          <w:p w14:paraId="5B6D15FB">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131BF120">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凝析油</w:t>
            </w:r>
            <w:r>
              <w:rPr>
                <w:rFonts w:hint="default" w:ascii="Times New Roman" w:hAnsi="Times New Roman" w:cs="Times New Roman"/>
                <w:color w:val="000000" w:themeColor="text1"/>
                <w:spacing w:val="-10"/>
                <w:sz w:val="21"/>
                <w:szCs w:val="21"/>
                <w:highlight w:val="none"/>
                <w14:textFill>
                  <w14:solidFill>
                    <w14:schemeClr w14:val="tx1"/>
                  </w14:solidFill>
                </w14:textFill>
              </w:rPr>
              <w:t>总产量</w:t>
            </w:r>
          </w:p>
        </w:tc>
        <w:tc>
          <w:tcPr>
            <w:tcW w:w="795" w:type="pct"/>
            <w:noWrap w:val="0"/>
            <w:vAlign w:val="center"/>
          </w:tcPr>
          <w:p w14:paraId="68350C26">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bookmarkStart w:id="455" w:name="OLE_LINK239"/>
            <w:r>
              <w:rPr>
                <w:rFonts w:hint="default" w:ascii="Times New Roman" w:hAnsi="Times New Roman" w:cs="Times New Roman"/>
                <w:color w:val="000000" w:themeColor="text1"/>
                <w:spacing w:val="-10"/>
                <w:sz w:val="21"/>
                <w:szCs w:val="21"/>
                <w:highlight w:val="none"/>
                <w14:textFill>
                  <w14:solidFill>
                    <w14:schemeClr w14:val="tx1"/>
                  </w14:solidFill>
                </w14:textFill>
              </w:rPr>
              <w:t>t/d</w:t>
            </w:r>
            <w:bookmarkEnd w:id="455"/>
          </w:p>
        </w:tc>
        <w:tc>
          <w:tcPr>
            <w:tcW w:w="1613" w:type="pct"/>
            <w:noWrap w:val="0"/>
            <w:vAlign w:val="center"/>
          </w:tcPr>
          <w:p w14:paraId="190D1FB2">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33.9</w:t>
            </w:r>
          </w:p>
        </w:tc>
      </w:tr>
      <w:tr w14:paraId="3B9D2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0A2BDDC7">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5</w:t>
            </w:r>
          </w:p>
        </w:tc>
        <w:tc>
          <w:tcPr>
            <w:tcW w:w="861" w:type="pct"/>
            <w:noWrap w:val="0"/>
            <w:vAlign w:val="center"/>
          </w:tcPr>
          <w:p w14:paraId="652B9BB1">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能耗指标</w:t>
            </w:r>
          </w:p>
        </w:tc>
        <w:tc>
          <w:tcPr>
            <w:tcW w:w="1215" w:type="pct"/>
            <w:noWrap w:val="0"/>
            <w:vAlign w:val="center"/>
          </w:tcPr>
          <w:p w14:paraId="03EE7194">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电力</w:t>
            </w:r>
          </w:p>
        </w:tc>
        <w:tc>
          <w:tcPr>
            <w:tcW w:w="795" w:type="pct"/>
            <w:noWrap w:val="0"/>
            <w:vAlign w:val="center"/>
          </w:tcPr>
          <w:p w14:paraId="15BD4397">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10</w:t>
            </w:r>
            <w:r>
              <w:rPr>
                <w:rFonts w:hint="default" w:ascii="Times New Roman" w:hAnsi="Times New Roman" w:cs="Times New Roman"/>
                <w:color w:val="000000" w:themeColor="text1"/>
                <w:spacing w:val="-10"/>
                <w:sz w:val="21"/>
                <w:szCs w:val="21"/>
                <w:highlight w:val="none"/>
                <w:vertAlign w:val="superscript"/>
                <w14:textFill>
                  <w14:solidFill>
                    <w14:schemeClr w14:val="tx1"/>
                  </w14:solidFill>
                </w14:textFill>
              </w:rPr>
              <w:t>4</w:t>
            </w:r>
            <w:r>
              <w:rPr>
                <w:rFonts w:hint="default" w:ascii="Times New Roman" w:hAnsi="Times New Roman" w:cs="Times New Roman"/>
                <w:color w:val="000000" w:themeColor="text1"/>
                <w:spacing w:val="-10"/>
                <w:sz w:val="21"/>
                <w:szCs w:val="21"/>
                <w:highlight w:val="none"/>
                <w14:textFill>
                  <w14:solidFill>
                    <w14:schemeClr w14:val="tx1"/>
                  </w14:solidFill>
                </w14:textFill>
              </w:rPr>
              <w:t>kWh/a</w:t>
            </w:r>
          </w:p>
        </w:tc>
        <w:tc>
          <w:tcPr>
            <w:tcW w:w="1613" w:type="pct"/>
            <w:noWrap w:val="0"/>
            <w:vAlign w:val="center"/>
          </w:tcPr>
          <w:p w14:paraId="7B3C7B3E">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lang w:val="en-US" w:eastAsia="zh-CN"/>
                <w14:textFill>
                  <w14:solidFill>
                    <w14:schemeClr w14:val="tx1"/>
                  </w14:solidFill>
                </w14:textFill>
              </w:rPr>
              <w:t xml:space="preserve"> </w:t>
            </w:r>
            <w:bookmarkStart w:id="456" w:name="OLE_LINK1122"/>
            <w:r>
              <w:rPr>
                <w:rFonts w:hint="default" w:ascii="Times New Roman" w:hAnsi="Times New Roman" w:cs="Times New Roman"/>
                <w:color w:val="000000" w:themeColor="text1"/>
                <w:spacing w:val="-10"/>
                <w:sz w:val="21"/>
                <w:szCs w:val="21"/>
                <w:highlight w:val="none"/>
                <w:lang w:val="en-US" w:eastAsia="zh-CN"/>
                <w14:textFill>
                  <w14:solidFill>
                    <w14:schemeClr w14:val="tx1"/>
                  </w14:solidFill>
                </w14:textFill>
              </w:rPr>
              <w:t>196.2</w:t>
            </w:r>
            <w:bookmarkEnd w:id="456"/>
          </w:p>
        </w:tc>
      </w:tr>
      <w:tr w14:paraId="75F04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056174EC">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bookmarkStart w:id="457" w:name="OLE_LINK240" w:colFirst="4" w:colLast="4"/>
            <w:r>
              <w:rPr>
                <w:rFonts w:hint="eastAsia" w:cs="Times New Roman"/>
                <w:color w:val="000000" w:themeColor="text1"/>
                <w:spacing w:val="-10"/>
                <w:sz w:val="21"/>
                <w:szCs w:val="21"/>
                <w:highlight w:val="none"/>
                <w:lang w:val="en-US" w:eastAsia="zh-CN"/>
                <w14:textFill>
                  <w14:solidFill>
                    <w14:schemeClr w14:val="tx1"/>
                  </w14:solidFill>
                </w14:textFill>
              </w:rPr>
              <w:t>8</w:t>
            </w:r>
          </w:p>
        </w:tc>
        <w:tc>
          <w:tcPr>
            <w:tcW w:w="861" w:type="pct"/>
            <w:vMerge w:val="restart"/>
            <w:noWrap w:val="0"/>
            <w:vAlign w:val="center"/>
          </w:tcPr>
          <w:p w14:paraId="4F5C17B9">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综合指标</w:t>
            </w:r>
          </w:p>
        </w:tc>
        <w:tc>
          <w:tcPr>
            <w:tcW w:w="1215" w:type="pct"/>
            <w:noWrap w:val="0"/>
            <w:vAlign w:val="center"/>
          </w:tcPr>
          <w:p w14:paraId="2A87B0D2">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总投资</w:t>
            </w:r>
          </w:p>
        </w:tc>
        <w:tc>
          <w:tcPr>
            <w:tcW w:w="795" w:type="pct"/>
            <w:noWrap w:val="0"/>
            <w:vAlign w:val="center"/>
          </w:tcPr>
          <w:p w14:paraId="014D881A">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万元</w:t>
            </w:r>
          </w:p>
        </w:tc>
        <w:tc>
          <w:tcPr>
            <w:tcW w:w="1613" w:type="pct"/>
            <w:noWrap w:val="0"/>
            <w:vAlign w:val="center"/>
          </w:tcPr>
          <w:p w14:paraId="18752F8F">
            <w:pPr>
              <w:spacing w:line="0" w:lineRule="atLeast"/>
              <w:jc w:val="center"/>
              <w:rPr>
                <w:rFonts w:hint="default" w:ascii="Times New Roman" w:hAnsi="Times New Roman" w:cs="Times New Roman"/>
                <w:color w:val="000000" w:themeColor="text1"/>
                <w:spacing w:val="-10"/>
                <w:sz w:val="21"/>
                <w:szCs w:val="21"/>
                <w:highlight w:val="none"/>
                <w:lang w:val="en-US"/>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6329.31</w:t>
            </w:r>
          </w:p>
        </w:tc>
      </w:tr>
      <w:tr w14:paraId="13F75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5F19A89A">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9</w:t>
            </w:r>
          </w:p>
        </w:tc>
        <w:tc>
          <w:tcPr>
            <w:tcW w:w="861" w:type="pct"/>
            <w:vMerge w:val="continue"/>
            <w:noWrap w:val="0"/>
            <w:vAlign w:val="center"/>
          </w:tcPr>
          <w:p w14:paraId="5EBA7015">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4464DBC3">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环保投资</w:t>
            </w:r>
          </w:p>
        </w:tc>
        <w:tc>
          <w:tcPr>
            <w:tcW w:w="795" w:type="pct"/>
            <w:noWrap w:val="0"/>
            <w:vAlign w:val="center"/>
          </w:tcPr>
          <w:p w14:paraId="11B4200A">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万元</w:t>
            </w:r>
          </w:p>
        </w:tc>
        <w:tc>
          <w:tcPr>
            <w:tcW w:w="1613" w:type="pct"/>
            <w:noWrap w:val="0"/>
            <w:vAlign w:val="center"/>
          </w:tcPr>
          <w:p w14:paraId="75CAC5F1">
            <w:pPr>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126</w:t>
            </w:r>
          </w:p>
        </w:tc>
      </w:tr>
      <w:bookmarkEnd w:id="457"/>
      <w:tr w14:paraId="780DB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74ABF804">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1</w:t>
            </w:r>
            <w:r>
              <w:rPr>
                <w:rFonts w:hint="eastAsia" w:cs="Times New Roman"/>
                <w:color w:val="000000" w:themeColor="text1"/>
                <w:spacing w:val="-10"/>
                <w:sz w:val="21"/>
                <w:szCs w:val="21"/>
                <w:highlight w:val="none"/>
                <w:lang w:val="en-US" w:eastAsia="zh-CN"/>
                <w14:textFill>
                  <w14:solidFill>
                    <w14:schemeClr w14:val="tx1"/>
                  </w14:solidFill>
                </w14:textFill>
              </w:rPr>
              <w:t>0</w:t>
            </w:r>
          </w:p>
        </w:tc>
        <w:tc>
          <w:tcPr>
            <w:tcW w:w="861" w:type="pct"/>
            <w:vMerge w:val="continue"/>
            <w:noWrap w:val="0"/>
            <w:vAlign w:val="center"/>
          </w:tcPr>
          <w:p w14:paraId="6CD24541">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186D6210">
            <w:pPr>
              <w:adjustRightIn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bookmarkStart w:id="458" w:name="OLE_LINK238"/>
            <w:r>
              <w:rPr>
                <w:rFonts w:hint="default" w:ascii="Times New Roman" w:hAnsi="Times New Roman" w:cs="Times New Roman"/>
                <w:color w:val="000000" w:themeColor="text1"/>
                <w:spacing w:val="-10"/>
                <w:sz w:val="21"/>
                <w:szCs w:val="21"/>
                <w:highlight w:val="none"/>
                <w14:textFill>
                  <w14:solidFill>
                    <w14:schemeClr w14:val="tx1"/>
                  </w14:solidFill>
                </w14:textFill>
              </w:rPr>
              <w:t>永久占地</w:t>
            </w:r>
            <w:bookmarkEnd w:id="458"/>
            <w:r>
              <w:rPr>
                <w:rFonts w:hint="default" w:ascii="Times New Roman" w:hAnsi="Times New Roman" w:cs="Times New Roman"/>
                <w:color w:val="000000" w:themeColor="text1"/>
                <w:spacing w:val="-10"/>
                <w:sz w:val="21"/>
                <w:szCs w:val="21"/>
                <w:highlight w:val="none"/>
                <w14:textFill>
                  <w14:solidFill>
                    <w14:schemeClr w14:val="tx1"/>
                  </w14:solidFill>
                </w14:textFill>
              </w:rPr>
              <w:t>面积</w:t>
            </w:r>
          </w:p>
        </w:tc>
        <w:tc>
          <w:tcPr>
            <w:tcW w:w="795" w:type="pct"/>
            <w:noWrap w:val="0"/>
            <w:vAlign w:val="center"/>
          </w:tcPr>
          <w:p w14:paraId="578CE509">
            <w:pPr>
              <w:adjustRightIn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hm</w:t>
            </w:r>
            <w:r>
              <w:rPr>
                <w:rFonts w:hint="default" w:ascii="Times New Roman" w:hAnsi="Times New Roman" w:cs="Times New Roman"/>
                <w:color w:val="000000" w:themeColor="text1"/>
                <w:spacing w:val="-10"/>
                <w:sz w:val="21"/>
                <w:szCs w:val="21"/>
                <w:highlight w:val="none"/>
                <w:vertAlign w:val="superscript"/>
                <w14:textFill>
                  <w14:solidFill>
                    <w14:schemeClr w14:val="tx1"/>
                  </w14:solidFill>
                </w14:textFill>
              </w:rPr>
              <w:t>2</w:t>
            </w:r>
          </w:p>
        </w:tc>
        <w:tc>
          <w:tcPr>
            <w:tcW w:w="1613" w:type="pct"/>
            <w:noWrap w:val="0"/>
            <w:vAlign w:val="center"/>
          </w:tcPr>
          <w:p w14:paraId="4157BE02">
            <w:pPr>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1.4328</w:t>
            </w:r>
          </w:p>
        </w:tc>
      </w:tr>
      <w:tr w14:paraId="16159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751EB7B6">
            <w:pPr>
              <w:adjustRightInd w:val="0"/>
              <w:snapToGri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11</w:t>
            </w:r>
          </w:p>
        </w:tc>
        <w:tc>
          <w:tcPr>
            <w:tcW w:w="861" w:type="pct"/>
            <w:vMerge w:val="continue"/>
            <w:noWrap w:val="0"/>
            <w:vAlign w:val="center"/>
          </w:tcPr>
          <w:p w14:paraId="2470F544">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529F5F26">
            <w:pPr>
              <w:adjustRightIn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临时占地面积</w:t>
            </w:r>
          </w:p>
        </w:tc>
        <w:tc>
          <w:tcPr>
            <w:tcW w:w="795" w:type="pct"/>
            <w:noWrap w:val="0"/>
            <w:vAlign w:val="center"/>
          </w:tcPr>
          <w:p w14:paraId="35D93811">
            <w:pPr>
              <w:adjustRightIn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hm</w:t>
            </w:r>
            <w:r>
              <w:rPr>
                <w:rFonts w:hint="default" w:ascii="Times New Roman" w:hAnsi="Times New Roman" w:cs="Times New Roman"/>
                <w:color w:val="000000" w:themeColor="text1"/>
                <w:spacing w:val="-10"/>
                <w:sz w:val="21"/>
                <w:szCs w:val="21"/>
                <w:highlight w:val="none"/>
                <w:vertAlign w:val="superscript"/>
                <w14:textFill>
                  <w14:solidFill>
                    <w14:schemeClr w14:val="tx1"/>
                  </w14:solidFill>
                </w14:textFill>
              </w:rPr>
              <w:t>2</w:t>
            </w:r>
          </w:p>
        </w:tc>
        <w:tc>
          <w:tcPr>
            <w:tcW w:w="1613" w:type="pct"/>
            <w:noWrap w:val="0"/>
            <w:vAlign w:val="center"/>
          </w:tcPr>
          <w:p w14:paraId="6AB2EB53">
            <w:pPr>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1.05</w:t>
            </w:r>
          </w:p>
        </w:tc>
      </w:tr>
      <w:tr w14:paraId="15C44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68DCAD1B">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12</w:t>
            </w:r>
          </w:p>
        </w:tc>
        <w:tc>
          <w:tcPr>
            <w:tcW w:w="861" w:type="pct"/>
            <w:vMerge w:val="continue"/>
            <w:noWrap w:val="0"/>
            <w:vAlign w:val="center"/>
          </w:tcPr>
          <w:p w14:paraId="63E1A535">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6909AA56">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劳动定员</w:t>
            </w:r>
          </w:p>
        </w:tc>
        <w:tc>
          <w:tcPr>
            <w:tcW w:w="795" w:type="pct"/>
            <w:noWrap w:val="0"/>
            <w:vAlign w:val="center"/>
          </w:tcPr>
          <w:p w14:paraId="221CC9FB">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人</w:t>
            </w:r>
          </w:p>
        </w:tc>
        <w:tc>
          <w:tcPr>
            <w:tcW w:w="1613" w:type="pct"/>
            <w:noWrap w:val="0"/>
            <w:vAlign w:val="center"/>
          </w:tcPr>
          <w:p w14:paraId="2CF9CFA3">
            <w:pPr>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无人值守</w:t>
            </w:r>
          </w:p>
        </w:tc>
      </w:tr>
      <w:tr w14:paraId="75C84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3" w:type="pct"/>
            <w:noWrap w:val="0"/>
            <w:vAlign w:val="center"/>
          </w:tcPr>
          <w:p w14:paraId="57D8D687">
            <w:pPr>
              <w:adjustRightInd w:val="0"/>
              <w:snapToGrid w:val="0"/>
              <w:spacing w:line="0" w:lineRule="atLeast"/>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13</w:t>
            </w:r>
          </w:p>
        </w:tc>
        <w:tc>
          <w:tcPr>
            <w:tcW w:w="861" w:type="pct"/>
            <w:vMerge w:val="continue"/>
            <w:noWrap w:val="0"/>
            <w:vAlign w:val="center"/>
          </w:tcPr>
          <w:p w14:paraId="61124F07">
            <w:pPr>
              <w:adjustRightInd w:val="0"/>
              <w:snapToGrid w:val="0"/>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215" w:type="pct"/>
            <w:noWrap w:val="0"/>
            <w:vAlign w:val="center"/>
          </w:tcPr>
          <w:p w14:paraId="15667E4C">
            <w:pPr>
              <w:widowControl/>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工作制度</w:t>
            </w:r>
          </w:p>
        </w:tc>
        <w:tc>
          <w:tcPr>
            <w:tcW w:w="795" w:type="pct"/>
            <w:noWrap w:val="0"/>
            <w:vAlign w:val="center"/>
          </w:tcPr>
          <w:p w14:paraId="06A37CF4">
            <w:pPr>
              <w:widowControl/>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h</w:t>
            </w:r>
          </w:p>
        </w:tc>
        <w:tc>
          <w:tcPr>
            <w:tcW w:w="1613" w:type="pct"/>
            <w:noWrap w:val="0"/>
            <w:vAlign w:val="center"/>
          </w:tcPr>
          <w:p w14:paraId="10F70332">
            <w:pPr>
              <w:widowControl/>
              <w:spacing w:line="0" w:lineRule="atLeast"/>
              <w:jc w:val="center"/>
              <w:rPr>
                <w:rFonts w:hint="default" w:ascii="Times New Roman" w:hAnsi="Times New Roman" w:cs="Times New Roman"/>
                <w:color w:val="000000" w:themeColor="text1"/>
                <w:spacing w:val="-10"/>
                <w:sz w:val="21"/>
                <w:szCs w:val="21"/>
                <w:highlight w:val="none"/>
                <w14:textFill>
                  <w14:solidFill>
                    <w14:schemeClr w14:val="tx1"/>
                  </w14:solidFill>
                </w14:textFill>
              </w:rPr>
            </w:pPr>
            <w:r>
              <w:rPr>
                <w:rFonts w:hint="default" w:ascii="Times New Roman" w:hAnsi="Times New Roman" w:cs="Times New Roman"/>
                <w:color w:val="000000" w:themeColor="text1"/>
                <w:spacing w:val="-10"/>
                <w:sz w:val="21"/>
                <w:szCs w:val="21"/>
                <w:highlight w:val="none"/>
                <w14:textFill>
                  <w14:solidFill>
                    <w14:schemeClr w14:val="tx1"/>
                  </w14:solidFill>
                </w14:textFill>
              </w:rPr>
              <w:t>8760</w:t>
            </w:r>
          </w:p>
        </w:tc>
      </w:tr>
    </w:tbl>
    <w:p w14:paraId="4074C5E9">
      <w:pPr>
        <w:pStyle w:val="11"/>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000000" w:themeColor="text1"/>
          <w:sz w:val="28"/>
          <w:szCs w:val="28"/>
          <w:highlight w:val="none"/>
          <w14:textFill>
            <w14:solidFill>
              <w14:schemeClr w14:val="tx1"/>
            </w14:solidFill>
          </w14:textFill>
        </w:rPr>
      </w:pPr>
      <w:bookmarkStart w:id="459" w:name="_Toc9234"/>
      <w:bookmarkStart w:id="460" w:name="_Toc4470"/>
      <w:r>
        <w:rPr>
          <w:rFonts w:hint="default" w:ascii="Times New Roman" w:hAnsi="Times New Roman" w:cs="Times New Roman"/>
          <w:b/>
          <w:bCs/>
          <w:color w:val="000000" w:themeColor="text1"/>
          <w:sz w:val="28"/>
          <w:szCs w:val="28"/>
          <w:highlight w:val="none"/>
          <w14:textFill>
            <w14:solidFill>
              <w14:schemeClr w14:val="tx1"/>
            </w14:solidFill>
          </w14:textFill>
        </w:rPr>
        <w:t>3.</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8"/>
          <w:szCs w:val="28"/>
          <w:highlight w:val="none"/>
          <w14:textFill>
            <w14:solidFill>
              <w14:schemeClr w14:val="tx1"/>
            </w14:solidFill>
          </w14:textFill>
        </w:rPr>
        <w:t>.4</w:t>
      </w:r>
      <w:bookmarkEnd w:id="459"/>
      <w:bookmarkEnd w:id="460"/>
      <w:r>
        <w:rPr>
          <w:rFonts w:hint="default" w:ascii="Times New Roman" w:hAnsi="Times New Roman" w:cs="Times New Roman"/>
          <w:b/>
          <w:bCs/>
          <w:color w:val="000000" w:themeColor="text1"/>
          <w:sz w:val="28"/>
          <w:szCs w:val="28"/>
          <w:highlight w:val="none"/>
          <w14:textFill>
            <w14:solidFill>
              <w14:schemeClr w14:val="tx1"/>
            </w14:solidFill>
          </w14:textFill>
        </w:rPr>
        <w:t>工程组成</w:t>
      </w:r>
    </w:p>
    <w:p w14:paraId="4EA01762">
      <w:pPr>
        <w:pStyle w:val="11"/>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pPr>
      <w:bookmarkStart w:id="461" w:name="_Toc8410"/>
      <w:bookmarkStart w:id="462" w:name="_Toc286"/>
      <w:r>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4.1</w:t>
      </w:r>
      <w:r>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总体开发方案</w:t>
      </w:r>
      <w:bookmarkEnd w:id="461"/>
      <w:bookmarkEnd w:id="462"/>
    </w:p>
    <w:p w14:paraId="6566F2CF">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3"/>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开发部署</w:t>
      </w:r>
    </w:p>
    <w:p w14:paraId="5B1A4C7F">
      <w:pPr>
        <w:pageBreakBefore w:val="0"/>
        <w:kinsoku/>
        <w:wordWrap/>
        <w:overflowPunct/>
        <w:topLinePunct w:val="0"/>
        <w:autoSpaceDE/>
        <w:autoSpaceDN/>
        <w:bidi w:val="0"/>
        <w:spacing w:line="360" w:lineRule="auto"/>
        <w:ind w:firstLine="480" w:firstLineChars="200"/>
        <w:textAlignment w:val="auto"/>
        <w:outlineLvl w:val="9"/>
        <w:rPr>
          <w:rFonts w:hint="eastAsia" w:cs="Times New Roman"/>
          <w:color w:val="000000" w:themeColor="text1"/>
          <w:sz w:val="24"/>
          <w:szCs w:val="24"/>
          <w:highlight w:val="none"/>
          <w:lang w:val="en-US" w:eastAsia="zh-CN" w:bidi="ar-SA"/>
          <w14:textFill>
            <w14:solidFill>
              <w14:schemeClr w14:val="tx1"/>
            </w14:solidFill>
          </w14:textFill>
        </w:rPr>
      </w:pPr>
      <w:bookmarkStart w:id="463" w:name="OLE_LINK232"/>
      <w:bookmarkStart w:id="464" w:name="OLE_LINK241"/>
      <w:r>
        <w:rPr>
          <w:rFonts w:hint="eastAsia" w:cs="Times New Roman"/>
          <w:color w:val="000000" w:themeColor="text1"/>
          <w:sz w:val="24"/>
          <w:szCs w:val="24"/>
          <w:highlight w:val="none"/>
          <w:lang w:val="en-US" w:eastAsia="zh-CN" w:bidi="ar-SA"/>
          <w14:textFill>
            <w14:solidFill>
              <w14:schemeClr w14:val="tx1"/>
            </w14:solidFill>
          </w14:textFill>
        </w:rPr>
        <w:t>本工程</w:t>
      </w:r>
      <w:bookmarkStart w:id="465" w:name="OLE_LINK743"/>
      <w:bookmarkStart w:id="466" w:name="OLE_LINK229"/>
      <w:r>
        <w:rPr>
          <w:rFonts w:hint="eastAsia" w:cs="Times New Roman"/>
          <w:color w:val="000000" w:themeColor="text1"/>
          <w:sz w:val="24"/>
          <w:szCs w:val="24"/>
          <w:highlight w:val="none"/>
          <w:lang w:val="en-US" w:eastAsia="zh-CN" w:bidi="ar-SA"/>
          <w14:textFill>
            <w14:solidFill>
              <w14:schemeClr w14:val="tx1"/>
            </w14:solidFill>
          </w14:textFill>
        </w:rPr>
        <w:t>涉及采气井3口，分别是星火7斜井、星火701斜井和星火7-2斜井，本工程星火7斜井和星火701斜井两口井为勘探井转为生产井，施工仅涉及地面工程。星火7-2斜井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w:t>
      </w:r>
      <w:r>
        <w:rPr>
          <w:rFonts w:hint="eastAsia" w:eastAsia="宋体" w:cs="Times New Roman"/>
          <w:color w:val="000000" w:themeColor="text1"/>
          <w:sz w:val="24"/>
          <w:szCs w:val="24"/>
          <w:highlight w:val="none"/>
          <w:lang w:val="en-US" w:eastAsia="zh-CN" w:bidi="ar-SA"/>
          <w14:textFill>
            <w14:solidFill>
              <w14:schemeClr w14:val="tx1"/>
            </w14:solidFill>
          </w14:textFill>
        </w:rPr>
        <w:t>新钻井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三口井均在同一个井场内</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配套建设供配电、仪表自控、通信、防腐、土建等工程</w:t>
      </w:r>
      <w:bookmarkEnd w:id="463"/>
      <w:bookmarkEnd w:id="465"/>
      <w:bookmarkEnd w:id="466"/>
      <w:r>
        <w:rPr>
          <w:rFonts w:hint="eastAsia" w:cs="Times New Roman"/>
          <w:color w:val="000000" w:themeColor="text1"/>
          <w:sz w:val="24"/>
          <w:szCs w:val="24"/>
          <w:highlight w:val="none"/>
          <w:lang w:val="en-US" w:eastAsia="zh-CN" w:bidi="ar-SA"/>
          <w14:textFill>
            <w14:solidFill>
              <w14:schemeClr w14:val="tx1"/>
            </w14:solidFill>
          </w14:textFill>
        </w:rPr>
        <w:t>。</w:t>
      </w:r>
    </w:p>
    <w:p w14:paraId="2EC60159">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eastAsia="宋体" w:cs="Times New Roman"/>
          <w:color w:val="000000" w:themeColor="text1"/>
          <w:spacing w:val="-3"/>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内设置电磁加热器、</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油气分离流程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、计量分离器、多功能储集器，</w:t>
      </w:r>
      <w:bookmarkStart w:id="467" w:name="OLE_LINK230"/>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火炬区</w:t>
      </w:r>
      <w:bookmarkEnd w:id="467"/>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。火炬区位于井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北侧。</w:t>
      </w:r>
      <w:bookmarkEnd w:id="464"/>
      <w:bookmarkStart w:id="468" w:name="OLE_LINK243"/>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井口产液经井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油气分离后，</w:t>
      </w:r>
      <w:bookmarkStart w:id="469" w:name="OLE_LINK234"/>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天然气经油气计量分离器分离后，湿气销售至第三方公司，由第三方公司处理后装车外销。凝析油装车外运至雅克拉集气处理站处理</w:t>
      </w:r>
      <w:bookmarkEnd w:id="469"/>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End w:id="468"/>
    </w:p>
    <w:p w14:paraId="42B2D259">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3"/>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开发指标预测</w:t>
      </w:r>
    </w:p>
    <w:p w14:paraId="1BB59C31">
      <w:pPr>
        <w:pStyle w:val="12"/>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本项目</w:t>
      </w:r>
      <w:r>
        <w:rPr>
          <w:rFonts w:hint="eastAsia" w:hAnsi="宋体" w:cs="宋体"/>
          <w:color w:val="000000" w:themeColor="text1"/>
          <w:szCs w:val="28"/>
          <w:highlight w:val="none"/>
          <w14:textFill>
            <w14:solidFill>
              <w14:schemeClr w14:val="tx1"/>
            </w14:solidFill>
          </w14:textFill>
        </w:rPr>
        <w:t>预计</w:t>
      </w:r>
      <w:r>
        <w:rPr>
          <w:rFonts w:hint="eastAsia" w:cs="Times New Roman"/>
          <w:color w:val="000000" w:themeColor="text1"/>
          <w:sz w:val="24"/>
          <w:szCs w:val="24"/>
          <w:highlight w:val="none"/>
          <w:lang w:val="en-US" w:eastAsia="zh-CN" w:bidi="ar-SA"/>
          <w14:textFill>
            <w14:solidFill>
              <w14:schemeClr w14:val="tx1"/>
            </w14:solidFill>
          </w14:textFill>
        </w:rPr>
        <w:t>3口井</w:t>
      </w:r>
      <w:r>
        <w:rPr>
          <w:rFonts w:hint="eastAsia" w:hAnsi="宋体" w:cs="宋体"/>
          <w:color w:val="000000" w:themeColor="text1"/>
          <w:szCs w:val="28"/>
          <w:highlight w:val="none"/>
          <w14:textFill>
            <w14:solidFill>
              <w14:schemeClr w14:val="tx1"/>
            </w14:solidFill>
          </w14:textFill>
        </w:rPr>
        <w:t>最高年产</w:t>
      </w:r>
      <w:r>
        <w:rPr>
          <w:rFonts w:hint="eastAsia"/>
          <w:color w:val="000000" w:themeColor="text1"/>
          <w:highlight w:val="none"/>
          <w:lang w:val="en-US" w:eastAsia="zh-CN"/>
          <w14:textFill>
            <w14:solidFill>
              <w14:schemeClr w14:val="tx1"/>
            </w14:solidFill>
          </w14:textFill>
        </w:rPr>
        <w:t>天然</w:t>
      </w:r>
      <w:r>
        <w:rPr>
          <w:rFonts w:hint="eastAsia"/>
          <w:color w:val="000000" w:themeColor="text1"/>
          <w:highlight w:val="none"/>
          <w14:textFill>
            <w14:solidFill>
              <w14:schemeClr w14:val="tx1"/>
            </w14:solidFill>
          </w14:textFill>
        </w:rPr>
        <w:t>气</w:t>
      </w:r>
      <w:r>
        <w:rPr>
          <w:rFonts w:hint="eastAsia"/>
          <w:color w:val="000000" w:themeColor="text1"/>
          <w:highlight w:val="none"/>
          <w:lang w:val="en-US" w:eastAsia="zh-CN"/>
          <w14:textFill>
            <w14:solidFill>
              <w14:schemeClr w14:val="tx1"/>
            </w14:solidFill>
          </w14:textFill>
        </w:rPr>
        <w:t>0.6006</w:t>
      </w:r>
      <w:r>
        <w:rPr>
          <w:rFonts w:hint="eastAsia"/>
          <w:color w:val="000000" w:themeColor="text1"/>
          <w:highlight w:val="none"/>
          <w14:textFill>
            <w14:solidFill>
              <w14:schemeClr w14:val="tx1"/>
            </w14:solidFill>
          </w14:textFill>
        </w:rPr>
        <w:t>×10</w:t>
      </w:r>
      <w:r>
        <w:rPr>
          <w:rFonts w:hint="eastAsia"/>
          <w:color w:val="000000" w:themeColor="text1"/>
          <w:highlight w:val="none"/>
          <w:vertAlign w:val="superscript"/>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hAnsi="宋体" w:cs="宋体"/>
          <w:color w:val="000000" w:themeColor="text1"/>
          <w:szCs w:val="28"/>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凝析油1.1187</w:t>
      </w:r>
      <w:r>
        <w:rPr>
          <w:rFonts w:hint="eastAsia"/>
          <w:color w:val="000000" w:themeColor="text1"/>
          <w:highlight w:val="none"/>
          <w14:textFill>
            <w14:solidFill>
              <w14:schemeClr w14:val="tx1"/>
            </w14:solidFill>
          </w14:textFill>
        </w:rPr>
        <w:t>×10</w:t>
      </w:r>
      <w:r>
        <w:rPr>
          <w:rFonts w:hint="eastAsia"/>
          <w:color w:val="000000" w:themeColor="text1"/>
          <w:highlight w:val="none"/>
          <w:vertAlign w:val="superscript"/>
          <w14:textFill>
            <w14:solidFill>
              <w14:schemeClr w14:val="tx1"/>
            </w14:solidFill>
          </w14:textFill>
        </w:rPr>
        <w:t>4</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instrText xml:space="preserve"> HYPERLINK "3.1.5.1" </w:instrTex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主体工程</w:t>
      </w:r>
    </w:p>
    <w:p w14:paraId="526E8BCC">
      <w:pPr>
        <w:pStyle w:val="5"/>
        <w:pageBreakBefore w:val="0"/>
        <w:numPr>
          <w:ilvl w:val="0"/>
          <w:numId w:val="0"/>
        </w:numPr>
        <w:kinsoku/>
        <w:wordWrap/>
        <w:overflowPunct/>
        <w:topLinePunct w:val="0"/>
        <w:autoSpaceDE/>
        <w:autoSpaceDN/>
        <w:bidi w:val="0"/>
        <w:spacing w:beforeLines="0" w:afterLines="0" w:line="360" w:lineRule="auto"/>
        <w:ind w:firstLine="480" w:firstLineChars="200"/>
        <w:textAlignment w:val="auto"/>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bookmarkStart w:id="470" w:name="OLE_LINK264"/>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b w:val="0"/>
          <w:snapToGrid/>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bookmarkStart w:id="471" w:name="OLE_LINK746"/>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工程</w:t>
      </w:r>
      <w:bookmarkEnd w:id="471"/>
    </w:p>
    <w:p w14:paraId="05DFDF47">
      <w:pPr>
        <w:pageBreakBefore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1 \* GB3 \* MERGEFORMAT </w:instrTex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钻井</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工程</w:t>
      </w:r>
    </w:p>
    <w:p w14:paraId="44394FA9">
      <w:pPr>
        <w:pageBreakBefore w:val="0"/>
        <w:kinsoku/>
        <w:wordWrap/>
        <w:overflowPunct/>
        <w:topLinePunct w:val="0"/>
        <w:autoSpaceDE/>
        <w:autoSpaceDN/>
        <w:bidi w:val="0"/>
        <w:spacing w:line="360" w:lineRule="auto"/>
        <w:ind w:firstLine="480" w:firstLineChars="200"/>
        <w:textAlignment w:val="auto"/>
        <w:outlineLvl w:val="9"/>
        <w:rPr>
          <w:rFonts w:hint="default"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w:t>
      </w:r>
      <w:r>
        <w:rPr>
          <w:rFonts w:hint="eastAsia" w:cs="Times New Roman"/>
          <w:color w:val="000000" w:themeColor="text1"/>
          <w:sz w:val="24"/>
          <w:szCs w:val="24"/>
          <w:highlight w:val="none"/>
          <w:lang w:val="en-US" w:eastAsia="zh-CN" w:bidi="ar-SA"/>
          <w14:textFill>
            <w14:solidFill>
              <w14:schemeClr w14:val="tx1"/>
            </w14:solidFill>
          </w14:textFill>
        </w:rPr>
        <w:t>涉及3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口井，其中</w:t>
      </w:r>
      <w:r>
        <w:rPr>
          <w:rFonts w:hint="eastAsia" w:cs="Times New Roman"/>
          <w:color w:val="000000" w:themeColor="text1"/>
          <w:sz w:val="24"/>
          <w:szCs w:val="24"/>
          <w:highlight w:val="none"/>
          <w:lang w:val="en-US" w:eastAsia="zh-CN" w:bidi="ar-SA"/>
          <w14:textFill>
            <w14:solidFill>
              <w14:schemeClr w14:val="tx1"/>
            </w14:solidFill>
          </w14:textFill>
        </w:rPr>
        <w:t>星火7斜井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已单独做勘探井环评，并取得阿克苏地区生态环境局审批文件（阿地环审〔202</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108</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号）</w:t>
      </w:r>
      <w:r>
        <w:rPr>
          <w:rFonts w:hint="eastAsia"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已单独做勘探井环评，并取得阿克苏地区生态环境局审批文件（阿地环审〔202</w:t>
      </w:r>
      <w:r>
        <w:rPr>
          <w:rFonts w:hint="eastAsia" w:cs="Times New Roman"/>
          <w:color w:val="000000" w:themeColor="text1"/>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312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号），</w:t>
      </w:r>
      <w:r>
        <w:rPr>
          <w:rFonts w:hint="eastAsia" w:cs="Times New Roman"/>
          <w:color w:val="000000" w:themeColor="text1"/>
          <w:sz w:val="24"/>
          <w:szCs w:val="24"/>
          <w:highlight w:val="none"/>
          <w:lang w:val="en-US" w:eastAsia="zh-CN" w:bidi="ar-SA"/>
          <w14:textFill>
            <w14:solidFill>
              <w14:schemeClr w14:val="tx1"/>
            </w14:solidFill>
          </w14:textFill>
        </w:rPr>
        <w:t>本工程星火7斜井和星火701斜井两口井为勘探井转为生产井，施工仅涉及地面工程。</w:t>
      </w:r>
    </w:p>
    <w:p w14:paraId="24FBB0AA">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w:t>
      </w:r>
      <w:r>
        <w:rPr>
          <w:rFonts w:hint="eastAsia" w:eastAsia="宋体" w:cs="Times New Roman"/>
          <w:color w:val="000000" w:themeColor="text1"/>
          <w:sz w:val="24"/>
          <w:szCs w:val="24"/>
          <w:highlight w:val="none"/>
          <w:lang w:val="en-US" w:eastAsia="zh-CN" w:bidi="ar-SA"/>
          <w14:textFill>
            <w14:solidFill>
              <w14:schemeClr w14:val="tx1"/>
            </w14:solidFill>
          </w14:textFill>
        </w:rPr>
        <w:t>新钻井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，井深</w:t>
      </w:r>
      <w:r>
        <w:rPr>
          <w:rFonts w:hint="eastAsia" w:cs="Times New Roman"/>
          <w:color w:val="000000" w:themeColor="text1"/>
          <w:sz w:val="24"/>
          <w:szCs w:val="24"/>
          <w:highlight w:val="none"/>
          <w:lang w:val="en-US" w:eastAsia="zh-CN" w:bidi="ar-SA"/>
          <w14:textFill>
            <w14:solidFill>
              <w14:schemeClr w14:val="tx1"/>
            </w14:solidFill>
          </w14:textFill>
        </w:rPr>
        <w:t>5180</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m。井场附近不设置施工营地，钻井队生活营地依托附近已有居住设施。本工程钻井工程主要工程量见表</w:t>
      </w:r>
      <w:bookmarkStart w:id="472" w:name="OLE_LINK748"/>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3.2-</w:t>
      </w:r>
      <w:bookmarkEnd w:id="472"/>
      <w:r>
        <w:rPr>
          <w:rFonts w:hint="eastAsia" w:cs="Times New Roman"/>
          <w:color w:val="000000" w:themeColor="text1"/>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。钻井期</w:t>
      </w:r>
      <w:r>
        <w:rPr>
          <w:rFonts w:hint="eastAsia" w:cs="Times New Roman"/>
          <w:color w:val="000000" w:themeColor="text1"/>
          <w:sz w:val="24"/>
          <w:szCs w:val="24"/>
          <w:highlight w:val="none"/>
          <w:lang w:val="en-US" w:eastAsia="zh-CN" w:bidi="ar-SA"/>
          <w14:textFill>
            <w14:solidFill>
              <w14:schemeClr w14:val="tx1"/>
            </w14:solidFill>
          </w14:textFill>
        </w:rPr>
        <w:t>井场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平面布置见图3.2-</w:t>
      </w:r>
      <w:r>
        <w:rPr>
          <w:rFonts w:hint="eastAsia" w:cs="Times New Roman"/>
          <w:color w:val="000000" w:themeColor="text1"/>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53804709">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pPr>
      <w:bookmarkStart w:id="473" w:name="OLE_LINK754"/>
      <w:bookmarkStart w:id="474" w:name="OLE_LINK749"/>
      <w:bookmarkStart w:id="475" w:name="OLE_LINK1378"/>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表</w:t>
      </w:r>
      <w:bookmarkStart w:id="476" w:name="OLE_LINK752"/>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3.2-</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 xml:space="preserve"> </w:t>
      </w:r>
      <w:bookmarkEnd w:id="473"/>
      <w:bookmarkEnd w:id="476"/>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本工程</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钻井</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工程主要工程量一览表</w:t>
      </w:r>
      <w:bookmarkEnd w:id="474"/>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38"/>
        <w:gridCol w:w="669"/>
        <w:gridCol w:w="788"/>
        <w:gridCol w:w="5070"/>
      </w:tblGrid>
      <w:tr w14:paraId="41E1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14:paraId="1180E528">
            <w:pPr>
              <w:pStyle w:val="64"/>
              <w:spacing w:before="24" w:after="24"/>
              <w:ind w:left="0" w:lef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038D9D89">
            <w:pPr>
              <w:pStyle w:val="64"/>
              <w:spacing w:before="24" w:after="24"/>
              <w:ind w:left="0" w:lef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3623306A">
            <w:pPr>
              <w:pStyle w:val="64"/>
              <w:spacing w:before="24" w:after="24"/>
              <w:ind w:left="0" w:lef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单位</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6CF547AD">
            <w:pPr>
              <w:pStyle w:val="64"/>
              <w:spacing w:before="24" w:after="24"/>
              <w:ind w:left="0" w:lef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数量</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760DA5AA">
            <w:pPr>
              <w:pStyle w:val="64"/>
              <w:spacing w:before="24" w:after="24"/>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489F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14:paraId="1DE0D849">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54D0EC89">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477" w:name="OLE_LINK1377"/>
            <w:r>
              <w:rPr>
                <w:rFonts w:hint="default" w:ascii="Times New Roman" w:hAnsi="Times New Roman" w:cs="Times New Roman"/>
                <w:color w:val="000000" w:themeColor="text1"/>
                <w:sz w:val="21"/>
                <w:szCs w:val="21"/>
                <w:highlight w:val="none"/>
                <w14:textFill>
                  <w14:solidFill>
                    <w14:schemeClr w14:val="tx1"/>
                  </w14:solidFill>
                </w14:textFill>
              </w:rPr>
              <w:t>井场</w:t>
            </w:r>
            <w:bookmarkEnd w:id="477"/>
            <w:r>
              <w:rPr>
                <w:rFonts w:hint="default" w:ascii="Times New Roman" w:hAnsi="Times New Roman" w:cs="Times New Roman"/>
                <w:color w:val="000000" w:themeColor="text1"/>
                <w:sz w:val="21"/>
                <w:szCs w:val="21"/>
                <w:highlight w:val="none"/>
                <w14:textFill>
                  <w14:solidFill>
                    <w14:schemeClr w14:val="tx1"/>
                  </w14:solidFill>
                </w14:textFill>
              </w:rPr>
              <w:t>面积</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28FDEB62">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920A73B">
            <w:pPr>
              <w:pStyle w:val="64"/>
              <w:spacing w:before="24" w:after="24"/>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10200</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5F3D5565">
            <w:pPr>
              <w:pStyle w:val="64"/>
              <w:spacing w:before="24" w:after="24"/>
              <w:ind w:left="0" w:leftChars="0" w:firstLine="0" w:firstLineChars="0"/>
              <w:jc w:val="cente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星火7-2斜井</w:t>
            </w:r>
            <w:r>
              <w:rPr>
                <w:rFonts w:hint="default"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占地面积</w:t>
            </w:r>
            <w:bookmarkStart w:id="478" w:name="OLE_LINK1376"/>
            <w:r>
              <w:rPr>
                <w:rFonts w:hint="eastAsia"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1</w:t>
            </w:r>
            <w:bookmarkEnd w:id="478"/>
            <w:r>
              <w:rPr>
                <w:rFonts w:hint="eastAsia"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0200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val="0"/>
                <w:snapToGrid w:val="0"/>
                <w:color w:val="000000" w:themeColor="text1"/>
                <w:kern w:val="0"/>
                <w:sz w:val="21"/>
                <w:szCs w:val="21"/>
                <w:highlight w:val="none"/>
                <w:lang w:val="en-US" w:eastAsia="zh-CN"/>
                <w14:textFill>
                  <w14:solidFill>
                    <w14:schemeClr w14:val="tx1"/>
                  </w14:solidFill>
                </w14:textFill>
              </w:rPr>
              <w:t>120m×85m</w:t>
            </w:r>
            <w:r>
              <w:rPr>
                <w:rFonts w:hint="default" w:ascii="Times New Roman" w:hAnsi="Times New Roman" w:cs="Times New Roman"/>
                <w:bCs w:val="0"/>
                <w:snapToGrid w:val="0"/>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，利用</w:t>
            </w:r>
          </w:p>
          <w:p w14:paraId="335B5D69">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星火7斜井现有井场施工。</w:t>
            </w:r>
          </w:p>
        </w:tc>
      </w:tr>
      <w:tr w14:paraId="59FC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5" w:type="dxa"/>
            <w:tcBorders>
              <w:top w:val="single" w:color="auto" w:sz="4" w:space="0"/>
              <w:left w:val="single" w:color="auto" w:sz="4" w:space="0"/>
              <w:right w:val="single" w:color="auto" w:sz="4" w:space="0"/>
            </w:tcBorders>
            <w:noWrap w:val="0"/>
            <w:vAlign w:val="center"/>
          </w:tcPr>
          <w:p w14:paraId="0797FA27">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4F5899DC">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放喷池</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3036B560">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1C09B5C">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00</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1BE64B5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479" w:name="OLE_LINK1254"/>
            <w:bookmarkStart w:id="480" w:name="OLE_LINK1252"/>
            <w:r>
              <w:rPr>
                <w:rFonts w:hint="eastAsia" w:cs="Times New Roman"/>
                <w:color w:val="000000" w:themeColor="text1"/>
                <w:sz w:val="21"/>
                <w:szCs w:val="21"/>
                <w:highlight w:val="none"/>
                <w:vertAlign w:val="baseline"/>
                <w:lang w:eastAsia="zh-CN"/>
                <w14:textFill>
                  <w14:solidFill>
                    <w14:schemeClr w14:val="tx1"/>
                  </w14:solidFill>
                </w14:textFill>
              </w:rPr>
              <w:t>星火7</w:t>
            </w:r>
            <w:r>
              <w:rPr>
                <w:rFonts w:hint="eastAsia" w:cs="Times New Roman"/>
                <w:color w:val="000000" w:themeColor="text1"/>
                <w:sz w:val="21"/>
                <w:szCs w:val="21"/>
                <w:highlight w:val="none"/>
                <w:vertAlign w:val="baseline"/>
                <w:lang w:val="en-US" w:eastAsia="zh-CN"/>
                <w14:textFill>
                  <w14:solidFill>
                    <w14:schemeClr w14:val="tx1"/>
                  </w14:solidFill>
                </w14:textFill>
              </w:rPr>
              <w:t>-2</w:t>
            </w:r>
            <w:r>
              <w:rPr>
                <w:rFonts w:hint="eastAsia" w:cs="Times New Roman"/>
                <w:color w:val="000000" w:themeColor="text1"/>
                <w:sz w:val="21"/>
                <w:szCs w:val="21"/>
                <w:highlight w:val="none"/>
                <w:vertAlign w:val="baseline"/>
                <w:lang w:eastAsia="zh-CN"/>
                <w14:textFill>
                  <w14:solidFill>
                    <w14:schemeClr w14:val="tx1"/>
                  </w14:solidFill>
                </w14:textFill>
              </w:rPr>
              <w:t>斜井</w:t>
            </w:r>
            <w:bookmarkEnd w:id="479"/>
            <w:r>
              <w:rPr>
                <w:rFonts w:hint="eastAsia" w:cs="Times New Roman"/>
                <w:color w:val="000000" w:themeColor="text1"/>
                <w:sz w:val="21"/>
                <w:szCs w:val="21"/>
                <w:highlight w:val="none"/>
                <w:vertAlign w:val="baseline"/>
                <w:lang w:val="en-US" w:eastAsia="zh-CN"/>
                <w14:textFill>
                  <w14:solidFill>
                    <w14:schemeClr w14:val="tx1"/>
                  </w14:solidFill>
                </w14:textFill>
              </w:rPr>
              <w:t>井场外</w:t>
            </w:r>
            <w:r>
              <w:rPr>
                <w:rFonts w:hint="eastAsia" w:cs="Times New Roman"/>
                <w:color w:val="000000" w:themeColor="text1"/>
                <w:sz w:val="21"/>
                <w:szCs w:val="21"/>
                <w:highlight w:val="none"/>
                <w:lang w:val="en-US" w:eastAsia="zh-CN"/>
                <w14:textFill>
                  <w14:solidFill>
                    <w14:schemeClr w14:val="tx1"/>
                  </w14:solidFill>
                </w14:textFill>
              </w:rPr>
              <w:t>1座</w:t>
            </w:r>
            <w:bookmarkEnd w:id="480"/>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p>
        </w:tc>
      </w:tr>
      <w:bookmarkEnd w:id="475"/>
    </w:tbl>
    <w:p w14:paraId="38232D44">
      <w:pPr>
        <w:pageBreakBefore w:val="0"/>
        <w:widowControl/>
        <w:numPr>
          <w:ilvl w:val="0"/>
          <w:numId w:val="0"/>
        </w:numPr>
        <w:kinsoku/>
        <w:wordWrap/>
        <w:overflowPunct/>
        <w:topLinePunct w:val="0"/>
        <w:autoSpaceDE/>
        <w:autoSpaceDN/>
        <w:bidi w:val="0"/>
        <w:adjustRightInd w:val="0"/>
        <w:snapToGrid w:val="0"/>
        <w:spacing w:beforeLines="0" w:afterLines="0" w:line="240" w:lineRule="auto"/>
        <w:jc w:val="center"/>
        <w:textAlignment w:val="auto"/>
        <w:outlineLvl w:val="9"/>
        <w:rPr>
          <w:rFonts w:hint="eastAsia" w:eastAsia="宋体"/>
          <w:color w:val="000000" w:themeColor="text1"/>
          <w:sz w:val="24"/>
          <w:highlight w:val="none"/>
          <w:lang w:eastAsia="zh-CN"/>
          <w14:textFill>
            <w14:solidFill>
              <w14:schemeClr w14:val="tx1"/>
            </w14:solidFill>
          </w14:textFill>
        </w:rPr>
      </w:pPr>
    </w:p>
    <w:p w14:paraId="182AA736">
      <w:pPr>
        <w:pageBreakBefore w:val="0"/>
        <w:widowControl/>
        <w:numPr>
          <w:ilvl w:val="0"/>
          <w:numId w:val="0"/>
        </w:numPr>
        <w:kinsoku/>
        <w:wordWrap/>
        <w:overflowPunct/>
        <w:topLinePunct w:val="0"/>
        <w:autoSpaceDE/>
        <w:autoSpaceDN/>
        <w:bidi w:val="0"/>
        <w:adjustRightInd w:val="0"/>
        <w:snapToGrid w:val="0"/>
        <w:spacing w:beforeLines="0" w:afterLines="0" w:line="240" w:lineRule="auto"/>
        <w:jc w:val="center"/>
        <w:textAlignment w:val="auto"/>
        <w:outlineLvl w:val="9"/>
        <w:rPr>
          <w:color w:val="000000" w:themeColor="text1"/>
          <w:highlight w:val="none"/>
          <w14:textFill>
            <w14:solidFill>
              <w14:schemeClr w14:val="tx1"/>
            </w14:solidFill>
          </w14:textFill>
        </w:rPr>
      </w:pPr>
    </w:p>
    <w:p w14:paraId="492E1AA3">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bookmarkStart w:id="481" w:name="OLE_LINK755"/>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图</w:t>
      </w:r>
      <w:bookmarkStart w:id="482" w:name="OLE_LINK753"/>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3.2-</w:t>
      </w:r>
      <w:bookmarkEnd w:id="481"/>
      <w:bookmarkEnd w:id="482"/>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钻井期平面布置示意图</w:t>
      </w:r>
    </w:p>
    <w:p w14:paraId="67A91AC0">
      <w:pPr>
        <w:pageBreakBefore w:val="0"/>
        <w:widowControl/>
        <w:numPr>
          <w:ilvl w:val="0"/>
          <w:numId w:val="0"/>
        </w:numPr>
        <w:kinsoku/>
        <w:wordWrap/>
        <w:overflowPunct/>
        <w:topLinePunct w:val="0"/>
        <w:autoSpaceDE/>
        <w:autoSpaceDN/>
        <w:bidi w:val="0"/>
        <w:adjustRightInd w:val="0"/>
        <w:snapToGrid w:val="0"/>
        <w:spacing w:beforeLines="0" w:afterLines="0" w:line="360" w:lineRule="auto"/>
        <w:ind w:firstLine="480" w:firstLineChars="200"/>
        <w:jc w:val="both"/>
        <w:textAlignment w:val="auto"/>
        <w:outlineLvl w:val="9"/>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2 \* GB3 \* MERGEFORMAT </w:instrTex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②</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井身结构</w:t>
      </w:r>
    </w:p>
    <w:p w14:paraId="2E89506A">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本工程</w:t>
      </w:r>
      <w:r>
        <w:rPr>
          <w:rFonts w:hint="default" w:ascii="Times New Roman" w:hAnsi="Times New Roman" w:cs="Times New Roman"/>
          <w:color w:val="000000" w:themeColor="text1"/>
          <w:highlight w:val="none"/>
          <w:lang w:eastAsia="zh-CN"/>
          <w14:textFill>
            <w14:solidFill>
              <w14:schemeClr w14:val="tx1"/>
            </w14:solidFill>
          </w14:textFill>
        </w:rPr>
        <w:t>计划新钻井</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口（</w:t>
      </w:r>
      <w:r>
        <w:rPr>
          <w:rFonts w:hint="eastAsia" w:cs="Times New Roman"/>
          <w:color w:val="000000" w:themeColor="text1"/>
          <w:sz w:val="24"/>
          <w:szCs w:val="24"/>
          <w:highlight w:val="none"/>
          <w:lang w:val="en-US" w:eastAsia="zh-CN" w:bidi="ar-SA"/>
          <w14:textFill>
            <w14:solidFill>
              <w14:schemeClr w14:val="tx1"/>
            </w14:solidFill>
          </w14:textFill>
        </w:rPr>
        <w:t>星火7-2斜井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星火7-2斜井</w:t>
      </w:r>
      <w:r>
        <w:rPr>
          <w:rFonts w:hint="default" w:ascii="Times New Roman" w:hAnsi="Times New Roman" w:cs="Times New Roman"/>
          <w:color w:val="000000" w:themeColor="text1"/>
          <w:highlight w:val="none"/>
          <w14:textFill>
            <w14:solidFill>
              <w14:schemeClr w14:val="tx1"/>
            </w14:solidFill>
          </w14:textFill>
        </w:rPr>
        <w:t>设计井深</w:t>
      </w:r>
      <w:bookmarkStart w:id="483" w:name="OLE_LINK751"/>
      <w:r>
        <w:rPr>
          <w:rFonts w:hint="eastAsia" w:cs="Times New Roman"/>
          <w:color w:val="000000" w:themeColor="text1"/>
          <w:highlight w:val="none"/>
          <w:lang w:val="en-US" w:eastAsia="zh-CN"/>
          <w14:textFill>
            <w14:solidFill>
              <w14:schemeClr w14:val="tx1"/>
            </w14:solidFill>
          </w14:textFill>
        </w:rPr>
        <w:t>5943m</w:t>
      </w:r>
      <w:bookmarkEnd w:id="483"/>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，四级井身结构，钻井采用</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ZJ</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70钻机。目的层为库姆格列木群</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白垩系巴什基奇克组。完钻后进行试油，获取有关技术参数。</w:t>
      </w:r>
    </w:p>
    <w:p w14:paraId="5C231ACC">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pPr>
      <w:bookmarkStart w:id="484" w:name="OLE_LINK756"/>
      <w:bookmarkStart w:id="485" w:name="OLE_LINK750"/>
      <w:bookmarkStart w:id="486" w:name="OLE_LINK1402"/>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表</w:t>
      </w:r>
      <w:bookmarkStart w:id="487" w:name="OLE_LINK1255"/>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3.2-</w:t>
      </w:r>
      <w:bookmarkEnd w:id="484"/>
      <w:bookmarkEnd w:id="487"/>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星火7</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斜井</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井身结构</w:t>
      </w:r>
    </w:p>
    <w:tbl>
      <w:tblPr>
        <w:tblStyle w:val="37"/>
        <w:tblW w:w="81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1490"/>
        <w:gridCol w:w="1668"/>
        <w:gridCol w:w="1312"/>
        <w:gridCol w:w="1492"/>
        <w:gridCol w:w="1553"/>
      </w:tblGrid>
      <w:tr w14:paraId="38247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4F66D3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开钻顺序</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171B51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钻头</w:t>
            </w:r>
            <w:r>
              <w:rPr>
                <w:rFonts w:hint="eastAsia"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尺寸</w:t>
            </w:r>
            <w:r>
              <w:rPr>
                <w:rFonts w:hint="default" w:ascii="Times New Roman" w:hAnsi="Times New Roman"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mm</w:t>
            </w:r>
            <w:r>
              <w:rPr>
                <w:rFonts w:hint="default" w:ascii="Times New Roman" w:hAnsi="Times New Roman"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0ECF5C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bookmarkStart w:id="488" w:name="OLE_LINK1268"/>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井</w:t>
            </w:r>
            <w:r>
              <w:rPr>
                <w:rFonts w:hint="eastAsia"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段</w:t>
            </w:r>
          </w:p>
          <w:bookmarkEnd w:id="488"/>
          <w:p w14:paraId="67DC72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14:paraId="02D508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bookmarkStart w:id="489" w:name="OLE_LINK1261"/>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进尺</w:t>
            </w:r>
            <w:bookmarkEnd w:id="489"/>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7D8E43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套管</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尺寸</w:t>
            </w:r>
            <w:r>
              <w:rPr>
                <w:rFonts w:hint="default" w:ascii="Times New Roman" w:hAnsi="Times New Roman"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mm</w:t>
            </w:r>
            <w:r>
              <w:rPr>
                <w:rFonts w:hint="default" w:ascii="Times New Roman" w:hAnsi="Times New Roman"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553" w:type="dxa"/>
            <w:tcBorders>
              <w:top w:val="single" w:color="auto" w:sz="4" w:space="0"/>
              <w:left w:val="single" w:color="auto" w:sz="4" w:space="0"/>
              <w:bottom w:val="single" w:color="auto" w:sz="4" w:space="0"/>
              <w:right w:val="single" w:color="auto" w:sz="4" w:space="0"/>
            </w:tcBorders>
            <w:shd w:val="clear" w:color="auto" w:fill="auto"/>
            <w:vAlign w:val="center"/>
          </w:tcPr>
          <w:p w14:paraId="73881C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bookmarkStart w:id="490" w:name="OLE_LINK1263"/>
            <w:r>
              <w:rPr>
                <w:rFonts w:hint="default" w:ascii="Times New Roman" w:hAnsi="Times New Roman" w:cs="Times New Roman"/>
                <w:b/>
                <w:bCs/>
                <w:color w:val="000000" w:themeColor="text1"/>
                <w:sz w:val="21"/>
                <w:szCs w:val="21"/>
                <w:highlight w:val="none"/>
                <w14:textFill>
                  <w14:solidFill>
                    <w14:schemeClr w14:val="tx1"/>
                  </w14:solidFill>
                </w14:textFill>
              </w:rPr>
              <w:t>钻井液体系</w:t>
            </w:r>
            <w:bookmarkEnd w:id="490"/>
          </w:p>
        </w:tc>
      </w:tr>
      <w:tr w14:paraId="74B4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17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9EAD9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斜井部分</w:t>
            </w:r>
          </w:p>
        </w:tc>
      </w:tr>
      <w:tr w14:paraId="3192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42ECC8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一开</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6F4A78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444.5</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7882FA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0-2001.5</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top"/>
          </w:tcPr>
          <w:p w14:paraId="4AB6764E">
            <w:pPr>
              <w:keepNext w:val="0"/>
              <w:keepLines w:val="0"/>
              <w:widowControl/>
              <w:suppressLineNumbers w:val="0"/>
              <w:jc w:val="center"/>
              <w:textAlignment w:val="top"/>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2001.5</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76920A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339.7</w:t>
            </w:r>
          </w:p>
        </w:tc>
        <w:tc>
          <w:tcPr>
            <w:tcW w:w="1553" w:type="dxa"/>
            <w:tcBorders>
              <w:top w:val="single" w:color="auto" w:sz="4" w:space="0"/>
              <w:left w:val="single" w:color="auto" w:sz="4" w:space="0"/>
              <w:bottom w:val="single" w:color="auto" w:sz="4" w:space="0"/>
              <w:right w:val="single" w:color="auto" w:sz="4" w:space="0"/>
            </w:tcBorders>
            <w:shd w:val="clear" w:color="auto" w:fill="auto"/>
            <w:vAlign w:val="center"/>
          </w:tcPr>
          <w:p w14:paraId="7A892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膨润土-聚合物</w:t>
            </w:r>
          </w:p>
        </w:tc>
      </w:tr>
      <w:tr w14:paraId="4C6DB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187769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491" w:name="OLE_LINK1260" w:colFirst="2" w:colLast="2"/>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二开</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41ECC5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311.2</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56761C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bookmarkStart w:id="492" w:name="OLE_LINK1258"/>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bookmarkEnd w:id="492"/>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087.78</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top"/>
          </w:tcPr>
          <w:p w14:paraId="27ECE5E2">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3086.28</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0DFD46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250.83</w:t>
            </w:r>
          </w:p>
        </w:tc>
        <w:tc>
          <w:tcPr>
            <w:tcW w:w="1553" w:type="dxa"/>
            <w:tcBorders>
              <w:top w:val="single" w:color="auto" w:sz="4" w:space="0"/>
              <w:left w:val="single" w:color="auto" w:sz="4" w:space="0"/>
              <w:bottom w:val="single" w:color="auto" w:sz="4" w:space="0"/>
              <w:right w:val="single" w:color="auto" w:sz="4" w:space="0"/>
            </w:tcBorders>
            <w:shd w:val="clear" w:color="auto" w:fill="auto"/>
            <w:vAlign w:val="center"/>
          </w:tcPr>
          <w:p w14:paraId="5C7DF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聚合物</w:t>
            </w:r>
          </w:p>
        </w:tc>
      </w:tr>
      <w:tr w14:paraId="6231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785F73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三开</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50267C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215.9</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5FF8C8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5850</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top"/>
          </w:tcPr>
          <w:p w14:paraId="06E2E2AD">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762.22</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180BB2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177.8</w:t>
            </w:r>
          </w:p>
        </w:tc>
        <w:tc>
          <w:tcPr>
            <w:tcW w:w="1553" w:type="dxa"/>
            <w:tcBorders>
              <w:top w:val="single" w:color="auto" w:sz="4" w:space="0"/>
              <w:left w:val="single" w:color="auto" w:sz="4" w:space="0"/>
              <w:bottom w:val="single" w:color="auto" w:sz="4" w:space="0"/>
              <w:right w:val="single" w:color="auto" w:sz="4" w:space="0"/>
            </w:tcBorders>
            <w:shd w:val="clear" w:color="auto" w:fill="auto"/>
            <w:vAlign w:val="center"/>
          </w:tcPr>
          <w:p w14:paraId="0423C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聚磺</w:t>
            </w:r>
          </w:p>
        </w:tc>
      </w:tr>
      <w:tr w14:paraId="4C33C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5972C6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493" w:name="OLE_LINK1266" w:colFirst="3" w:colLast="3"/>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四开</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4EFA62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149.2</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42F2D6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5943</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top"/>
          </w:tcPr>
          <w:p w14:paraId="2303EBC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7877F97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27</w:t>
            </w:r>
          </w:p>
        </w:tc>
        <w:tc>
          <w:tcPr>
            <w:tcW w:w="1553" w:type="dxa"/>
            <w:tcBorders>
              <w:top w:val="single" w:color="auto" w:sz="4" w:space="0"/>
              <w:left w:val="single" w:color="auto" w:sz="4" w:space="0"/>
              <w:right w:val="single" w:color="auto" w:sz="4" w:space="0"/>
            </w:tcBorders>
            <w:shd w:val="clear" w:color="auto" w:fill="auto"/>
            <w:vAlign w:val="center"/>
          </w:tcPr>
          <w:p w14:paraId="4E30F8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油基</w:t>
            </w:r>
          </w:p>
        </w:tc>
      </w:tr>
      <w:bookmarkEnd w:id="493"/>
      <w:tr w14:paraId="64A5B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817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1C2B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bookmarkStart w:id="494" w:name="OLE_LINK1289"/>
            <w:r>
              <w:rPr>
                <w:rFonts w:hint="eastAsia" w:cs="Times New Roman"/>
                <w:color w:val="000000" w:themeColor="text1"/>
                <w:sz w:val="21"/>
                <w:szCs w:val="21"/>
                <w:highlight w:val="none"/>
                <w:lang w:val="en-US" w:eastAsia="zh-CN"/>
                <w14:textFill>
                  <w14:solidFill>
                    <w14:schemeClr w14:val="tx1"/>
                  </w14:solidFill>
                </w14:textFill>
              </w:rPr>
              <w:t>运营期侧钻</w:t>
            </w:r>
            <w:bookmarkEnd w:id="494"/>
            <w:r>
              <w:rPr>
                <w:rFonts w:hint="eastAsia" w:cs="Times New Roman"/>
                <w:color w:val="000000" w:themeColor="text1"/>
                <w:sz w:val="21"/>
                <w:szCs w:val="21"/>
                <w:highlight w:val="none"/>
                <w:lang w:val="en-US" w:eastAsia="zh-CN"/>
                <w14:textFill>
                  <w14:solidFill>
                    <w14:schemeClr w14:val="tx1"/>
                  </w14:solidFill>
                </w14:textFill>
              </w:rPr>
              <w:t>部分</w:t>
            </w:r>
          </w:p>
        </w:tc>
      </w:tr>
      <w:tr w14:paraId="12BA1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14:paraId="4B9665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一开</w:t>
            </w:r>
          </w:p>
        </w:tc>
        <w:tc>
          <w:tcPr>
            <w:tcW w:w="1490" w:type="dxa"/>
            <w:tcBorders>
              <w:top w:val="single" w:color="auto" w:sz="4" w:space="0"/>
              <w:left w:val="single" w:color="auto" w:sz="4" w:space="0"/>
              <w:bottom w:val="single" w:color="auto" w:sz="4" w:space="0"/>
              <w:right w:val="single" w:color="auto" w:sz="4" w:space="0"/>
            </w:tcBorders>
            <w:shd w:val="clear" w:color="auto" w:fill="auto"/>
            <w:vAlign w:val="center"/>
          </w:tcPr>
          <w:p w14:paraId="29ADAD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149.2</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2BED7E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800m/次</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14:paraId="3C0B33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495" w:name="OLE_LINK1265"/>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bookmarkEnd w:id="495"/>
          </w:p>
        </w:tc>
        <w:tc>
          <w:tcPr>
            <w:tcW w:w="1492" w:type="dxa"/>
            <w:tcBorders>
              <w:top w:val="single" w:color="auto" w:sz="4" w:space="0"/>
              <w:left w:val="single" w:color="auto" w:sz="4" w:space="0"/>
              <w:bottom w:val="single" w:color="auto" w:sz="4" w:space="0"/>
              <w:right w:val="single" w:color="auto" w:sz="4" w:space="0"/>
            </w:tcBorders>
            <w:shd w:val="clear" w:color="auto" w:fill="auto"/>
            <w:vAlign w:val="center"/>
          </w:tcPr>
          <w:p w14:paraId="58D8BB0D">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27</w:t>
            </w:r>
          </w:p>
        </w:tc>
        <w:tc>
          <w:tcPr>
            <w:tcW w:w="1553" w:type="dxa"/>
            <w:tcBorders>
              <w:left w:val="single" w:color="auto" w:sz="4" w:space="0"/>
              <w:bottom w:val="single" w:color="auto" w:sz="4" w:space="0"/>
              <w:right w:val="single" w:color="auto" w:sz="4" w:space="0"/>
            </w:tcBorders>
            <w:shd w:val="clear" w:color="auto" w:fill="auto"/>
            <w:vAlign w:val="center"/>
          </w:tcPr>
          <w:p w14:paraId="28284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油基</w:t>
            </w:r>
          </w:p>
        </w:tc>
      </w:tr>
      <w:bookmarkEnd w:id="485"/>
      <w:bookmarkEnd w:id="491"/>
    </w:tbl>
    <w:p w14:paraId="16EC821E">
      <w:pPr>
        <w:pStyle w:val="31"/>
        <w:ind w:left="0" w:leftChars="0" w:firstLine="0" w:firstLineChars="0"/>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备注：侧钻进尺按照800m/次计算，泥浆体系为磺化泥浆；本工程属于碎屑岩地层，侧钻2次。</w:t>
      </w:r>
    </w:p>
    <w:bookmarkEnd w:id="486"/>
    <w:tbl>
      <w:tblPr>
        <w:tblStyle w:val="38"/>
        <w:tblW w:w="490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59"/>
      </w:tblGrid>
      <w:tr w14:paraId="6D437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5" w:hRule="atLeast"/>
        </w:trPr>
        <w:tc>
          <w:tcPr>
            <w:tcW w:w="5000" w:type="pct"/>
          </w:tcPr>
          <w:p w14:paraId="1B903B3C">
            <w:pPr>
              <w:widowControl w:val="0"/>
              <w:jc w:val="center"/>
              <w:rPr>
                <w:rFonts w:hint="eastAsia" w:ascii="Times New Roman" w:hAnsi="Times New Roman" w:eastAsia="宋体" w:cs="Times New Roman"/>
                <w:color w:val="000000" w:themeColor="text1"/>
                <w:highlight w:val="none"/>
                <w:vertAlign w:val="baseline"/>
                <w:lang w:eastAsia="zh-CN"/>
                <w14:textFill>
                  <w14:solidFill>
                    <w14:schemeClr w14:val="tx1"/>
                  </w14:solidFill>
                </w14:textFill>
              </w:rPr>
            </w:pPr>
          </w:p>
        </w:tc>
      </w:tr>
    </w:tbl>
    <w:p w14:paraId="15897523">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图</w:t>
      </w:r>
      <w:bookmarkStart w:id="496" w:name="OLE_LINK1282"/>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3.2-</w:t>
      </w:r>
      <w:bookmarkEnd w:id="496"/>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星火7</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斜井</w:t>
      </w:r>
      <w:r>
        <w:rPr>
          <w:rFonts w:hint="default" w:ascii="Times New Roman" w:hAnsi="Times New Roman" w:eastAsia="宋体" w:cs="Times New Roman"/>
          <w:b/>
          <w:bCs w:val="0"/>
          <w:color w:val="000000" w:themeColor="text1"/>
          <w:sz w:val="21"/>
          <w:szCs w:val="21"/>
          <w:highlight w:val="none"/>
          <w:lang w:val="en-GB" w:eastAsia="zh-CN" w:bidi="ar-SA"/>
          <w14:textFill>
            <w14:solidFill>
              <w14:schemeClr w14:val="tx1"/>
            </w14:solidFill>
          </w14:textFill>
        </w:rPr>
        <w:t>井身结构示意图</w:t>
      </w:r>
    </w:p>
    <w:p w14:paraId="02938F61">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3 \* GB3 \* MERGEFORMAT </w:instrTex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钻井液</w:t>
      </w:r>
    </w:p>
    <w:p w14:paraId="690F4B65">
      <w:pPr>
        <w:pStyle w:val="81"/>
        <w:ind w:firstLine="480"/>
        <w:jc w:val="both"/>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本工程配制钻井液所用的原料为有机物类、无机盐类等，不含重金属。本工程采用聚合物钻井液</w:t>
      </w:r>
      <w:r>
        <w:rPr>
          <w:rFonts w:hint="eastAsia"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聚磺钻井液</w:t>
      </w:r>
      <w:r>
        <w:rPr>
          <w:rFonts w:hint="eastAsia" w:hAnsi="Times New Roman" w:cs="Times New Roman"/>
          <w:color w:val="000000" w:themeColor="text1"/>
          <w:highlight w:val="none"/>
          <w:lang w:val="en-US" w:eastAsia="zh-CN"/>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油基钻井液</w:t>
      </w:r>
      <w:r>
        <w:rPr>
          <w:rFonts w:hint="default" w:ascii="Times New Roman" w:hAnsi="Times New Roman" w:cs="Times New Roman"/>
          <w:color w:val="000000" w:themeColor="text1"/>
          <w:highlight w:val="none"/>
          <w14:textFill>
            <w14:solidFill>
              <w14:schemeClr w14:val="tx1"/>
            </w14:solidFill>
          </w14:textFill>
        </w:rPr>
        <w:t>，使用后全部回</w:t>
      </w:r>
      <w:r>
        <w:rPr>
          <w:rFonts w:hint="default" w:ascii="Times New Roman" w:hAnsi="Times New Roman" w:cs="Times New Roman"/>
          <w:color w:val="000000" w:themeColor="text1"/>
          <w:highlight w:val="none"/>
          <w:lang w:val="en-US" w:eastAsia="zh-CN"/>
          <w14:textFill>
            <w14:solidFill>
              <w14:schemeClr w14:val="tx1"/>
            </w14:solidFill>
          </w14:textFill>
        </w:rPr>
        <w:t>收。</w:t>
      </w:r>
      <w:r>
        <w:rPr>
          <w:rFonts w:hint="default" w:ascii="Times New Roman" w:hAnsi="Times New Roman" w:cs="Times New Roman"/>
          <w:color w:val="000000" w:themeColor="text1"/>
          <w:kern w:val="2"/>
          <w:highlight w:val="none"/>
          <w14:textFill>
            <w14:solidFill>
              <w14:schemeClr w14:val="tx1"/>
            </w14:solidFill>
          </w14:textFill>
        </w:rPr>
        <w:t>本工程钻井液体系见表</w:t>
      </w:r>
      <w:r>
        <w:rPr>
          <w:rFonts w:hint="default" w:ascii="Times New Roman" w:hAnsi="Times New Roman" w:cs="Times New Roman"/>
          <w:color w:val="000000" w:themeColor="text1"/>
          <w:kern w:val="2"/>
          <w:highlight w:val="none"/>
          <w:lang w:val="en-US" w:eastAsia="zh-CN"/>
          <w14:textFill>
            <w14:solidFill>
              <w14:schemeClr w14:val="tx1"/>
            </w14:solidFill>
          </w14:textFill>
        </w:rPr>
        <w:t>3.2-</w:t>
      </w:r>
      <w:r>
        <w:rPr>
          <w:rFonts w:hint="eastAsia" w:cs="Times New Roman"/>
          <w:color w:val="000000" w:themeColor="text1"/>
          <w:kern w:val="2"/>
          <w:highlight w:val="none"/>
          <w:lang w:val="en-US" w:eastAsia="zh-CN"/>
          <w14:textFill>
            <w14:solidFill>
              <w14:schemeClr w14:val="tx1"/>
            </w14:solidFill>
          </w14:textFill>
        </w:rPr>
        <w:t>8</w:t>
      </w:r>
      <w:r>
        <w:rPr>
          <w:rFonts w:hint="default" w:ascii="Times New Roman" w:hAnsi="Times New Roman" w:cs="Times New Roman"/>
          <w:color w:val="000000" w:themeColor="text1"/>
          <w:kern w:val="2"/>
          <w:highlight w:val="none"/>
          <w14:textFill>
            <w14:solidFill>
              <w14:schemeClr w14:val="tx1"/>
            </w14:solidFill>
          </w14:textFill>
        </w:rPr>
        <w:t>。</w:t>
      </w:r>
    </w:p>
    <w:p w14:paraId="7F154CF8">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表3.2-</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钻井液体系表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925"/>
        <w:gridCol w:w="2009"/>
        <w:gridCol w:w="5689"/>
      </w:tblGrid>
      <w:tr w14:paraId="17F897AA">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536" w:type="pct"/>
            <w:noWrap w:val="0"/>
            <w:vAlign w:val="center"/>
          </w:tcPr>
          <w:p w14:paraId="7C8C09FA">
            <w:pPr>
              <w:pStyle w:val="111"/>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井段</w:t>
            </w:r>
          </w:p>
        </w:tc>
        <w:tc>
          <w:tcPr>
            <w:tcW w:w="1164" w:type="pct"/>
            <w:noWrap w:val="0"/>
            <w:vAlign w:val="center"/>
          </w:tcPr>
          <w:p w14:paraId="28C4FB84">
            <w:pPr>
              <w:pStyle w:val="111"/>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钻井液体系</w:t>
            </w:r>
          </w:p>
        </w:tc>
        <w:tc>
          <w:tcPr>
            <w:tcW w:w="3298" w:type="pct"/>
            <w:noWrap w:val="0"/>
            <w:vAlign w:val="center"/>
          </w:tcPr>
          <w:p w14:paraId="259CEFDA">
            <w:pPr>
              <w:pStyle w:val="111"/>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选择依据</w:t>
            </w:r>
          </w:p>
        </w:tc>
      </w:tr>
      <w:tr w14:paraId="575C70D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536" w:type="pct"/>
            <w:noWrap w:val="0"/>
            <w:vAlign w:val="center"/>
          </w:tcPr>
          <w:p w14:paraId="753E940F">
            <w:pPr>
              <w:snapToGrid w:val="0"/>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164" w:type="pct"/>
            <w:noWrap/>
            <w:vAlign w:val="center"/>
          </w:tcPr>
          <w:p w14:paraId="2BC037B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膨润土-聚合物</w:t>
            </w:r>
          </w:p>
        </w:tc>
        <w:tc>
          <w:tcPr>
            <w:tcW w:w="3298" w:type="pct"/>
            <w:noWrap/>
            <w:vAlign w:val="center"/>
          </w:tcPr>
          <w:p w14:paraId="42C5578D">
            <w:pPr>
              <w:adjustRightInd w:val="0"/>
              <w:snapToGrid w:val="0"/>
              <w:ind w:right="-29" w:rightChars="-12"/>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地层疏松易垮塌，采用高粘聚合物体系保持井眼稳定</w:t>
            </w:r>
            <w:r>
              <w:rPr>
                <w:rFonts w:hint="eastAsia" w:cs="Times New Roman"/>
                <w:snapToGrid w:val="0"/>
                <w:color w:val="000000" w:themeColor="text1"/>
                <w:sz w:val="21"/>
                <w:szCs w:val="21"/>
                <w:highlight w:val="none"/>
                <w:lang w:eastAsia="zh-CN"/>
                <w14:textFill>
                  <w14:solidFill>
                    <w14:schemeClr w14:val="tx1"/>
                  </w14:solidFill>
                </w14:textFill>
              </w:rPr>
              <w:t>。</w:t>
            </w:r>
          </w:p>
        </w:tc>
      </w:tr>
      <w:tr w14:paraId="6FA1A225">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536" w:type="pct"/>
            <w:noWrap w:val="0"/>
            <w:vAlign w:val="center"/>
          </w:tcPr>
          <w:p w14:paraId="5D02FB2D">
            <w:pPr>
              <w:snapToGrid w:val="0"/>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164" w:type="pct"/>
            <w:noWrap/>
            <w:vAlign w:val="center"/>
          </w:tcPr>
          <w:p w14:paraId="5D780A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聚合物</w:t>
            </w:r>
          </w:p>
        </w:tc>
        <w:tc>
          <w:tcPr>
            <w:tcW w:w="3298" w:type="pct"/>
            <w:noWrap/>
            <w:vAlign w:val="center"/>
          </w:tcPr>
          <w:p w14:paraId="599C4AE3">
            <w:pPr>
              <w:pStyle w:val="111"/>
              <w:ind w:right="-36" w:rightChars="-15"/>
              <w:jc w:val="left"/>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泥岩地层易造浆，砂岩易渗漏，体系包被抑制性强</w:t>
            </w:r>
            <w:r>
              <w:rPr>
                <w:rFonts w:hint="eastAsia" w:cs="Times New Roman"/>
                <w:snapToGrid w:val="0"/>
                <w:color w:val="000000" w:themeColor="text1"/>
                <w:sz w:val="21"/>
                <w:szCs w:val="21"/>
                <w:highlight w:val="none"/>
                <w:lang w:eastAsia="zh-CN"/>
                <w14:textFill>
                  <w14:solidFill>
                    <w14:schemeClr w14:val="tx1"/>
                  </w14:solidFill>
                </w14:textFill>
              </w:rPr>
              <w:t>。</w:t>
            </w:r>
          </w:p>
        </w:tc>
      </w:tr>
      <w:tr w14:paraId="31F8B10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536" w:type="pct"/>
            <w:noWrap w:val="0"/>
            <w:vAlign w:val="center"/>
          </w:tcPr>
          <w:p w14:paraId="16ECE975">
            <w:pPr>
              <w:snapToGrid w:val="0"/>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164" w:type="pct"/>
            <w:noWrap/>
            <w:vAlign w:val="center"/>
          </w:tcPr>
          <w:p w14:paraId="7D7FB9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聚磺</w:t>
            </w:r>
          </w:p>
        </w:tc>
        <w:tc>
          <w:tcPr>
            <w:tcW w:w="3298" w:type="pct"/>
            <w:noWrap/>
            <w:vAlign w:val="top"/>
          </w:tcPr>
          <w:p w14:paraId="3B4B31CB">
            <w:pPr>
              <w:jc w:val="left"/>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具有良好的防塌性、润滑性、抗温及储层保护效果</w:t>
            </w:r>
            <w:r>
              <w:rPr>
                <w:rFonts w:hint="eastAsia" w:cs="Times New Roman"/>
                <w:color w:val="000000" w:themeColor="text1"/>
                <w:sz w:val="21"/>
                <w:szCs w:val="21"/>
                <w:highlight w:val="none"/>
                <w:lang w:eastAsia="zh-CN"/>
                <w14:textFill>
                  <w14:solidFill>
                    <w14:schemeClr w14:val="tx1"/>
                  </w14:solidFill>
                </w14:textFill>
              </w:rPr>
              <w:t>。</w:t>
            </w:r>
          </w:p>
        </w:tc>
      </w:tr>
      <w:tr w14:paraId="1B303B42">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536" w:type="pct"/>
            <w:noWrap w:val="0"/>
            <w:vAlign w:val="center"/>
          </w:tcPr>
          <w:p w14:paraId="768F1D4D">
            <w:pPr>
              <w:snapToGrid w:val="0"/>
              <w:spacing w:line="240" w:lineRule="exact"/>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2009" w:type="dxa"/>
            <w:noWrap/>
            <w:vAlign w:val="center"/>
          </w:tcPr>
          <w:p w14:paraId="270859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油基</w:t>
            </w:r>
          </w:p>
        </w:tc>
        <w:tc>
          <w:tcPr>
            <w:tcW w:w="5689" w:type="dxa"/>
            <w:noWrap/>
            <w:vAlign w:val="center"/>
          </w:tcPr>
          <w:p w14:paraId="2514B898">
            <w:pPr>
              <w:adjustRightInd w:val="0"/>
              <w:snapToGrid w:val="0"/>
              <w:ind w:right="-29" w:rightChars="-12"/>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二叠、石炭系易塌，该体系具有良好的防塌、润滑性能</w:t>
            </w:r>
            <w:r>
              <w:rPr>
                <w:rFonts w:hint="eastAsia" w:cs="Times New Roman"/>
                <w:color w:val="000000" w:themeColor="text1"/>
                <w:sz w:val="21"/>
                <w:szCs w:val="21"/>
                <w:highlight w:val="none"/>
                <w:lang w:eastAsia="zh-CN"/>
                <w14:textFill>
                  <w14:solidFill>
                    <w14:schemeClr w14:val="tx1"/>
                  </w14:solidFill>
                </w14:textFill>
              </w:rPr>
              <w:t>。</w:t>
            </w:r>
          </w:p>
        </w:tc>
      </w:tr>
    </w:tbl>
    <w:p w14:paraId="5C9B6057">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4 \* GB3 \* MERGEFORMAT </w:instrTex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④</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bookmarkStart w:id="497" w:name="OLE_LINK759"/>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钻井设备</w:t>
      </w:r>
      <w:bookmarkEnd w:id="497"/>
    </w:p>
    <w:p w14:paraId="43BB2C58">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钻井工程主要施工设备为机械钻机、运输车、装载机及配套设施，设备设施情况见表</w:t>
      </w:r>
      <w:bookmarkStart w:id="498" w:name="OLE_LINK758"/>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3.2-</w:t>
      </w:r>
      <w:bookmarkEnd w:id="498"/>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9</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p>
    <w:p w14:paraId="030724FC">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表3.2-9   </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井场钻井设备一览表</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63"/>
        <w:gridCol w:w="2534"/>
        <w:gridCol w:w="1171"/>
        <w:gridCol w:w="1085"/>
        <w:gridCol w:w="1607"/>
      </w:tblGrid>
      <w:tr w14:paraId="345D4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2700563">
            <w:pPr>
              <w:adjustRightInd w:val="0"/>
              <w:spacing w:line="0" w:lineRule="atLeast"/>
              <w:jc w:val="cente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设备或部件名称</w:t>
            </w:r>
          </w:p>
        </w:tc>
        <w:tc>
          <w:tcPr>
            <w:tcW w:w="1497" w:type="pct"/>
            <w:noWrap w:val="0"/>
            <w:vAlign w:val="center"/>
          </w:tcPr>
          <w:p w14:paraId="511EE5A7">
            <w:pPr>
              <w:adjustRightInd w:val="0"/>
              <w:spacing w:line="0" w:lineRule="atLeast"/>
              <w:jc w:val="cente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规格型号</w:t>
            </w:r>
          </w:p>
        </w:tc>
        <w:tc>
          <w:tcPr>
            <w:tcW w:w="692" w:type="pct"/>
            <w:noWrap w:val="0"/>
            <w:vAlign w:val="center"/>
          </w:tcPr>
          <w:p w14:paraId="2058CE3C">
            <w:pPr>
              <w:adjustRightInd w:val="0"/>
              <w:spacing w:line="0" w:lineRule="atLeast"/>
              <w:jc w:val="cente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主参数</w:t>
            </w:r>
          </w:p>
        </w:tc>
        <w:tc>
          <w:tcPr>
            <w:tcW w:w="641" w:type="pct"/>
            <w:noWrap w:val="0"/>
            <w:vAlign w:val="center"/>
          </w:tcPr>
          <w:p w14:paraId="38A1D703">
            <w:pPr>
              <w:adjustRightInd w:val="0"/>
              <w:spacing w:line="0" w:lineRule="atLeast"/>
              <w:jc w:val="cente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单位</w:t>
            </w:r>
          </w:p>
        </w:tc>
        <w:tc>
          <w:tcPr>
            <w:tcW w:w="949" w:type="pct"/>
            <w:noWrap w:val="0"/>
            <w:vAlign w:val="center"/>
          </w:tcPr>
          <w:p w14:paraId="4033D316">
            <w:pPr>
              <w:adjustRightInd w:val="0"/>
              <w:spacing w:line="0" w:lineRule="atLeast"/>
              <w:jc w:val="cente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10"/>
                <w:sz w:val="21"/>
                <w:szCs w:val="21"/>
                <w:highlight w:val="none"/>
                <w14:textFill>
                  <w14:solidFill>
                    <w14:schemeClr w14:val="tx1"/>
                  </w14:solidFill>
                </w14:textFill>
              </w:rPr>
              <w:t>数量</w:t>
            </w:r>
          </w:p>
        </w:tc>
      </w:tr>
      <w:tr w14:paraId="3AC51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0F0C83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机械钻机</w:t>
            </w:r>
          </w:p>
        </w:tc>
        <w:tc>
          <w:tcPr>
            <w:tcW w:w="1497" w:type="pct"/>
            <w:noWrap w:val="0"/>
            <w:vAlign w:val="center"/>
          </w:tcPr>
          <w:p w14:paraId="66FEC6D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bookmarkStart w:id="499" w:name="OLE_LINK757"/>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ZJ</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70</w:t>
            </w:r>
            <w:bookmarkEnd w:id="499"/>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钻机</w:t>
            </w:r>
          </w:p>
        </w:tc>
        <w:tc>
          <w:tcPr>
            <w:tcW w:w="692" w:type="pct"/>
            <w:noWrap w:val="0"/>
            <w:vAlign w:val="center"/>
          </w:tcPr>
          <w:p w14:paraId="6C156104">
            <w:pPr>
              <w:adjustRightInd w:val="0"/>
              <w:spacing w:line="0" w:lineRule="atLeast"/>
              <w:jc w:val="center"/>
              <w:rPr>
                <w:rFonts w:hint="eastAsia" w:ascii="Times New Roman" w:hAnsi="Times New Roman" w:eastAsia="宋体" w:cs="Times New Roman"/>
                <w:bCs/>
                <w:color w:val="000000" w:themeColor="text1"/>
                <w:spacing w:val="-10"/>
                <w:sz w:val="21"/>
                <w:szCs w:val="21"/>
                <w:highlight w:val="none"/>
                <w:lang w:eastAsia="zh-CN"/>
                <w14:textFill>
                  <w14:solidFill>
                    <w14:schemeClr w14:val="tx1"/>
                  </w14:solidFill>
                </w14:textFill>
              </w:rPr>
            </w:pPr>
            <w:bookmarkStart w:id="500" w:name="OLE_LINK1138"/>
            <w:r>
              <w:rPr>
                <w:rFonts w:hint="eastAsia" w:cs="Times New Roman"/>
                <w:bCs/>
                <w:color w:val="000000" w:themeColor="text1"/>
                <w:spacing w:val="-10"/>
                <w:sz w:val="21"/>
                <w:szCs w:val="21"/>
                <w:highlight w:val="none"/>
                <w:lang w:val="en-US" w:eastAsia="zh-CN"/>
                <w14:textFill>
                  <w14:solidFill>
                    <w14:schemeClr w14:val="tx1"/>
                  </w14:solidFill>
                </w14:textFill>
              </w:rPr>
              <w:t>-</w:t>
            </w:r>
            <w:bookmarkEnd w:id="500"/>
          </w:p>
        </w:tc>
        <w:tc>
          <w:tcPr>
            <w:tcW w:w="641" w:type="pct"/>
            <w:noWrap w:val="0"/>
            <w:vAlign w:val="center"/>
          </w:tcPr>
          <w:p w14:paraId="70BF0C1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949" w:type="pct"/>
            <w:noWrap w:val="0"/>
            <w:vAlign w:val="center"/>
          </w:tcPr>
          <w:p w14:paraId="3C31664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bookmarkStart w:id="501" w:name="OLE_LINK1269"/>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bookmarkEnd w:id="501"/>
          </w:p>
        </w:tc>
      </w:tr>
      <w:tr w14:paraId="4D78E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396D90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井架</w:t>
            </w:r>
          </w:p>
        </w:tc>
        <w:tc>
          <w:tcPr>
            <w:tcW w:w="1497" w:type="pct"/>
            <w:noWrap w:val="0"/>
            <w:vAlign w:val="center"/>
          </w:tcPr>
          <w:p w14:paraId="35DD442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JJ450/45-X</w:t>
            </w:r>
          </w:p>
        </w:tc>
        <w:tc>
          <w:tcPr>
            <w:tcW w:w="692" w:type="pct"/>
            <w:noWrap w:val="0"/>
            <w:vAlign w:val="center"/>
          </w:tcPr>
          <w:p w14:paraId="60149F3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4500</w:t>
            </w:r>
          </w:p>
        </w:tc>
        <w:tc>
          <w:tcPr>
            <w:tcW w:w="641" w:type="pct"/>
            <w:noWrap w:val="0"/>
            <w:vAlign w:val="center"/>
          </w:tcPr>
          <w:p w14:paraId="599989E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34443AC7">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09FF5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E74AF4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底座</w:t>
            </w:r>
          </w:p>
        </w:tc>
        <w:tc>
          <w:tcPr>
            <w:tcW w:w="1497" w:type="pct"/>
            <w:noWrap w:val="0"/>
            <w:vAlign w:val="center"/>
          </w:tcPr>
          <w:p w14:paraId="00B86DF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DZ450/10.5-X</w:t>
            </w:r>
          </w:p>
        </w:tc>
        <w:tc>
          <w:tcPr>
            <w:tcW w:w="692" w:type="pct"/>
            <w:noWrap w:val="0"/>
            <w:vAlign w:val="center"/>
          </w:tcPr>
          <w:p w14:paraId="4B94A36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4500</w:t>
            </w:r>
          </w:p>
        </w:tc>
        <w:tc>
          <w:tcPr>
            <w:tcW w:w="641" w:type="pct"/>
            <w:noWrap w:val="0"/>
            <w:vAlign w:val="center"/>
          </w:tcPr>
          <w:p w14:paraId="75B2B5C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60E8666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25A46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943263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绞车</w:t>
            </w:r>
          </w:p>
        </w:tc>
        <w:tc>
          <w:tcPr>
            <w:tcW w:w="1497" w:type="pct"/>
            <w:noWrap w:val="0"/>
            <w:vAlign w:val="center"/>
          </w:tcPr>
          <w:p w14:paraId="07B6929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JC70LDB</w:t>
            </w:r>
          </w:p>
        </w:tc>
        <w:tc>
          <w:tcPr>
            <w:tcW w:w="692" w:type="pct"/>
            <w:noWrap w:val="0"/>
            <w:vAlign w:val="center"/>
          </w:tcPr>
          <w:p w14:paraId="2E0912E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1470</w:t>
            </w:r>
          </w:p>
        </w:tc>
        <w:tc>
          <w:tcPr>
            <w:tcW w:w="641" w:type="pct"/>
            <w:noWrap w:val="0"/>
            <w:vAlign w:val="center"/>
          </w:tcPr>
          <w:p w14:paraId="3620C18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kW</w:t>
            </w:r>
          </w:p>
        </w:tc>
        <w:tc>
          <w:tcPr>
            <w:tcW w:w="949" w:type="pct"/>
            <w:noWrap w:val="0"/>
            <w:vAlign w:val="center"/>
          </w:tcPr>
          <w:p w14:paraId="26A8E7A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63DCB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6ED234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天车</w:t>
            </w:r>
          </w:p>
        </w:tc>
        <w:tc>
          <w:tcPr>
            <w:tcW w:w="1497" w:type="pct"/>
            <w:noWrap w:val="0"/>
            <w:vAlign w:val="center"/>
          </w:tcPr>
          <w:p w14:paraId="2A5F63B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TC450</w:t>
            </w:r>
          </w:p>
        </w:tc>
        <w:tc>
          <w:tcPr>
            <w:tcW w:w="692" w:type="pct"/>
            <w:noWrap w:val="0"/>
            <w:vAlign w:val="center"/>
          </w:tcPr>
          <w:p w14:paraId="6291562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4500</w:t>
            </w:r>
          </w:p>
        </w:tc>
        <w:tc>
          <w:tcPr>
            <w:tcW w:w="641" w:type="pct"/>
            <w:noWrap w:val="0"/>
            <w:vAlign w:val="center"/>
          </w:tcPr>
          <w:p w14:paraId="432D666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350CC04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55B97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F9F0A1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游车/大钩</w:t>
            </w:r>
          </w:p>
        </w:tc>
        <w:tc>
          <w:tcPr>
            <w:tcW w:w="1497" w:type="pct"/>
            <w:noWrap w:val="0"/>
            <w:vAlign w:val="center"/>
          </w:tcPr>
          <w:p w14:paraId="2CDB6DF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YC450/DG450</w:t>
            </w:r>
          </w:p>
        </w:tc>
        <w:tc>
          <w:tcPr>
            <w:tcW w:w="692" w:type="pct"/>
            <w:noWrap w:val="0"/>
            <w:vAlign w:val="center"/>
          </w:tcPr>
          <w:p w14:paraId="21098E5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4500</w:t>
            </w:r>
          </w:p>
        </w:tc>
        <w:tc>
          <w:tcPr>
            <w:tcW w:w="641" w:type="pct"/>
            <w:noWrap w:val="0"/>
            <w:vAlign w:val="center"/>
          </w:tcPr>
          <w:p w14:paraId="74B7AEB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3924311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11A5E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8B0514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水龙头</w:t>
            </w:r>
          </w:p>
        </w:tc>
        <w:tc>
          <w:tcPr>
            <w:tcW w:w="1497" w:type="pct"/>
            <w:noWrap w:val="0"/>
            <w:vAlign w:val="center"/>
          </w:tcPr>
          <w:p w14:paraId="0DED8A4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SL450-5</w:t>
            </w:r>
          </w:p>
        </w:tc>
        <w:tc>
          <w:tcPr>
            <w:tcW w:w="692" w:type="pct"/>
            <w:noWrap w:val="0"/>
            <w:vAlign w:val="center"/>
          </w:tcPr>
          <w:p w14:paraId="2F2E681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4500</w:t>
            </w:r>
          </w:p>
        </w:tc>
        <w:tc>
          <w:tcPr>
            <w:tcW w:w="641" w:type="pct"/>
            <w:noWrap w:val="0"/>
            <w:vAlign w:val="center"/>
          </w:tcPr>
          <w:p w14:paraId="5FA7723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1980918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502A0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A515B4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转盘</w:t>
            </w:r>
          </w:p>
        </w:tc>
        <w:tc>
          <w:tcPr>
            <w:tcW w:w="1497" w:type="pct"/>
            <w:noWrap w:val="0"/>
            <w:vAlign w:val="center"/>
          </w:tcPr>
          <w:p w14:paraId="73CFF87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ZP375</w:t>
            </w:r>
          </w:p>
        </w:tc>
        <w:tc>
          <w:tcPr>
            <w:tcW w:w="692" w:type="pct"/>
            <w:noWrap w:val="0"/>
            <w:vAlign w:val="center"/>
          </w:tcPr>
          <w:p w14:paraId="248C015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5850</w:t>
            </w:r>
          </w:p>
        </w:tc>
        <w:tc>
          <w:tcPr>
            <w:tcW w:w="641" w:type="pct"/>
            <w:noWrap w:val="0"/>
            <w:vAlign w:val="center"/>
          </w:tcPr>
          <w:p w14:paraId="3448A9A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kN</w:t>
            </w:r>
          </w:p>
        </w:tc>
        <w:tc>
          <w:tcPr>
            <w:tcW w:w="949" w:type="pct"/>
            <w:noWrap w:val="0"/>
            <w:vAlign w:val="center"/>
          </w:tcPr>
          <w:p w14:paraId="431BBFE0">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44638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7F0F18D">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泥浆泵</w:t>
            </w:r>
          </w:p>
        </w:tc>
        <w:tc>
          <w:tcPr>
            <w:tcW w:w="1497" w:type="pct"/>
            <w:noWrap w:val="0"/>
            <w:vAlign w:val="center"/>
          </w:tcPr>
          <w:p w14:paraId="358315D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3NB-1600F</w:t>
            </w:r>
          </w:p>
        </w:tc>
        <w:tc>
          <w:tcPr>
            <w:tcW w:w="692" w:type="pct"/>
            <w:noWrap w:val="0"/>
            <w:vAlign w:val="center"/>
          </w:tcPr>
          <w:p w14:paraId="5F02753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1600</w:t>
            </w:r>
          </w:p>
        </w:tc>
        <w:tc>
          <w:tcPr>
            <w:tcW w:w="641" w:type="pct"/>
            <w:noWrap w:val="0"/>
            <w:vAlign w:val="center"/>
          </w:tcPr>
          <w:p w14:paraId="1D7A753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HP</w:t>
            </w:r>
          </w:p>
        </w:tc>
        <w:tc>
          <w:tcPr>
            <w:tcW w:w="949" w:type="pct"/>
            <w:noWrap w:val="0"/>
            <w:vAlign w:val="center"/>
          </w:tcPr>
          <w:p w14:paraId="284E8FF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7B80B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6E4F4A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循环罐</w:t>
            </w:r>
          </w:p>
        </w:tc>
        <w:tc>
          <w:tcPr>
            <w:tcW w:w="1497" w:type="pct"/>
            <w:noWrap w:val="0"/>
            <w:vAlign w:val="center"/>
          </w:tcPr>
          <w:p w14:paraId="1203057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1879634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60</w:t>
            </w:r>
          </w:p>
        </w:tc>
        <w:tc>
          <w:tcPr>
            <w:tcW w:w="641" w:type="pct"/>
            <w:noWrap w:val="0"/>
            <w:vAlign w:val="center"/>
          </w:tcPr>
          <w:p w14:paraId="7A28FF4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p>
        </w:tc>
        <w:tc>
          <w:tcPr>
            <w:tcW w:w="949" w:type="pct"/>
            <w:noWrap w:val="0"/>
            <w:vAlign w:val="center"/>
          </w:tcPr>
          <w:p w14:paraId="2399F68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14</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个</w:t>
            </w:r>
          </w:p>
        </w:tc>
      </w:tr>
      <w:tr w14:paraId="6F390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57C677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振动筛</w:t>
            </w:r>
          </w:p>
        </w:tc>
        <w:tc>
          <w:tcPr>
            <w:tcW w:w="1497" w:type="pct"/>
            <w:noWrap w:val="0"/>
            <w:vAlign w:val="center"/>
          </w:tcPr>
          <w:p w14:paraId="7C855DB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47CE2D3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472BD13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w:t>
            </w:r>
          </w:p>
        </w:tc>
        <w:tc>
          <w:tcPr>
            <w:tcW w:w="949" w:type="pct"/>
            <w:noWrap w:val="0"/>
            <w:vAlign w:val="center"/>
          </w:tcPr>
          <w:p w14:paraId="6CBC138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49FCA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84E4DB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除气器</w:t>
            </w:r>
          </w:p>
        </w:tc>
        <w:tc>
          <w:tcPr>
            <w:tcW w:w="1497" w:type="pct"/>
            <w:noWrap w:val="0"/>
            <w:vAlign w:val="center"/>
          </w:tcPr>
          <w:p w14:paraId="0839025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ZCQ220</w:t>
            </w:r>
          </w:p>
        </w:tc>
        <w:tc>
          <w:tcPr>
            <w:tcW w:w="692" w:type="pct"/>
            <w:noWrap w:val="0"/>
            <w:vAlign w:val="center"/>
          </w:tcPr>
          <w:p w14:paraId="65EBB947">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240</w:t>
            </w:r>
          </w:p>
        </w:tc>
        <w:tc>
          <w:tcPr>
            <w:tcW w:w="641" w:type="pct"/>
            <w:noWrap w:val="0"/>
            <w:vAlign w:val="center"/>
          </w:tcPr>
          <w:p w14:paraId="4594BB1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w:t>
            </w:r>
          </w:p>
        </w:tc>
        <w:tc>
          <w:tcPr>
            <w:tcW w:w="949" w:type="pct"/>
            <w:noWrap w:val="0"/>
            <w:vAlign w:val="center"/>
          </w:tcPr>
          <w:p w14:paraId="32A5960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bookmarkStart w:id="502" w:name="OLE_LINK1270"/>
            <w:r>
              <w:rPr>
                <w:rFonts w:hint="eastAsia" w:cs="Times New Roman"/>
                <w:bCs/>
                <w:color w:val="000000" w:themeColor="text1"/>
                <w:spacing w:val="-10"/>
                <w:sz w:val="21"/>
                <w:szCs w:val="21"/>
                <w:highlight w:val="none"/>
                <w:lang w:val="en-US" w:eastAsia="zh-CN"/>
                <w14:textFill>
                  <w14:solidFill>
                    <w14:schemeClr w14:val="tx1"/>
                  </w14:solidFill>
                </w14:textFill>
              </w:rPr>
              <w:t>2</w:t>
            </w:r>
            <w:bookmarkStart w:id="503" w:name="OLE_LINK1475"/>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bookmarkEnd w:id="502"/>
            <w:bookmarkEnd w:id="503"/>
          </w:p>
        </w:tc>
      </w:tr>
      <w:tr w14:paraId="6CFB9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275925F0">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钻井液清洁器</w:t>
            </w:r>
          </w:p>
        </w:tc>
        <w:tc>
          <w:tcPr>
            <w:tcW w:w="1497" w:type="pct"/>
            <w:noWrap w:val="0"/>
            <w:vAlign w:val="center"/>
          </w:tcPr>
          <w:p w14:paraId="4988A71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CS-250×3/CN100×16</w:t>
            </w:r>
          </w:p>
        </w:tc>
        <w:tc>
          <w:tcPr>
            <w:tcW w:w="692" w:type="pct"/>
            <w:noWrap w:val="0"/>
            <w:vAlign w:val="center"/>
          </w:tcPr>
          <w:p w14:paraId="0761CED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250</w:t>
            </w:r>
          </w:p>
        </w:tc>
        <w:tc>
          <w:tcPr>
            <w:tcW w:w="641" w:type="pct"/>
            <w:noWrap w:val="0"/>
            <w:vAlign w:val="center"/>
          </w:tcPr>
          <w:p w14:paraId="21E9E06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w:t>
            </w:r>
          </w:p>
        </w:tc>
        <w:tc>
          <w:tcPr>
            <w:tcW w:w="949" w:type="pct"/>
            <w:noWrap w:val="0"/>
            <w:vAlign w:val="center"/>
          </w:tcPr>
          <w:p w14:paraId="51FBDA8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44BE8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6BDE7B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离心机</w:t>
            </w:r>
          </w:p>
        </w:tc>
        <w:tc>
          <w:tcPr>
            <w:tcW w:w="1497" w:type="pct"/>
            <w:noWrap w:val="0"/>
            <w:vAlign w:val="center"/>
          </w:tcPr>
          <w:p w14:paraId="4CFFD8D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GW458-842/GL255-1250</w:t>
            </w:r>
          </w:p>
        </w:tc>
        <w:tc>
          <w:tcPr>
            <w:tcW w:w="692" w:type="pct"/>
            <w:noWrap w:val="0"/>
            <w:vAlign w:val="center"/>
          </w:tcPr>
          <w:p w14:paraId="25C6D26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50</w:t>
            </w:r>
          </w:p>
        </w:tc>
        <w:tc>
          <w:tcPr>
            <w:tcW w:w="641" w:type="pct"/>
            <w:noWrap w:val="0"/>
            <w:vAlign w:val="center"/>
          </w:tcPr>
          <w:p w14:paraId="595641E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w:t>
            </w:r>
          </w:p>
        </w:tc>
        <w:tc>
          <w:tcPr>
            <w:tcW w:w="949" w:type="pct"/>
            <w:noWrap w:val="0"/>
            <w:vAlign w:val="center"/>
          </w:tcPr>
          <w:p w14:paraId="48986DF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41F18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18D146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液气分离器</w:t>
            </w:r>
          </w:p>
        </w:tc>
        <w:tc>
          <w:tcPr>
            <w:tcW w:w="1497" w:type="pct"/>
            <w:noWrap w:val="0"/>
            <w:vAlign w:val="center"/>
          </w:tcPr>
          <w:p w14:paraId="1BDF81E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NQF1200/0.7</w:t>
            </w:r>
          </w:p>
        </w:tc>
        <w:tc>
          <w:tcPr>
            <w:tcW w:w="692" w:type="pct"/>
            <w:noWrap w:val="0"/>
            <w:vAlign w:val="center"/>
          </w:tcPr>
          <w:p w14:paraId="2ECEB9E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5000</w:t>
            </w:r>
          </w:p>
        </w:tc>
        <w:tc>
          <w:tcPr>
            <w:tcW w:w="641" w:type="pct"/>
            <w:noWrap w:val="0"/>
            <w:vAlign w:val="center"/>
          </w:tcPr>
          <w:p w14:paraId="29D6518D">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/h</w:t>
            </w:r>
          </w:p>
        </w:tc>
        <w:tc>
          <w:tcPr>
            <w:tcW w:w="949" w:type="pct"/>
            <w:noWrap w:val="0"/>
            <w:vAlign w:val="center"/>
          </w:tcPr>
          <w:p w14:paraId="6568659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2B9F4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3E5FD25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钻台紧急滑道</w:t>
            </w:r>
          </w:p>
        </w:tc>
        <w:tc>
          <w:tcPr>
            <w:tcW w:w="1497" w:type="pct"/>
            <w:noWrap w:val="0"/>
            <w:vAlign w:val="center"/>
          </w:tcPr>
          <w:p w14:paraId="2293AF7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4C311EB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170170A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949" w:type="pct"/>
            <w:noWrap w:val="0"/>
            <w:vAlign w:val="center"/>
          </w:tcPr>
          <w:p w14:paraId="40B7A07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按标准配套</w:t>
            </w:r>
          </w:p>
        </w:tc>
      </w:tr>
      <w:tr w14:paraId="35137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24391C90">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环形防喷器</w:t>
            </w:r>
          </w:p>
        </w:tc>
        <w:tc>
          <w:tcPr>
            <w:tcW w:w="1497" w:type="pct"/>
            <w:noWrap w:val="0"/>
            <w:vAlign w:val="center"/>
          </w:tcPr>
          <w:p w14:paraId="331A173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FH35-35</w:t>
            </w:r>
          </w:p>
        </w:tc>
        <w:tc>
          <w:tcPr>
            <w:tcW w:w="692" w:type="pct"/>
            <w:noWrap w:val="0"/>
            <w:vAlign w:val="center"/>
          </w:tcPr>
          <w:p w14:paraId="201C52C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35</w:t>
            </w:r>
          </w:p>
        </w:tc>
        <w:tc>
          <w:tcPr>
            <w:tcW w:w="641" w:type="pct"/>
            <w:noWrap w:val="0"/>
            <w:vAlign w:val="center"/>
          </w:tcPr>
          <w:p w14:paraId="0A0A696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MPa</w:t>
            </w:r>
          </w:p>
        </w:tc>
        <w:tc>
          <w:tcPr>
            <w:tcW w:w="949" w:type="pct"/>
            <w:noWrap w:val="0"/>
            <w:vAlign w:val="center"/>
          </w:tcPr>
          <w:p w14:paraId="4102D2E2">
            <w:pPr>
              <w:adjustRightInd w:val="0"/>
              <w:spacing w:line="0" w:lineRule="atLeast"/>
              <w:jc w:val="center"/>
              <w:rPr>
                <w:rFonts w:hint="eastAsia" w:ascii="Times New Roman" w:hAnsi="Times New Roman" w:eastAsia="宋体" w:cs="Times New Roman"/>
                <w:bCs/>
                <w:color w:val="000000" w:themeColor="text1"/>
                <w:spacing w:val="-10"/>
                <w:sz w:val="21"/>
                <w:szCs w:val="21"/>
                <w:highlight w:val="none"/>
                <w:lang w:eastAsia="zh-CN"/>
                <w14:textFill>
                  <w14:solidFill>
                    <w14:schemeClr w14:val="tx1"/>
                  </w14:solidFill>
                </w14:textFill>
              </w:rPr>
            </w:pPr>
            <w:bookmarkStart w:id="504" w:name="OLE_LINK1271"/>
            <w:r>
              <w:rPr>
                <w:rFonts w:hint="eastAsia" w:cs="Times New Roman"/>
                <w:bCs/>
                <w:color w:val="000000" w:themeColor="text1"/>
                <w:spacing w:val="-10"/>
                <w:sz w:val="21"/>
                <w:szCs w:val="21"/>
                <w:highlight w:val="none"/>
                <w:lang w:val="en-US" w:eastAsia="zh-CN"/>
                <w14:textFill>
                  <w14:solidFill>
                    <w14:schemeClr w14:val="tx1"/>
                  </w14:solidFill>
                </w14:textFill>
              </w:rPr>
              <w:t>2</w:t>
            </w:r>
            <w:bookmarkEnd w:id="504"/>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4E694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6412663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单闸板防喷器</w:t>
            </w:r>
          </w:p>
        </w:tc>
        <w:tc>
          <w:tcPr>
            <w:tcW w:w="1497" w:type="pct"/>
            <w:noWrap w:val="0"/>
            <w:vAlign w:val="center"/>
          </w:tcPr>
          <w:p w14:paraId="4D5AE3A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FZ35-70</w:t>
            </w:r>
          </w:p>
        </w:tc>
        <w:tc>
          <w:tcPr>
            <w:tcW w:w="692" w:type="pct"/>
            <w:noWrap w:val="0"/>
            <w:vAlign w:val="center"/>
          </w:tcPr>
          <w:p w14:paraId="5EE7F66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70</w:t>
            </w:r>
          </w:p>
        </w:tc>
        <w:tc>
          <w:tcPr>
            <w:tcW w:w="641" w:type="pct"/>
            <w:noWrap w:val="0"/>
            <w:vAlign w:val="center"/>
          </w:tcPr>
          <w:p w14:paraId="149A517D">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MPa</w:t>
            </w:r>
          </w:p>
        </w:tc>
        <w:tc>
          <w:tcPr>
            <w:tcW w:w="949" w:type="pct"/>
            <w:noWrap w:val="0"/>
            <w:vAlign w:val="center"/>
          </w:tcPr>
          <w:p w14:paraId="285ECAB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5EA6A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48AA1B3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双闸板防喷器</w:t>
            </w:r>
          </w:p>
        </w:tc>
        <w:tc>
          <w:tcPr>
            <w:tcW w:w="1497" w:type="pct"/>
            <w:noWrap w:val="0"/>
            <w:vAlign w:val="center"/>
          </w:tcPr>
          <w:p w14:paraId="4C709CE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2FZ35-70</w:t>
            </w:r>
          </w:p>
        </w:tc>
        <w:tc>
          <w:tcPr>
            <w:tcW w:w="692" w:type="pct"/>
            <w:noWrap w:val="0"/>
            <w:vAlign w:val="center"/>
          </w:tcPr>
          <w:p w14:paraId="248D7DB0">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70</w:t>
            </w:r>
          </w:p>
        </w:tc>
        <w:tc>
          <w:tcPr>
            <w:tcW w:w="641" w:type="pct"/>
            <w:noWrap w:val="0"/>
            <w:vAlign w:val="center"/>
          </w:tcPr>
          <w:p w14:paraId="0515C332">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MPa</w:t>
            </w:r>
          </w:p>
        </w:tc>
        <w:tc>
          <w:tcPr>
            <w:tcW w:w="949" w:type="pct"/>
            <w:noWrap w:val="0"/>
            <w:vAlign w:val="center"/>
          </w:tcPr>
          <w:p w14:paraId="00B5E8CE">
            <w:pPr>
              <w:adjustRightInd w:val="0"/>
              <w:spacing w:line="0" w:lineRule="atLeast"/>
              <w:jc w:val="center"/>
              <w:rPr>
                <w:rFonts w:hint="eastAsia" w:ascii="Times New Roman" w:hAnsi="Times New Roman" w:eastAsia="宋体" w:cs="Times New Roman"/>
                <w:bCs/>
                <w:color w:val="000000" w:themeColor="text1"/>
                <w:spacing w:val="-10"/>
                <w:sz w:val="21"/>
                <w:szCs w:val="21"/>
                <w:highlight w:val="none"/>
                <w:lang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台</w:t>
            </w:r>
          </w:p>
        </w:tc>
      </w:tr>
      <w:tr w14:paraId="33F0A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2D9588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压井管汇</w:t>
            </w:r>
          </w:p>
        </w:tc>
        <w:tc>
          <w:tcPr>
            <w:tcW w:w="1497" w:type="pct"/>
            <w:noWrap w:val="0"/>
            <w:vAlign w:val="center"/>
          </w:tcPr>
          <w:p w14:paraId="40FB152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YG78/103-70</w:t>
            </w:r>
          </w:p>
        </w:tc>
        <w:tc>
          <w:tcPr>
            <w:tcW w:w="692" w:type="pct"/>
            <w:noWrap w:val="0"/>
            <w:vAlign w:val="center"/>
          </w:tcPr>
          <w:p w14:paraId="6A9F605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70</w:t>
            </w:r>
          </w:p>
        </w:tc>
        <w:tc>
          <w:tcPr>
            <w:tcW w:w="641" w:type="pct"/>
            <w:noWrap w:val="0"/>
            <w:vAlign w:val="center"/>
          </w:tcPr>
          <w:p w14:paraId="5ACB464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MPa</w:t>
            </w:r>
          </w:p>
        </w:tc>
        <w:tc>
          <w:tcPr>
            <w:tcW w:w="949" w:type="pct"/>
            <w:noWrap w:val="0"/>
            <w:vAlign w:val="center"/>
          </w:tcPr>
          <w:p w14:paraId="336D4085">
            <w:pPr>
              <w:adjustRightInd w:val="0"/>
              <w:spacing w:line="0" w:lineRule="atLeast"/>
              <w:jc w:val="center"/>
              <w:rPr>
                <w:rFonts w:hint="eastAsia" w:ascii="Times New Roman" w:hAnsi="Times New Roman" w:eastAsia="宋体" w:cs="Times New Roman"/>
                <w:bCs/>
                <w:color w:val="000000" w:themeColor="text1"/>
                <w:spacing w:val="-10"/>
                <w:sz w:val="21"/>
                <w:szCs w:val="21"/>
                <w:highlight w:val="none"/>
                <w:lang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bookmarkStart w:id="505" w:name="OLE_LINK1476"/>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套</w:t>
            </w:r>
            <w:bookmarkEnd w:id="505"/>
          </w:p>
        </w:tc>
      </w:tr>
      <w:tr w14:paraId="14727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5454B8B">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节流管汇</w:t>
            </w:r>
          </w:p>
        </w:tc>
        <w:tc>
          <w:tcPr>
            <w:tcW w:w="1497" w:type="pct"/>
            <w:noWrap w:val="0"/>
            <w:vAlign w:val="center"/>
          </w:tcPr>
          <w:p w14:paraId="7BE2F07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JG78/103-70</w:t>
            </w:r>
          </w:p>
        </w:tc>
        <w:tc>
          <w:tcPr>
            <w:tcW w:w="692" w:type="pct"/>
            <w:noWrap w:val="0"/>
            <w:vAlign w:val="center"/>
          </w:tcPr>
          <w:p w14:paraId="6BADB69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70</w:t>
            </w:r>
          </w:p>
        </w:tc>
        <w:tc>
          <w:tcPr>
            <w:tcW w:w="641" w:type="pct"/>
            <w:noWrap w:val="0"/>
            <w:vAlign w:val="center"/>
          </w:tcPr>
          <w:p w14:paraId="743F038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MPa</w:t>
            </w:r>
          </w:p>
        </w:tc>
        <w:tc>
          <w:tcPr>
            <w:tcW w:w="949" w:type="pct"/>
            <w:noWrap w:val="0"/>
            <w:vAlign w:val="center"/>
          </w:tcPr>
          <w:p w14:paraId="032FDF2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套</w:t>
            </w:r>
          </w:p>
        </w:tc>
      </w:tr>
      <w:tr w14:paraId="140F5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55F6E76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运输车辆</w:t>
            </w:r>
          </w:p>
        </w:tc>
        <w:tc>
          <w:tcPr>
            <w:tcW w:w="1497" w:type="pct"/>
            <w:noWrap w:val="0"/>
            <w:vAlign w:val="center"/>
          </w:tcPr>
          <w:p w14:paraId="5739A6B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3074BEC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2AA29FC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辆</w:t>
            </w:r>
          </w:p>
        </w:tc>
        <w:tc>
          <w:tcPr>
            <w:tcW w:w="949" w:type="pct"/>
            <w:noWrap w:val="0"/>
            <w:vAlign w:val="center"/>
          </w:tcPr>
          <w:p w14:paraId="3E68C16D">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0</w:t>
            </w:r>
          </w:p>
        </w:tc>
      </w:tr>
      <w:tr w14:paraId="18FFA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291FE43F">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装载机</w:t>
            </w:r>
          </w:p>
        </w:tc>
        <w:tc>
          <w:tcPr>
            <w:tcW w:w="1497" w:type="pct"/>
            <w:noWrap w:val="0"/>
            <w:vAlign w:val="center"/>
          </w:tcPr>
          <w:p w14:paraId="22C5DFB0">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7B2CBA5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79FBD838">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辆</w:t>
            </w:r>
          </w:p>
        </w:tc>
        <w:tc>
          <w:tcPr>
            <w:tcW w:w="949" w:type="pct"/>
            <w:noWrap w:val="0"/>
            <w:vAlign w:val="center"/>
          </w:tcPr>
          <w:p w14:paraId="4AE99801">
            <w:pPr>
              <w:adjustRightInd w:val="0"/>
              <w:spacing w:line="0" w:lineRule="atLeast"/>
              <w:jc w:val="center"/>
              <w:rPr>
                <w:rFonts w:hint="eastAsia" w:ascii="Times New Roman" w:hAnsi="Times New Roman" w:eastAsia="宋体" w:cs="Times New Roman"/>
                <w:bCs/>
                <w:color w:val="000000" w:themeColor="text1"/>
                <w:spacing w:val="-10"/>
                <w:sz w:val="21"/>
                <w:szCs w:val="21"/>
                <w:highlight w:val="none"/>
                <w:lang w:eastAsia="zh-CN"/>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4</w:t>
            </w:r>
          </w:p>
        </w:tc>
      </w:tr>
      <w:tr w14:paraId="13F11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1D1FD7A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采</w:t>
            </w:r>
            <w:r>
              <w:rPr>
                <w:rFonts w:hint="eastAsia" w:cs="Times New Roman"/>
                <w:bCs/>
                <w:color w:val="000000" w:themeColor="text1"/>
                <w:spacing w:val="-10"/>
                <w:sz w:val="21"/>
                <w:szCs w:val="21"/>
                <w:highlight w:val="none"/>
                <w:lang w:val="en-US" w:eastAsia="zh-CN"/>
                <w14:textFill>
                  <w14:solidFill>
                    <w14:schemeClr w14:val="tx1"/>
                  </w14:solidFill>
                </w14:textFill>
              </w:rPr>
              <w:t>气</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树</w:t>
            </w:r>
          </w:p>
        </w:tc>
        <w:tc>
          <w:tcPr>
            <w:tcW w:w="1497" w:type="pct"/>
            <w:noWrap w:val="0"/>
            <w:vAlign w:val="center"/>
          </w:tcPr>
          <w:p w14:paraId="4F00CE97">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4BA4A72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345A0F61">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949" w:type="pct"/>
            <w:noWrap w:val="0"/>
            <w:vAlign w:val="center"/>
          </w:tcPr>
          <w:p w14:paraId="1F17F9D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5D32C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019C03C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计量分离器</w:t>
            </w:r>
          </w:p>
        </w:tc>
        <w:tc>
          <w:tcPr>
            <w:tcW w:w="1497" w:type="pct"/>
            <w:noWrap w:val="0"/>
            <w:vAlign w:val="center"/>
          </w:tcPr>
          <w:p w14:paraId="4126E7B7">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4778217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023EB45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949" w:type="pct"/>
            <w:noWrap w:val="0"/>
            <w:vAlign w:val="center"/>
          </w:tcPr>
          <w:p w14:paraId="56280874">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套</w:t>
            </w:r>
          </w:p>
        </w:tc>
      </w:tr>
      <w:tr w14:paraId="55C95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175FF89A">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凝析油储罐</w:t>
            </w:r>
          </w:p>
        </w:tc>
        <w:tc>
          <w:tcPr>
            <w:tcW w:w="1497" w:type="pct"/>
            <w:noWrap w:val="0"/>
            <w:vAlign w:val="center"/>
          </w:tcPr>
          <w:p w14:paraId="0CC388E3">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104D5A85">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0</w:t>
            </w:r>
          </w:p>
        </w:tc>
        <w:tc>
          <w:tcPr>
            <w:tcW w:w="641" w:type="pct"/>
            <w:noWrap w:val="0"/>
            <w:vAlign w:val="center"/>
          </w:tcPr>
          <w:p w14:paraId="3C5DB557">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10"/>
                <w:sz w:val="21"/>
                <w:szCs w:val="21"/>
                <w:highlight w:val="none"/>
                <w:vertAlign w:val="superscript"/>
                <w14:textFill>
                  <w14:solidFill>
                    <w14:schemeClr w14:val="tx1"/>
                  </w14:solidFill>
                </w14:textFill>
              </w:rPr>
              <w:t>3</w:t>
            </w:r>
          </w:p>
        </w:tc>
        <w:tc>
          <w:tcPr>
            <w:tcW w:w="949" w:type="pct"/>
            <w:noWrap w:val="0"/>
            <w:vAlign w:val="center"/>
          </w:tcPr>
          <w:p w14:paraId="7ED4C5D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个</w:t>
            </w:r>
          </w:p>
        </w:tc>
      </w:tr>
      <w:tr w14:paraId="41DD7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9" w:type="pct"/>
            <w:noWrap w:val="0"/>
            <w:vAlign w:val="center"/>
          </w:tcPr>
          <w:p w14:paraId="700D4F0D">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放空管</w:t>
            </w:r>
          </w:p>
        </w:tc>
        <w:tc>
          <w:tcPr>
            <w:tcW w:w="1497" w:type="pct"/>
            <w:noWrap w:val="0"/>
            <w:vAlign w:val="center"/>
          </w:tcPr>
          <w:p w14:paraId="47465589">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92" w:type="pct"/>
            <w:noWrap w:val="0"/>
            <w:vAlign w:val="center"/>
          </w:tcPr>
          <w:p w14:paraId="55E445CC">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641" w:type="pct"/>
            <w:noWrap w:val="0"/>
            <w:vAlign w:val="center"/>
          </w:tcPr>
          <w:p w14:paraId="338E1016">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w:t>
            </w:r>
          </w:p>
        </w:tc>
        <w:tc>
          <w:tcPr>
            <w:tcW w:w="949" w:type="pct"/>
            <w:noWrap w:val="0"/>
            <w:vAlign w:val="center"/>
          </w:tcPr>
          <w:p w14:paraId="766E529E">
            <w:pPr>
              <w:adjustRightInd w:val="0"/>
              <w:spacing w:line="0" w:lineRule="atLeast"/>
              <w:jc w:val="cente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pPr>
            <w:r>
              <w:rPr>
                <w:rFonts w:hint="eastAsia" w:cs="Times New Roman"/>
                <w:bCs/>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个</w:t>
            </w:r>
          </w:p>
        </w:tc>
      </w:tr>
    </w:tbl>
    <w:p w14:paraId="7B82693F">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⑤</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固井措施</w:t>
      </w:r>
    </w:p>
    <w:p w14:paraId="240BB317">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本工程固井水泥浆配方详见表3.2-</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p>
    <w:p w14:paraId="59D5399B">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表</w:t>
      </w:r>
      <w:bookmarkStart w:id="506" w:name="OLE_LINK765"/>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3.2-</w:t>
      </w:r>
      <w:bookmarkEnd w:id="506"/>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水泥浆配方一览表</w:t>
      </w:r>
    </w:p>
    <w:tbl>
      <w:tblPr>
        <w:tblStyle w:val="37"/>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681"/>
        <w:gridCol w:w="6792"/>
      </w:tblGrid>
      <w:tr w14:paraId="6928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362" w:type="dxa"/>
            <w:gridSpan w:val="2"/>
            <w:vAlign w:val="center"/>
          </w:tcPr>
          <w:p w14:paraId="3730701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b/>
                <w:bCs/>
                <w:color w:val="000000" w:themeColor="text1"/>
                <w:sz w:val="21"/>
                <w:szCs w:val="15"/>
                <w:highlight w:val="none"/>
                <w14:textFill>
                  <w14:solidFill>
                    <w14:schemeClr w14:val="tx1"/>
                  </w14:solidFill>
                </w14:textFill>
              </w:rPr>
            </w:pPr>
            <w:r>
              <w:rPr>
                <w:rFonts w:hint="default" w:ascii="Times New Roman" w:hAnsi="Times New Roman" w:cs="Times New Roman"/>
                <w:b/>
                <w:bCs/>
                <w:color w:val="000000" w:themeColor="text1"/>
                <w:sz w:val="21"/>
                <w:szCs w:val="15"/>
                <w:highlight w:val="none"/>
                <w14:textFill>
                  <w14:solidFill>
                    <w14:schemeClr w14:val="tx1"/>
                  </w14:solidFill>
                </w14:textFill>
              </w:rPr>
              <w:t>套管程序</w:t>
            </w:r>
          </w:p>
        </w:tc>
        <w:tc>
          <w:tcPr>
            <w:tcW w:w="6792" w:type="dxa"/>
            <w:vAlign w:val="center"/>
          </w:tcPr>
          <w:p w14:paraId="7A18B3D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b/>
                <w:bCs/>
                <w:color w:val="000000" w:themeColor="text1"/>
                <w:sz w:val="21"/>
                <w:szCs w:val="15"/>
                <w:highlight w:val="none"/>
                <w14:textFill>
                  <w14:solidFill>
                    <w14:schemeClr w14:val="tx1"/>
                  </w14:solidFill>
                </w14:textFill>
              </w:rPr>
            </w:pPr>
            <w:r>
              <w:rPr>
                <w:rFonts w:hint="default" w:ascii="Times New Roman" w:hAnsi="Times New Roman" w:cs="Times New Roman"/>
                <w:b/>
                <w:bCs/>
                <w:color w:val="000000" w:themeColor="text1"/>
                <w:sz w:val="21"/>
                <w:szCs w:val="15"/>
                <w:highlight w:val="none"/>
                <w14:textFill>
                  <w14:solidFill>
                    <w14:schemeClr w14:val="tx1"/>
                  </w14:solidFill>
                </w14:textFill>
              </w:rPr>
              <w:t>水泥浆配方</w:t>
            </w:r>
          </w:p>
        </w:tc>
      </w:tr>
      <w:tr w14:paraId="0843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362" w:type="dxa"/>
            <w:gridSpan w:val="2"/>
            <w:vAlign w:val="center"/>
          </w:tcPr>
          <w:p w14:paraId="15C4AAD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导管</w:t>
            </w:r>
          </w:p>
        </w:tc>
        <w:tc>
          <w:tcPr>
            <w:tcW w:w="6792" w:type="dxa"/>
            <w:vAlign w:val="center"/>
          </w:tcPr>
          <w:p w14:paraId="631D762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G级水泥+48%W/C</w:t>
            </w:r>
          </w:p>
        </w:tc>
      </w:tr>
      <w:tr w14:paraId="2AB6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362" w:type="dxa"/>
            <w:gridSpan w:val="2"/>
            <w:vAlign w:val="center"/>
          </w:tcPr>
          <w:p w14:paraId="121AAA0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表层套管</w:t>
            </w:r>
          </w:p>
        </w:tc>
        <w:tc>
          <w:tcPr>
            <w:tcW w:w="6792" w:type="dxa"/>
            <w:vAlign w:val="center"/>
          </w:tcPr>
          <w:p w14:paraId="57C42E3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G级水泥+48%W/C</w:t>
            </w:r>
          </w:p>
        </w:tc>
      </w:tr>
      <w:tr w14:paraId="732B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trPr>
        <w:tc>
          <w:tcPr>
            <w:tcW w:w="681" w:type="dxa"/>
            <w:vMerge w:val="restart"/>
            <w:vAlign w:val="center"/>
          </w:tcPr>
          <w:p w14:paraId="75C3304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技术</w:t>
            </w:r>
          </w:p>
          <w:p w14:paraId="1F167B5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套管</w:t>
            </w:r>
          </w:p>
        </w:tc>
        <w:tc>
          <w:tcPr>
            <w:tcW w:w="681" w:type="dxa"/>
            <w:vMerge w:val="restart"/>
            <w:vAlign w:val="center"/>
          </w:tcPr>
          <w:p w14:paraId="5042A98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二级</w:t>
            </w:r>
          </w:p>
        </w:tc>
        <w:tc>
          <w:tcPr>
            <w:tcW w:w="6792" w:type="dxa"/>
            <w:vAlign w:val="center"/>
          </w:tcPr>
          <w:p w14:paraId="5E9E3A8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G级水泥+100%粉煤灰+2%分散剂+8%早强剂+4%降失剂+2%膨胀剂+10%微硅+0.1%消泡剂+119%W/C</w:t>
            </w:r>
          </w:p>
        </w:tc>
      </w:tr>
      <w:tr w14:paraId="5FDA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trPr>
        <w:tc>
          <w:tcPr>
            <w:tcW w:w="681" w:type="dxa"/>
            <w:vMerge w:val="continue"/>
            <w:vAlign w:val="center"/>
          </w:tcPr>
          <w:p w14:paraId="2D7FFC9F">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p>
        </w:tc>
        <w:tc>
          <w:tcPr>
            <w:tcW w:w="681" w:type="dxa"/>
            <w:vMerge w:val="continue"/>
            <w:vAlign w:val="center"/>
          </w:tcPr>
          <w:p w14:paraId="0D2CF20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p>
        </w:tc>
        <w:tc>
          <w:tcPr>
            <w:tcW w:w="6792" w:type="dxa"/>
            <w:vAlign w:val="center"/>
          </w:tcPr>
          <w:p w14:paraId="586CA1D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G级水泥+3%微硅+3%膨胀剂+5.3%降失水剂+3.2%分散剂+2.1%缓凝剂+36%W/C</w:t>
            </w:r>
          </w:p>
        </w:tc>
      </w:tr>
      <w:tr w14:paraId="7775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blHeader/>
          <w:jc w:val="center"/>
        </w:trPr>
        <w:tc>
          <w:tcPr>
            <w:tcW w:w="681" w:type="dxa"/>
            <w:vMerge w:val="continue"/>
            <w:vAlign w:val="center"/>
          </w:tcPr>
          <w:p w14:paraId="571258F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85" w:right="-85"/>
              <w:jc w:val="center"/>
              <w:rPr>
                <w:rFonts w:hint="default" w:ascii="Times New Roman" w:hAnsi="Times New Roman" w:cs="Times New Roman"/>
                <w:color w:val="000000" w:themeColor="text1"/>
                <w:sz w:val="21"/>
                <w:szCs w:val="15"/>
                <w:highlight w:val="none"/>
                <w14:textFill>
                  <w14:solidFill>
                    <w14:schemeClr w14:val="tx1"/>
                  </w14:solidFill>
                </w14:textFill>
              </w:rPr>
            </w:pPr>
          </w:p>
        </w:tc>
        <w:tc>
          <w:tcPr>
            <w:tcW w:w="681" w:type="dxa"/>
            <w:vMerge w:val="restart"/>
            <w:vAlign w:val="center"/>
          </w:tcPr>
          <w:p w14:paraId="5F2D841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jc w:val="center"/>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一级</w:t>
            </w:r>
          </w:p>
        </w:tc>
        <w:tc>
          <w:tcPr>
            <w:tcW w:w="6792" w:type="dxa"/>
            <w:vAlign w:val="center"/>
          </w:tcPr>
          <w:p w14:paraId="1192E56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G级水泥+100%粉煤灰+2%分散剂+2%早强剂+2%缓凝剂+20%降失剂+2%膨胀剂+10%微硅+0.1%消泡剂+115%W/C</w:t>
            </w:r>
          </w:p>
        </w:tc>
      </w:tr>
      <w:tr w14:paraId="00CB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jc w:val="center"/>
        </w:trPr>
        <w:tc>
          <w:tcPr>
            <w:tcW w:w="681" w:type="dxa"/>
            <w:vMerge w:val="continue"/>
            <w:vAlign w:val="center"/>
          </w:tcPr>
          <w:p w14:paraId="12688C1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85" w:right="-85"/>
              <w:jc w:val="center"/>
              <w:rPr>
                <w:rFonts w:hint="default" w:ascii="Times New Roman" w:hAnsi="Times New Roman" w:cs="Times New Roman"/>
                <w:color w:val="000000" w:themeColor="text1"/>
                <w:sz w:val="21"/>
                <w:szCs w:val="15"/>
                <w:highlight w:val="none"/>
                <w14:textFill>
                  <w14:solidFill>
                    <w14:schemeClr w14:val="tx1"/>
                  </w14:solidFill>
                </w14:textFill>
              </w:rPr>
            </w:pPr>
          </w:p>
        </w:tc>
        <w:tc>
          <w:tcPr>
            <w:tcW w:w="681" w:type="dxa"/>
            <w:vMerge w:val="continue"/>
            <w:vAlign w:val="center"/>
          </w:tcPr>
          <w:p w14:paraId="2B37E7E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85" w:right="-85"/>
              <w:jc w:val="center"/>
              <w:rPr>
                <w:rFonts w:hint="default" w:ascii="Times New Roman" w:hAnsi="Times New Roman" w:cs="Times New Roman"/>
                <w:color w:val="000000" w:themeColor="text1"/>
                <w:sz w:val="21"/>
                <w:szCs w:val="15"/>
                <w:highlight w:val="none"/>
                <w14:textFill>
                  <w14:solidFill>
                    <w14:schemeClr w14:val="tx1"/>
                  </w14:solidFill>
                </w14:textFill>
              </w:rPr>
            </w:pPr>
          </w:p>
        </w:tc>
        <w:tc>
          <w:tcPr>
            <w:tcW w:w="6792" w:type="dxa"/>
            <w:vAlign w:val="center"/>
          </w:tcPr>
          <w:p w14:paraId="0EBDEF1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36" w:leftChars="-15" w:right="36" w:rightChars="15"/>
              <w:textAlignment w:val="baseline"/>
              <w:rPr>
                <w:rFonts w:hint="default" w:ascii="Times New Roman" w:hAnsi="Times New Roman" w:cs="Times New Roman"/>
                <w:color w:val="000000" w:themeColor="text1"/>
                <w:sz w:val="21"/>
                <w:szCs w:val="15"/>
                <w:highlight w:val="none"/>
                <w14:textFill>
                  <w14:solidFill>
                    <w14:schemeClr w14:val="tx1"/>
                  </w14:solidFill>
                </w14:textFill>
              </w:rPr>
            </w:pPr>
            <w:r>
              <w:rPr>
                <w:rFonts w:hint="default" w:ascii="Times New Roman" w:hAnsi="Times New Roman" w:cs="Times New Roman"/>
                <w:color w:val="000000" w:themeColor="text1"/>
                <w:sz w:val="21"/>
                <w:szCs w:val="15"/>
                <w:highlight w:val="none"/>
                <w14:textFill>
                  <w14:solidFill>
                    <w14:schemeClr w14:val="tx1"/>
                  </w14:solidFill>
                </w14:textFill>
              </w:rPr>
              <w:t>G级水泥+35%硅粉+2%分散剂+10%降失水剂+1.2%缓凝剂+4.5%膨胀剂+0.1%消泡剂+48%W/C</w:t>
            </w:r>
          </w:p>
        </w:tc>
      </w:tr>
    </w:tbl>
    <w:p w14:paraId="64A749D6">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6 \* GB3 \* MERGEFORMAT </w:instrTex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⑥</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完井</w:t>
      </w:r>
    </w:p>
    <w:p w14:paraId="1A8F9711">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钻井工程达到设计要求后完钻。撤去所有生产设施、平整井场；清理钻井现场，将垃圾、废油、废料清理干净。</w:t>
      </w:r>
    </w:p>
    <w:p w14:paraId="7A2CCFCC">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instrText xml:space="preserve"> = 7 \* GB3 \* MERGEFORMAT </w:instrTex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⑦</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钻井周期</w:t>
      </w:r>
    </w:p>
    <w:p w14:paraId="0966387E">
      <w:pPr>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钻井周期约为210d。</w:t>
      </w:r>
    </w:p>
    <w:p w14:paraId="627BD6CB">
      <w:pPr>
        <w:pStyle w:val="5"/>
        <w:pageBreakBefore w:val="0"/>
        <w:numPr>
          <w:ilvl w:val="0"/>
          <w:numId w:val="0"/>
        </w:numPr>
        <w:kinsoku/>
        <w:wordWrap/>
        <w:overflowPunct/>
        <w:topLinePunct w:val="0"/>
        <w:autoSpaceDE/>
        <w:autoSpaceDN/>
        <w:bidi w:val="0"/>
        <w:spacing w:beforeLines="0" w:afterLines="0" w:line="360" w:lineRule="auto"/>
        <w:ind w:firstLine="480" w:firstLineChars="200"/>
        <w:textAlignment w:val="auto"/>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bookmarkStart w:id="507" w:name="OLE_LINK1134"/>
      <w:bookmarkStart w:id="508" w:name="OLE_LINK744"/>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b w:val="0"/>
          <w:snapToGrid/>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）地面工程</w:t>
      </w:r>
      <w:bookmarkEnd w:id="470"/>
    </w:p>
    <w:bookmarkEnd w:id="507"/>
    <w:p w14:paraId="13A3D993">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bookmarkStart w:id="509" w:name="OLE_LINK501"/>
      <w:bookmarkStart w:id="510" w:name="OLE_LINK248"/>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bookmarkEnd w:id="509"/>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采气</w:t>
      </w:r>
      <w:r>
        <w:rPr>
          <w:rFonts w:hint="default" w:ascii="Times New Roman" w:hAnsi="Times New Roman" w:cs="Times New Roman"/>
          <w:color w:val="000000" w:themeColor="text1"/>
          <w:highlight w:val="none"/>
          <w14:textFill>
            <w14:solidFill>
              <w14:schemeClr w14:val="tx1"/>
            </w14:solidFill>
          </w14:textFill>
        </w:rPr>
        <w:t>井场</w:t>
      </w:r>
      <w:bookmarkEnd w:id="510"/>
    </w:p>
    <w:bookmarkEnd w:id="508"/>
    <w:p w14:paraId="0C6BED16">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w:t>
      </w:r>
      <w:bookmarkStart w:id="511" w:name="OLE_LINK281"/>
      <w:bookmarkStart w:id="512" w:name="OLE_LINK760"/>
      <w:r>
        <w:rPr>
          <w:rFonts w:hint="eastAsia" w:cs="Times New Roman"/>
          <w:color w:val="000000" w:themeColor="text1"/>
          <w:sz w:val="24"/>
          <w:szCs w:val="24"/>
          <w:highlight w:val="none"/>
          <w:lang w:val="en-US" w:eastAsia="zh-CN" w:bidi="ar-SA"/>
          <w14:textFill>
            <w14:solidFill>
              <w14:schemeClr w14:val="tx1"/>
            </w14:solidFill>
          </w14:textFill>
        </w:rPr>
        <w:t>设计星火701斜井和星火7-2斜井均设置在星火7斜井</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bookmarkEnd w:id="511"/>
      <w:bookmarkEnd w:id="512"/>
      <w:r>
        <w:rPr>
          <w:rFonts w:hint="eastAsia" w:cs="Times New Roman"/>
          <w:color w:val="000000" w:themeColor="text1"/>
          <w:sz w:val="24"/>
          <w:szCs w:val="24"/>
          <w:highlight w:val="none"/>
          <w:lang w:val="en-US" w:eastAsia="zh-CN" w:bidi="ar-SA"/>
          <w14:textFill>
            <w14:solidFill>
              <w14:schemeClr w14:val="tx1"/>
            </w14:solidFill>
          </w14:textFill>
        </w:rPr>
        <w:t>内，三口井均在同一个井场内</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占地面积为</w:t>
      </w:r>
      <w:r>
        <w:rPr>
          <w:rFonts w:hint="eastAsia" w:cs="Times New Roman"/>
          <w:snapToGrid w:val="0"/>
          <w:color w:val="000000" w:themeColor="text1"/>
          <w:sz w:val="24"/>
          <w:szCs w:val="24"/>
          <w:highlight w:val="none"/>
          <w:lang w:val="en-US" w:eastAsia="zh-CN"/>
          <w14:textFill>
            <w14:solidFill>
              <w14:schemeClr w14:val="tx1"/>
            </w14:solidFill>
          </w14:textFill>
        </w:rPr>
        <w:t>2.4828</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hm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snapToGrid w:val="0"/>
          <w:color w:val="000000" w:themeColor="text1"/>
          <w:sz w:val="24"/>
          <w:szCs w:val="24"/>
          <w:highlight w:val="none"/>
          <w:vertAlign w:val="baseline"/>
          <w:lang w:eastAsia="zh-CN"/>
          <w14:textFill>
            <w14:solidFill>
              <w14:schemeClr w14:val="tx1"/>
            </w14:solidFill>
          </w14:textFill>
        </w:rPr>
        <w:t>，</w:t>
      </w:r>
      <w:bookmarkStart w:id="513" w:name="OLE_LINK1273"/>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永久占地</w:t>
      </w:r>
      <w:bookmarkEnd w:id="513"/>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为</w:t>
      </w:r>
      <w:bookmarkStart w:id="514" w:name="OLE_LINK785"/>
      <w:r>
        <w:rPr>
          <w:rFonts w:hint="eastAsia" w:cs="Times New Roman"/>
          <w:snapToGrid w:val="0"/>
          <w:color w:val="000000" w:themeColor="text1"/>
          <w:sz w:val="24"/>
          <w:szCs w:val="24"/>
          <w:highlight w:val="none"/>
          <w:vertAlign w:val="baseline"/>
          <w:lang w:val="en-US" w:eastAsia="zh-CN"/>
          <w14:textFill>
            <w14:solidFill>
              <w14:schemeClr w14:val="tx1"/>
            </w14:solidFill>
          </w14:textFill>
        </w:rPr>
        <w:t>1.4328</w:t>
      </w:r>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hm</w:t>
      </w:r>
      <w:r>
        <w:rPr>
          <w:rFonts w:hint="default" w:ascii="Times New Roman" w:hAnsi="Times New Roman" w:cs="Times New Roman"/>
          <w:snapToGrid w:val="0"/>
          <w:color w:val="000000" w:themeColor="text1"/>
          <w:sz w:val="24"/>
          <w:szCs w:val="24"/>
          <w:highlight w:val="none"/>
          <w:vertAlign w:val="superscript"/>
          <w:lang w:val="en-US" w:eastAsia="zh-CN"/>
          <w14:textFill>
            <w14:solidFill>
              <w14:schemeClr w14:val="tx1"/>
            </w14:solidFill>
          </w14:textFill>
        </w:rPr>
        <w:t>2</w:t>
      </w:r>
      <w:bookmarkEnd w:id="514"/>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w:t>
      </w:r>
      <w:bookmarkStart w:id="515" w:name="OLE_LINK1272"/>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临时占地</w:t>
      </w:r>
      <w:bookmarkEnd w:id="515"/>
      <w:r>
        <w:rPr>
          <w:rFonts w:hint="eastAsia" w:cs="Times New Roman"/>
          <w:snapToGrid w:val="0"/>
          <w:color w:val="000000" w:themeColor="text1"/>
          <w:sz w:val="24"/>
          <w:szCs w:val="24"/>
          <w:highlight w:val="none"/>
          <w:vertAlign w:val="baseline"/>
          <w:lang w:val="en-US" w:eastAsia="zh-CN"/>
          <w14:textFill>
            <w14:solidFill>
              <w14:schemeClr w14:val="tx1"/>
            </w14:solidFill>
          </w14:textFill>
        </w:rPr>
        <w:t>1.05</w:t>
      </w:r>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hm</w:t>
      </w:r>
      <w:r>
        <w:rPr>
          <w:rFonts w:hint="default" w:ascii="Times New Roman" w:hAnsi="Times New Roman" w:cs="Times New Roman"/>
          <w:snapToGrid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snapToGrid w:val="0"/>
          <w:color w:val="000000" w:themeColor="text1"/>
          <w:sz w:val="24"/>
          <w:szCs w:val="24"/>
          <w:highlight w:val="none"/>
          <w:vertAlign w:val="baseline"/>
          <w:lang w:val="en-US" w:eastAsia="zh-CN"/>
          <w14:textFill>
            <w14:solidFill>
              <w14:schemeClr w14:val="tx1"/>
            </w14:solidFill>
          </w14:textFill>
        </w:rPr>
        <w:t>。</w:t>
      </w:r>
      <w:bookmarkStart w:id="516" w:name="OLE_LINK502"/>
      <w:bookmarkStart w:id="517" w:name="OLE_LINK253"/>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内设置电磁加热器、</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油气分离流程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、计量分离器、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多功能储集器，</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火炬区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。火炬区位于井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北侧。</w:t>
      </w:r>
    </w:p>
    <w:p w14:paraId="1C78D973">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表3.2-</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11</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本工程</w:t>
      </w:r>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井场</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主要设备表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6280"/>
        <w:gridCol w:w="797"/>
        <w:gridCol w:w="797"/>
      </w:tblGrid>
      <w:tr w14:paraId="3CF2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vAlign w:val="center"/>
          </w:tcPr>
          <w:p w14:paraId="61926228">
            <w:pPr>
              <w:spacing w:line="280" w:lineRule="exact"/>
              <w:ind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序号</w:t>
            </w:r>
          </w:p>
        </w:tc>
        <w:tc>
          <w:tcPr>
            <w:tcW w:w="3642" w:type="pct"/>
            <w:vAlign w:val="center"/>
          </w:tcPr>
          <w:p w14:paraId="523888AA">
            <w:pPr>
              <w:spacing w:line="280" w:lineRule="exact"/>
              <w:ind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主要工程内容</w:t>
            </w:r>
          </w:p>
        </w:tc>
        <w:tc>
          <w:tcPr>
            <w:tcW w:w="462" w:type="pct"/>
            <w:vAlign w:val="center"/>
          </w:tcPr>
          <w:p w14:paraId="39116924">
            <w:pPr>
              <w:spacing w:line="280" w:lineRule="exact"/>
              <w:ind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单位</w:t>
            </w:r>
          </w:p>
        </w:tc>
        <w:tc>
          <w:tcPr>
            <w:tcW w:w="462" w:type="pct"/>
            <w:vAlign w:val="center"/>
          </w:tcPr>
          <w:p w14:paraId="27B01E11">
            <w:pPr>
              <w:spacing w:line="280" w:lineRule="exact"/>
              <w:ind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数量</w:t>
            </w:r>
          </w:p>
        </w:tc>
      </w:tr>
      <w:tr w14:paraId="12AA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shd w:val="clear" w:color="auto" w:fill="auto"/>
            <w:vAlign w:val="center"/>
          </w:tcPr>
          <w:p w14:paraId="641F6234">
            <w:pPr>
              <w:spacing w:line="28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3642" w:type="pct"/>
            <w:vAlign w:val="center"/>
          </w:tcPr>
          <w:p w14:paraId="2DFA2835">
            <w:pPr>
              <w:spacing w:line="280" w:lineRule="exact"/>
              <w:ind w:firstLine="0"/>
              <w:jc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采气树</w:t>
            </w:r>
          </w:p>
        </w:tc>
        <w:tc>
          <w:tcPr>
            <w:tcW w:w="462" w:type="pct"/>
            <w:shd w:val="clear" w:color="auto" w:fill="auto"/>
            <w:vAlign w:val="center"/>
          </w:tcPr>
          <w:p w14:paraId="437F4DF6">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462" w:type="pct"/>
            <w:shd w:val="clear" w:color="auto" w:fill="auto"/>
            <w:vAlign w:val="center"/>
          </w:tcPr>
          <w:p w14:paraId="14E9591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3</w:t>
            </w:r>
          </w:p>
        </w:tc>
      </w:tr>
      <w:tr w14:paraId="5DB1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shd w:val="clear" w:color="auto" w:fill="auto"/>
            <w:vAlign w:val="center"/>
          </w:tcPr>
          <w:p w14:paraId="1DB6EC25">
            <w:pPr>
              <w:spacing w:line="28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w:t>
            </w:r>
          </w:p>
        </w:tc>
        <w:tc>
          <w:tcPr>
            <w:tcW w:w="3642" w:type="pct"/>
            <w:vAlign w:val="center"/>
          </w:tcPr>
          <w:p w14:paraId="6DED369B">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电磁加热器 1</w:t>
            </w: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00kW  16MPa</w:t>
            </w:r>
          </w:p>
        </w:tc>
        <w:tc>
          <w:tcPr>
            <w:tcW w:w="462" w:type="pct"/>
            <w:shd w:val="clear" w:color="auto" w:fill="auto"/>
            <w:vAlign w:val="center"/>
          </w:tcPr>
          <w:p w14:paraId="7B04CA2C">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462" w:type="pct"/>
            <w:shd w:val="clear" w:color="auto" w:fill="auto"/>
            <w:vAlign w:val="center"/>
          </w:tcPr>
          <w:p w14:paraId="039D2C73">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3</w:t>
            </w:r>
          </w:p>
        </w:tc>
      </w:tr>
      <w:tr w14:paraId="380D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shd w:val="clear" w:color="auto" w:fill="auto"/>
            <w:vAlign w:val="center"/>
          </w:tcPr>
          <w:p w14:paraId="452BB259">
            <w:pPr>
              <w:spacing w:line="28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c>
          <w:tcPr>
            <w:tcW w:w="3642" w:type="pct"/>
            <w:shd w:val="clear" w:color="auto" w:fill="auto"/>
            <w:vAlign w:val="center"/>
          </w:tcPr>
          <w:p w14:paraId="0D3C4898">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单流阀  PN100</w:t>
            </w:r>
          </w:p>
        </w:tc>
        <w:tc>
          <w:tcPr>
            <w:tcW w:w="462" w:type="pct"/>
            <w:shd w:val="clear" w:color="auto" w:fill="auto"/>
            <w:vAlign w:val="center"/>
          </w:tcPr>
          <w:p w14:paraId="74A7901C">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462" w:type="pct"/>
            <w:shd w:val="clear" w:color="auto" w:fill="auto"/>
            <w:vAlign w:val="center"/>
          </w:tcPr>
          <w:p w14:paraId="7EE0306A">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3</w:t>
            </w:r>
          </w:p>
        </w:tc>
      </w:tr>
      <w:tr w14:paraId="409F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shd w:val="clear" w:color="auto" w:fill="auto"/>
            <w:vAlign w:val="center"/>
          </w:tcPr>
          <w:p w14:paraId="0A54559C">
            <w:pPr>
              <w:spacing w:line="28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w:t>
            </w:r>
          </w:p>
        </w:tc>
        <w:tc>
          <w:tcPr>
            <w:tcW w:w="3642" w:type="pct"/>
            <w:vAlign w:val="center"/>
          </w:tcPr>
          <w:p w14:paraId="089A8A82">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PN25MPa角式节流阀</w:t>
            </w:r>
          </w:p>
        </w:tc>
        <w:tc>
          <w:tcPr>
            <w:tcW w:w="462" w:type="pct"/>
            <w:vAlign w:val="center"/>
          </w:tcPr>
          <w:p w14:paraId="2FCC60CC">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462" w:type="pct"/>
            <w:vAlign w:val="center"/>
          </w:tcPr>
          <w:p w14:paraId="5F902588">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r>
      <w:tr w14:paraId="0C29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3" w:type="pct"/>
            <w:vAlign w:val="center"/>
          </w:tcPr>
          <w:p w14:paraId="0F1DF560">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5</w:t>
            </w:r>
          </w:p>
        </w:tc>
        <w:tc>
          <w:tcPr>
            <w:tcW w:w="3642" w:type="pct"/>
            <w:vAlign w:val="center"/>
          </w:tcPr>
          <w:p w14:paraId="6A6A57BB">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单井井口管网及配套阀门</w:t>
            </w:r>
          </w:p>
        </w:tc>
        <w:tc>
          <w:tcPr>
            <w:tcW w:w="462" w:type="pct"/>
            <w:vAlign w:val="center"/>
          </w:tcPr>
          <w:p w14:paraId="3A754791">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c>
          <w:tcPr>
            <w:tcW w:w="462" w:type="pct"/>
            <w:vAlign w:val="center"/>
          </w:tcPr>
          <w:p w14:paraId="7C749BC5">
            <w:pPr>
              <w:spacing w:line="280" w:lineRule="exact"/>
              <w:ind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r>
    </w:tbl>
    <w:p w14:paraId="545C31AE">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bookmarkEnd w:id="516"/>
      <w:bookmarkStart w:id="518" w:name="OLE_LINK224"/>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拉油设备</w:t>
      </w:r>
      <w:bookmarkEnd w:id="518"/>
    </w:p>
    <w:bookmarkEnd w:id="517"/>
    <w:p w14:paraId="04553F50">
      <w:pPr>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bookmarkStart w:id="519" w:name="OLE_LINK279"/>
      <w:r>
        <w:rPr>
          <w:rFonts w:hint="eastAsia" w:cs="Times New Roman"/>
          <w:color w:val="000000" w:themeColor="text1"/>
          <w:sz w:val="24"/>
          <w:szCs w:val="24"/>
          <w:highlight w:val="none"/>
          <w:lang w:val="en-US" w:eastAsia="zh-CN" w:bidi="ar-SA"/>
          <w14:textFill>
            <w14:solidFill>
              <w14:schemeClr w14:val="tx1"/>
            </w14:solidFill>
          </w14:textFill>
        </w:rPr>
        <w:t>星火7斜井、星火701斜井</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cs="Times New Roman"/>
          <w:color w:val="000000" w:themeColor="text1"/>
          <w:sz w:val="24"/>
          <w:szCs w:val="24"/>
          <w:highlight w:val="none"/>
          <w:lang w:val="en-US" w:eastAsia="zh-CN" w:bidi="ar-SA"/>
          <w14:textFill>
            <w14:solidFill>
              <w14:schemeClr w14:val="tx1"/>
            </w14:solidFill>
          </w14:textFill>
        </w:rPr>
        <w:t>星火7-2斜井</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井口产液经井场油气分离后，</w:t>
      </w:r>
      <w:bookmarkEnd w:id="519"/>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天然气经油气计量分离器分离后，湿气销售至第三方公司，由第三方公司处理后装车外销。凝析油装车外运至雅克拉集气处理站处理。</w:t>
      </w:r>
    </w:p>
    <w:p w14:paraId="54F27DAC">
      <w:pPr>
        <w:pStyle w:val="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pPr>
      <w:bookmarkStart w:id="520" w:name="OLE_LINK1126"/>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表</w:t>
      </w:r>
      <w:bookmarkStart w:id="521" w:name="OLE_LINK1281"/>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3.2-</w:t>
      </w:r>
      <w:bookmarkEnd w:id="521"/>
      <w:r>
        <w:rPr>
          <w:rFonts w:hint="eastAsia"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12</w:t>
      </w:r>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 xml:space="preserve">   </w:t>
      </w:r>
      <w:bookmarkStart w:id="522" w:name="OLE_LINK252"/>
      <w:r>
        <w:rPr>
          <w:rFonts w:hint="default" w:ascii="Times New Roman" w:hAnsi="Times New Roman" w:eastAsia="宋体" w:cs="Times New Roman"/>
          <w:b/>
          <w:bCs w:val="0"/>
          <w:color w:val="000000" w:themeColor="text1"/>
          <w:sz w:val="21"/>
          <w:szCs w:val="21"/>
          <w:highlight w:val="none"/>
          <w:lang w:val="en-US" w:eastAsia="zh-CN" w:bidi="ar-SA"/>
          <w14:textFill>
            <w14:solidFill>
              <w14:schemeClr w14:val="tx1"/>
            </w14:solidFill>
          </w14:textFill>
        </w:rPr>
        <w:t>本工程地面工程主要设备表</w:t>
      </w:r>
      <w:bookmarkEnd w:id="522"/>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6286"/>
        <w:gridCol w:w="797"/>
        <w:gridCol w:w="797"/>
      </w:tblGrid>
      <w:tr w14:paraId="051F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9" w:type="pct"/>
            <w:vAlign w:val="center"/>
          </w:tcPr>
          <w:p w14:paraId="201C1D7C">
            <w:pPr>
              <w:pStyle w:val="47"/>
              <w:rPr>
                <w:rFonts w:hint="default" w:ascii="Times New Roman" w:hAnsi="Times New Roman" w:cs="Times New Roman"/>
                <w:color w:val="000000" w:themeColor="text1"/>
                <w:highlight w:val="none"/>
                <w14:textFill>
                  <w14:solidFill>
                    <w14:schemeClr w14:val="tx1"/>
                  </w14:solidFill>
                </w14:textFill>
              </w:rPr>
            </w:pPr>
            <w:bookmarkStart w:id="523" w:name="_Toc421798205"/>
            <w:bookmarkStart w:id="524" w:name="_Toc421798029"/>
            <w:bookmarkStart w:id="525" w:name="OLE_LINK1129"/>
            <w:bookmarkStart w:id="526" w:name="_Toc376787361"/>
            <w:bookmarkStart w:id="527" w:name="_Toc388261519"/>
            <w:bookmarkStart w:id="528" w:name="_Toc388261798"/>
            <w:bookmarkStart w:id="529" w:name="_Toc374456242"/>
            <w:bookmarkStart w:id="530" w:name="_Toc246813854"/>
            <w:bookmarkStart w:id="531" w:name="_Toc421799311"/>
            <w:bookmarkStart w:id="532" w:name="_Toc421800184"/>
            <w:bookmarkStart w:id="533" w:name="_Toc334797976"/>
            <w:r>
              <w:rPr>
                <w:rFonts w:hint="default" w:ascii="Times New Roman" w:hAnsi="Times New Roman" w:cs="Times New Roman"/>
                <w:color w:val="000000" w:themeColor="text1"/>
                <w:highlight w:val="none"/>
                <w14:textFill>
                  <w14:solidFill>
                    <w14:schemeClr w14:val="tx1"/>
                  </w14:solidFill>
                </w14:textFill>
              </w:rPr>
              <w:t>序号</w:t>
            </w:r>
          </w:p>
        </w:tc>
        <w:tc>
          <w:tcPr>
            <w:tcW w:w="3645" w:type="pct"/>
            <w:vAlign w:val="center"/>
          </w:tcPr>
          <w:p w14:paraId="1632955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主要工程内容</w:t>
            </w:r>
          </w:p>
        </w:tc>
        <w:tc>
          <w:tcPr>
            <w:tcW w:w="462" w:type="pct"/>
            <w:vAlign w:val="center"/>
          </w:tcPr>
          <w:p w14:paraId="2C619578">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单位</w:t>
            </w:r>
          </w:p>
        </w:tc>
        <w:tc>
          <w:tcPr>
            <w:tcW w:w="462" w:type="pct"/>
            <w:vAlign w:val="center"/>
          </w:tcPr>
          <w:p w14:paraId="567641D0">
            <w:pPr>
              <w:pStyle w:val="4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数量</w:t>
            </w:r>
          </w:p>
        </w:tc>
      </w:tr>
      <w:tr w14:paraId="7FB1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14:paraId="43EF3C8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534" w:name="OLE_LINK255" w:colFirst="3" w:colLast="4"/>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一</w:t>
            </w:r>
          </w:p>
        </w:tc>
        <w:tc>
          <w:tcPr>
            <w:tcW w:w="3645" w:type="pct"/>
            <w:vAlign w:val="center"/>
          </w:tcPr>
          <w:p w14:paraId="5D3CF15B">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油气分离部分</w:t>
            </w:r>
          </w:p>
        </w:tc>
        <w:tc>
          <w:tcPr>
            <w:tcW w:w="462" w:type="pct"/>
            <w:vAlign w:val="center"/>
          </w:tcPr>
          <w:p w14:paraId="61D15A36">
            <w:pPr>
              <w:pStyle w:val="47"/>
              <w:rPr>
                <w:rFonts w:hint="default" w:ascii="Times New Roman" w:hAnsi="Times New Roman" w:cs="Times New Roman"/>
                <w:color w:val="000000" w:themeColor="text1"/>
                <w:highlight w:val="none"/>
                <w14:textFill>
                  <w14:solidFill>
                    <w14:schemeClr w14:val="tx1"/>
                  </w14:solidFill>
                </w14:textFill>
              </w:rPr>
            </w:pPr>
          </w:p>
        </w:tc>
        <w:tc>
          <w:tcPr>
            <w:tcW w:w="462" w:type="pct"/>
            <w:vAlign w:val="center"/>
          </w:tcPr>
          <w:p w14:paraId="0B8F1AD9">
            <w:pPr>
              <w:pStyle w:val="47"/>
              <w:rPr>
                <w:rFonts w:hint="default" w:ascii="Times New Roman" w:hAnsi="Times New Roman" w:cs="Times New Roman"/>
                <w:color w:val="000000" w:themeColor="text1"/>
                <w:highlight w:val="none"/>
                <w14:textFill>
                  <w14:solidFill>
                    <w14:schemeClr w14:val="tx1"/>
                  </w14:solidFill>
                </w14:textFill>
              </w:rPr>
            </w:pPr>
          </w:p>
        </w:tc>
      </w:tr>
      <w:bookmarkEnd w:id="534"/>
      <w:tr w14:paraId="03C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14:paraId="3B95F2A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3645" w:type="pct"/>
            <w:vAlign w:val="center"/>
          </w:tcPr>
          <w:p w14:paraId="77DC8C94">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计量分离器（两相）</w:t>
            </w:r>
          </w:p>
        </w:tc>
        <w:tc>
          <w:tcPr>
            <w:tcW w:w="462" w:type="pct"/>
            <w:vAlign w:val="center"/>
          </w:tcPr>
          <w:p w14:paraId="5565FFD3">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themeColor="text1"/>
                <w:spacing w:val="-3"/>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座</w:t>
            </w:r>
          </w:p>
        </w:tc>
        <w:tc>
          <w:tcPr>
            <w:tcW w:w="462" w:type="pct"/>
            <w:vAlign w:val="center"/>
          </w:tcPr>
          <w:p w14:paraId="0D9AAEA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2</w:t>
            </w:r>
          </w:p>
        </w:tc>
      </w:tr>
      <w:tr w14:paraId="269B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14:paraId="216C8DFE">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3645" w:type="pct"/>
            <w:vAlign w:val="center"/>
          </w:tcPr>
          <w:p w14:paraId="394711EC">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60m</w:t>
            </w:r>
            <w:r>
              <w:rPr>
                <w:rFonts w:hint="eastAsia" w:ascii="宋体" w:hAnsi="宋体" w:eastAsia="宋体" w:cs="宋体"/>
                <w:i w:val="0"/>
                <w:iCs w:val="0"/>
                <w:color w:val="000000" w:themeColor="text1"/>
                <w:kern w:val="0"/>
                <w:sz w:val="20"/>
                <w:szCs w:val="20"/>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多功能罐 卧式圆形容器\Φ2800×9916 Q345R Ⅲ类</w:t>
            </w:r>
          </w:p>
        </w:tc>
        <w:tc>
          <w:tcPr>
            <w:tcW w:w="462" w:type="pct"/>
            <w:vAlign w:val="center"/>
          </w:tcPr>
          <w:p w14:paraId="0AD0DCF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台</w:t>
            </w:r>
          </w:p>
        </w:tc>
        <w:tc>
          <w:tcPr>
            <w:tcW w:w="462" w:type="pct"/>
            <w:vAlign w:val="center"/>
          </w:tcPr>
          <w:p w14:paraId="7BC9BE5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4</w:t>
            </w:r>
          </w:p>
        </w:tc>
      </w:tr>
      <w:tr w14:paraId="3EA8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14:paraId="3FB51B7B">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3645" w:type="pct"/>
            <w:shd w:val="clear" w:color="auto" w:fill="auto"/>
            <w:vAlign w:val="center"/>
          </w:tcPr>
          <w:p w14:paraId="0A409643">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火炬分液罐</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Ø800×3200</w:t>
            </w:r>
            <w:r>
              <w:rPr>
                <w:rFonts w:hint="default" w:ascii="Times New Roman" w:hAnsi="Times New Roman" w:eastAsia="宋体" w:cs="Times New Roman"/>
                <w:color w:val="000000" w:themeColor="text1"/>
                <w:sz w:val="21"/>
                <w:szCs w:val="21"/>
                <w:highlight w:val="none"/>
                <w14:textFill>
                  <w14:solidFill>
                    <w14:schemeClr w14:val="tx1"/>
                  </w14:solidFill>
                </w14:textFill>
              </w:rPr>
              <w:t>mm</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Pw</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0.5</w:t>
            </w:r>
            <w:r>
              <w:rPr>
                <w:rFonts w:hint="default" w:ascii="Times New Roman" w:hAnsi="Times New Roman" w:eastAsia="宋体" w:cs="Times New Roman"/>
                <w:color w:val="000000" w:themeColor="text1"/>
                <w:sz w:val="21"/>
                <w:szCs w:val="21"/>
                <w:highlight w:val="none"/>
                <w14:textFill>
                  <w14:solidFill>
                    <w14:schemeClr w14:val="tx1"/>
                  </w14:solidFill>
                </w14:textFill>
              </w:rPr>
              <w:t>MPa</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w:t>
            </w:r>
          </w:p>
        </w:tc>
        <w:tc>
          <w:tcPr>
            <w:tcW w:w="462" w:type="pct"/>
            <w:shd w:val="clear" w:color="auto" w:fill="auto"/>
            <w:vAlign w:val="center"/>
          </w:tcPr>
          <w:p w14:paraId="0EA3E9A2">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套</w:t>
            </w:r>
          </w:p>
        </w:tc>
        <w:tc>
          <w:tcPr>
            <w:tcW w:w="462" w:type="pct"/>
            <w:shd w:val="clear" w:color="auto" w:fill="auto"/>
            <w:vAlign w:val="center"/>
          </w:tcPr>
          <w:p w14:paraId="2A67DC5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3"/>
                <w:sz w:val="21"/>
                <w:szCs w:val="21"/>
                <w:highlight w:val="none"/>
                <w:lang w:val="en-US" w:eastAsia="zh-CN"/>
                <w14:textFill>
                  <w14:solidFill>
                    <w14:schemeClr w14:val="tx1"/>
                  </w14:solidFill>
                </w14:textFill>
              </w:rPr>
              <w:t>1</w:t>
            </w:r>
          </w:p>
        </w:tc>
      </w:tr>
      <w:tr w14:paraId="7381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14:paraId="49ECAA3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3645" w:type="pct"/>
            <w:shd w:val="clear" w:color="auto" w:fill="auto"/>
            <w:vAlign w:val="center"/>
          </w:tcPr>
          <w:p w14:paraId="4621EF87">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放空</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火炬</w:t>
            </w:r>
            <w:r>
              <w:rPr>
                <w:rFonts w:hint="default" w:ascii="Times New Roman" w:hAnsi="Times New Roman" w:eastAsia="宋体" w:cs="Times New Roman"/>
                <w:color w:val="000000" w:themeColor="text1"/>
                <w:spacing w:val="-50"/>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DN150 H=15m</w:t>
            </w:r>
          </w:p>
        </w:tc>
        <w:tc>
          <w:tcPr>
            <w:tcW w:w="462" w:type="pct"/>
            <w:shd w:val="clear" w:color="auto" w:fill="auto"/>
            <w:vAlign w:val="center"/>
          </w:tcPr>
          <w:p w14:paraId="2D251F3A">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套</w:t>
            </w:r>
          </w:p>
        </w:tc>
        <w:tc>
          <w:tcPr>
            <w:tcW w:w="462" w:type="pct"/>
            <w:shd w:val="clear" w:color="auto" w:fill="auto"/>
            <w:vAlign w:val="center"/>
          </w:tcPr>
          <w:p w14:paraId="17CE1FAE">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3"/>
                <w:sz w:val="21"/>
                <w:szCs w:val="21"/>
                <w:highlight w:val="none"/>
                <w:lang w:val="en-US" w:eastAsia="zh-CN"/>
                <w14:textFill>
                  <w14:solidFill>
                    <w14:schemeClr w14:val="tx1"/>
                  </w14:solidFill>
                </w14:textFill>
              </w:rPr>
              <w:t>1</w:t>
            </w:r>
          </w:p>
        </w:tc>
      </w:tr>
      <w:tr w14:paraId="2D97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shd w:val="clear" w:color="auto" w:fill="auto"/>
            <w:vAlign w:val="center"/>
          </w:tcPr>
          <w:p w14:paraId="6659420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3645" w:type="pct"/>
            <w:shd w:val="clear" w:color="auto" w:fill="auto"/>
            <w:vAlign w:val="center"/>
          </w:tcPr>
          <w:p w14:paraId="570E8355">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放空管道及固定墩</w:t>
            </w:r>
          </w:p>
        </w:tc>
        <w:tc>
          <w:tcPr>
            <w:tcW w:w="462" w:type="pct"/>
            <w:shd w:val="clear" w:color="auto" w:fill="auto"/>
            <w:vAlign w:val="center"/>
          </w:tcPr>
          <w:p w14:paraId="038F63E0">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套</w:t>
            </w:r>
          </w:p>
        </w:tc>
        <w:tc>
          <w:tcPr>
            <w:tcW w:w="462" w:type="pct"/>
            <w:shd w:val="clear" w:color="auto" w:fill="auto"/>
            <w:vAlign w:val="center"/>
          </w:tcPr>
          <w:p w14:paraId="326BA81F">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r>
      <w:tr w14:paraId="5E6C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shd w:val="clear" w:color="auto" w:fill="auto"/>
            <w:vAlign w:val="center"/>
          </w:tcPr>
          <w:p w14:paraId="38A9AB91">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3645" w:type="pct"/>
            <w:shd w:val="clear" w:color="auto" w:fill="auto"/>
            <w:vAlign w:val="center"/>
          </w:tcPr>
          <w:p w14:paraId="2FE2F64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原油密闭装车撬（底装）</w:t>
            </w:r>
          </w:p>
        </w:tc>
        <w:tc>
          <w:tcPr>
            <w:tcW w:w="462" w:type="pct"/>
            <w:shd w:val="clear" w:color="auto" w:fill="auto"/>
            <w:vAlign w:val="center"/>
          </w:tcPr>
          <w:p w14:paraId="4801BBA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台</w:t>
            </w:r>
          </w:p>
        </w:tc>
        <w:tc>
          <w:tcPr>
            <w:tcW w:w="462" w:type="pct"/>
            <w:shd w:val="clear" w:color="auto" w:fill="auto"/>
            <w:vAlign w:val="center"/>
          </w:tcPr>
          <w:p w14:paraId="5A6054D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3"/>
                <w:sz w:val="21"/>
                <w:szCs w:val="21"/>
                <w:highlight w:val="none"/>
                <w:lang w:val="en-US" w:eastAsia="zh-CN"/>
                <w14:textFill>
                  <w14:solidFill>
                    <w14:schemeClr w14:val="tx1"/>
                  </w14:solidFill>
                </w14:textFill>
              </w:rPr>
              <w:t>1</w:t>
            </w:r>
          </w:p>
        </w:tc>
      </w:tr>
      <w:tr w14:paraId="54BB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shd w:val="clear" w:color="auto" w:fill="auto"/>
            <w:vAlign w:val="center"/>
          </w:tcPr>
          <w:p w14:paraId="3710EA3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3645" w:type="pct"/>
            <w:shd w:val="clear" w:color="auto" w:fill="auto"/>
            <w:vAlign w:val="center"/>
          </w:tcPr>
          <w:p w14:paraId="4E77825C">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风向标</w:t>
            </w:r>
          </w:p>
        </w:tc>
        <w:tc>
          <w:tcPr>
            <w:tcW w:w="462" w:type="pct"/>
            <w:shd w:val="clear" w:color="auto" w:fill="auto"/>
            <w:vAlign w:val="center"/>
          </w:tcPr>
          <w:p w14:paraId="552EA8BC">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套</w:t>
            </w:r>
          </w:p>
        </w:tc>
        <w:tc>
          <w:tcPr>
            <w:tcW w:w="462" w:type="pct"/>
            <w:shd w:val="clear" w:color="auto" w:fill="auto"/>
            <w:vAlign w:val="center"/>
          </w:tcPr>
          <w:p w14:paraId="34D32CE5">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r>
      <w:tr w14:paraId="415A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shd w:val="clear" w:color="auto" w:fill="auto"/>
            <w:vAlign w:val="center"/>
          </w:tcPr>
          <w:p w14:paraId="70BC772C">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3645" w:type="pct"/>
            <w:shd w:val="clear" w:color="auto" w:fill="auto"/>
            <w:vAlign w:val="center"/>
          </w:tcPr>
          <w:p w14:paraId="345B44E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工艺管网</w:t>
            </w:r>
          </w:p>
        </w:tc>
        <w:tc>
          <w:tcPr>
            <w:tcW w:w="462" w:type="pct"/>
            <w:shd w:val="clear" w:color="auto" w:fill="auto"/>
            <w:vAlign w:val="center"/>
          </w:tcPr>
          <w:p w14:paraId="479311BB">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组</w:t>
            </w:r>
          </w:p>
        </w:tc>
        <w:tc>
          <w:tcPr>
            <w:tcW w:w="462" w:type="pct"/>
            <w:shd w:val="clear" w:color="auto" w:fill="auto"/>
            <w:vAlign w:val="center"/>
          </w:tcPr>
          <w:p w14:paraId="09DD4DB7">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jc w:val="center"/>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w:t>
            </w:r>
          </w:p>
        </w:tc>
      </w:tr>
      <w:bookmarkEnd w:id="520"/>
      <w:bookmarkEnd w:id="523"/>
      <w:bookmarkEnd w:id="524"/>
      <w:bookmarkEnd w:id="525"/>
      <w:bookmarkEnd w:id="526"/>
      <w:bookmarkEnd w:id="527"/>
      <w:bookmarkEnd w:id="528"/>
      <w:bookmarkEnd w:id="529"/>
      <w:bookmarkEnd w:id="530"/>
      <w:bookmarkEnd w:id="531"/>
      <w:bookmarkEnd w:id="532"/>
      <w:bookmarkEnd w:id="533"/>
    </w:tbl>
    <w:p w14:paraId="0DFED652">
      <w:pPr>
        <w:pStyle w:val="5"/>
        <w:pageBreakBefore w:val="0"/>
        <w:numPr>
          <w:ilvl w:val="0"/>
          <w:numId w:val="0"/>
        </w:numPr>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b w:val="0"/>
          <w:snapToGrid/>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）储层改造工程</w:t>
      </w:r>
    </w:p>
    <w:p w14:paraId="1397BCB6">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射孔工艺</w:t>
      </w:r>
    </w:p>
    <w:p w14:paraId="271D70F0">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考虑电缆传输射孔需要多次下入射孔枪，作业周期长、风险大；管柱传输射孔是主要射孔方式，射孔作业实施情况良好，工艺技术成熟，本</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新钻井采用管柱传输射孔工艺。</w:t>
      </w:r>
    </w:p>
    <w:p w14:paraId="0E08367B">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射孔参数推荐：枪型：127型，弹型：欧文弹或127聚能弹，孔密：16孔/米，校深方式：采用GR+CCL校深</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11389330">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储层改造工艺</w:t>
      </w:r>
    </w:p>
    <w:p w14:paraId="326C7924">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结合油田区域已实施的钻井作业储层改造工艺，本</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各钻井采用酸化压裂工艺。</w:t>
      </w:r>
    </w:p>
    <w:p w14:paraId="3D36099C">
      <w:pPr>
        <w:pStyle w:val="19"/>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③</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压裂工艺</w:t>
      </w:r>
    </w:p>
    <w:p w14:paraId="3EB0E36F">
      <w:pPr>
        <w:pStyle w:val="19"/>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选用</w:t>
      </w:r>
      <w:bookmarkStart w:id="535" w:name="OLE_LINK1280"/>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1/2″油管</w:t>
      </w:r>
      <w:bookmarkEnd w:id="535"/>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进行施工，采用“一体化压裂液+胶凝酸+滑溜水”作为酸化压裂施工液，酸化压裂液</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用量为</w:t>
      </w:r>
      <w:r>
        <w:rPr>
          <w:rFonts w:hint="eastAsia"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。由于涉及商业机密，本次酸化压裂液未给出具体配比</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250EA6C7">
      <w:pPr>
        <w:pStyle w:val="53"/>
        <w:keepNext w:val="0"/>
        <w:keepLines w:val="0"/>
        <w:pageBreakBefore w:val="0"/>
        <w:widowControl/>
        <w:kinsoku/>
        <w:wordWrap/>
        <w:overflowPunct/>
        <w:topLinePunct w:val="0"/>
        <w:autoSpaceDE/>
        <w:autoSpaceDN/>
        <w:bidi w:val="0"/>
        <w:adjustRightInd w:val="0"/>
        <w:spacing w:line="240" w:lineRule="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-1</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   油田钻井改造液体系配方</w:t>
      </w:r>
    </w:p>
    <w:tbl>
      <w:tblPr>
        <w:tblStyle w:val="37"/>
        <w:tblW w:w="51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54"/>
        <w:gridCol w:w="6611"/>
      </w:tblGrid>
      <w:tr w14:paraId="2849B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54" w:type="dxa"/>
            <w:noWrap w:val="0"/>
            <w:tcMar>
              <w:top w:w="15" w:type="dxa"/>
              <w:left w:w="15" w:type="dxa"/>
              <w:bottom w:w="0" w:type="dxa"/>
              <w:right w:w="15" w:type="dxa"/>
            </w:tcMar>
            <w:vAlign w:val="center"/>
          </w:tcPr>
          <w:p w14:paraId="756E9235">
            <w:pPr>
              <w:widowControl/>
              <w:spacing w:line="0" w:lineRule="atLeast"/>
              <w:jc w:val="center"/>
              <w:textAlignment w:val="center"/>
              <w:rPr>
                <w:rFonts w:hint="default" w:ascii="Times New Roman" w:hAnsi="Times New Roman" w:eastAsia="宋体" w:cs="Times New Roman"/>
                <w:b/>
                <w:bCs w:val="0"/>
                <w:color w:val="000000" w:themeColor="text1"/>
                <w:spacing w:val="-10"/>
                <w:kern w:val="0"/>
                <w:sz w:val="21"/>
                <w:szCs w:val="21"/>
                <w:highlight w:val="none"/>
                <w:lang w:bidi="ar"/>
                <w14:textFill>
                  <w14:solidFill>
                    <w14:schemeClr w14:val="tx1"/>
                  </w14:solidFill>
                </w14:textFill>
              </w:rPr>
            </w:pPr>
            <w:r>
              <w:rPr>
                <w:rFonts w:hint="default" w:ascii="Times New Roman" w:hAnsi="Times New Roman" w:eastAsia="宋体" w:cs="Times New Roman"/>
                <w:b/>
                <w:bCs w:val="0"/>
                <w:color w:val="000000" w:themeColor="text1"/>
                <w:spacing w:val="-10"/>
                <w:kern w:val="0"/>
                <w:sz w:val="21"/>
                <w:szCs w:val="21"/>
                <w:highlight w:val="none"/>
                <w:lang w:bidi="ar"/>
                <w14:textFill>
                  <w14:solidFill>
                    <w14:schemeClr w14:val="tx1"/>
                  </w14:solidFill>
                </w14:textFill>
              </w:rPr>
              <w:t>液体类型</w:t>
            </w:r>
          </w:p>
        </w:tc>
        <w:tc>
          <w:tcPr>
            <w:tcW w:w="6611" w:type="dxa"/>
            <w:noWrap w:val="0"/>
            <w:tcMar>
              <w:top w:w="15" w:type="dxa"/>
              <w:left w:w="15" w:type="dxa"/>
              <w:bottom w:w="0" w:type="dxa"/>
              <w:right w:w="15" w:type="dxa"/>
            </w:tcMar>
            <w:vAlign w:val="center"/>
          </w:tcPr>
          <w:p w14:paraId="71422C9C">
            <w:pPr>
              <w:widowControl/>
              <w:spacing w:line="0" w:lineRule="atLeast"/>
              <w:jc w:val="center"/>
              <w:textAlignment w:val="center"/>
              <w:rPr>
                <w:rFonts w:hint="default" w:ascii="Times New Roman" w:hAnsi="Times New Roman" w:eastAsia="宋体" w:cs="Times New Roman"/>
                <w:b/>
                <w:bCs w:val="0"/>
                <w:color w:val="000000" w:themeColor="text1"/>
                <w:spacing w:val="-10"/>
                <w:kern w:val="0"/>
                <w:sz w:val="21"/>
                <w:szCs w:val="21"/>
                <w:highlight w:val="none"/>
                <w:lang w:bidi="ar"/>
                <w14:textFill>
                  <w14:solidFill>
                    <w14:schemeClr w14:val="tx1"/>
                  </w14:solidFill>
                </w14:textFill>
              </w:rPr>
            </w:pPr>
            <w:r>
              <w:rPr>
                <w:rFonts w:hint="default" w:ascii="Times New Roman" w:hAnsi="Times New Roman" w:eastAsia="宋体" w:cs="Times New Roman"/>
                <w:b/>
                <w:bCs w:val="0"/>
                <w:color w:val="000000" w:themeColor="text1"/>
                <w:spacing w:val="-10"/>
                <w:kern w:val="0"/>
                <w:sz w:val="21"/>
                <w:szCs w:val="21"/>
                <w:highlight w:val="none"/>
                <w:lang w:bidi="ar"/>
                <w14:textFill>
                  <w14:solidFill>
                    <w14:schemeClr w14:val="tx1"/>
                  </w14:solidFill>
                </w14:textFill>
              </w:rPr>
              <w:t>配方</w:t>
            </w:r>
          </w:p>
        </w:tc>
      </w:tr>
      <w:tr w14:paraId="21F0A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54" w:type="dxa"/>
            <w:noWrap w:val="0"/>
            <w:tcMar>
              <w:top w:w="15" w:type="dxa"/>
              <w:left w:w="15" w:type="dxa"/>
              <w:bottom w:w="0" w:type="dxa"/>
              <w:right w:w="15" w:type="dxa"/>
            </w:tcMar>
            <w:vAlign w:val="center"/>
          </w:tcPr>
          <w:p w14:paraId="0BD7D0C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压裂液</w:t>
            </w:r>
          </w:p>
        </w:tc>
        <w:tc>
          <w:tcPr>
            <w:tcW w:w="6611" w:type="dxa"/>
            <w:noWrap w:val="0"/>
            <w:tcMar>
              <w:top w:w="15" w:type="dxa"/>
              <w:left w:w="15" w:type="dxa"/>
              <w:bottom w:w="0" w:type="dxa"/>
              <w:right w:w="15" w:type="dxa"/>
            </w:tcMar>
            <w:vAlign w:val="center"/>
          </w:tcPr>
          <w:p w14:paraId="5AB1EEFE">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纳米乳液稠化剂、破乳剂、破胶剂、清水</w:t>
            </w:r>
          </w:p>
        </w:tc>
      </w:tr>
      <w:tr w14:paraId="6BADB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54" w:type="dxa"/>
            <w:noWrap w:val="0"/>
            <w:tcMar>
              <w:top w:w="15" w:type="dxa"/>
              <w:left w:w="15" w:type="dxa"/>
              <w:bottom w:w="0" w:type="dxa"/>
              <w:right w:w="15" w:type="dxa"/>
            </w:tcMar>
            <w:vAlign w:val="center"/>
          </w:tcPr>
          <w:p w14:paraId="384D5FDD">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胶凝酸</w:t>
            </w:r>
          </w:p>
        </w:tc>
        <w:tc>
          <w:tcPr>
            <w:tcW w:w="6611" w:type="dxa"/>
            <w:noWrap w:val="0"/>
            <w:tcMar>
              <w:top w:w="15" w:type="dxa"/>
              <w:left w:w="15" w:type="dxa"/>
              <w:bottom w:w="0" w:type="dxa"/>
              <w:right w:w="15" w:type="dxa"/>
            </w:tcMar>
            <w:vAlign w:val="center"/>
          </w:tcPr>
          <w:p w14:paraId="1C3B28AE">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31%盐酸、胶凝剂、缓蚀剂、铁离子稳定剂、破乳剂、清水</w:t>
            </w:r>
          </w:p>
        </w:tc>
      </w:tr>
      <w:tr w14:paraId="264E9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54" w:type="dxa"/>
            <w:noWrap w:val="0"/>
            <w:tcMar>
              <w:top w:w="15" w:type="dxa"/>
              <w:left w:w="15" w:type="dxa"/>
              <w:bottom w:w="0" w:type="dxa"/>
              <w:right w:w="15" w:type="dxa"/>
            </w:tcMar>
            <w:vAlign w:val="center"/>
          </w:tcPr>
          <w:p w14:paraId="175F0A0F">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滑溜水</w:t>
            </w:r>
          </w:p>
        </w:tc>
        <w:tc>
          <w:tcPr>
            <w:tcW w:w="6611" w:type="dxa"/>
            <w:noWrap w:val="0"/>
            <w:tcMar>
              <w:top w:w="15" w:type="dxa"/>
              <w:left w:w="15" w:type="dxa"/>
              <w:bottom w:w="0" w:type="dxa"/>
              <w:right w:w="15" w:type="dxa"/>
            </w:tcMar>
            <w:vAlign w:val="center"/>
          </w:tcPr>
          <w:p w14:paraId="6D142BD1">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纳米乳液稠化剂、清水</w:t>
            </w:r>
          </w:p>
        </w:tc>
      </w:tr>
    </w:tbl>
    <w:p w14:paraId="3357C984">
      <w:pPr>
        <w:pStyle w:val="53"/>
        <w:keepNext w:val="0"/>
        <w:keepLines w:val="0"/>
        <w:pageBreakBefore w:val="0"/>
        <w:widowControl/>
        <w:kinsoku/>
        <w:wordWrap/>
        <w:overflowPunct/>
        <w:topLinePunct w:val="0"/>
        <w:autoSpaceDE/>
        <w:autoSpaceDN/>
        <w:bidi w:val="0"/>
        <w:adjustRightInd w:val="0"/>
        <w:spacing w:line="240" w:lineRule="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14</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   单座井场压裂施工所用机械一览表</w:t>
      </w:r>
    </w:p>
    <w:tbl>
      <w:tblPr>
        <w:tblStyle w:val="37"/>
        <w:tblW w:w="51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410"/>
        <w:gridCol w:w="1395"/>
        <w:gridCol w:w="1777"/>
        <w:gridCol w:w="3118"/>
      </w:tblGrid>
      <w:tr w14:paraId="683BA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3824254E">
            <w:pPr>
              <w:pStyle w:val="99"/>
              <w:spacing w:line="0" w:lineRule="atLeast"/>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设备或部件名称</w:t>
            </w:r>
          </w:p>
        </w:tc>
        <w:tc>
          <w:tcPr>
            <w:tcW w:w="802" w:type="pct"/>
            <w:noWrap w:val="0"/>
            <w:vAlign w:val="center"/>
          </w:tcPr>
          <w:p w14:paraId="7106B83D">
            <w:pPr>
              <w:pStyle w:val="99"/>
              <w:spacing w:line="0" w:lineRule="atLeast"/>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数量</w:t>
            </w:r>
          </w:p>
        </w:tc>
        <w:tc>
          <w:tcPr>
            <w:tcW w:w="1021" w:type="pct"/>
            <w:noWrap w:val="0"/>
            <w:vAlign w:val="center"/>
          </w:tcPr>
          <w:p w14:paraId="540D978A">
            <w:pPr>
              <w:pStyle w:val="99"/>
              <w:spacing w:line="0" w:lineRule="atLeast"/>
              <w:ind w:left="0" w:leftChars="0" w:firstLine="0" w:firstLineChars="0"/>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参数</w:t>
            </w:r>
          </w:p>
        </w:tc>
        <w:tc>
          <w:tcPr>
            <w:tcW w:w="1790" w:type="pct"/>
            <w:noWrap w:val="0"/>
            <w:vAlign w:val="center"/>
          </w:tcPr>
          <w:p w14:paraId="0EF42956">
            <w:pPr>
              <w:pStyle w:val="99"/>
              <w:spacing w:line="0" w:lineRule="atLeast"/>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备注</w:t>
            </w:r>
          </w:p>
        </w:tc>
      </w:tr>
      <w:tr w14:paraId="5AD97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noWrap w:val="0"/>
            <w:vAlign w:val="center"/>
          </w:tcPr>
          <w:p w14:paraId="1D1DEF17">
            <w:pPr>
              <w:pStyle w:val="99"/>
              <w:spacing w:line="0" w:lineRule="atLeast"/>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地面动力机械设备</w:t>
            </w:r>
          </w:p>
        </w:tc>
      </w:tr>
      <w:tr w14:paraId="7E5D1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5BCF9892">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2000型主压车</w:t>
            </w:r>
          </w:p>
        </w:tc>
        <w:tc>
          <w:tcPr>
            <w:tcW w:w="802" w:type="pct"/>
            <w:noWrap w:val="0"/>
            <w:vAlign w:val="center"/>
          </w:tcPr>
          <w:p w14:paraId="774FC5AB">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8辆</w:t>
            </w:r>
          </w:p>
        </w:tc>
        <w:tc>
          <w:tcPr>
            <w:tcW w:w="1021" w:type="pct"/>
            <w:noWrap w:val="0"/>
            <w:vAlign w:val="center"/>
          </w:tcPr>
          <w:p w14:paraId="40912703">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171625A4">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向井内注入高压的压裂液</w:t>
            </w:r>
          </w:p>
        </w:tc>
      </w:tr>
      <w:tr w14:paraId="2F2C8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67E634B4">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供液车</w:t>
            </w:r>
          </w:p>
        </w:tc>
        <w:tc>
          <w:tcPr>
            <w:tcW w:w="802" w:type="pct"/>
            <w:noWrap w:val="0"/>
            <w:vAlign w:val="center"/>
          </w:tcPr>
          <w:p w14:paraId="6C0BB724">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1辆</w:t>
            </w:r>
          </w:p>
        </w:tc>
        <w:tc>
          <w:tcPr>
            <w:tcW w:w="1021" w:type="pct"/>
            <w:noWrap w:val="0"/>
            <w:vAlign w:val="center"/>
          </w:tcPr>
          <w:p w14:paraId="5B3E4F78">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6DF9F63D">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压裂液和返排液罐均位于车上</w:t>
            </w:r>
          </w:p>
        </w:tc>
      </w:tr>
      <w:tr w14:paraId="34581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07424C54">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管汇车</w:t>
            </w:r>
          </w:p>
        </w:tc>
        <w:tc>
          <w:tcPr>
            <w:tcW w:w="802" w:type="pct"/>
            <w:noWrap w:val="0"/>
            <w:vAlign w:val="center"/>
          </w:tcPr>
          <w:p w14:paraId="7985FB28">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1辆</w:t>
            </w:r>
          </w:p>
        </w:tc>
        <w:tc>
          <w:tcPr>
            <w:tcW w:w="1021" w:type="pct"/>
            <w:noWrap w:val="0"/>
            <w:vAlign w:val="center"/>
          </w:tcPr>
          <w:p w14:paraId="7A641B8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1FFCBF18">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由高压三通、四通、单流阀、控制阀等部件组成</w:t>
            </w:r>
          </w:p>
        </w:tc>
      </w:tr>
      <w:tr w14:paraId="22E5C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34C6E841">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仪表车</w:t>
            </w:r>
          </w:p>
        </w:tc>
        <w:tc>
          <w:tcPr>
            <w:tcW w:w="802" w:type="pct"/>
            <w:noWrap w:val="0"/>
            <w:vAlign w:val="center"/>
          </w:tcPr>
          <w:p w14:paraId="149499EF">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1辆</w:t>
            </w:r>
          </w:p>
        </w:tc>
        <w:tc>
          <w:tcPr>
            <w:tcW w:w="1021" w:type="pct"/>
            <w:noWrap w:val="0"/>
            <w:vAlign w:val="center"/>
          </w:tcPr>
          <w:p w14:paraId="32296C2A">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3858A20E">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计量仪表</w:t>
            </w:r>
          </w:p>
        </w:tc>
      </w:tr>
      <w:tr w14:paraId="0DBE1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58748631">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压裂液在线混配车</w:t>
            </w:r>
          </w:p>
        </w:tc>
        <w:tc>
          <w:tcPr>
            <w:tcW w:w="802" w:type="pct"/>
            <w:noWrap w:val="0"/>
            <w:vAlign w:val="center"/>
          </w:tcPr>
          <w:p w14:paraId="4553D866">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1辆</w:t>
            </w:r>
          </w:p>
        </w:tc>
        <w:tc>
          <w:tcPr>
            <w:tcW w:w="1021" w:type="pct"/>
            <w:noWrap w:val="0"/>
            <w:vAlign w:val="center"/>
          </w:tcPr>
          <w:p w14:paraId="6CC8A365">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242459CD">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在线混配压裂液</w:t>
            </w:r>
          </w:p>
        </w:tc>
      </w:tr>
      <w:tr w14:paraId="1EE83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noWrap w:val="0"/>
            <w:vAlign w:val="center"/>
          </w:tcPr>
          <w:p w14:paraId="29877A3C">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井下工具</w:t>
            </w:r>
          </w:p>
        </w:tc>
      </w:tr>
      <w:tr w14:paraId="2DCF9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1D12386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喷砂器</w:t>
            </w:r>
          </w:p>
        </w:tc>
        <w:tc>
          <w:tcPr>
            <w:tcW w:w="802" w:type="pct"/>
            <w:noWrap w:val="0"/>
            <w:vAlign w:val="center"/>
          </w:tcPr>
          <w:p w14:paraId="37B2B37F">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2套</w:t>
            </w:r>
          </w:p>
        </w:tc>
        <w:tc>
          <w:tcPr>
            <w:tcW w:w="1021" w:type="pct"/>
            <w:noWrap w:val="0"/>
            <w:vAlign w:val="center"/>
          </w:tcPr>
          <w:p w14:paraId="718CBD19">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6ADB195B">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向地层喷砂液，同时形成节流压差</w:t>
            </w:r>
          </w:p>
        </w:tc>
      </w:tr>
      <w:tr w14:paraId="3DDFD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1C59109F">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封隔器</w:t>
            </w:r>
          </w:p>
        </w:tc>
        <w:tc>
          <w:tcPr>
            <w:tcW w:w="802" w:type="pct"/>
            <w:noWrap w:val="0"/>
            <w:vAlign w:val="center"/>
          </w:tcPr>
          <w:p w14:paraId="0F2EBC08">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2套</w:t>
            </w:r>
          </w:p>
        </w:tc>
        <w:tc>
          <w:tcPr>
            <w:tcW w:w="1021" w:type="pct"/>
            <w:noWrap w:val="0"/>
            <w:vAlign w:val="center"/>
          </w:tcPr>
          <w:p w14:paraId="383F032F">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7194287E">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分隔井的压裂层段</w:t>
            </w:r>
          </w:p>
        </w:tc>
      </w:tr>
      <w:tr w14:paraId="5001C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85" w:type="pct"/>
            <w:noWrap w:val="0"/>
            <w:vAlign w:val="center"/>
          </w:tcPr>
          <w:p w14:paraId="4BE53E50">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水力锚</w:t>
            </w:r>
          </w:p>
        </w:tc>
        <w:tc>
          <w:tcPr>
            <w:tcW w:w="802" w:type="pct"/>
            <w:noWrap w:val="0"/>
            <w:vAlign w:val="center"/>
          </w:tcPr>
          <w:p w14:paraId="267BBA98">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2套</w:t>
            </w:r>
          </w:p>
        </w:tc>
        <w:tc>
          <w:tcPr>
            <w:tcW w:w="1021" w:type="pct"/>
            <w:noWrap w:val="0"/>
            <w:vAlign w:val="center"/>
          </w:tcPr>
          <w:p w14:paraId="4B8F26BE">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790" w:type="pct"/>
            <w:noWrap w:val="0"/>
            <w:vAlign w:val="center"/>
          </w:tcPr>
          <w:p w14:paraId="1F9C6C13">
            <w:pPr>
              <w:pStyle w:val="49"/>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固定井下管柱</w:t>
            </w:r>
          </w:p>
        </w:tc>
      </w:tr>
    </w:tbl>
    <w:p w14:paraId="58BF4604">
      <w:pPr>
        <w:pStyle w:val="11"/>
        <w:bidi w:val="0"/>
        <w:outlineLvl w:val="3"/>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pPr>
      <w:bookmarkStart w:id="536" w:name="_Toc21771"/>
      <w:bookmarkStart w:id="537" w:name="_Toc26378"/>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3.2.4.3公辅工程</w:t>
      </w:r>
      <w:bookmarkEnd w:id="536"/>
      <w:bookmarkEnd w:id="537"/>
    </w:p>
    <w:p w14:paraId="3CBFD998">
      <w:pPr>
        <w:spacing w:line="360" w:lineRule="auto"/>
        <w:ind w:firstLine="480" w:firstLineChars="200"/>
        <w:jc w:val="both"/>
        <w:outlineLvl w:val="3"/>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（1）供水工程</w:t>
      </w:r>
    </w:p>
    <w:p w14:paraId="34F8E0E5">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①给水</w:t>
      </w:r>
    </w:p>
    <w:p w14:paraId="52F063B0">
      <w:pPr>
        <w:spacing w:line="360" w:lineRule="auto"/>
        <w:ind w:firstLine="480" w:firstLineChars="20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w:t>
      </w:r>
      <w:r>
        <w:rPr>
          <w:rFonts w:hint="default" w:ascii="Times New Roman" w:hAnsi="Times New Roman" w:cs="Times New Roman"/>
          <w:color w:val="000000" w:themeColor="text1"/>
          <w:highlight w:val="none"/>
          <w:lang w:val="en-US" w:eastAsia="zh-CN"/>
          <w14:textFill>
            <w14:solidFill>
              <w14:schemeClr w14:val="tx1"/>
            </w14:solidFill>
          </w14:textFill>
        </w:rPr>
        <w:t>井场内</w:t>
      </w:r>
      <w:r>
        <w:rPr>
          <w:rFonts w:hint="default" w:ascii="Times New Roman" w:hAnsi="Times New Roman" w:cs="Times New Roman"/>
          <w:color w:val="000000" w:themeColor="text1"/>
          <w:highlight w:val="none"/>
          <w14:textFill>
            <w14:solidFill>
              <w14:schemeClr w14:val="tx1"/>
            </w14:solidFill>
          </w14:textFill>
        </w:rPr>
        <w:t>给水采用水罐车就近拉运至井场</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14:textFill>
            <w14:solidFill>
              <w14:schemeClr w14:val="tx1"/>
            </w14:solidFill>
          </w14:textFill>
        </w:rPr>
        <w:t>钻井过程中生产用水主要为钻井泥浆、固井水泥浆配制用水</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以及</w:t>
      </w:r>
      <w:r>
        <w:rPr>
          <w:rFonts w:hint="default" w:ascii="Times New Roman" w:hAnsi="Times New Roman" w:cs="Times New Roman"/>
          <w:snapToGrid w:val="0"/>
          <w:color w:val="000000" w:themeColor="text1"/>
          <w:highlight w:val="none"/>
          <w14:textFill>
            <w14:solidFill>
              <w14:schemeClr w14:val="tx1"/>
            </w14:solidFill>
          </w14:textFill>
        </w:rPr>
        <w:t>酸化压裂</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用水，</w:t>
      </w:r>
      <w:r>
        <w:rPr>
          <w:rFonts w:hint="default" w:ascii="Times New Roman" w:hAnsi="Times New Roman" w:cs="Times New Roman"/>
          <w:snapToGrid w:val="0"/>
          <w:color w:val="000000" w:themeColor="text1"/>
          <w:highlight w:val="none"/>
          <w14:textFill>
            <w14:solidFill>
              <w14:schemeClr w14:val="tx1"/>
            </w14:solidFill>
          </w14:textFill>
        </w:rPr>
        <w:t>整个钻井期生产用水</w:t>
      </w:r>
      <w:r>
        <w:rPr>
          <w:rFonts w:hint="eastAsia" w:cs="Times New Roman"/>
          <w:snapToGrid w:val="0"/>
          <w:color w:val="000000" w:themeColor="text1"/>
          <w:highlight w:val="none"/>
          <w:lang w:val="en-US" w:eastAsia="zh-CN"/>
          <w14:textFill>
            <w14:solidFill>
              <w14:schemeClr w14:val="tx1"/>
            </w14:solidFill>
          </w14:textFill>
        </w:rPr>
        <w:t>29</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00</w:t>
      </w:r>
      <w:r>
        <w:rPr>
          <w:rFonts w:hint="default" w:ascii="Times New Roman" w:hAnsi="Times New Roman" w:cs="Times New Roman"/>
          <w:snapToGrid w:val="0"/>
          <w:color w:val="000000" w:themeColor="text1"/>
          <w:highlight w:val="none"/>
          <w14:textFill>
            <w14:solidFill>
              <w14:schemeClr w14:val="tx1"/>
            </w14:solidFill>
          </w14:textFill>
        </w:rPr>
        <w:t>m</w:t>
      </w:r>
      <w:r>
        <w:rPr>
          <w:rFonts w:hint="default" w:ascii="Times New Roman" w:hAnsi="Times New Roman" w:cs="Times New Roman"/>
          <w:snapToGrid w:val="0"/>
          <w:color w:val="000000" w:themeColor="text1"/>
          <w:highlight w:val="none"/>
          <w:vertAlign w:val="superscript"/>
          <w14:textFill>
            <w14:solidFill>
              <w14:schemeClr w14:val="tx1"/>
            </w14:solidFill>
          </w14:textFill>
        </w:rPr>
        <w:t>3</w:t>
      </w:r>
      <w:r>
        <w:rPr>
          <w:rFonts w:hint="default" w:ascii="Times New Roman" w:hAnsi="Times New Roman" w:cs="Times New Roman"/>
          <w:snapToGrid w:val="0"/>
          <w:color w:val="000000" w:themeColor="text1"/>
          <w:highlight w:val="none"/>
          <w:vertAlign w:val="baseline"/>
          <w:lang w:eastAsia="zh-CN"/>
          <w14:textFill>
            <w14:solidFill>
              <w14:schemeClr w14:val="tx1"/>
            </w14:solidFill>
          </w14:textFill>
        </w:rPr>
        <w:t>。</w:t>
      </w:r>
    </w:p>
    <w:p w14:paraId="43A55F64">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②排水</w:t>
      </w:r>
    </w:p>
    <w:p w14:paraId="2FB89602">
      <w:pPr>
        <w:spacing w:line="360" w:lineRule="auto"/>
        <w:ind w:firstLine="480" w:firstLineChars="200"/>
        <w:jc w:val="both"/>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t>本</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highlight w:val="none"/>
          <w14:textFill>
            <w14:solidFill>
              <w14:schemeClr w14:val="tx1"/>
            </w14:solidFill>
          </w14:textFill>
        </w:rPr>
        <w:t>产生的废水包括钻井废水、酸化压裂废水。</w:t>
      </w:r>
    </w:p>
    <w:p w14:paraId="4347BC5A">
      <w:pPr>
        <w:spacing w:line="360" w:lineRule="auto"/>
        <w:ind w:firstLine="480" w:firstLineChars="200"/>
        <w:jc w:val="both"/>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eastAsia" w:cs="Times New Roman"/>
          <w:snapToGrid w:val="0"/>
          <w:color w:val="000000" w:themeColor="text1"/>
          <w:highlight w:val="none"/>
          <w:lang w:val="en-US" w:eastAsia="zh-CN"/>
          <w14:textFill>
            <w14:solidFill>
              <w14:schemeClr w14:val="tx1"/>
            </w14:solidFill>
          </w14:textFill>
        </w:rPr>
        <w:t>施工期</w:t>
      </w:r>
      <w:r>
        <w:rPr>
          <w:rFonts w:hint="default" w:ascii="Times New Roman" w:hAnsi="Times New Roman" w:cs="Times New Roman"/>
          <w:snapToGrid w:val="0"/>
          <w:color w:val="000000" w:themeColor="text1"/>
          <w:highlight w:val="none"/>
          <w14:textFill>
            <w14:solidFill>
              <w14:schemeClr w14:val="tx1"/>
            </w14:solidFill>
          </w14:textFill>
        </w:rPr>
        <w:t>钻井废水基本与钻井泥浆、岩屑一同带出处理，钻井泥浆、岩屑一同进入井队固控系统进行分离处理，分离后的液体统一转运至阿克苏塔河环保工程有限公司绿色环保工作站处置。酸化压裂废水采用专用废液收集罐收集后，拉运至阿克苏塔河环保工程有限公司绿色环保工作站处理</w:t>
      </w:r>
      <w:r>
        <w:rPr>
          <w:rFonts w:hint="default" w:ascii="Times New Roman" w:hAnsi="Times New Roman" w:cs="Times New Roman"/>
          <w:snapToGrid w:val="0"/>
          <w:color w:val="000000" w:themeColor="text1"/>
          <w:highlight w:val="none"/>
          <w:lang w:eastAsia="zh-CN"/>
          <w14:textFill>
            <w14:solidFill>
              <w14:schemeClr w14:val="tx1"/>
            </w14:solidFill>
          </w14:textFill>
        </w:rPr>
        <w:t>。</w:t>
      </w:r>
    </w:p>
    <w:p w14:paraId="63FFC665">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运营期工作人员由油田内部调剂，不新增工作人员，不新增生活污水。</w:t>
      </w:r>
    </w:p>
    <w:p w14:paraId="6861AD70">
      <w:pPr>
        <w:spacing w:line="360" w:lineRule="auto"/>
        <w:ind w:firstLine="480" w:firstLineChars="200"/>
        <w:jc w:val="both"/>
        <w:outlineLvl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供电工程</w:t>
      </w:r>
    </w:p>
    <w:p w14:paraId="601ED712">
      <w:pPr>
        <w:spacing w:line="360" w:lineRule="auto"/>
        <w:ind w:firstLine="480" w:firstLineChars="200"/>
        <w:jc w:val="both"/>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本工程星火7井井场旁已建国网10KV电源，单井及流程用电就近接入国网线路，新建10KV架空线路0.2km，导线JL/G1A-120/20。250KVA户外变压器一座，建议箱式配电室一座。</w:t>
      </w:r>
    </w:p>
    <w:p w14:paraId="5D1467A7">
      <w:pPr>
        <w:spacing w:line="360" w:lineRule="auto"/>
        <w:ind w:firstLine="480" w:firstLineChars="200"/>
        <w:jc w:val="both"/>
        <w:outlineLvl w:val="3"/>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自控工程</w:t>
      </w:r>
    </w:p>
    <w:p w14:paraId="12124515">
      <w:pPr>
        <w:pStyle w:val="110"/>
        <w:spacing w:line="360" w:lineRule="auto"/>
        <w:ind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bookmarkStart w:id="538" w:name="_Toc371003061"/>
      <w:bookmarkStart w:id="539" w:name="_Toc23168"/>
      <w:bookmarkStart w:id="540" w:name="_Toc23258"/>
      <w:r>
        <w:rPr>
          <w:rFonts w:hint="eastAsia" w:ascii="Times New Roman" w:hAnsi="Times New Roman" w:cs="Times New Roman"/>
          <w:color w:val="000000" w:themeColor="text1"/>
          <w:highlight w:val="none"/>
          <w:lang w:val="en-US" w:eastAsia="zh-CN"/>
          <w14:textFill>
            <w14:solidFill>
              <w14:schemeClr w14:val="tx1"/>
            </w14:solidFill>
          </w14:textFill>
        </w:rPr>
        <w:t>采用RTU将仪表信号上传上级站场，实现远程监控。拉油流程配置关键工艺节点自控仪表，接入站控PLC系统，实现远程监控。天然气处理单元由第三方建设实施。</w:t>
      </w:r>
    </w:p>
    <w:bookmarkEnd w:id="538"/>
    <w:p w14:paraId="57F79C43">
      <w:pPr>
        <w:spacing w:line="360" w:lineRule="auto"/>
        <w:ind w:firstLine="480" w:firstLineChars="200"/>
        <w:jc w:val="both"/>
        <w:outlineLvl w:val="3"/>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通信工程</w:t>
      </w:r>
    </w:p>
    <w:p w14:paraId="276E113F">
      <w:pPr>
        <w:pStyle w:val="110"/>
        <w:spacing w:line="360" w:lineRule="auto"/>
        <w:ind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单井部分：在单井井口敷设4芯光缆，与单井集输管线同沟敷设，井口设置摄像头，视频信号及RTU数据通过工业以太网交换机，经光缆上传星火7拉油流程。</w:t>
      </w:r>
    </w:p>
    <w:p w14:paraId="4754B3FC">
      <w:pPr>
        <w:pStyle w:val="110"/>
        <w:spacing w:line="360" w:lineRule="auto"/>
        <w:ind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拉油流程部分：星火7拉油流程设置视频监控，中央控制室配置硬盘录像机、通信机柜和视频监控电脑，视频信号通过工业以太网交换机汇聚，接入视频硬盘录像机。考虑现场与生产指挥中心间无通信光缆依托，生产数据及视频信号通过租赁电信光纤专线上传生产指挥中心。</w:t>
      </w:r>
    </w:p>
    <w:p w14:paraId="5F6BA529">
      <w:pPr>
        <w:spacing w:line="360" w:lineRule="auto"/>
        <w:ind w:firstLine="480" w:firstLineChars="200"/>
        <w:jc w:val="both"/>
        <w:outlineLvl w:val="3"/>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541" w:name="OLE_LINK246"/>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消防工程</w:t>
      </w:r>
    </w:p>
    <w:bookmarkEnd w:id="541"/>
    <w:p w14:paraId="1F9049B2">
      <w:pPr>
        <w:pStyle w:val="11"/>
        <w:bidi w:val="0"/>
        <w:ind w:firstLine="480" w:firstLineChars="200"/>
        <w:jc w:val="both"/>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设置手提式磷酸铵盐干粉灭火器MF/ABC8 （2具1箱）8套，推车式磷酸铵盐干粉灭火器4台，手提式二氧化碳灭火器 MT7 配二氧化碳防冻手套 （2具1箱）5套。</w:t>
      </w:r>
    </w:p>
    <w:p w14:paraId="665C43AE">
      <w:pPr>
        <w:spacing w:line="360" w:lineRule="auto"/>
        <w:ind w:firstLine="480" w:firstLineChars="200"/>
        <w:jc w:val="both"/>
        <w:outlineLvl w:val="3"/>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542" w:name="OLE_LINK257"/>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lang w:val="en-US" w:eastAsia="zh-CN"/>
          <w14:textFill>
            <w14:solidFill>
              <w14:schemeClr w14:val="tx1"/>
            </w14:solidFill>
          </w14:textFill>
        </w:rPr>
        <w:t>道路</w:t>
      </w:r>
      <w:bookmarkEnd w:id="542"/>
      <w:r>
        <w:rPr>
          <w:rFonts w:hint="default" w:ascii="Times New Roman" w:hAnsi="Times New Roman" w:eastAsia="宋体" w:cs="Times New Roman"/>
          <w:color w:val="000000" w:themeColor="text1"/>
          <w:highlight w:val="none"/>
          <w:lang w:val="en-US" w:eastAsia="zh-CN"/>
          <w14:textFill>
            <w14:solidFill>
              <w14:schemeClr w14:val="tx1"/>
            </w14:solidFill>
          </w14:textFill>
        </w:rPr>
        <w:t>工程</w:t>
      </w:r>
    </w:p>
    <w:p w14:paraId="49404E9E">
      <w:pPr>
        <w:pStyle w:val="12"/>
        <w:rPr>
          <w:rFonts w:hint="eastAsia" w:eastAsia="宋体"/>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本工程道路</w:t>
      </w:r>
      <w:r>
        <w:rPr>
          <w:rFonts w:hint="eastAsia" w:cs="Times New Roman"/>
          <w:color w:val="000000" w:themeColor="text1"/>
          <w:highlight w:val="none"/>
          <w:lang w:val="en-US" w:eastAsia="zh-CN"/>
          <w14:textFill>
            <w14:solidFill>
              <w14:schemeClr w14:val="tx1"/>
            </w14:solidFill>
          </w14:textFill>
        </w:rPr>
        <w:t>依托</w:t>
      </w:r>
      <w:r>
        <w:rPr>
          <w:rFonts w:hint="default" w:ascii="Times New Roman" w:hAnsi="Times New Roman" w:cs="Times New Roman"/>
          <w:color w:val="000000" w:themeColor="text1"/>
          <w:highlight w:val="none"/>
          <w14:textFill>
            <w14:solidFill>
              <w14:schemeClr w14:val="tx1"/>
            </w14:solidFill>
          </w14:textFill>
        </w:rPr>
        <w:t>附近已建道路</w:t>
      </w:r>
      <w:r>
        <w:rPr>
          <w:rFonts w:hint="eastAsia" w:cs="Times New Roman"/>
          <w:color w:val="000000" w:themeColor="text1"/>
          <w:highlight w:val="none"/>
          <w:lang w:eastAsia="zh-CN"/>
          <w14:textFill>
            <w14:solidFill>
              <w14:schemeClr w14:val="tx1"/>
            </w14:solidFill>
          </w14:textFill>
        </w:rPr>
        <w:t>。</w:t>
      </w:r>
    </w:p>
    <w:p w14:paraId="0C76CE14">
      <w:pPr>
        <w:pStyle w:val="11"/>
        <w:bidi w:val="0"/>
        <w:outlineLvl w:val="3"/>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4.4</w:t>
      </w:r>
      <w:r>
        <w:rPr>
          <w:rFonts w:hint="default" w:ascii="Times New Roman" w:hAnsi="Times New Roman" w:eastAsia="宋体" w:cs="Times New Roman"/>
          <w:b/>
          <w:bCs/>
          <w:snapToGrid/>
          <w:color w:val="000000" w:themeColor="text1"/>
          <w:spacing w:val="-3"/>
          <w:kern w:val="0"/>
          <w:sz w:val="24"/>
          <w:szCs w:val="24"/>
          <w:highlight w:val="none"/>
          <w:lang w:val="en-US" w:eastAsia="zh-CN" w:bidi="ar-SA"/>
          <w14:textFill>
            <w14:solidFill>
              <w14:schemeClr w14:val="tx1"/>
            </w14:solidFill>
          </w14:textFill>
        </w:rPr>
        <w:t>依托工程</w:t>
      </w:r>
    </w:p>
    <w:p w14:paraId="7C04EC50">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阿克苏塔河环保工程有限公司绿色环保工作站</w:t>
      </w:r>
    </w:p>
    <w:p w14:paraId="5F57E83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阿克苏塔河环保工程有限公司绿色环保工作站（原为塔河油田一号固废液处理站）。阿克苏塔河环保工程有限公司绿色环保工作站于2014年6月23日取得环评批复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阿地环函字〔2014〕236号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，并于2015年12月17日取得竣工环保验收批复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阿地环函字〔2015〕501号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。2015年7月13日取得了扩建工程环评批复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新环函</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811号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，并于2016年12月27日取得竣工环保验收批复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新环函</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2005号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4689F6D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产生的井下作业废水、</w:t>
      </w:r>
      <w:bookmarkStart w:id="543" w:name="OLE_LINK1429"/>
      <w:r>
        <w:rPr>
          <w:rFonts w:hint="default" w:ascii="Times New Roman" w:hAnsi="Times New Roman" w:cs="Times New Roman"/>
          <w:color w:val="000000" w:themeColor="text1"/>
          <w:highlight w:val="none"/>
          <w14:textFill>
            <w14:solidFill>
              <w14:schemeClr w14:val="tx1"/>
            </w14:solidFill>
          </w14:textFill>
        </w:rPr>
        <w:t>磺化水基泥浆</w:t>
      </w:r>
      <w:r>
        <w:rPr>
          <w:rFonts w:hint="eastAsia" w:cs="Times New Roman"/>
          <w:color w:val="000000" w:themeColor="text1"/>
          <w:highlight w:val="none"/>
          <w:lang w:val="en-US" w:eastAsia="zh-CN"/>
          <w14:textFill>
            <w14:solidFill>
              <w14:schemeClr w14:val="tx1"/>
            </w14:solidFill>
          </w14:textFill>
        </w:rPr>
        <w:t>滤出液</w:t>
      </w:r>
      <w:r>
        <w:rPr>
          <w:rFonts w:hint="default" w:ascii="Times New Roman" w:hAnsi="Times New Roman" w:cs="Times New Roman"/>
          <w:color w:val="000000" w:themeColor="text1"/>
          <w:highlight w:val="none"/>
          <w14:textFill>
            <w14:solidFill>
              <w14:schemeClr w14:val="tx1"/>
            </w14:solidFill>
          </w14:textFill>
        </w:rPr>
        <w:t>、油基泥浆</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油基岩屑</w:t>
      </w:r>
      <w:bookmarkEnd w:id="543"/>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落地油，依托绿色环保</w:t>
      </w:r>
      <w:r>
        <w:rPr>
          <w:rFonts w:hint="eastAsia" w:cs="Times New Roman"/>
          <w:color w:val="000000" w:themeColor="text1"/>
          <w:highlight w:val="none"/>
          <w:lang w:val="en-US" w:eastAsia="zh-CN"/>
          <w14:textFill>
            <w14:solidFill>
              <w14:schemeClr w14:val="tx1"/>
            </w14:solidFill>
          </w14:textFill>
        </w:rPr>
        <w:t>工作</w:t>
      </w:r>
      <w:r>
        <w:rPr>
          <w:rFonts w:hint="default" w:ascii="Times New Roman" w:hAnsi="Times New Roman" w:cs="Times New Roman"/>
          <w:color w:val="000000" w:themeColor="text1"/>
          <w:highlight w:val="none"/>
          <w14:textFill>
            <w14:solidFill>
              <w14:schemeClr w14:val="tx1"/>
            </w14:solidFill>
          </w14:textFill>
        </w:rPr>
        <w:t>站处理。</w:t>
      </w:r>
    </w:p>
    <w:p w14:paraId="010281A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基本情况</w:t>
      </w:r>
    </w:p>
    <w:p w14:paraId="4A5407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绿色环保工作站位于塔河油田S61井附近，库车市境内。按处理对象绿色环保工作站内主要有污油泥处理、废液处理、生活垃圾处理等3个系统。油污泥处理系统，其中受浸土（含油量&lt;5%）入场计量后，依托中石化西南石油工程有限公司巴州分公司、阿克苏塔河环保工程有限公司处理；含油污泥（含油量＞5%），自行在绿色环保工作站内处理降低含油后，进一步委托站内塔河环保公司或西南环保公司采取热解析处理处置；废液在站内自行处理。</w:t>
      </w:r>
    </w:p>
    <w:p w14:paraId="7F914F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2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含油污泥处理系统</w:t>
      </w:r>
    </w:p>
    <w:p w14:paraId="56402B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绿色环保工作站内油污泥处理系统（主要处理对象为含油量＞5%油泥），首期工程始建于2011年，处理规模为50m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/d，采用热化学清洗油泥分离技术；西北油田分公司于2012年、2015年对含油污泥处置设施进行了扩建，原阿克苏环保局、自治区</w:t>
      </w:r>
      <w:r>
        <w:rPr>
          <w:rFonts w:hint="default" w:ascii="Times New Roman" w:hAnsi="Times New Roman" w:cs="Times New Roman"/>
          <w:color w:val="000000" w:themeColor="text1"/>
          <w:highlight w:val="none"/>
          <w:lang w:eastAsia="zh-CN"/>
          <w14:textFill>
            <w14:solidFill>
              <w14:schemeClr w14:val="tx1"/>
            </w14:solidFill>
          </w14:textFill>
        </w:rPr>
        <w:t>环境保护厅</w:t>
      </w:r>
      <w:r>
        <w:rPr>
          <w:rFonts w:hint="default" w:ascii="Times New Roman" w:hAnsi="Times New Roman" w:cs="Times New Roman"/>
          <w:color w:val="000000" w:themeColor="text1"/>
          <w:highlight w:val="none"/>
          <w14:textFill>
            <w14:solidFill>
              <w14:schemeClr w14:val="tx1"/>
            </w14:solidFill>
          </w14:textFill>
        </w:rPr>
        <w:t>分别以阿地环函字〔2012〕297号、新环函〔2015〕811号文件批复扩建工程，2016年扩建后，以新环函〔2016〕2005号批复通过验收。</w:t>
      </w:r>
    </w:p>
    <w:p w14:paraId="3018BA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目前，绿色环保工作站运行的含油污泥处置装置有4套（5项分离装置），主要处理流体油污泥（含油量＞5%），每套处理能力为50m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/d，处理设施年运行有效天数约300天，日处理量约为200m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，年处理含油污泥的量为6万m³。现状实际年处理含油污泥量3.9万m³/a，富裕2.1万m³/a。</w:t>
      </w:r>
      <w:bookmarkStart w:id="544" w:name="OLE_LINK1433"/>
      <w:r>
        <w:rPr>
          <w:rFonts w:hint="eastAsia" w:cs="Times New Roman"/>
          <w:color w:val="000000" w:themeColor="text1"/>
          <w:highlight w:val="none"/>
          <w:lang w:val="en-US" w:eastAsia="zh-CN"/>
          <w14:textFill>
            <w14:solidFill>
              <w14:schemeClr w14:val="tx1"/>
            </w14:solidFill>
          </w14:textFill>
        </w:rPr>
        <w:t>本工程</w:t>
      </w:r>
      <w:bookmarkStart w:id="545" w:name="OLE_LINK1432"/>
      <w:r>
        <w:rPr>
          <w:rFonts w:hint="default" w:ascii="Times New Roman" w:hAnsi="Times New Roman" w:cs="Times New Roman"/>
          <w:color w:val="000000" w:themeColor="text1"/>
          <w:highlight w:val="none"/>
          <w14:textFill>
            <w14:solidFill>
              <w14:schemeClr w14:val="tx1"/>
            </w14:solidFill>
          </w14:textFill>
        </w:rPr>
        <w:t>磺化水基泥浆约96.27</w:t>
      </w:r>
      <w:bookmarkStart w:id="546" w:name="OLE_LINK1436"/>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bookmarkEnd w:id="546"/>
      <w:r>
        <w:rPr>
          <w:rFonts w:hint="default" w:ascii="Times New Roman" w:hAnsi="Times New Roman" w:cs="Times New Roman"/>
          <w:color w:val="000000" w:themeColor="text1"/>
          <w:highlight w:val="none"/>
          <w14:textFill>
            <w14:solidFill>
              <w14:schemeClr w14:val="tx1"/>
            </w14:solidFill>
          </w14:textFill>
        </w:rPr>
        <w:t>，油基泥浆269.6m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。磺化泥浆钻井岩屑24.13m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，油基泥浆钻井岩屑258.31m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spacing w:val="4"/>
          <w:highlight w:val="none"/>
          <w14:textFill>
            <w14:solidFill>
              <w14:schemeClr w14:val="tx1"/>
            </w14:solidFill>
          </w14:textFill>
        </w:rPr>
        <w:t>，</w:t>
      </w:r>
      <w:bookmarkEnd w:id="545"/>
      <w:r>
        <w:rPr>
          <w:rFonts w:hint="default" w:ascii="Times New Roman" w:hAnsi="Times New Roman" w:cs="Times New Roman"/>
          <w:color w:val="000000" w:themeColor="text1"/>
          <w:spacing w:val="4"/>
          <w:highlight w:val="none"/>
          <w14:textFill>
            <w14:solidFill>
              <w14:schemeClr w14:val="tx1"/>
            </w14:solidFill>
          </w14:textFill>
        </w:rPr>
        <w:t>可依托其处理</w:t>
      </w:r>
      <w:bookmarkEnd w:id="544"/>
      <w:r>
        <w:rPr>
          <w:rFonts w:hint="eastAsia" w:cs="Times New Roman"/>
          <w:color w:val="000000" w:themeColor="text1"/>
          <w:spacing w:val="4"/>
          <w:highlight w:val="none"/>
          <w:lang w:eastAsia="zh-CN"/>
          <w14:textFill>
            <w14:solidFill>
              <w14:schemeClr w14:val="tx1"/>
            </w14:solidFill>
          </w14:textFill>
        </w:rPr>
        <w:t>。</w:t>
      </w:r>
    </w:p>
    <w:p w14:paraId="1F0AAC5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fldChar w:fldCharType="begin"/>
      </w:r>
      <w:r>
        <w:rPr>
          <w:rFonts w:hint="default" w:ascii="Times New Roman" w:hAnsi="Times New Roman" w:cs="Times New Roman"/>
          <w:bCs/>
          <w:color w:val="000000" w:themeColor="text1"/>
          <w:highlight w:val="none"/>
          <w14:textFill>
            <w14:solidFill>
              <w14:schemeClr w14:val="tx1"/>
            </w14:solidFill>
          </w14:textFill>
        </w:rPr>
        <w:instrText xml:space="preserve"> = 3 \* GB3 \* MERGEFORMAT </w:instrText>
      </w:r>
      <w:r>
        <w:rPr>
          <w:rFonts w:hint="default" w:ascii="Times New Roman" w:hAnsi="Times New Roman" w:cs="Times New Roman"/>
          <w:bCs/>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hint="default" w:ascii="Times New Roman" w:hAnsi="Times New Roman" w:cs="Times New Roman"/>
          <w:bCs/>
          <w:color w:val="000000" w:themeColor="text1"/>
          <w:highlight w:val="none"/>
          <w14:textFill>
            <w14:solidFill>
              <w14:schemeClr w14:val="tx1"/>
            </w14:solidFill>
          </w14:textFill>
        </w:rPr>
        <w:fldChar w:fldCharType="end"/>
      </w:r>
      <w:r>
        <w:rPr>
          <w:rFonts w:hint="default" w:ascii="Times New Roman" w:hAnsi="Times New Roman" w:cs="Times New Roman"/>
          <w:bCs/>
          <w:color w:val="000000" w:themeColor="text1"/>
          <w:highlight w:val="none"/>
          <w14:textFill>
            <w14:solidFill>
              <w14:schemeClr w14:val="tx1"/>
            </w14:solidFill>
          </w14:textFill>
        </w:rPr>
        <w:t>受浸土处理系统</w:t>
      </w:r>
    </w:p>
    <w:p w14:paraId="7DCE53A8">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受浸土</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（主要指含油量＜5%的污油泥）主要来自修井作业、管线穿孔和井喷等突然事故等产生的落地油、污染土，</w:t>
      </w:r>
      <w:r>
        <w:rPr>
          <w:rFonts w:hint="default" w:ascii="Times New Roman" w:hAnsi="Times New Roman" w:cs="Times New Roman"/>
          <w:snapToGrid w:val="0"/>
          <w:color w:val="000000" w:themeColor="text1"/>
          <w:szCs w:val="28"/>
          <w:highlight w:val="none"/>
          <w14:textFill>
            <w14:solidFill>
              <w14:schemeClr w14:val="tx1"/>
            </w14:solidFill>
          </w14:textFill>
        </w:rPr>
        <w:t>其含油量波动很大，其</w:t>
      </w:r>
      <w:bookmarkStart w:id="547" w:name="OLE_LINK1175"/>
      <w:r>
        <w:rPr>
          <w:rFonts w:hint="eastAsia" w:cs="Times New Roman"/>
          <w:snapToGrid w:val="0"/>
          <w:color w:val="000000" w:themeColor="text1"/>
          <w:szCs w:val="28"/>
          <w:highlight w:val="none"/>
          <w:lang w:eastAsia="zh-CN"/>
          <w14:textFill>
            <w14:solidFill>
              <w14:schemeClr w14:val="tx1"/>
            </w14:solidFill>
          </w14:textFill>
        </w:rPr>
        <w:t>组分</w:t>
      </w:r>
      <w:bookmarkEnd w:id="547"/>
      <w:r>
        <w:rPr>
          <w:rFonts w:hint="default" w:ascii="Times New Roman" w:hAnsi="Times New Roman" w:cs="Times New Roman"/>
          <w:snapToGrid w:val="0"/>
          <w:color w:val="000000" w:themeColor="text1"/>
          <w:szCs w:val="28"/>
          <w:highlight w:val="none"/>
          <w14:textFill>
            <w14:solidFill>
              <w14:schemeClr w14:val="tx1"/>
            </w14:solidFill>
          </w14:textFill>
        </w:rPr>
        <w:t>比较复杂而不稳定，除含原油、泥沙外，通常还会含有杂草等机杂，主要呈固态状</w:t>
      </w:r>
      <w:r>
        <w:rPr>
          <w:rFonts w:hint="default" w:ascii="Times New Roman" w:hAnsi="Times New Roman" w:cs="Times New Roman"/>
          <w:color w:val="000000" w:themeColor="text1"/>
          <w:szCs w:val="28"/>
          <w:highlight w:val="none"/>
          <w14:textFill>
            <w14:solidFill>
              <w14:schemeClr w14:val="tx1"/>
            </w14:solidFill>
          </w14:textFill>
        </w:rPr>
        <w:t>。该部分危险废物，按照危险废物管理流程全过程管理，</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受浸土</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运至站内后，由</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油田工程服务中心</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外委中石化西南石油工程有限公司巴州分公司、阿克苏塔河环保工程有限公司处理在站内处理。</w:t>
      </w:r>
    </w:p>
    <w:p w14:paraId="48FECE96">
      <w:pPr>
        <w:pStyle w:val="65"/>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本区块产生的</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受浸土</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均第一时间转运至阿克苏塔河环保工程有限公司（危险废物经营许可证编号：6529230040）或中石化西南石油工程有限公司巴州分公司（危险废物经营许可证编号：6529230053）接收并进行达标处理。其中，阿克苏塔河环保工程有限公司处理能力为15万吨/a，中石化西南石油工程有限公司巴州分公司处置能力为7万吨/a。受浸土经处理后达到《油气田含油污泥及钻井</w:t>
      </w:r>
      <w:r>
        <w:rPr>
          <w:rFonts w:hint="default" w:ascii="Times New Roman" w:hAnsi="Times New Roman" w:cs="Times New Roman"/>
          <w:color w:val="000000" w:themeColor="text1"/>
          <w:highlight w:val="none"/>
          <w14:textFill>
            <w14:solidFill>
              <w14:schemeClr w14:val="tx1"/>
            </w14:solidFill>
          </w14:textFill>
        </w:rPr>
        <w:t>固体废物处理处置技术规范》（</w:t>
      </w:r>
      <w:r>
        <w:rPr>
          <w:rFonts w:hint="default" w:ascii="Times New Roman" w:hAnsi="Times New Roman" w:cs="Times New Roman"/>
          <w:color w:val="000000" w:themeColor="text1"/>
          <w:highlight w:val="none"/>
          <w:lang w:eastAsia="zh-CN"/>
          <w14:textFill>
            <w14:solidFill>
              <w14:schemeClr w14:val="tx1"/>
            </w14:solidFill>
          </w14:textFill>
        </w:rPr>
        <w:t>DB65/T 3999-2017</w:t>
      </w:r>
      <w:r>
        <w:rPr>
          <w:rFonts w:hint="default" w:ascii="Times New Roman" w:hAnsi="Times New Roman" w:cs="Times New Roman"/>
          <w:color w:val="000000" w:themeColor="text1"/>
          <w:highlight w:val="none"/>
          <w14:textFill>
            <w14:solidFill>
              <w14:schemeClr w14:val="tx1"/>
            </w14:solidFill>
          </w14:textFill>
        </w:rPr>
        <w:t>）标准中相应指标要求，用于铺垫井场和井场道路。</w:t>
      </w:r>
      <w:r>
        <w:rPr>
          <w:rFonts w:hint="default" w:ascii="Times New Roman" w:hAnsi="Times New Roman" w:cs="Times New Roman"/>
          <w:color w:val="000000" w:themeColor="text1"/>
          <w:spacing w:val="4"/>
          <w:highlight w:val="none"/>
          <w:lang w:eastAsia="zh-CN"/>
          <w14:textFill>
            <w14:solidFill>
              <w14:schemeClr w14:val="tx1"/>
            </w14:solidFill>
          </w14:textFill>
        </w:rPr>
        <w:t>本</w:t>
      </w:r>
      <w:r>
        <w:rPr>
          <w:rFonts w:hint="eastAsia" w:cs="Times New Roman"/>
          <w:color w:val="000000" w:themeColor="text1"/>
          <w:spacing w:val="4"/>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4"/>
          <w:highlight w:val="none"/>
          <w14:textFill>
            <w14:solidFill>
              <w14:schemeClr w14:val="tx1"/>
            </w14:solidFill>
          </w14:textFill>
        </w:rPr>
        <w:t>产生的落地油</w:t>
      </w:r>
      <w:bookmarkStart w:id="548" w:name="OLE_LINK1430"/>
      <w:bookmarkStart w:id="549" w:name="OLE_LINK1431"/>
      <w:r>
        <w:rPr>
          <w:rFonts w:hint="default" w:ascii="Times New Roman" w:hAnsi="Times New Roman" w:cs="Times New Roman"/>
          <w:color w:val="000000" w:themeColor="text1"/>
          <w:spacing w:val="4"/>
          <w:highlight w:val="none"/>
          <w:lang w:val="en-US" w:eastAsia="zh-CN"/>
          <w14:textFill>
            <w14:solidFill>
              <w14:schemeClr w14:val="tx1"/>
            </w14:solidFill>
          </w14:textFill>
        </w:rPr>
        <w:t>为</w:t>
      </w:r>
      <w:bookmarkEnd w:id="548"/>
      <w:r>
        <w:rPr>
          <w:rFonts w:hint="eastAsia" w:ascii="Times New Roman" w:hAnsi="Times New Roman" w:cs="Times New Roman"/>
          <w:color w:val="000000" w:themeColor="text1"/>
          <w:spacing w:val="4"/>
          <w:highlight w:val="none"/>
          <w:lang w:val="en-US" w:eastAsia="zh-CN"/>
          <w14:textFill>
            <w14:solidFill>
              <w14:schemeClr w14:val="tx1"/>
            </w14:solidFill>
          </w14:textFill>
        </w:rPr>
        <w:t>0.1</w:t>
      </w:r>
      <w:r>
        <w:rPr>
          <w:rFonts w:hint="default" w:ascii="Times New Roman" w:hAnsi="Times New Roman" w:cs="Times New Roman"/>
          <w:color w:val="000000" w:themeColor="text1"/>
          <w:spacing w:val="4"/>
          <w:highlight w:val="none"/>
          <w:lang w:val="en-US" w:eastAsia="zh-CN"/>
          <w14:textFill>
            <w14:solidFill>
              <w14:schemeClr w14:val="tx1"/>
            </w14:solidFill>
          </w14:textFill>
        </w:rPr>
        <w:t>t</w:t>
      </w:r>
      <w:r>
        <w:rPr>
          <w:rFonts w:hint="default" w:ascii="Times New Roman" w:hAnsi="Times New Roman" w:cs="Times New Roman"/>
          <w:color w:val="000000" w:themeColor="text1"/>
          <w:spacing w:val="4"/>
          <w:highlight w:val="none"/>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a</w:t>
      </w:r>
      <w:r>
        <w:rPr>
          <w:rFonts w:hint="default" w:ascii="Times New Roman" w:hAnsi="Times New Roman" w:cs="Times New Roman"/>
          <w:color w:val="000000" w:themeColor="text1"/>
          <w:spacing w:val="4"/>
          <w:highlight w:val="none"/>
          <w14:textFill>
            <w14:solidFill>
              <w14:schemeClr w14:val="tx1"/>
            </w14:solidFill>
          </w14:textFill>
        </w:rPr>
        <w:t>，可依托其处理</w:t>
      </w:r>
      <w:bookmarkEnd w:id="549"/>
      <w:r>
        <w:rPr>
          <w:rFonts w:hint="default" w:ascii="Times New Roman" w:hAnsi="Times New Roman" w:cs="Times New Roman"/>
          <w:color w:val="000000" w:themeColor="text1"/>
          <w:spacing w:val="4"/>
          <w:highlight w:val="none"/>
          <w14:textFill>
            <w14:solidFill>
              <w14:schemeClr w14:val="tx1"/>
            </w14:solidFill>
          </w14:textFill>
        </w:rPr>
        <w:t>。</w:t>
      </w:r>
    </w:p>
    <w:p w14:paraId="71E4262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fldChar w:fldCharType="begin"/>
      </w:r>
      <w:r>
        <w:rPr>
          <w:rFonts w:hint="default" w:ascii="Times New Roman" w:hAnsi="Times New Roman" w:cs="Times New Roman"/>
          <w:bCs/>
          <w:color w:val="000000" w:themeColor="text1"/>
          <w:highlight w:val="none"/>
          <w14:textFill>
            <w14:solidFill>
              <w14:schemeClr w14:val="tx1"/>
            </w14:solidFill>
          </w14:textFill>
        </w:rPr>
        <w:instrText xml:space="preserve"> = 4 \* GB3 \* MERGEFORMAT </w:instrText>
      </w:r>
      <w:r>
        <w:rPr>
          <w:rFonts w:hint="default" w:ascii="Times New Roman" w:hAnsi="Times New Roman" w:cs="Times New Roman"/>
          <w:bCs/>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④</w:t>
      </w:r>
      <w:r>
        <w:rPr>
          <w:rFonts w:hint="default" w:ascii="Times New Roman" w:hAnsi="Times New Roman" w:cs="Times New Roman"/>
          <w:bCs/>
          <w:color w:val="000000" w:themeColor="text1"/>
          <w:highlight w:val="none"/>
          <w14:textFill>
            <w14:solidFill>
              <w14:schemeClr w14:val="tx1"/>
            </w14:solidFill>
          </w14:textFill>
        </w:rPr>
        <w:fldChar w:fldCharType="end"/>
      </w:r>
      <w:r>
        <w:rPr>
          <w:rFonts w:hint="default" w:ascii="Times New Roman" w:hAnsi="Times New Roman" w:cs="Times New Roman"/>
          <w:bCs/>
          <w:color w:val="000000" w:themeColor="text1"/>
          <w:highlight w:val="none"/>
          <w14:textFill>
            <w14:solidFill>
              <w14:schemeClr w14:val="tx1"/>
            </w14:solidFill>
          </w14:textFill>
        </w:rPr>
        <w:t>废液处理系统</w:t>
      </w:r>
    </w:p>
    <w:p w14:paraId="14C44826">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阿克苏塔河环保工程有限公司绿色环保工作站作业废液处理系统承担着西北油田分公司勘探开发作业生产过程中产生的废水、酸压废液、部分磺化泥浆滤出液等的处理，其中作业酸压废液占80%。</w:t>
      </w:r>
    </w:p>
    <w:p w14:paraId="1BEAA1F4">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default" w:ascii="Times New Roman" w:hAnsi="Times New Roman" w:cs="Times New Roman"/>
          <w:color w:val="000000" w:themeColor="text1"/>
          <w:szCs w:val="28"/>
          <w:highlight w:val="none"/>
          <w14:textFill>
            <w14:solidFill>
              <w14:schemeClr w14:val="tx1"/>
            </w14:solidFill>
          </w14:textFill>
        </w:rPr>
        <w:t>主工艺流程为：接收、隔油、调节、加药、沉降、过滤，废液处理系统出水水质满足《</w:t>
      </w:r>
      <w:r>
        <w:rPr>
          <w:rFonts w:hint="eastAsia" w:cs="Times New Roman"/>
          <w:color w:val="000000" w:themeColor="text1"/>
          <w:szCs w:val="28"/>
          <w:highlight w:val="none"/>
          <w:lang w:eastAsia="zh-CN"/>
          <w14:textFill>
            <w14:solidFill>
              <w14:schemeClr w14:val="tx1"/>
            </w14:solidFill>
          </w14:textFill>
        </w:rPr>
        <w:t>碎屑岩油藏注水水质指标技术要求及分析方法</w:t>
      </w:r>
      <w:r>
        <w:rPr>
          <w:rFonts w:hint="default" w:ascii="Times New Roman" w:hAnsi="Times New Roman" w:cs="Times New Roman"/>
          <w:color w:val="000000" w:themeColor="text1"/>
          <w:szCs w:val="28"/>
          <w:highlight w:val="none"/>
          <w14:textFill>
            <w14:solidFill>
              <w14:schemeClr w14:val="tx1"/>
            </w14:solidFill>
          </w14:textFill>
        </w:rPr>
        <w:t>》（SY/T 5329-20</w:t>
      </w:r>
      <w:r>
        <w:rPr>
          <w:rFonts w:hint="default" w:ascii="Times New Roman" w:hAnsi="Times New Roman" w:cs="Times New Roman"/>
          <w:color w:val="000000" w:themeColor="text1"/>
          <w:szCs w:val="28"/>
          <w:highlight w:val="none"/>
          <w:lang w:val="en-US" w:eastAsia="zh-CN"/>
          <w14:textFill>
            <w14:solidFill>
              <w14:schemeClr w14:val="tx1"/>
            </w14:solidFill>
          </w14:textFill>
        </w:rPr>
        <w:t>2</w:t>
      </w:r>
      <w:r>
        <w:rPr>
          <w:rFonts w:hint="default" w:ascii="Times New Roman" w:hAnsi="Times New Roman" w:cs="Times New Roman"/>
          <w:color w:val="000000" w:themeColor="text1"/>
          <w:szCs w:val="28"/>
          <w:highlight w:val="none"/>
          <w14:textFill>
            <w14:solidFill>
              <w14:schemeClr w14:val="tx1"/>
            </w14:solidFill>
          </w14:textFill>
        </w:rPr>
        <w:t>2）回注至TK512井。</w:t>
      </w:r>
    </w:p>
    <w:p w14:paraId="6055C42A">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default" w:ascii="Times New Roman" w:hAnsi="Times New Roman" w:cs="Times New Roman"/>
          <w:color w:val="000000" w:themeColor="text1"/>
          <w:szCs w:val="28"/>
          <w:highlight w:val="none"/>
          <w14:textFill>
            <w14:solidFill>
              <w14:schemeClr w14:val="tx1"/>
            </w14:solidFill>
          </w14:textFill>
        </w:rPr>
        <w:t>根据中国石油化工股份有限公司西北油田分公司</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十四五</w:t>
      </w:r>
      <w:r>
        <w:rPr>
          <w:rFonts w:hint="eastAsia"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规划，</w:t>
      </w:r>
      <w:r>
        <w:rPr>
          <w:rFonts w:ascii="宋体" w:hAnsi="宋体" w:eastAsia="宋体" w:cs="宋体"/>
          <w:color w:val="000000" w:themeColor="text1"/>
          <w:sz w:val="24"/>
          <w:szCs w:val="24"/>
          <w:highlight w:val="none"/>
          <w14:textFill>
            <w14:solidFill>
              <w14:schemeClr w14:val="tx1"/>
            </w14:solidFill>
          </w14:textFill>
        </w:rPr>
        <w:t>阿克苏塔河环保工程有限公司绿色环保工作站</w:t>
      </w:r>
      <w:r>
        <w:rPr>
          <w:rFonts w:hint="default" w:ascii="Times New Roman" w:hAnsi="Times New Roman" w:cs="Times New Roman"/>
          <w:color w:val="000000" w:themeColor="text1"/>
          <w:szCs w:val="28"/>
          <w:highlight w:val="none"/>
          <w14:textFill>
            <w14:solidFill>
              <w14:schemeClr w14:val="tx1"/>
            </w14:solidFill>
          </w14:textFill>
        </w:rPr>
        <w:t>处理站废液处理系统现有1座9000m</w:t>
      </w:r>
      <w:r>
        <w:rPr>
          <w:rFonts w:hint="default" w:ascii="Times New Roman" w:hAnsi="Times New Roman" w:cs="Times New Roman"/>
          <w:color w:val="000000" w:themeColor="text1"/>
          <w:szCs w:val="28"/>
          <w:highlight w:val="none"/>
          <w:vertAlign w:val="superscript"/>
          <w14:textFill>
            <w14:solidFill>
              <w14:schemeClr w14:val="tx1"/>
            </w14:solidFill>
          </w14:textFill>
        </w:rPr>
        <w:t>3</w:t>
      </w:r>
      <w:r>
        <w:rPr>
          <w:rFonts w:hint="default" w:ascii="Times New Roman" w:hAnsi="Times New Roman" w:cs="Times New Roman"/>
          <w:color w:val="000000" w:themeColor="text1"/>
          <w:szCs w:val="28"/>
          <w:highlight w:val="none"/>
          <w14:textFill>
            <w14:solidFill>
              <w14:schemeClr w14:val="tx1"/>
            </w14:solidFill>
          </w14:textFill>
        </w:rPr>
        <w:t>废液接收池（包括2个接液池、1个沉降池和1个隔油池）、1套井下作业废水处理设施（包括缓冲沉降池、二次调节池、加药调节池等），废液处理系统主要工艺流程为：接收、隔油、调节、加药、沉降、过滤，废液处理系统出水水质满足《</w:t>
      </w:r>
      <w:r>
        <w:rPr>
          <w:rFonts w:hint="eastAsia" w:cs="Times New Roman"/>
          <w:color w:val="000000" w:themeColor="text1"/>
          <w:szCs w:val="28"/>
          <w:highlight w:val="none"/>
          <w:lang w:eastAsia="zh-CN"/>
          <w14:textFill>
            <w14:solidFill>
              <w14:schemeClr w14:val="tx1"/>
            </w14:solidFill>
          </w14:textFill>
        </w:rPr>
        <w:t>碎屑岩油藏注水水质指标技术要求及分析方法</w:t>
      </w:r>
      <w:r>
        <w:rPr>
          <w:rFonts w:hint="default" w:ascii="Times New Roman" w:hAnsi="Times New Roman" w:cs="Times New Roman"/>
          <w:color w:val="000000" w:themeColor="text1"/>
          <w:szCs w:val="28"/>
          <w:highlight w:val="none"/>
          <w14:textFill>
            <w14:solidFill>
              <w14:schemeClr w14:val="tx1"/>
            </w14:solidFill>
          </w14:textFill>
        </w:rPr>
        <w:t>》（SY/T 5329-20</w:t>
      </w:r>
      <w:r>
        <w:rPr>
          <w:rFonts w:hint="default" w:ascii="Times New Roman" w:hAnsi="Times New Roman" w:cs="Times New Roman"/>
          <w:color w:val="000000" w:themeColor="text1"/>
          <w:szCs w:val="28"/>
          <w:highlight w:val="none"/>
          <w:lang w:val="en-US" w:eastAsia="zh-CN"/>
          <w14:textFill>
            <w14:solidFill>
              <w14:schemeClr w14:val="tx1"/>
            </w14:solidFill>
          </w14:textFill>
        </w:rPr>
        <w:t>2</w:t>
      </w:r>
      <w:r>
        <w:rPr>
          <w:rFonts w:hint="default" w:ascii="Times New Roman" w:hAnsi="Times New Roman" w:cs="Times New Roman"/>
          <w:color w:val="000000" w:themeColor="text1"/>
          <w:szCs w:val="28"/>
          <w:highlight w:val="none"/>
          <w14:textFill>
            <w14:solidFill>
              <w14:schemeClr w14:val="tx1"/>
            </w14:solidFill>
          </w14:textFill>
        </w:rPr>
        <w:t>2）后回注油层。</w:t>
      </w:r>
    </w:p>
    <w:p w14:paraId="0F6FF602">
      <w:pPr>
        <w:keepNext w:val="0"/>
        <w:keepLines w:val="0"/>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spacing w:val="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阿克苏塔河环保工程有限公司绿色环保工作站</w:t>
      </w:r>
      <w:r>
        <w:rPr>
          <w:rFonts w:hint="default" w:ascii="Times New Roman" w:hAnsi="Times New Roman" w:cs="Times New Roman"/>
          <w:color w:val="000000" w:themeColor="text1"/>
          <w:szCs w:val="28"/>
          <w:highlight w:val="none"/>
          <w14:textFill>
            <w14:solidFill>
              <w14:schemeClr w14:val="tx1"/>
            </w14:solidFill>
          </w14:textFill>
        </w:rPr>
        <w:t>废液处理系统设计废液处置能力处理能力为1430m</w:t>
      </w:r>
      <w:r>
        <w:rPr>
          <w:rFonts w:hint="default" w:ascii="Times New Roman" w:hAnsi="Times New Roman" w:cs="Times New Roman"/>
          <w:color w:val="000000" w:themeColor="text1"/>
          <w:szCs w:val="28"/>
          <w:highlight w:val="none"/>
          <w:vertAlign w:val="superscript"/>
          <w14:textFill>
            <w14:solidFill>
              <w14:schemeClr w14:val="tx1"/>
            </w14:solidFill>
          </w14:textFill>
        </w:rPr>
        <w:t>3</w:t>
      </w:r>
      <w:r>
        <w:rPr>
          <w:rFonts w:hint="default" w:ascii="Times New Roman" w:hAnsi="Times New Roman" w:cs="Times New Roman"/>
          <w:color w:val="000000" w:themeColor="text1"/>
          <w:szCs w:val="28"/>
          <w:highlight w:val="none"/>
          <w14:textFill>
            <w14:solidFill>
              <w14:schemeClr w14:val="tx1"/>
            </w14:solidFill>
          </w14:textFill>
        </w:rPr>
        <w:t>/d（52.19万m</w:t>
      </w:r>
      <w:r>
        <w:rPr>
          <w:rFonts w:hint="default" w:ascii="Times New Roman" w:hAnsi="Times New Roman" w:cs="Times New Roman"/>
          <w:color w:val="000000" w:themeColor="text1"/>
          <w:szCs w:val="28"/>
          <w:highlight w:val="none"/>
          <w:vertAlign w:val="superscript"/>
          <w14:textFill>
            <w14:solidFill>
              <w14:schemeClr w14:val="tx1"/>
            </w14:solidFill>
          </w14:textFill>
        </w:rPr>
        <w:t>3</w:t>
      </w:r>
      <w:r>
        <w:rPr>
          <w:rFonts w:hint="default" w:ascii="Times New Roman" w:hAnsi="Times New Roman" w:cs="Times New Roman"/>
          <w:color w:val="000000" w:themeColor="text1"/>
          <w:szCs w:val="28"/>
          <w:highlight w:val="none"/>
          <w14:textFill>
            <w14:solidFill>
              <w14:schemeClr w14:val="tx1"/>
            </w14:solidFill>
          </w14:textFill>
        </w:rPr>
        <w:t>/a），现状废液处置量约为580m</w:t>
      </w:r>
      <w:r>
        <w:rPr>
          <w:rFonts w:hint="default" w:ascii="Times New Roman" w:hAnsi="Times New Roman" w:cs="Times New Roman"/>
          <w:color w:val="000000" w:themeColor="text1"/>
          <w:szCs w:val="28"/>
          <w:highlight w:val="none"/>
          <w:vertAlign w:val="superscript"/>
          <w14:textFill>
            <w14:solidFill>
              <w14:schemeClr w14:val="tx1"/>
            </w14:solidFill>
          </w14:textFill>
        </w:rPr>
        <w:t>3</w:t>
      </w:r>
      <w:r>
        <w:rPr>
          <w:rFonts w:hint="default" w:ascii="Times New Roman" w:hAnsi="Times New Roman" w:cs="Times New Roman"/>
          <w:color w:val="000000" w:themeColor="text1"/>
          <w:szCs w:val="28"/>
          <w:highlight w:val="none"/>
          <w14:textFill>
            <w14:solidFill>
              <w14:schemeClr w14:val="tx1"/>
            </w14:solidFill>
          </w14:textFill>
        </w:rPr>
        <w:t>/d（21.14万m</w:t>
      </w:r>
      <w:r>
        <w:rPr>
          <w:rFonts w:hint="default" w:ascii="Times New Roman" w:hAnsi="Times New Roman" w:cs="Times New Roman"/>
          <w:color w:val="000000" w:themeColor="text1"/>
          <w:szCs w:val="28"/>
          <w:highlight w:val="none"/>
          <w:vertAlign w:val="superscript"/>
          <w14:textFill>
            <w14:solidFill>
              <w14:schemeClr w14:val="tx1"/>
            </w14:solidFill>
          </w14:textFill>
        </w:rPr>
        <w:t>3</w:t>
      </w:r>
      <w:r>
        <w:rPr>
          <w:rFonts w:hint="default" w:ascii="Times New Roman" w:hAnsi="Times New Roman" w:cs="Times New Roman"/>
          <w:color w:val="000000" w:themeColor="text1"/>
          <w:szCs w:val="28"/>
          <w:highlight w:val="none"/>
          <w14:textFill>
            <w14:solidFill>
              <w14:schemeClr w14:val="tx1"/>
            </w14:solidFill>
          </w14:textFill>
        </w:rPr>
        <w:t>/a），</w:t>
      </w:r>
      <w:bookmarkStart w:id="550" w:name="OLE_LINK171"/>
      <w:r>
        <w:rPr>
          <w:rFonts w:hint="default" w:ascii="Times New Roman" w:hAnsi="Times New Roman" w:cs="Times New Roman"/>
          <w:color w:val="000000" w:themeColor="text1"/>
          <w:spacing w:val="4"/>
          <w:highlight w:val="none"/>
          <w:lang w:eastAsia="zh-CN"/>
          <w14:textFill>
            <w14:solidFill>
              <w14:schemeClr w14:val="tx1"/>
            </w14:solidFill>
          </w14:textFill>
        </w:rPr>
        <w:t>本</w:t>
      </w:r>
      <w:r>
        <w:rPr>
          <w:rFonts w:hint="eastAsia" w:cs="Times New Roman"/>
          <w:color w:val="000000" w:themeColor="text1"/>
          <w:spacing w:val="4"/>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4"/>
          <w:highlight w:val="none"/>
          <w14:textFill>
            <w14:solidFill>
              <w14:schemeClr w14:val="tx1"/>
            </w14:solidFill>
          </w14:textFill>
        </w:rPr>
        <w:t>产生的井下作业废水最大</w:t>
      </w:r>
      <w:r>
        <w:rPr>
          <w:rFonts w:hint="default" w:ascii="Times New Roman" w:hAnsi="Times New Roman" w:cs="Times New Roman"/>
          <w:color w:val="000000" w:themeColor="text1"/>
          <w:spacing w:val="4"/>
          <w:highlight w:val="none"/>
          <w:lang w:val="en-US" w:eastAsia="zh-CN"/>
          <w14:textFill>
            <w14:solidFill>
              <w14:schemeClr w14:val="tx1"/>
            </w14:solidFill>
          </w14:textFill>
        </w:rPr>
        <w:t>为</w:t>
      </w:r>
      <w:r>
        <w:rPr>
          <w:rFonts w:hint="eastAsia" w:cs="Times New Roman"/>
          <w:color w:val="000000" w:themeColor="text1"/>
          <w:spacing w:val="4"/>
          <w:highlight w:val="none"/>
          <w:lang w:val="en-US" w:eastAsia="zh-CN"/>
          <w14:textFill>
            <w14:solidFill>
              <w14:schemeClr w14:val="tx1"/>
            </w14:solidFill>
          </w14:textFill>
        </w:rPr>
        <w:t>151.935</w:t>
      </w:r>
      <w:r>
        <w:rPr>
          <w:rFonts w:hint="default" w:ascii="Times New Roman" w:hAnsi="Times New Roman" w:cs="Times New Roman"/>
          <w:color w:val="000000" w:themeColor="text1"/>
          <w:spacing w:val="4"/>
          <w:highlight w:val="none"/>
          <w:lang w:val="en-US" w:eastAsia="zh-CN"/>
          <w14:textFill>
            <w14:solidFill>
              <w14:schemeClr w14:val="tx1"/>
            </w14:solidFill>
          </w14:textFill>
        </w:rPr>
        <w:t>t</w:t>
      </w:r>
      <w:r>
        <w:rPr>
          <w:rFonts w:hint="default" w:ascii="Times New Roman" w:hAnsi="Times New Roman" w:cs="Times New Roman"/>
          <w:color w:val="000000" w:themeColor="text1"/>
          <w:spacing w:val="4"/>
          <w:highlight w:val="none"/>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a</w:t>
      </w:r>
      <w:r>
        <w:rPr>
          <w:rFonts w:hint="eastAsia" w:cs="Times New Roman"/>
          <w:color w:val="000000" w:themeColor="text1"/>
          <w:spacing w:val="4"/>
          <w:highlight w:val="none"/>
          <w:lang w:val="en-US" w:eastAsia="zh-CN"/>
          <w14:textFill>
            <w14:solidFill>
              <w14:schemeClr w14:val="tx1"/>
            </w14:solidFill>
          </w14:textFill>
        </w:rPr>
        <w:t>，</w:t>
      </w:r>
      <w:r>
        <w:rPr>
          <w:rFonts w:hint="default" w:ascii="Times New Roman" w:hAnsi="Times New Roman" w:cs="Times New Roman"/>
          <w:color w:val="000000" w:themeColor="text1"/>
          <w:spacing w:val="4"/>
          <w:highlight w:val="none"/>
          <w14:textFill>
            <w14:solidFill>
              <w14:schemeClr w14:val="tx1"/>
            </w14:solidFill>
          </w14:textFill>
        </w:rPr>
        <w:t>可依托其处理。</w:t>
      </w:r>
      <w:bookmarkEnd w:id="550"/>
      <w:bookmarkStart w:id="551" w:name="OLE_LINK275"/>
    </w:p>
    <w:bookmarkEnd w:id="539"/>
    <w:bookmarkEnd w:id="540"/>
    <w:bookmarkEnd w:id="551"/>
    <w:p w14:paraId="538CDF8B">
      <w:pPr>
        <w:pStyle w:val="11"/>
        <w:bidi w:val="0"/>
        <w:outlineLvl w:val="1"/>
        <w:rPr>
          <w:rFonts w:hint="default" w:ascii="Times New Roman" w:hAnsi="Times New Roman" w:cs="Times New Roman"/>
          <w:b/>
          <w:bCs/>
          <w:color w:val="000000" w:themeColor="text1"/>
          <w:sz w:val="30"/>
          <w:szCs w:val="30"/>
          <w:highlight w:val="none"/>
          <w14:textFill>
            <w14:solidFill>
              <w14:schemeClr w14:val="tx1"/>
            </w14:solidFill>
          </w14:textFill>
        </w:rPr>
      </w:pPr>
      <w:bookmarkStart w:id="552" w:name="_Toc18606"/>
      <w:bookmarkStart w:id="553" w:name="_Toc14264"/>
      <w:r>
        <w:rPr>
          <w:rFonts w:hint="default" w:ascii="Times New Roman" w:hAnsi="Times New Roman" w:cs="Times New Roman"/>
          <w:b/>
          <w:bCs/>
          <w:color w:val="000000" w:themeColor="text1"/>
          <w:sz w:val="30"/>
          <w:szCs w:val="30"/>
          <w:highlight w:val="none"/>
          <w14:textFill>
            <w14:solidFill>
              <w14:schemeClr w14:val="tx1"/>
            </w14:solidFill>
          </w14:textFill>
        </w:rPr>
        <w:t>3.</w:t>
      </w:r>
      <w:r>
        <w:rPr>
          <w:rFonts w:hint="eastAsia" w:ascii="Times New Roman" w:hAnsi="Times New Roman" w:cs="Times New Roman"/>
          <w:b/>
          <w:bCs/>
          <w:color w:val="000000" w:themeColor="text1"/>
          <w:sz w:val="30"/>
          <w:szCs w:val="30"/>
          <w:highlight w:val="none"/>
          <w:lang w:val="en-US" w:eastAsia="zh-CN"/>
          <w14:textFill>
            <w14:solidFill>
              <w14:schemeClr w14:val="tx1"/>
            </w14:solidFill>
          </w14:textFill>
        </w:rPr>
        <w:t>3</w:t>
      </w:r>
      <w:bookmarkEnd w:id="552"/>
      <w:r>
        <w:rPr>
          <w:rFonts w:hint="default" w:ascii="Times New Roman" w:hAnsi="Times New Roman" w:cs="Times New Roman"/>
          <w:b/>
          <w:bCs/>
          <w:color w:val="000000" w:themeColor="text1"/>
          <w:sz w:val="30"/>
          <w:szCs w:val="30"/>
          <w:highlight w:val="none"/>
          <w14:textFill>
            <w14:solidFill>
              <w14:schemeClr w14:val="tx1"/>
            </w14:solidFill>
          </w14:textFill>
        </w:rPr>
        <w:t>工程分析</w:t>
      </w:r>
      <w:bookmarkEnd w:id="553"/>
    </w:p>
    <w:p w14:paraId="741D1C7E">
      <w:pPr>
        <w:pStyle w:val="11"/>
        <w:bidi w:val="0"/>
        <w:outlineLvl w:val="2"/>
        <w:rPr>
          <w:rFonts w:hint="default" w:ascii="Times New Roman" w:hAnsi="Times New Roman" w:cs="Times New Roman"/>
          <w:color w:val="000000" w:themeColor="text1"/>
          <w:highlight w:val="none"/>
          <w14:textFill>
            <w14:solidFill>
              <w14:schemeClr w14:val="tx1"/>
            </w14:solidFill>
          </w14:textFill>
        </w:rPr>
      </w:pPr>
      <w:bookmarkStart w:id="554" w:name="_Toc25877"/>
      <w:bookmarkStart w:id="555" w:name="_Toc30925"/>
      <w:r>
        <w:rPr>
          <w:rFonts w:hint="default" w:ascii="Times New Roman" w:hAnsi="Times New Roman" w:cs="Times New Roman"/>
          <w:b/>
          <w:bCs/>
          <w:color w:val="000000" w:themeColor="text1"/>
          <w:sz w:val="28"/>
          <w:szCs w:val="28"/>
          <w:highlight w:val="none"/>
          <w14:textFill>
            <w14:solidFill>
              <w14:schemeClr w14:val="tx1"/>
            </w14:solidFill>
          </w14:textFill>
        </w:rPr>
        <w:t>3.</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8"/>
          <w:szCs w:val="28"/>
          <w:highlight w:val="none"/>
          <w14:textFill>
            <w14:solidFill>
              <w14:schemeClr w14:val="tx1"/>
            </w14:solidFill>
          </w14:textFill>
        </w:rPr>
        <w:t>.1</w:t>
      </w:r>
      <w:bookmarkEnd w:id="554"/>
      <w:bookmarkEnd w:id="555"/>
      <w:r>
        <w:rPr>
          <w:rFonts w:hint="default" w:ascii="Times New Roman" w:hAnsi="Times New Roman" w:cs="Times New Roman"/>
          <w:b/>
          <w:bCs/>
          <w:color w:val="000000" w:themeColor="text1"/>
          <w:sz w:val="28"/>
          <w:szCs w:val="28"/>
          <w:highlight w:val="none"/>
          <w14:textFill>
            <w14:solidFill>
              <w14:schemeClr w14:val="tx1"/>
            </w14:solidFill>
          </w14:textFill>
        </w:rPr>
        <w:t>工艺流程及产排污节点</w:t>
      </w:r>
    </w:p>
    <w:p w14:paraId="3B02CE36">
      <w:pPr>
        <w:keepLines/>
        <w:adjustRightInd w:val="0"/>
        <w:snapToGrid w:val="0"/>
        <w:spacing w:line="360" w:lineRule="auto"/>
        <w:jc w:val="both"/>
        <w:outlineLvl w:val="3"/>
        <w:rPr>
          <w:rFonts w:hint="default" w:ascii="Times New Roman" w:hAnsi="Times New Roman" w:eastAsia="宋体" w:cs="Times New Roman"/>
          <w:b/>
          <w:color w:val="000000" w:themeColor="text1"/>
          <w:szCs w:val="22"/>
          <w:highlight w:val="none"/>
          <w:lang w:eastAsia="zh-CN"/>
          <w14:textFill>
            <w14:solidFill>
              <w14:schemeClr w14:val="tx1"/>
            </w14:solidFill>
          </w14:textFill>
        </w:rPr>
      </w:pPr>
      <w:r>
        <w:rPr>
          <w:rFonts w:hint="default" w:ascii="Times New Roman" w:hAnsi="Times New Roman" w:cs="Times New Roman"/>
          <w:b/>
          <w:color w:val="000000" w:themeColor="text1"/>
          <w:szCs w:val="22"/>
          <w:highlight w:val="none"/>
          <w14:textFill>
            <w14:solidFill>
              <w14:schemeClr w14:val="tx1"/>
            </w14:solidFill>
          </w14:textFill>
        </w:rPr>
        <w:t>3.</w:t>
      </w:r>
      <w:r>
        <w:rPr>
          <w:rFonts w:hint="eastAsia" w:cs="Times New Roman"/>
          <w:b/>
          <w:color w:val="000000" w:themeColor="text1"/>
          <w:szCs w:val="22"/>
          <w:highlight w:val="none"/>
          <w:lang w:val="en-US" w:eastAsia="zh-CN"/>
          <w14:textFill>
            <w14:solidFill>
              <w14:schemeClr w14:val="tx1"/>
            </w14:solidFill>
          </w14:textFill>
        </w:rPr>
        <w:t>3</w:t>
      </w:r>
      <w:r>
        <w:rPr>
          <w:rFonts w:hint="default" w:ascii="Times New Roman" w:hAnsi="Times New Roman" w:cs="Times New Roman"/>
          <w:b/>
          <w:color w:val="000000" w:themeColor="text1"/>
          <w:szCs w:val="22"/>
          <w:highlight w:val="none"/>
          <w14:textFill>
            <w14:solidFill>
              <w14:schemeClr w14:val="tx1"/>
            </w14:solidFill>
          </w14:textFill>
        </w:rPr>
        <w:t>.1.1</w:t>
      </w:r>
      <w:r>
        <w:rPr>
          <w:rFonts w:hint="default" w:ascii="Times New Roman" w:hAnsi="Times New Roman" w:cs="Times New Roman"/>
          <w:b/>
          <w:color w:val="000000" w:themeColor="text1"/>
          <w:szCs w:val="22"/>
          <w:highlight w:val="none"/>
          <w:lang w:val="en-US" w:eastAsia="zh-CN"/>
          <w14:textFill>
            <w14:solidFill>
              <w14:schemeClr w14:val="tx1"/>
            </w14:solidFill>
          </w14:textFill>
        </w:rPr>
        <w:t>施工期</w:t>
      </w:r>
    </w:p>
    <w:p w14:paraId="6E47E0D8">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本工程星火701斜井和星火7-2斜井均设置在星火7斜井场内，三口井均在同一个井场内，在现有</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星火7斜</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井井场内，新建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拉油流程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装置1套</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井场内设置电磁加热器、油气分离流程、计量分离器、多功能储集器，火炬区。火炬区位于井场北侧。</w:t>
      </w:r>
    </w:p>
    <w:p w14:paraId="28B8DB63">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井场设备安装首先需进行场地平整，设置施工车辆临时停放场地，将采气设备拉运至井场，进行安装调试。地面工程施工结束后，对施工场地临时占地进行平整恢复，清除井场临时占地内水泥基础、各类池体防渗层并进行平整。</w:t>
      </w:r>
    </w:p>
    <w:p w14:paraId="0AE41568">
      <w:pPr>
        <w:pStyle w:val="124"/>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（1）钻前工程</w:t>
      </w:r>
    </w:p>
    <w:p w14:paraId="175E51AD">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钻前工程主要为井场建设，包括场地平整、清理等。工艺流程及产污环节见图3.3-1。</w:t>
      </w:r>
    </w:p>
    <w:p w14:paraId="233B342E">
      <w:pPr>
        <w:pStyle w:val="15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5271135" cy="1421130"/>
            <wp:effectExtent l="0" t="0" r="1905" b="1143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4"/>
                    <a:stretch>
                      <a:fillRect/>
                    </a:stretch>
                  </pic:blipFill>
                  <pic:spPr>
                    <a:xfrm>
                      <a:off x="0" y="0"/>
                      <a:ext cx="5271135" cy="1421130"/>
                    </a:xfrm>
                    <a:prstGeom prst="rect">
                      <a:avLst/>
                    </a:prstGeom>
                    <a:noFill/>
                    <a:ln>
                      <a:noFill/>
                    </a:ln>
                  </pic:spPr>
                </pic:pic>
              </a:graphicData>
            </a:graphic>
          </wp:inline>
        </w:drawing>
      </w:r>
    </w:p>
    <w:p w14:paraId="589A9F69">
      <w:pPr>
        <w:pStyle w:val="15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图</w:t>
      </w:r>
      <w:r>
        <w:rPr>
          <w:rFonts w:hint="eastAsia" w:cs="Times New Roman"/>
          <w:color w:val="000000" w:themeColor="text1"/>
          <w:sz w:val="24"/>
          <w:szCs w:val="24"/>
          <w:highlight w:val="none"/>
          <w:lang w:val="en-US" w:eastAsia="zh-CN"/>
          <w14:textFill>
            <w14:solidFill>
              <w14:schemeClr w14:val="tx1"/>
            </w14:solidFill>
          </w14:textFill>
        </w:rPr>
        <w:t>3.3-1</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钻前工程施工过程及产污环节示意图</w:t>
      </w:r>
    </w:p>
    <w:p w14:paraId="2B793F51">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井场平面布置图，首先对新增占地进行初步平整，然后利用挖掘机对放喷池进行开挖，并利用场地凸起处的石方进行填方作业，对场地进行平整、对各撬装化装置基础进行硬化，由车辆拉运戈壁石对井场进行铺垫。</w:t>
      </w:r>
    </w:p>
    <w:p w14:paraId="3A1F81EE">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场地基础完工后，对设备安装区域铺设防渗膜，主要包括钻井设备、泥浆不落地系统设备（含泥浆罐、缓冲罐、岩屑罐）、钻井废水罐等区域，最后进行设备安装。</w:t>
      </w:r>
    </w:p>
    <w:p w14:paraId="0A05D3CC">
      <w:pPr>
        <w:pStyle w:val="124"/>
        <w:keepNext w:val="0"/>
        <w:keepLines w:val="0"/>
        <w:pageBreakBefore w:val="0"/>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（2）钻井工程</w:t>
      </w:r>
    </w:p>
    <w:p w14:paraId="574BAF14">
      <w:pPr>
        <w:pStyle w:val="124"/>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采用旋转的钻头通过切削地层，形成井眼，并使用钻井液将切削岩屑不断带出井眼，以保证持续钻进，直至目的层的过程。</w:t>
      </w:r>
    </w:p>
    <w:p w14:paraId="22F376F5">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采用常规旋转钻井工艺，项目使用的钻机为电钻机，钻井期间由电网供电，通过钻机、转盘、钻杆、带动钻头切削地层，同时泥浆由泥浆泵经钻杆向井内注入井筒冲刷井底，利用其粘性和密度将切削下的岩屑不断地带至地面，整个过程循环进行，使井不断加深，直至目的井深。</w:t>
      </w:r>
    </w:p>
    <w:p w14:paraId="4F4BC6C7">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钻井中途需要停钻，以便起下钻具更换钻头、下套管、固井、替换钻井液和检修设备。钻井用泥浆在泥浆罐内配置，在钻井过程中根据地层对泥浆性能的要求不同在循环泥浆中添加不同量原料，配置泥浆用原料暂存于井场材料区内，配置时由人工破袋加入泥浆罐中。</w:t>
      </w:r>
    </w:p>
    <w:p w14:paraId="046E1481">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钻井至设计井深中段开始进行录井以记录钻井过程中的所有地质参数，录井主要包括钻时录井、气测录井、钻井液录井、岩屑录井、岩心录井和压力录井，其中岩屑录井是获取井下地层岩石样品的重要手段。录井时，要随钻井进尺每隔1m左右从返出的钻井液中捞一包砂样，洗净晒干，进行岩性观察描述，并挑选出相对应地层的岩样。由于砂样中混有上部地层的岩屑，工作人员通常会根据砂样中不同岩样的百分含量和最新出现的岩屑成分来确定岩性，并用钻时快慢区分砂岩、泥岩等。若是发现钻时快，砂岩岩屑多而且呈棕褐色，有油味，可能显示钻遇油气层，而钻遇非含油气砂岩层时则多是白色、灰白色砂岩岩屑。</w:t>
      </w:r>
    </w:p>
    <w:p w14:paraId="262D02B4">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本项目使用放射源用于测井，提供服务的主要为油田服务的乙方单位，均已编制了测井用密封型放射源项目环境影响报告表，取得环评批复及新疆维吾尔自治区生态环境厅《辐射安全许可证》的单位。</w:t>
      </w:r>
    </w:p>
    <w:p w14:paraId="103EAE5E">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固井是在已钻成的井筒内下入套管，然后在套管与井壁之间环空内注入水泥浆，将套管和地层固结在一起的工艺过程，以保证安全继续钻进下一段井筒或保证顺利开采生产层中的油气资源。</w:t>
      </w:r>
    </w:p>
    <w:p w14:paraId="3613288C">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钻至目的层后，对油气应进行完井测试，钻孔在目的层未遇裂隙，则需进行射孔，用射孔枪打开产层，然后将压裂酸液注入地层孔隙、裂缝中，通过酸液和地层岩石矿物的反应，溶解部分岩石矿物或堵塞物质，从而扩大或沟通地层岩石的孔隙裂缝，改善地层近井地带渗透率。</w:t>
      </w:r>
    </w:p>
    <w:p w14:paraId="3BD6A8D7">
      <w:pPr>
        <w:pStyle w:val="64"/>
        <w:keepNext w:val="0"/>
        <w:keepLines w:val="0"/>
        <w:pageBreakBefore w:val="0"/>
        <w:kinsoku/>
        <w:wordWrap/>
        <w:overflowPunct/>
        <w:topLinePunct w:val="0"/>
        <w:autoSpaceDE/>
        <w:autoSpaceDN/>
        <w:bidi w:val="0"/>
        <w:adjustRightIn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储层改造工程主要包括射孔、压裂以及后续的测试放喷等。</w:t>
      </w:r>
    </w:p>
    <w:p w14:paraId="74E45C35">
      <w:pPr>
        <w:pStyle w:val="64"/>
        <w:keepNext w:val="0"/>
        <w:keepLines w:val="0"/>
        <w:pageBreakBefore w:val="0"/>
        <w:kinsoku/>
        <w:wordWrap/>
        <w:overflowPunct/>
        <w:topLinePunct w:val="0"/>
        <w:autoSpaceDE/>
        <w:autoSpaceDN/>
        <w:bidi w:val="0"/>
        <w:adjustRightIn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①射孔</w:t>
      </w:r>
    </w:p>
    <w:p w14:paraId="7F56709F">
      <w:pPr>
        <w:pStyle w:val="64"/>
        <w:keepNext w:val="0"/>
        <w:keepLines w:val="0"/>
        <w:pageBreakBefore w:val="0"/>
        <w:kinsoku/>
        <w:wordWrap/>
        <w:overflowPunct/>
        <w:topLinePunct w:val="0"/>
        <w:autoSpaceDE/>
        <w:autoSpaceDN/>
        <w:bidi w:val="0"/>
        <w:adjustRightIn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射孔采用油管传输射孔工艺，射孔队到达井场后，按设计要求进行枪串联接，安装起爆装置。随后在井口采油树上安装封井器、防落器。电缆经过天地滑轮后，再穿过防喷盒与磁定位器加重杆安全接头和射孔枪连接，打开防落器、井口闸门。将射孔枪匀速下入进口车内下出油管喇叭口至目的层附近标准套管接箍处，</w:t>
      </w:r>
      <w:r>
        <w:rPr>
          <w:rFonts w:hint="eastAsia" w:ascii="Times New Roman" w:hAnsi="Times New Roman" w:cs="Times New Roman"/>
          <w:color w:val="000000" w:themeColor="text1"/>
          <w:sz w:val="24"/>
          <w:szCs w:val="24"/>
          <w:highlight w:val="none"/>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跟踪定位原理计算出的跟踪距上提或下放对准目的层位，点火射孔枪，射孔后匀速起出电缆枪。</w:t>
      </w:r>
    </w:p>
    <w:p w14:paraId="3E03E9BC">
      <w:pPr>
        <w:pStyle w:val="64"/>
        <w:keepNext w:val="0"/>
        <w:keepLines w:val="0"/>
        <w:pageBreakBefore w:val="0"/>
        <w:kinsoku/>
        <w:wordWrap/>
        <w:overflowPunct/>
        <w:topLinePunct w:val="0"/>
        <w:autoSpaceDE/>
        <w:autoSpaceDN/>
        <w:bidi w:val="0"/>
        <w:adjustRightIn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②压裂 </w:t>
      </w:r>
    </w:p>
    <w:p w14:paraId="3B86B2F4">
      <w:pPr>
        <w:pStyle w:val="55"/>
        <w:keepNext w:val="0"/>
        <w:keepLines w:val="0"/>
        <w:pageBreakBefore w:val="0"/>
        <w:kinsoku/>
        <w:wordWrap/>
        <w:overflowPunct/>
        <w:topLinePunct w:val="0"/>
        <w:autoSpaceDE/>
        <w:autoSpaceDN/>
        <w:bidi w:val="0"/>
        <w:spacing w:after="0" w:line="360" w:lineRule="auto"/>
        <w:ind w:left="0" w:leftChars="0" w:firstLine="500"/>
        <w:jc w:val="both"/>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区域酸化压裂作业时，使用的</w:t>
      </w:r>
      <w:r>
        <w:rPr>
          <w:rFonts w:hint="default" w:ascii="Times New Roman" w:hAnsi="Times New Roman" w:eastAsia="宋体" w:cs="Times New Roman"/>
          <w:color w:val="000000" w:themeColor="text1"/>
          <w:sz w:val="24"/>
          <w:szCs w:val="24"/>
          <w:highlight w:val="none"/>
          <w14:textFill>
            <w14:solidFill>
              <w14:schemeClr w14:val="tx1"/>
            </w14:solidFill>
          </w14:textFill>
        </w:rPr>
        <w:t>胶凝酸</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在相关站内配置完成，压裂液、滑溜水由施工单位在现场自行配置，由西北油田分公司进行监管。</w:t>
      </w:r>
      <w:r>
        <w:rPr>
          <w:rFonts w:hint="default" w:ascii="Times New Roman" w:hAnsi="Times New Roman" w:eastAsia="宋体" w:cs="Times New Roman"/>
          <w:color w:val="000000" w:themeColor="text1"/>
          <w:sz w:val="24"/>
          <w:szCs w:val="24"/>
          <w:highlight w:val="none"/>
          <w14:textFill>
            <w14:solidFill>
              <w14:schemeClr w14:val="tx1"/>
            </w14:solidFill>
          </w14:textFill>
        </w:rPr>
        <w:t>胶凝酸</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以及压裂液和滑溜水配置所需的原料通过车辆运输至井场，通过压裂液在线混配车将酸液、压裂液、滑溜水按一定比例混合后，通过管汇车输送至压裂车进行加压，向地层注入高于地层破裂压力的酸化压裂液，随即在井底附近产生高压，当压力超过井壁附近地应力和岩石抗张强度后，在地层中形成裂缝。停泵后，压裂返排液自喷返排至地面专用废液收集罐中，拉运至</w:t>
      </w:r>
      <w:r>
        <w:rPr>
          <w:rFonts w:ascii="宋体" w:hAnsi="宋体" w:eastAsia="宋体" w:cs="宋体"/>
          <w:color w:val="000000" w:themeColor="text1"/>
          <w:sz w:val="24"/>
          <w:szCs w:val="24"/>
          <w:highlight w:val="none"/>
          <w14:textFill>
            <w14:solidFill>
              <w14:schemeClr w14:val="tx1"/>
            </w14:solidFill>
          </w14:textFill>
        </w:rPr>
        <w:t>阿克苏塔河环保工程有限公司绿色环保工作站</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 xml:space="preserve">处理。 </w:t>
      </w:r>
    </w:p>
    <w:p w14:paraId="1527417A">
      <w:pPr>
        <w:pStyle w:val="124"/>
        <w:keepNext w:val="0"/>
        <w:keepLines w:val="0"/>
        <w:pageBreakBefore w:val="0"/>
        <w:kinsoku/>
        <w:wordWrap/>
        <w:overflowPunct/>
        <w:topLinePunct w:val="0"/>
        <w:autoSpaceDE/>
        <w:autoSpaceDN/>
        <w:bidi w:val="0"/>
        <w:adjustRightInd/>
        <w:snapToGrid/>
        <w:ind w:firstLine="482"/>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（3）测试放喷</w:t>
      </w:r>
    </w:p>
    <w:p w14:paraId="1768BCA8">
      <w:pPr>
        <w:pStyle w:val="124"/>
        <w:keepNext w:val="0"/>
        <w:keepLines w:val="0"/>
        <w:pageBreakBefore w:val="0"/>
        <w:kinsoku/>
        <w:wordWrap/>
        <w:overflowPunct/>
        <w:topLinePunct w:val="0"/>
        <w:autoSpaceDE/>
        <w:autoSpaceDN/>
        <w:bidi w:val="0"/>
        <w:adjustRightInd/>
        <w:snapToGrid/>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测试放喷前安装井口放喷专用管线、各种计量设备、油气两相分离设备，原油回收罐等。如有油气资源，则产出液经两相分离器分离后，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凝析油</w:t>
      </w:r>
      <w:r>
        <w:rPr>
          <w:rFonts w:hint="default" w:ascii="Times New Roman" w:hAnsi="Times New Roman" w:eastAsia="宋体" w:cs="Times New Roman"/>
          <w:color w:val="000000" w:themeColor="text1"/>
          <w:sz w:val="24"/>
          <w:szCs w:val="24"/>
          <w:highlight w:val="none"/>
          <w14:textFill>
            <w14:solidFill>
              <w14:schemeClr w14:val="tx1"/>
            </w14:solidFill>
          </w14:textFill>
        </w:rPr>
        <w:t>进入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储油罐</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sz w:val="24"/>
          <w:szCs w:val="24"/>
          <w:highlight w:val="none"/>
          <w14:textFill>
            <w14:solidFill>
              <w14:schemeClr w14:val="tx1"/>
            </w14:solidFill>
          </w14:textFill>
        </w:rPr>
        <w:t>经管线引至放喷池点燃，依据具体情况设定放喷时间，一般为1～2d。</w:t>
      </w:r>
    </w:p>
    <w:p w14:paraId="243A116A">
      <w:pPr>
        <w:pStyle w:val="36"/>
        <w:keepNext w:val="0"/>
        <w:keepLines w:val="0"/>
        <w:pageBreakBefore w:val="0"/>
        <w:widowControl/>
        <w:kinsoku/>
        <w:wordWrap/>
        <w:overflowPunct/>
        <w:topLinePunct w:val="0"/>
        <w:autoSpaceDE/>
        <w:autoSpaceDN/>
        <w:bidi w:val="0"/>
        <w:spacing w:after="0"/>
        <w:ind w:left="0" w:lef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bookmarkStart w:id="556" w:name="OLE_LINK778"/>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75910" cy="6336665"/>
            <wp:effectExtent l="0" t="0" r="3810" b="3175"/>
            <wp:docPr id="1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6"/>
                    <pic:cNvPicPr>
                      <a:picLocks noChangeAspect="1"/>
                    </pic:cNvPicPr>
                  </pic:nvPicPr>
                  <pic:blipFill>
                    <a:blip r:embed="rId15"/>
                    <a:stretch>
                      <a:fillRect/>
                    </a:stretch>
                  </pic:blipFill>
                  <pic:spPr>
                    <a:xfrm>
                      <a:off x="0" y="0"/>
                      <a:ext cx="5375910" cy="6336665"/>
                    </a:xfrm>
                    <a:prstGeom prst="rect">
                      <a:avLst/>
                    </a:prstGeom>
                    <a:noFill/>
                    <a:ln>
                      <a:noFill/>
                    </a:ln>
                  </pic:spPr>
                </pic:pic>
              </a:graphicData>
            </a:graphic>
          </wp:inline>
        </w:drawing>
      </w:r>
    </w:p>
    <w:p w14:paraId="46567DA1">
      <w:pPr>
        <w:pStyle w:val="19"/>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图3.</w:t>
      </w:r>
      <w:r>
        <w:rPr>
          <w:rFonts w:hint="eastAsia"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3-2</w:t>
      </w: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 xml:space="preserve"> 钻前工程、钻井工程及储层改造工程工艺流程及污染物排放示意图</w:t>
      </w:r>
    </w:p>
    <w:bookmarkEnd w:id="556"/>
    <w:p w14:paraId="1E2D15BB">
      <w:pPr>
        <w:keepLines/>
        <w:adjustRightInd w:val="0"/>
        <w:snapToGrid w:val="0"/>
        <w:spacing w:line="360" w:lineRule="auto"/>
        <w:jc w:val="both"/>
        <w:outlineLvl w:val="9"/>
        <w:rPr>
          <w:rFonts w:hint="default" w:ascii="Times New Roman" w:hAnsi="Times New Roman" w:cs="Times New Roman"/>
          <w:b/>
          <w:color w:val="000000" w:themeColor="text1"/>
          <w:szCs w:val="22"/>
          <w:highlight w:val="none"/>
          <w14:textFill>
            <w14:solidFill>
              <w14:schemeClr w14:val="tx1"/>
            </w14:solidFill>
          </w14:textFill>
        </w:rPr>
      </w:pPr>
    </w:p>
    <w:p w14:paraId="5239FE64">
      <w:pPr>
        <w:keepLines/>
        <w:adjustRightInd w:val="0"/>
        <w:snapToGrid w:val="0"/>
        <w:spacing w:line="360" w:lineRule="auto"/>
        <w:jc w:val="both"/>
        <w:outlineLvl w:val="3"/>
        <w:rPr>
          <w:rFonts w:hint="default" w:ascii="Times New Roman" w:hAnsi="Times New Roman" w:eastAsia="宋体" w:cs="Times New Roman"/>
          <w:b/>
          <w:color w:val="000000" w:themeColor="text1"/>
          <w:szCs w:val="22"/>
          <w:highlight w:val="none"/>
          <w:lang w:eastAsia="zh-CN"/>
          <w14:textFill>
            <w14:solidFill>
              <w14:schemeClr w14:val="tx1"/>
            </w14:solidFill>
          </w14:textFill>
        </w:rPr>
      </w:pPr>
      <w:r>
        <w:rPr>
          <w:rFonts w:hint="default" w:ascii="Times New Roman" w:hAnsi="Times New Roman" w:cs="Times New Roman"/>
          <w:b/>
          <w:color w:val="000000" w:themeColor="text1"/>
          <w:szCs w:val="22"/>
          <w:highlight w:val="none"/>
          <w14:textFill>
            <w14:solidFill>
              <w14:schemeClr w14:val="tx1"/>
            </w14:solidFill>
          </w14:textFill>
        </w:rPr>
        <w:t>3.</w:t>
      </w:r>
      <w:r>
        <w:rPr>
          <w:rFonts w:hint="eastAsia" w:cs="Times New Roman"/>
          <w:b/>
          <w:color w:val="000000" w:themeColor="text1"/>
          <w:szCs w:val="22"/>
          <w:highlight w:val="none"/>
          <w:lang w:val="en-US" w:eastAsia="zh-CN"/>
          <w14:textFill>
            <w14:solidFill>
              <w14:schemeClr w14:val="tx1"/>
            </w14:solidFill>
          </w14:textFill>
        </w:rPr>
        <w:t>3</w:t>
      </w:r>
      <w:r>
        <w:rPr>
          <w:rFonts w:hint="default" w:ascii="Times New Roman" w:hAnsi="Times New Roman" w:cs="Times New Roman"/>
          <w:b/>
          <w:color w:val="000000" w:themeColor="text1"/>
          <w:szCs w:val="22"/>
          <w:highlight w:val="none"/>
          <w14:textFill>
            <w14:solidFill>
              <w14:schemeClr w14:val="tx1"/>
            </w14:solidFill>
          </w14:textFill>
        </w:rPr>
        <w:t>.1.</w:t>
      </w:r>
      <w:r>
        <w:rPr>
          <w:rFonts w:hint="default" w:ascii="Times New Roman" w:hAnsi="Times New Roman" w:cs="Times New Roman"/>
          <w:b/>
          <w:color w:val="000000" w:themeColor="text1"/>
          <w:szCs w:val="22"/>
          <w:highlight w:val="none"/>
          <w:lang w:val="en-US" w:eastAsia="zh-CN"/>
          <w14:textFill>
            <w14:solidFill>
              <w14:schemeClr w14:val="tx1"/>
            </w14:solidFill>
          </w14:textFill>
        </w:rPr>
        <w:t>2运营期</w:t>
      </w:r>
    </w:p>
    <w:p w14:paraId="4FA081E7">
      <w:pPr>
        <w:pStyle w:val="11"/>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采气工程</w:t>
      </w:r>
    </w:p>
    <w:p w14:paraId="13486A90">
      <w:pPr>
        <w:spacing w:line="360" w:lineRule="auto"/>
        <w:ind w:firstLine="496"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14:textFill>
            <w14:solidFill>
              <w14:schemeClr w14:val="tx1"/>
            </w14:solidFill>
          </w14:textFill>
        </w:rPr>
        <w:t>本工程</w:t>
      </w:r>
      <w:bookmarkStart w:id="557" w:name="OLE_LINK277"/>
      <w:r>
        <w:rPr>
          <w:rFonts w:hint="default" w:ascii="Times New Roman" w:hAnsi="Times New Roman" w:cs="Times New Roman"/>
          <w:color w:val="000000" w:themeColor="text1"/>
          <w:spacing w:val="4"/>
          <w:kern w:val="24"/>
          <w:szCs w:val="22"/>
          <w:highlight w:val="none"/>
          <w14:textFill>
            <w14:solidFill>
              <w14:schemeClr w14:val="tx1"/>
            </w14:solidFill>
          </w14:textFill>
        </w:rPr>
        <w:t>开发层</w:t>
      </w:r>
      <w:bookmarkEnd w:id="557"/>
      <w:r>
        <w:rPr>
          <w:rFonts w:hint="default" w:ascii="Times New Roman" w:hAnsi="Times New Roman" w:cs="Times New Roman"/>
          <w:color w:val="000000" w:themeColor="text1"/>
          <w:spacing w:val="4"/>
          <w:kern w:val="24"/>
          <w:szCs w:val="22"/>
          <w:highlight w:val="none"/>
          <w14:textFill>
            <w14:solidFill>
              <w14:schemeClr w14:val="tx1"/>
            </w14:solidFill>
          </w14:textFill>
        </w:rPr>
        <w:t>系为白垩系巴什基奇克组</w:t>
      </w:r>
      <w:r>
        <w:rPr>
          <w:rFonts w:hint="default" w:ascii="Times New Roman" w:hAnsi="Times New Roman" w:cs="Times New Roman"/>
          <w:color w:val="000000" w:themeColor="text1"/>
          <w:szCs w:val="22"/>
          <w:highlight w:val="none"/>
          <w14:textFill>
            <w14:solidFill>
              <w14:schemeClr w14:val="tx1"/>
            </w14:solidFill>
          </w14:textFill>
        </w:rPr>
        <w:t>。</w:t>
      </w:r>
    </w:p>
    <w:p w14:paraId="5ABA47E5">
      <w:pPr>
        <w:pStyle w:val="11"/>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（2）不定期的井下作业</w:t>
      </w:r>
    </w:p>
    <w:p w14:paraId="0A7AE3F0">
      <w:pPr>
        <w:keepNext w:val="0"/>
        <w:keepLines w:val="0"/>
        <w:pageBreakBefore w:val="0"/>
        <w:widowControl w:val="0"/>
        <w:kinsoku/>
        <w:wordWrap/>
        <w:overflowPunct/>
        <w:topLinePunct w:val="0"/>
        <w:autoSpaceDE/>
        <w:autoSpaceDN/>
        <w:bidi w:val="0"/>
        <w:adjustRightInd/>
        <w:snapToGrid/>
        <w:spacing w:after="0" w:line="360" w:lineRule="auto"/>
        <w:ind w:firstLine="512" w:firstLineChars="200"/>
        <w:jc w:val="both"/>
        <w:textAlignment w:val="auto"/>
        <w:rPr>
          <w:rFonts w:hint="default" w:ascii="Times New Roman" w:hAnsi="Times New Roman" w:eastAsia="宋体" w:cs="Times New Roman"/>
          <w:b w:val="0"/>
          <w:bCs w:val="0"/>
          <w:color w:val="000000" w:themeColor="text1"/>
          <w:spacing w:val="8"/>
          <w:kern w:val="24"/>
          <w:sz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8"/>
          <w:kern w:val="24"/>
          <w:sz w:val="24"/>
          <w:highlight w:val="none"/>
          <w:lang w:val="en-US" w:eastAsia="zh-CN" w:bidi="ar-SA"/>
          <w14:textFill>
            <w14:solidFill>
              <w14:schemeClr w14:val="tx1"/>
            </w14:solidFill>
          </w14:textFill>
        </w:rPr>
        <w:t>①侧钻作业</w:t>
      </w:r>
    </w:p>
    <w:p w14:paraId="13D593F9">
      <w:pPr>
        <w:keepNext w:val="0"/>
        <w:keepLines w:val="0"/>
        <w:pageBreakBefore w:val="0"/>
        <w:widowControl w:val="0"/>
        <w:kinsoku/>
        <w:wordWrap/>
        <w:overflowPunct/>
        <w:topLinePunct w:val="0"/>
        <w:autoSpaceDE/>
        <w:autoSpaceDN/>
        <w:bidi w:val="0"/>
        <w:adjustRightInd/>
        <w:snapToGrid/>
        <w:spacing w:after="0" w:line="360" w:lineRule="auto"/>
        <w:ind w:firstLine="512" w:firstLineChars="200"/>
        <w:jc w:val="both"/>
        <w:textAlignment w:val="auto"/>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运营期侧钻进尺按照800m/次计算，侧钻2次，泥浆体系为</w:t>
      </w:r>
      <w:r>
        <w:rPr>
          <w:rFonts w:hint="eastAsia"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油基</w:t>
      </w:r>
      <w:r>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泥浆。侧钻时间为30天，24h连续作业。钻井工程在原有井身结构基础上利用造斜工具控制钻头方向，在造斜点位置采用裸眼侧钻的方式进行侧钻。侧钻前进行通井，主要是了解套管完好情况，为开窗选位和确定尾管的超覆高度等提供参考资料。侧钻前原有井身结构造斜点位置以下注水泥塞进行封堵，防止原井眼油水层互窜影响分采分注效果，同时为斜向器创造一个准确而坚固的井底，以控制侧钻开窗位置。</w:t>
      </w:r>
    </w:p>
    <w:p w14:paraId="75EA4365">
      <w:pPr>
        <w:keepNext w:val="0"/>
        <w:keepLines w:val="0"/>
        <w:pageBreakBefore w:val="0"/>
        <w:widowControl w:val="0"/>
        <w:kinsoku/>
        <w:wordWrap/>
        <w:overflowPunct/>
        <w:topLinePunct w:val="0"/>
        <w:autoSpaceDE/>
        <w:autoSpaceDN/>
        <w:bidi w:val="0"/>
        <w:adjustRightInd/>
        <w:snapToGrid/>
        <w:spacing w:after="0" w:line="360" w:lineRule="auto"/>
        <w:ind w:firstLine="512" w:firstLineChars="200"/>
        <w:jc w:val="both"/>
        <w:textAlignment w:val="auto"/>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工程钻井作业采用电钻机，通过钻机、转盘、钻杆、带动钻头切削地层，同时泥浆由泥浆泵经钻杆向井内注入井筒冲刷井底，利用其</w:t>
      </w:r>
      <w:r>
        <w:rPr>
          <w:rFonts w:hint="eastAsia" w:cs="Times New Roman"/>
          <w:color w:val="000000" w:themeColor="text1"/>
          <w:spacing w:val="8"/>
          <w:kern w:val="24"/>
          <w:sz w:val="24"/>
          <w:highlight w:val="none"/>
          <w:lang w:val="en-US" w:eastAsia="zh-CN" w:bidi="ar-SA"/>
          <w14:textFill>
            <w14:solidFill>
              <w14:schemeClr w14:val="tx1"/>
            </w14:solidFill>
          </w14:textFill>
        </w:rPr>
        <w:t>黏性</w:t>
      </w:r>
      <w:r>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将岩屑带至地面，整个过程重复进行，使井不断加深，直至目的层井深。钻井中途需要停钻，以便起下钻具更换钻头、下套管、固井、替换钻井液和检修设备。</w:t>
      </w:r>
    </w:p>
    <w:p w14:paraId="60941E30">
      <w:pPr>
        <w:keepNext w:val="0"/>
        <w:keepLines w:val="0"/>
        <w:pageBreakBefore w:val="0"/>
        <w:widowControl w:val="0"/>
        <w:kinsoku/>
        <w:wordWrap/>
        <w:overflowPunct/>
        <w:topLinePunct w:val="0"/>
        <w:autoSpaceDE/>
        <w:autoSpaceDN/>
        <w:bidi w:val="0"/>
        <w:adjustRightInd/>
        <w:snapToGrid/>
        <w:spacing w:after="0" w:line="360" w:lineRule="auto"/>
        <w:ind w:firstLine="512" w:firstLineChars="200"/>
        <w:jc w:val="both"/>
        <w:textAlignment w:val="auto"/>
        <w:rPr>
          <w:rFonts w:hint="default" w:ascii="Times New Roman" w:hAnsi="Times New Roman" w:eastAsia="宋体" w:cs="Times New Roman"/>
          <w:b w:val="0"/>
          <w:bCs w:val="0"/>
          <w:color w:val="000000" w:themeColor="text1"/>
          <w:spacing w:val="8"/>
          <w:kern w:val="24"/>
          <w:sz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8"/>
          <w:kern w:val="24"/>
          <w:sz w:val="24"/>
          <w:highlight w:val="none"/>
          <w:lang w:val="en-US" w:eastAsia="zh-CN" w:bidi="ar-SA"/>
          <w14:textFill>
            <w14:solidFill>
              <w14:schemeClr w14:val="tx1"/>
            </w14:solidFill>
          </w14:textFill>
        </w:rPr>
        <w:t>②洗井、修井</w:t>
      </w:r>
    </w:p>
    <w:p w14:paraId="61985BBE">
      <w:pPr>
        <w:pStyle w:val="11"/>
        <w:keepNext w:val="0"/>
        <w:keepLines w:val="0"/>
        <w:pageBreakBefore w:val="0"/>
        <w:kinsoku/>
        <w:wordWrap/>
        <w:overflowPunct/>
        <w:topLinePunct w:val="0"/>
        <w:autoSpaceDE/>
        <w:autoSpaceDN/>
        <w:bidi w:val="0"/>
        <w:snapToGrid/>
        <w:spacing w:line="360" w:lineRule="auto"/>
        <w:ind w:firstLine="512"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8"/>
          <w:kern w:val="24"/>
          <w:sz w:val="24"/>
          <w:highlight w:val="none"/>
          <w:lang w:val="en-US" w:eastAsia="zh-CN" w:bidi="ar-SA"/>
          <w14:textFill>
            <w14:solidFill>
              <w14:schemeClr w14:val="tx1"/>
            </w14:solidFill>
          </w14:textFill>
        </w:rPr>
        <w:t>洗井是通过注入特定流体清除井筒内沉积物（如泥浆残留、垢、砂、沥青质等），恢复或改善井筒流通能力的作业。修井是通过起下管柱、更换井下工具或实施增产措施，恢复油井正常生产的综合性作业。</w:t>
      </w:r>
    </w:p>
    <w:p w14:paraId="10B23C13">
      <w:pPr>
        <w:pStyle w:val="11"/>
        <w:bidi w:val="0"/>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w:t>
      </w:r>
      <w:bookmarkStart w:id="558" w:name="OLE_LINK780"/>
      <w:r>
        <w:rPr>
          <w:rFonts w:hint="default" w:ascii="Times New Roman" w:hAnsi="Times New Roman" w:cs="Times New Roman"/>
          <w:color w:val="000000" w:themeColor="text1"/>
          <w:highlight w:val="none"/>
          <w14:textFill>
            <w14:solidFill>
              <w14:schemeClr w14:val="tx1"/>
            </w14:solidFill>
          </w14:textFill>
        </w:rPr>
        <w:t>井场油气处理</w:t>
      </w:r>
      <w:bookmarkEnd w:id="558"/>
    </w:p>
    <w:p w14:paraId="0B370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本工程工艺流程</w:t>
      </w:r>
      <w:r>
        <w:rPr>
          <w:rFonts w:hint="eastAsia"/>
          <w:color w:val="000000" w:themeColor="text1"/>
          <w:highlight w:val="none"/>
          <w:lang w:eastAsia="zh-CN"/>
          <w14:textFill>
            <w14:solidFill>
              <w14:schemeClr w14:val="tx1"/>
            </w14:solidFill>
          </w14:textFill>
        </w:rPr>
        <w:t>为</w:t>
      </w:r>
      <w:r>
        <w:rPr>
          <w:rFonts w:hint="eastAsia"/>
          <w:color w:val="000000" w:themeColor="text1"/>
          <w:highlight w:val="none"/>
          <w14:textFill>
            <w14:solidFill>
              <w14:schemeClr w14:val="tx1"/>
            </w14:solidFill>
          </w14:textFill>
        </w:rPr>
        <w:t>单井油气经油嘴后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经电磁加热器</w:t>
      </w:r>
      <w:r>
        <w:rPr>
          <w:rFonts w:hint="eastAsia"/>
          <w:color w:val="000000" w:themeColor="text1"/>
          <w:highlight w:val="none"/>
          <w14:textFill>
            <w14:solidFill>
              <w14:schemeClr w14:val="tx1"/>
            </w14:solidFill>
          </w14:textFill>
        </w:rPr>
        <w:t>加热至20℃进</w:t>
      </w:r>
      <w:r>
        <w:rPr>
          <w:rFonts w:hint="eastAsia"/>
          <w:color w:val="000000" w:themeColor="text1"/>
          <w:highlight w:val="none"/>
          <w:lang w:val="en-US" w:eastAsia="zh-CN"/>
          <w14:textFill>
            <w14:solidFill>
              <w14:schemeClr w14:val="tx1"/>
            </w14:solidFill>
          </w14:textFill>
        </w:rPr>
        <w:t>油气计量</w:t>
      </w:r>
      <w:r>
        <w:rPr>
          <w:rFonts w:hint="eastAsia"/>
          <w:color w:val="000000" w:themeColor="text1"/>
          <w:highlight w:val="none"/>
          <w14:textFill>
            <w14:solidFill>
              <w14:schemeClr w14:val="tx1"/>
            </w14:solidFill>
          </w14:textFill>
        </w:rPr>
        <w:t>分离器分离，液经分离后</w:t>
      </w:r>
      <w:r>
        <w:rPr>
          <w:rFonts w:hint="eastAsia"/>
          <w:color w:val="000000" w:themeColor="text1"/>
          <w:highlight w:val="none"/>
          <w:lang w:val="en-US" w:eastAsia="zh-CN"/>
          <w14:textFill>
            <w14:solidFill>
              <w14:schemeClr w14:val="tx1"/>
            </w14:solidFill>
          </w14:textFill>
        </w:rPr>
        <w:t>凝析油</w:t>
      </w:r>
      <w:r>
        <w:rPr>
          <w:rFonts w:hint="eastAsia"/>
          <w:color w:val="000000" w:themeColor="text1"/>
          <w:highlight w:val="none"/>
          <w14:textFill>
            <w14:solidFill>
              <w14:schemeClr w14:val="tx1"/>
            </w14:solidFill>
          </w14:textFill>
        </w:rPr>
        <w:t>进</w:t>
      </w:r>
      <w:r>
        <w:rPr>
          <w:rFonts w:hint="eastAsia"/>
          <w:color w:val="000000" w:themeColor="text1"/>
          <w:highlight w:val="none"/>
          <w:lang w:val="en-US" w:eastAsia="zh-CN"/>
          <w14:textFill>
            <w14:solidFill>
              <w14:schemeClr w14:val="tx1"/>
            </w14:solidFill>
          </w14:textFill>
        </w:rPr>
        <w:t>多功能</w:t>
      </w:r>
      <w:r>
        <w:rPr>
          <w:rFonts w:hint="eastAsia"/>
          <w:color w:val="000000" w:themeColor="text1"/>
          <w:highlight w:val="none"/>
          <w14:textFill>
            <w14:solidFill>
              <w14:schemeClr w14:val="tx1"/>
            </w14:solidFill>
          </w14:textFill>
        </w:rPr>
        <w:t>储集器缓冲装车外运</w:t>
      </w:r>
      <w:r>
        <w:rPr>
          <w:rFonts w:hint="eastAsia"/>
          <w:color w:val="000000" w:themeColor="text1"/>
          <w:highlight w:val="none"/>
          <w:lang w:val="en-US" w:eastAsia="zh-CN"/>
          <w14:textFill>
            <w14:solidFill>
              <w14:schemeClr w14:val="tx1"/>
            </w14:solidFill>
          </w14:textFill>
        </w:rPr>
        <w:t>至</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雅克拉集气处理站处理</w:t>
      </w:r>
      <w:r>
        <w:rPr>
          <w:rFonts w:hint="eastAsia"/>
          <w:color w:val="000000" w:themeColor="text1"/>
          <w:highlight w:val="none"/>
          <w14:textFill>
            <w14:solidFill>
              <w14:schemeClr w14:val="tx1"/>
            </w14:solidFill>
          </w14:textFill>
        </w:rPr>
        <w:t>，天然气经油气计量分离器分离后，湿气销售至第三方公司，由第三方公司处理后装车外销</w:t>
      </w:r>
      <w:r>
        <w:rPr>
          <w:rFonts w:hint="eastAsia"/>
          <w:color w:val="000000" w:themeColor="text1"/>
          <w:highlight w:val="none"/>
          <w:lang w:val="en-US"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fldChar w:fldCharType="begin"/>
      </w:r>
      <w:r>
        <w:rPr>
          <w:rFonts w:ascii="宋体" w:hAnsi="宋体" w:eastAsia="宋体" w:cs="宋体"/>
          <w:color w:val="000000" w:themeColor="text1"/>
          <w:sz w:val="24"/>
          <w:szCs w:val="24"/>
          <w:highlight w:val="none"/>
          <w14:textFill>
            <w14:solidFill>
              <w14:schemeClr w14:val="tx1"/>
            </w14:solidFill>
          </w14:textFill>
        </w:rPr>
        <w:instrText xml:space="preserve">INCLUDEPICTURE \d "C:\\Users\\123456\\AppData\\Roaming\\SinopecSoftCustom\\LxResource\\Images\\lanxin_20250527170257.png" \* MERGEFORMATINET </w:instrText>
      </w:r>
      <w:r>
        <w:rPr>
          <w:rFonts w:ascii="宋体" w:hAnsi="宋体" w:eastAsia="宋体" w:cs="宋体"/>
          <w:color w:val="000000" w:themeColor="text1"/>
          <w:sz w:val="24"/>
          <w:szCs w:val="24"/>
          <w:highlight w:val="none"/>
          <w14:textFill>
            <w14:solidFill>
              <w14:schemeClr w14:val="tx1"/>
            </w14:solidFill>
          </w14:textFill>
        </w:rPr>
        <w:fldChar w:fldCharType="separate"/>
      </w:r>
    </w:p>
    <w:p w14:paraId="34C931F2">
      <w:pPr>
        <w:pStyle w:val="11"/>
        <w:keepNext w:val="0"/>
        <w:keepLines w:val="0"/>
        <w:pageBreakBefore w:val="0"/>
        <w:kinsoku/>
        <w:wordWrap/>
        <w:overflowPunct/>
        <w:topLinePunct w:val="0"/>
        <w:autoSpaceDE/>
        <w:autoSpaceDN/>
        <w:bidi w:val="0"/>
        <w:spacing w:line="360" w:lineRule="auto"/>
        <w:ind w:firstLine="0" w:firstLineChars="0"/>
        <w:jc w:val="center"/>
        <w:textAlignment w:val="auto"/>
        <w:outlineLvl w:val="9"/>
        <w:rPr>
          <w:rFonts w:hint="eastAsia" w:ascii="Times New Roman" w:hAnsi="Times New Roman" w:eastAsia="宋体" w:cs="Times New Roman"/>
          <w:bCs/>
          <w:color w:val="000000" w:themeColor="text1"/>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fldChar w:fldCharType="end"/>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drawing>
          <wp:inline distT="0" distB="0" distL="114300" distR="114300">
            <wp:extent cx="5337175" cy="2800350"/>
            <wp:effectExtent l="0" t="0" r="0" b="0"/>
            <wp:docPr id="29" name="图片 29" descr="wechat_2025-08-11_172826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echat_2025-08-11_172826_461"/>
                    <pic:cNvPicPr>
                      <a:picLocks noChangeAspect="1"/>
                    </pic:cNvPicPr>
                  </pic:nvPicPr>
                  <pic:blipFill>
                    <a:blip r:embed="rId16"/>
                    <a:srcRect b="36446"/>
                    <a:stretch>
                      <a:fillRect/>
                    </a:stretch>
                  </pic:blipFill>
                  <pic:spPr>
                    <a:xfrm>
                      <a:off x="0" y="0"/>
                      <a:ext cx="5337175" cy="2800350"/>
                    </a:xfrm>
                    <a:prstGeom prst="rect">
                      <a:avLst/>
                    </a:prstGeom>
                  </pic:spPr>
                </pic:pic>
              </a:graphicData>
            </a:graphic>
          </wp:inline>
        </w:drawing>
      </w:r>
    </w:p>
    <w:p w14:paraId="0F7FCD6E">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图</w:t>
      </w:r>
      <w:bookmarkStart w:id="559" w:name="OLE_LINK276"/>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3.</w:t>
      </w:r>
      <w:bookmarkEnd w:id="559"/>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3-3</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井场油气处理工艺流程</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图</w:t>
      </w:r>
    </w:p>
    <w:p w14:paraId="12B99CC0">
      <w:pPr>
        <w:keepLines/>
        <w:adjustRightInd w:val="0"/>
        <w:snapToGrid w:val="0"/>
        <w:spacing w:line="360" w:lineRule="auto"/>
        <w:jc w:val="both"/>
        <w:outlineLvl w:val="3"/>
        <w:rPr>
          <w:rFonts w:hint="default" w:ascii="Times New Roman" w:hAnsi="Times New Roman" w:eastAsia="宋体" w:cs="Times New Roman"/>
          <w:b/>
          <w:color w:val="000000" w:themeColor="text1"/>
          <w:szCs w:val="22"/>
          <w:highlight w:val="none"/>
          <w:lang w:eastAsia="zh-CN"/>
          <w14:textFill>
            <w14:solidFill>
              <w14:schemeClr w14:val="tx1"/>
            </w14:solidFill>
          </w14:textFill>
        </w:rPr>
      </w:pPr>
      <w:r>
        <w:rPr>
          <w:rFonts w:hint="default" w:ascii="Times New Roman" w:hAnsi="Times New Roman" w:cs="Times New Roman"/>
          <w:b/>
          <w:color w:val="000000" w:themeColor="text1"/>
          <w:szCs w:val="22"/>
          <w:highlight w:val="none"/>
          <w14:textFill>
            <w14:solidFill>
              <w14:schemeClr w14:val="tx1"/>
            </w14:solidFill>
          </w14:textFill>
        </w:rPr>
        <w:t>3.</w:t>
      </w:r>
      <w:r>
        <w:rPr>
          <w:rFonts w:hint="eastAsia" w:cs="Times New Roman"/>
          <w:b/>
          <w:color w:val="000000" w:themeColor="text1"/>
          <w:szCs w:val="22"/>
          <w:highlight w:val="none"/>
          <w:lang w:val="en-US" w:eastAsia="zh-CN"/>
          <w14:textFill>
            <w14:solidFill>
              <w14:schemeClr w14:val="tx1"/>
            </w14:solidFill>
          </w14:textFill>
        </w:rPr>
        <w:t>3</w:t>
      </w:r>
      <w:r>
        <w:rPr>
          <w:rFonts w:hint="default" w:ascii="Times New Roman" w:hAnsi="Times New Roman" w:cs="Times New Roman"/>
          <w:b/>
          <w:color w:val="000000" w:themeColor="text1"/>
          <w:szCs w:val="22"/>
          <w:highlight w:val="none"/>
          <w14:textFill>
            <w14:solidFill>
              <w14:schemeClr w14:val="tx1"/>
            </w14:solidFill>
          </w14:textFill>
        </w:rPr>
        <w:t>.1.</w:t>
      </w:r>
      <w:r>
        <w:rPr>
          <w:rFonts w:hint="default" w:ascii="Times New Roman" w:hAnsi="Times New Roman" w:cs="Times New Roman"/>
          <w:b/>
          <w:color w:val="000000" w:themeColor="text1"/>
          <w:szCs w:val="22"/>
          <w:highlight w:val="none"/>
          <w:lang w:val="en-US" w:eastAsia="zh-CN"/>
          <w14:textFill>
            <w14:solidFill>
              <w14:schemeClr w14:val="tx1"/>
            </w14:solidFill>
          </w14:textFill>
        </w:rPr>
        <w:t>3退役期</w:t>
      </w:r>
    </w:p>
    <w:p w14:paraId="15918204">
      <w:pPr>
        <w:spacing w:line="360" w:lineRule="auto"/>
        <w:ind w:firstLine="496" w:firstLineChars="200"/>
        <w:jc w:val="both"/>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t>随着石油天然气开采的不断进行，其储量逐渐下降，最终井区将进入退役期。</w:t>
      </w:r>
    </w:p>
    <w:p w14:paraId="191D2A2E">
      <w:pPr>
        <w:spacing w:line="360" w:lineRule="auto"/>
        <w:ind w:firstLine="496" w:firstLineChars="200"/>
        <w:jc w:val="both"/>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t>首先采用清水清洗注水通道，然后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14:paraId="2E02077B">
      <w:pPr>
        <w:spacing w:line="360" w:lineRule="auto"/>
        <w:ind w:firstLine="496" w:firstLineChars="200"/>
        <w:jc w:val="both"/>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t>完成封井后，拆除井口装置，地下截去一定深度的表层套管；将永久性占地范围内的水泥平台或砂砾石铺垫清理，清除各种固体废物。然后根据周边区域的自然现状对其进行恢复，使井场恢复到相对自然的一种状态。保证对各类废弃井采取的固井、封井措施有效可行，防止发生油水窜层。</w:t>
      </w:r>
    </w:p>
    <w:p w14:paraId="0186C628">
      <w:pPr>
        <w:pStyle w:val="11"/>
        <w:bidi w:val="0"/>
        <w:outlineLvl w:val="3"/>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3.</w:t>
      </w:r>
      <w:r>
        <w:rPr>
          <w:rFonts w:hint="eastAsia" w:ascii="Times New Roman" w:hAnsi="Times New Roman" w:cs="Times New Roman"/>
          <w:b/>
          <w:bCs/>
          <w:color w:val="000000" w:themeColor="text1"/>
          <w:highlight w:val="none"/>
          <w:lang w:val="en-US" w:eastAsia="zh-CN"/>
          <w14:textFill>
            <w14:solidFill>
              <w14:schemeClr w14:val="tx1"/>
            </w14:solidFill>
          </w14:textFill>
        </w:rPr>
        <w:t>3</w:t>
      </w:r>
      <w:r>
        <w:rPr>
          <w:rFonts w:hint="default" w:ascii="Times New Roman" w:hAnsi="Times New Roman" w:cs="Times New Roman"/>
          <w:b/>
          <w:bCs/>
          <w:color w:val="000000" w:themeColor="text1"/>
          <w:highlight w:val="none"/>
          <w:lang w:eastAsia="zh-CN"/>
          <w14:textFill>
            <w14:solidFill>
              <w14:schemeClr w14:val="tx1"/>
            </w14:solidFill>
          </w14:textFill>
        </w:rPr>
        <w:t>.1.</w:t>
      </w:r>
      <w:r>
        <w:rPr>
          <w:rFonts w:hint="default" w:ascii="Times New Roman" w:hAnsi="Times New Roman"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b/>
          <w:bCs/>
          <w:color w:val="000000" w:themeColor="text1"/>
          <w:highlight w:val="none"/>
          <w:lang w:eastAsia="zh-CN"/>
          <w14:textFill>
            <w14:solidFill>
              <w14:schemeClr w14:val="tx1"/>
            </w14:solidFill>
          </w14:textFill>
        </w:rPr>
        <w:t>环境影响因素分析</w:t>
      </w:r>
    </w:p>
    <w:p w14:paraId="4AF1FB96">
      <w:pPr>
        <w:pStyle w:val="11"/>
        <w:bidi w:val="0"/>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建设可分为</w:t>
      </w: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、退役期三个阶段。</w:t>
      </w:r>
    </w:p>
    <w:p w14:paraId="1F9C5D3C">
      <w:pPr>
        <w:pStyle w:val="11"/>
        <w:bidi w:val="0"/>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环境影响的特点是持续时间短，破坏性强，在</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建设结束后，可在一定时期消失；但如果污染防治和生态保护措施不当，可能持续很长时间，并且不可逆转，例如对生态环境的破坏。</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环境影响持续时间长，并随着产能规模的增加而加大，贯穿于整个运营期。</w:t>
      </w:r>
      <w:r>
        <w:rPr>
          <w:rFonts w:hint="default" w:ascii="Times New Roman" w:hAnsi="Times New Roman" w:cs="Times New Roman"/>
          <w:color w:val="000000" w:themeColor="text1"/>
          <w:highlight w:val="none"/>
          <w:lang w:eastAsia="zh-CN"/>
          <w14:textFill>
            <w14:solidFill>
              <w14:schemeClr w14:val="tx1"/>
            </w14:solidFill>
          </w14:textFill>
        </w:rPr>
        <w:t>退役期</w:t>
      </w:r>
      <w:r>
        <w:rPr>
          <w:rFonts w:hint="default" w:ascii="Times New Roman" w:hAnsi="Times New Roman" w:cs="Times New Roman"/>
          <w:color w:val="000000" w:themeColor="text1"/>
          <w:highlight w:val="none"/>
          <w14:textFill>
            <w14:solidFill>
              <w14:schemeClr w14:val="tx1"/>
            </w14:solidFill>
          </w14:textFill>
        </w:rPr>
        <w:t>后，如果封井和井场处置等措施得当，环境影响将很小；反之若出现封井不严，可能导致地下残余油水外溢等事故发生，产生局部环境污染。</w:t>
      </w:r>
    </w:p>
    <w:p w14:paraId="364E051D">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包括</w:t>
      </w:r>
      <w:r>
        <w:rPr>
          <w:rFonts w:hint="eastAsia" w:ascii="Times New Roman" w:hAnsi="Times New Roman" w:cs="Times New Roman"/>
          <w:color w:val="000000" w:themeColor="text1"/>
          <w:highlight w:val="none"/>
          <w:lang w:val="en-US" w:eastAsia="zh-CN"/>
          <w14:textFill>
            <w14:solidFill>
              <w14:schemeClr w14:val="tx1"/>
            </w14:solidFill>
          </w14:textFill>
        </w:rPr>
        <w:t>钻井工程、</w:t>
      </w:r>
      <w:r>
        <w:rPr>
          <w:rFonts w:hint="default" w:ascii="Times New Roman" w:hAnsi="Times New Roman" w:cs="Times New Roman"/>
          <w:color w:val="000000" w:themeColor="text1"/>
          <w:highlight w:val="none"/>
          <w14:textFill>
            <w14:solidFill>
              <w14:schemeClr w14:val="tx1"/>
            </w14:solidFill>
          </w14:textFill>
        </w:rPr>
        <w:t>地面工程建设、采气、</w:t>
      </w:r>
      <w:r>
        <w:rPr>
          <w:rFonts w:hint="eastAsia" w:ascii="Times New Roman" w:hAnsi="Times New Roman" w:cs="Times New Roman"/>
          <w:color w:val="000000" w:themeColor="text1"/>
          <w:highlight w:val="none"/>
          <w:lang w:val="en-US" w:eastAsia="zh-CN"/>
          <w14:textFill>
            <w14:solidFill>
              <w14:schemeClr w14:val="tx1"/>
            </w14:solidFill>
          </w14:textFill>
        </w:rPr>
        <w:t>拉油</w:t>
      </w:r>
      <w:r>
        <w:rPr>
          <w:rFonts w:hint="default" w:ascii="Times New Roman" w:hAnsi="Times New Roman" w:cs="Times New Roman"/>
          <w:color w:val="000000" w:themeColor="text1"/>
          <w:highlight w:val="none"/>
          <w14:textFill>
            <w14:solidFill>
              <w14:schemeClr w14:val="tx1"/>
            </w14:solidFill>
          </w14:textFill>
        </w:rPr>
        <w:t>等施工作业内容，基本属于开发</w:t>
      </w: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和生产运营期的建设活动。其环境影响因素主要来源于</w:t>
      </w:r>
      <w:r>
        <w:rPr>
          <w:rFonts w:hint="eastAsia" w:ascii="Times New Roman" w:hAnsi="Times New Roman" w:cs="Times New Roman"/>
          <w:color w:val="000000" w:themeColor="text1"/>
          <w:highlight w:val="none"/>
          <w:lang w:val="en-US" w:eastAsia="zh-CN"/>
          <w14:textFill>
            <w14:solidFill>
              <w14:schemeClr w14:val="tx1"/>
            </w14:solidFill>
          </w14:textFill>
        </w:rPr>
        <w:t>气</w:t>
      </w:r>
      <w:r>
        <w:rPr>
          <w:rFonts w:hint="default" w:ascii="Times New Roman" w:hAnsi="Times New Roman" w:cs="Times New Roman"/>
          <w:color w:val="000000" w:themeColor="text1"/>
          <w:highlight w:val="none"/>
          <w14:textFill>
            <w14:solidFill>
              <w14:schemeClr w14:val="tx1"/>
            </w14:solidFill>
          </w14:textFill>
        </w:rPr>
        <w:t>井及</w:t>
      </w:r>
      <w:r>
        <w:rPr>
          <w:rFonts w:hint="eastAsia" w:ascii="Times New Roman" w:hAnsi="Times New Roman" w:cs="Times New Roman"/>
          <w:color w:val="000000" w:themeColor="text1"/>
          <w:highlight w:val="none"/>
          <w:lang w:eastAsia="zh-CN"/>
          <w14:textFill>
            <w14:solidFill>
              <w14:schemeClr w14:val="tx1"/>
            </w14:solidFill>
          </w14:textFill>
        </w:rPr>
        <w:t>其</w:t>
      </w:r>
      <w:r>
        <w:rPr>
          <w:rFonts w:hint="default" w:ascii="Times New Roman" w:hAnsi="Times New Roman" w:cs="Times New Roman"/>
          <w:color w:val="000000" w:themeColor="text1"/>
          <w:highlight w:val="none"/>
          <w14:textFill>
            <w14:solidFill>
              <w14:schemeClr w14:val="tx1"/>
            </w14:solidFill>
          </w14:textFill>
        </w:rPr>
        <w:t>相关采气、井下作业、油气</w:t>
      </w:r>
      <w:r>
        <w:rPr>
          <w:rFonts w:hint="eastAsia" w:ascii="Times New Roman" w:hAnsi="Times New Roman" w:cs="Times New Roman"/>
          <w:color w:val="000000" w:themeColor="text1"/>
          <w:highlight w:val="none"/>
          <w:lang w:val="en-US" w:eastAsia="zh-CN"/>
          <w14:textFill>
            <w14:solidFill>
              <w14:schemeClr w14:val="tx1"/>
            </w14:solidFill>
          </w14:textFill>
        </w:rPr>
        <w:t>分离及</w:t>
      </w:r>
      <w:r>
        <w:rPr>
          <w:rFonts w:hint="default" w:ascii="Times New Roman" w:hAnsi="Times New Roman" w:cs="Times New Roman"/>
          <w:color w:val="000000" w:themeColor="text1"/>
          <w:highlight w:val="none"/>
          <w14:textFill>
            <w14:solidFill>
              <w14:schemeClr w14:val="tx1"/>
            </w14:solidFill>
          </w14:textFill>
        </w:rPr>
        <w:t>储运等各工艺过程，影响结果包括非污染生态影响，以及排放的污染物质导致的环境污染。</w:t>
      </w:r>
    </w:p>
    <w:p w14:paraId="43DFE473">
      <w:pPr>
        <w:pStyle w:val="11"/>
        <w:spacing w:before="64" w:line="233" w:lineRule="auto"/>
        <w:ind w:left="119"/>
        <w:jc w:val="center"/>
        <w:rPr>
          <w:rFonts w:hint="default" w:ascii="Times New Roman" w:hAnsi="Times New Roman" w:eastAsia="黑体" w:cs="Times New Roman"/>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332095" cy="2800350"/>
            <wp:effectExtent l="0" t="0" r="1905" b="381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17"/>
                    <a:stretch>
                      <a:fillRect/>
                    </a:stretch>
                  </pic:blipFill>
                  <pic:spPr>
                    <a:xfrm>
                      <a:off x="0" y="0"/>
                      <a:ext cx="5332095" cy="2800350"/>
                    </a:xfrm>
                    <a:prstGeom prst="rect">
                      <a:avLst/>
                    </a:prstGeom>
                    <a:noFill/>
                    <a:ln>
                      <a:noFill/>
                    </a:ln>
                  </pic:spPr>
                </pic:pic>
              </a:graphicData>
            </a:graphic>
          </wp:inline>
        </w:drawing>
      </w:r>
    </w:p>
    <w:p w14:paraId="036F510F">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图 3.</w:t>
      </w:r>
      <w:r>
        <w:rPr>
          <w:rFonts w:hint="eastAsia"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3-3</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 xml:space="preserve">   </w:t>
      </w:r>
      <w:bookmarkStart w:id="560" w:name="OLE_LINK280"/>
      <w:bookmarkStart w:id="561" w:name="_Toc10520"/>
      <w:r>
        <w:rPr>
          <w:rFonts w:hint="eastAsia"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运营期</w:t>
      </w: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本工程工艺及污染物排放流程</w:t>
      </w:r>
      <w:bookmarkEnd w:id="560"/>
      <w:bookmarkStart w:id="562" w:name="_Toc7703"/>
      <w:bookmarkStart w:id="563" w:name="_Toc22827"/>
    </w:p>
    <w:p w14:paraId="193C4792">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snapToGrid/>
          <w:color w:val="000000" w:themeColor="text1"/>
          <w:kern w:val="0"/>
          <w:sz w:val="28"/>
          <w:szCs w:val="28"/>
          <w:highlight w:val="none"/>
          <w:lang w:val="en-US" w:eastAsia="zh-CN" w:bidi="ar-SA"/>
          <w14:textFill>
            <w14:solidFill>
              <w14:schemeClr w14:val="tx1"/>
            </w14:solidFill>
          </w14:textFill>
        </w:rPr>
      </w:pPr>
      <w:bookmarkStart w:id="564" w:name="OLE_LINK844"/>
      <w:r>
        <w:rPr>
          <w:rFonts w:hint="default" w:ascii="Times New Roman" w:hAnsi="Times New Roman" w:eastAsia="宋体" w:cs="Times New Roman"/>
          <w:b/>
          <w:bCs/>
          <w:snapToGrid/>
          <w:color w:val="000000" w:themeColor="text1"/>
          <w:kern w:val="0"/>
          <w:sz w:val="28"/>
          <w:szCs w:val="28"/>
          <w:highlight w:val="none"/>
          <w:lang w:val="en-US" w:eastAsia="zh-CN" w:bidi="ar-SA"/>
          <w14:textFill>
            <w14:solidFill>
              <w14:schemeClr w14:val="tx1"/>
            </w14:solidFill>
          </w14:textFill>
        </w:rPr>
        <w:t>3.</w:t>
      </w:r>
      <w:r>
        <w:rPr>
          <w:rFonts w:hint="eastAsia" w:ascii="Times New Roman" w:hAnsi="Times New Roman" w:eastAsia="宋体" w:cs="Times New Roman"/>
          <w:b/>
          <w:bCs/>
          <w:snapToGrid/>
          <w:color w:val="000000" w:themeColor="text1"/>
          <w:kern w:val="0"/>
          <w:sz w:val="28"/>
          <w:szCs w:val="28"/>
          <w:highlight w:val="none"/>
          <w:lang w:val="en-US" w:eastAsia="zh-CN" w:bidi="ar-SA"/>
          <w14:textFill>
            <w14:solidFill>
              <w14:schemeClr w14:val="tx1"/>
            </w14:solidFill>
          </w14:textFill>
        </w:rPr>
        <w:t>3</w:t>
      </w:r>
      <w:r>
        <w:rPr>
          <w:rFonts w:hint="default" w:ascii="Times New Roman" w:hAnsi="Times New Roman" w:eastAsia="宋体" w:cs="Times New Roman"/>
          <w:b/>
          <w:bCs/>
          <w:snapToGrid/>
          <w:color w:val="000000" w:themeColor="text1"/>
          <w:kern w:val="0"/>
          <w:sz w:val="28"/>
          <w:szCs w:val="28"/>
          <w:highlight w:val="none"/>
          <w:lang w:val="en-US" w:eastAsia="zh-CN" w:bidi="ar-SA"/>
          <w14:textFill>
            <w14:solidFill>
              <w14:schemeClr w14:val="tx1"/>
            </w14:solidFill>
          </w14:textFill>
        </w:rPr>
        <w:t>.2</w:t>
      </w:r>
      <w:bookmarkEnd w:id="561"/>
      <w:bookmarkEnd w:id="562"/>
      <w:bookmarkEnd w:id="563"/>
      <w:r>
        <w:rPr>
          <w:rFonts w:hint="default" w:ascii="Times New Roman" w:hAnsi="Times New Roman" w:eastAsia="宋体" w:cs="Times New Roman"/>
          <w:b/>
          <w:bCs/>
          <w:snapToGrid/>
          <w:color w:val="000000" w:themeColor="text1"/>
          <w:kern w:val="0"/>
          <w:sz w:val="28"/>
          <w:szCs w:val="28"/>
          <w:highlight w:val="none"/>
          <w:lang w:val="en-US" w:eastAsia="zh-CN" w:bidi="ar-SA"/>
          <w14:textFill>
            <w14:solidFill>
              <w14:schemeClr w14:val="tx1"/>
            </w14:solidFill>
          </w14:textFill>
        </w:rPr>
        <w:t>施工期环境影响因素分析</w:t>
      </w:r>
    </w:p>
    <w:p w14:paraId="053012B3">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bookmarkStart w:id="565" w:name="OLE_LINK4"/>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"3.2.3.1"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生态影响因素</w:t>
      </w:r>
      <w:bookmarkEnd w:id="565"/>
    </w:p>
    <w:p w14:paraId="022D2E5F">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spacing w:val="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生态影响主要体现在</w:t>
      </w:r>
      <w:r>
        <w:rPr>
          <w:rFonts w:hint="default" w:ascii="Times New Roman" w:hAnsi="Times New Roman" w:cs="Times New Roman"/>
          <w:color w:val="000000" w:themeColor="text1"/>
          <w:highlight w:val="none"/>
          <w:lang w:val="en-US" w:eastAsia="zh-CN"/>
          <w14:textFill>
            <w14:solidFill>
              <w14:schemeClr w14:val="tx1"/>
            </w14:solidFill>
          </w14:textFill>
        </w:rPr>
        <w:t>井</w:t>
      </w:r>
      <w:r>
        <w:rPr>
          <w:rFonts w:hint="default" w:ascii="Times New Roman" w:hAnsi="Times New Roman" w:cs="Times New Roman"/>
          <w:color w:val="000000" w:themeColor="text1"/>
          <w:highlight w:val="none"/>
          <w14:textFill>
            <w14:solidFill>
              <w14:schemeClr w14:val="tx1"/>
            </w14:solidFill>
          </w14:textFill>
        </w:rPr>
        <w:t>场建设阶段，如占用土地、施工对地表植被的影响、土壤扰动等。</w:t>
      </w:r>
      <w:r>
        <w:rPr>
          <w:rFonts w:hint="eastAsia"/>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占地类型</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果园</w:t>
      </w:r>
      <w:r>
        <w:rPr>
          <w:rFonts w:hint="default" w:ascii="Times New Roman" w:hAnsi="Times New Roman" w:cs="Times New Roman"/>
          <w:color w:val="000000" w:themeColor="text1"/>
          <w:highlight w:val="none"/>
          <w14:textFill>
            <w14:solidFill>
              <w14:schemeClr w14:val="tx1"/>
            </w14:solidFill>
          </w14:textFill>
        </w:rPr>
        <w:t>。地面工程施工作业包括</w:t>
      </w:r>
      <w:r>
        <w:rPr>
          <w:rFonts w:hint="default" w:ascii="Times New Roman" w:hAnsi="Times New Roman" w:cs="Times New Roman"/>
          <w:color w:val="000000" w:themeColor="text1"/>
          <w:highlight w:val="none"/>
          <w:lang w:val="en-US" w:eastAsia="zh-CN"/>
          <w14:textFill>
            <w14:solidFill>
              <w14:schemeClr w14:val="tx1"/>
            </w14:solidFill>
          </w14:textFill>
        </w:rPr>
        <w:t>井</w:t>
      </w:r>
      <w:r>
        <w:rPr>
          <w:rFonts w:hint="default" w:ascii="Times New Roman" w:hAnsi="Times New Roman" w:cs="Times New Roman"/>
          <w:color w:val="000000" w:themeColor="text1"/>
          <w:highlight w:val="none"/>
          <w14:textFill>
            <w14:solidFill>
              <w14:schemeClr w14:val="tx1"/>
            </w14:solidFill>
          </w14:textFill>
        </w:rPr>
        <w:t>场场地平整、管线</w:t>
      </w:r>
      <w:r>
        <w:rPr>
          <w:rFonts w:hint="eastAsia" w:ascii="Times New Roman" w:hAnsi="Times New Roman" w:cs="Times New Roman"/>
          <w:color w:val="000000" w:themeColor="text1"/>
          <w:highlight w:val="none"/>
          <w:lang w:val="en-US" w:eastAsia="zh-CN"/>
          <w14:textFill>
            <w14:solidFill>
              <w14:schemeClr w14:val="tx1"/>
            </w14:solidFill>
          </w14:textFill>
        </w:rPr>
        <w:t>组装</w:t>
      </w:r>
      <w:r>
        <w:rPr>
          <w:rFonts w:hint="default" w:ascii="Times New Roman" w:hAnsi="Times New Roman" w:cs="Times New Roman"/>
          <w:color w:val="000000" w:themeColor="text1"/>
          <w:highlight w:val="none"/>
          <w14:textFill>
            <w14:solidFill>
              <w14:schemeClr w14:val="tx1"/>
            </w14:solidFill>
          </w14:textFill>
        </w:rPr>
        <w:t>等，施工作业直接破坏了地面植被，造成了土壤扰动，容易导致水土流失。</w:t>
      </w:r>
      <w:r>
        <w:rPr>
          <w:rFonts w:hint="default" w:ascii="Times New Roman" w:hAnsi="Times New Roman" w:cs="Times New Roman"/>
          <w:color w:val="000000" w:themeColor="text1"/>
          <w:sz w:val="24"/>
          <w:szCs w:val="24"/>
          <w:highlight w:val="none"/>
          <w14:textFill>
            <w14:solidFill>
              <w14:schemeClr w14:val="tx1"/>
            </w14:solidFill>
          </w14:textFill>
        </w:rPr>
        <w:t>根据估算，</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14:textFill>
            <w14:solidFill>
              <w14:schemeClr w14:val="tx1"/>
            </w14:solidFill>
          </w14:textFill>
        </w:rPr>
        <w:t>总</w:t>
      </w:r>
      <w:bookmarkStart w:id="566" w:name="OLE_LINK781"/>
      <w:r>
        <w:rPr>
          <w:rFonts w:hint="default" w:ascii="Times New Roman" w:hAnsi="Times New Roman" w:cs="Times New Roman"/>
          <w:color w:val="000000" w:themeColor="text1"/>
          <w:sz w:val="24"/>
          <w:szCs w:val="24"/>
          <w:highlight w:val="none"/>
          <w14:textFill>
            <w14:solidFill>
              <w14:schemeClr w14:val="tx1"/>
            </w14:solidFill>
          </w14:textFill>
        </w:rPr>
        <w:t>占地</w:t>
      </w:r>
      <w:bookmarkEnd w:id="566"/>
      <w:r>
        <w:rPr>
          <w:rFonts w:hint="default" w:ascii="Times New Roman" w:hAnsi="Times New Roman" w:cs="Times New Roman"/>
          <w:color w:val="000000" w:themeColor="text1"/>
          <w:sz w:val="24"/>
          <w:szCs w:val="24"/>
          <w:highlight w:val="none"/>
          <w14:textFill>
            <w14:solidFill>
              <w14:schemeClr w14:val="tx1"/>
            </w14:solidFill>
          </w14:textFill>
        </w:rPr>
        <w:t>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2.4828</w:t>
      </w:r>
      <w:r>
        <w:rPr>
          <w:rFonts w:hint="default" w:ascii="Times New Roman" w:hAnsi="Times New Roman" w:cs="Times New Roman"/>
          <w:color w:val="000000" w:themeColor="text1"/>
          <w:sz w:val="24"/>
          <w:szCs w:val="24"/>
          <w:highlight w:val="none"/>
          <w14:textFill>
            <w14:solidFill>
              <w14:schemeClr w14:val="tx1"/>
            </w14:solidFill>
          </w14:textFill>
        </w:rPr>
        <w:t>hm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，详见表3.3-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w:t>
      </w:r>
    </w:p>
    <w:p w14:paraId="68B95CF6">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3-1</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   占地面积统计表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396"/>
        <w:gridCol w:w="871"/>
        <w:gridCol w:w="982"/>
        <w:gridCol w:w="897"/>
        <w:gridCol w:w="3892"/>
      </w:tblGrid>
      <w:tr w14:paraId="1305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339" w:type="pct"/>
            <w:vMerge w:val="restart"/>
            <w:vAlign w:val="center"/>
          </w:tcPr>
          <w:p w14:paraId="75E0F7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809" w:type="pct"/>
            <w:vMerge w:val="restart"/>
            <w:vAlign w:val="center"/>
          </w:tcPr>
          <w:p w14:paraId="1E1C0B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工程内容</w:t>
            </w:r>
          </w:p>
        </w:tc>
        <w:tc>
          <w:tcPr>
            <w:tcW w:w="1594" w:type="pct"/>
            <w:gridSpan w:val="3"/>
            <w:vAlign w:val="center"/>
          </w:tcPr>
          <w:p w14:paraId="744CD9E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占地面积（</w:t>
            </w:r>
            <w:bookmarkStart w:id="567" w:name="OLE_LINK1158"/>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h</w:t>
            </w:r>
            <w:r>
              <w:rPr>
                <w:rFonts w:hint="default" w:ascii="Times New Roman" w:hAnsi="Times New Roman" w:cs="Times New Roman"/>
                <w:b/>
                <w:bCs w:val="0"/>
                <w:color w:val="000000" w:themeColor="text1"/>
                <w:sz w:val="21"/>
                <w:szCs w:val="21"/>
                <w:highlight w:val="none"/>
                <w14:textFill>
                  <w14:solidFill>
                    <w14:schemeClr w14:val="tx1"/>
                  </w14:solidFill>
                </w14:textFill>
              </w:rPr>
              <w:t>m²</w:t>
            </w:r>
            <w:bookmarkEnd w:id="567"/>
            <w:r>
              <w:rPr>
                <w:rFonts w:hint="default" w:ascii="Times New Roman" w:hAnsi="Times New Roman" w:cs="Times New Roman"/>
                <w:b/>
                <w:bCs w:val="0"/>
                <w:color w:val="000000" w:themeColor="text1"/>
                <w:sz w:val="21"/>
                <w:szCs w:val="21"/>
                <w:highlight w:val="none"/>
                <w14:textFill>
                  <w14:solidFill>
                    <w14:schemeClr w14:val="tx1"/>
                  </w14:solidFill>
                </w14:textFill>
              </w:rPr>
              <w:t>）</w:t>
            </w:r>
          </w:p>
        </w:tc>
        <w:tc>
          <w:tcPr>
            <w:tcW w:w="2256" w:type="pct"/>
            <w:vMerge w:val="restart"/>
            <w:vAlign w:val="center"/>
          </w:tcPr>
          <w:p w14:paraId="082213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说明</w:t>
            </w:r>
          </w:p>
        </w:tc>
      </w:tr>
      <w:tr w14:paraId="3609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339" w:type="pct"/>
            <w:vMerge w:val="continue"/>
            <w:vAlign w:val="center"/>
          </w:tcPr>
          <w:p w14:paraId="323F944C">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809" w:type="pct"/>
            <w:vMerge w:val="continue"/>
            <w:vAlign w:val="center"/>
          </w:tcPr>
          <w:p w14:paraId="5AAD9E6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505" w:type="pct"/>
            <w:vAlign w:val="center"/>
          </w:tcPr>
          <w:p w14:paraId="4FA79D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永久</w:t>
            </w:r>
          </w:p>
        </w:tc>
        <w:tc>
          <w:tcPr>
            <w:tcW w:w="569" w:type="pct"/>
            <w:vAlign w:val="center"/>
          </w:tcPr>
          <w:p w14:paraId="6F4225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568" w:name="OLE_LINK1136"/>
            <w:r>
              <w:rPr>
                <w:rFonts w:hint="default" w:ascii="Times New Roman" w:hAnsi="Times New Roman" w:cs="Times New Roman"/>
                <w:color w:val="000000" w:themeColor="text1"/>
                <w:sz w:val="21"/>
                <w:szCs w:val="21"/>
                <w:highlight w:val="none"/>
                <w14:textFill>
                  <w14:solidFill>
                    <w14:schemeClr w14:val="tx1"/>
                  </w14:solidFill>
                </w14:textFill>
              </w:rPr>
              <w:t>临时</w:t>
            </w:r>
            <w:bookmarkEnd w:id="568"/>
          </w:p>
        </w:tc>
        <w:tc>
          <w:tcPr>
            <w:tcW w:w="520" w:type="pct"/>
            <w:vAlign w:val="center"/>
          </w:tcPr>
          <w:p w14:paraId="151806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bookmarkStart w:id="569" w:name="OLE_LINK1135"/>
            <w:r>
              <w:rPr>
                <w:rFonts w:hint="default" w:ascii="Times New Roman" w:hAnsi="Times New Roman" w:cs="Times New Roman"/>
                <w:color w:val="000000" w:themeColor="text1"/>
                <w:sz w:val="21"/>
                <w:szCs w:val="21"/>
                <w:highlight w:val="none"/>
                <w14:textFill>
                  <w14:solidFill>
                    <w14:schemeClr w14:val="tx1"/>
                  </w14:solidFill>
                </w14:textFill>
              </w:rPr>
              <w:t>总占地</w:t>
            </w:r>
            <w:bookmarkEnd w:id="569"/>
          </w:p>
        </w:tc>
        <w:tc>
          <w:tcPr>
            <w:tcW w:w="2256" w:type="pct"/>
            <w:vMerge w:val="continue"/>
            <w:vAlign w:val="center"/>
          </w:tcPr>
          <w:p w14:paraId="32367D55">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r>
      <w:tr w14:paraId="7E5A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39" w:type="pct"/>
            <w:vAlign w:val="center"/>
          </w:tcPr>
          <w:p w14:paraId="31D2CAE2">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570" w:name="OLE_LINK283" w:colFirst="2" w:colLast="4"/>
            <w:bookmarkStart w:id="571" w:name="OLE_LINK121" w:colFirst="4" w:colLast="4"/>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09" w:type="pct"/>
            <w:vAlign w:val="center"/>
          </w:tcPr>
          <w:p w14:paraId="32CAE37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勘探井转为生产井</w:t>
            </w:r>
          </w:p>
        </w:tc>
        <w:tc>
          <w:tcPr>
            <w:tcW w:w="505" w:type="pct"/>
            <w:vAlign w:val="center"/>
          </w:tcPr>
          <w:p w14:paraId="169592F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1.4328</w:t>
            </w:r>
          </w:p>
        </w:tc>
        <w:tc>
          <w:tcPr>
            <w:tcW w:w="569" w:type="pct"/>
            <w:vAlign w:val="center"/>
          </w:tcPr>
          <w:p w14:paraId="0259D4F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20" w:type="pct"/>
            <w:vAlign w:val="center"/>
          </w:tcPr>
          <w:p w14:paraId="0779B30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1.4328</w:t>
            </w:r>
          </w:p>
        </w:tc>
        <w:tc>
          <w:tcPr>
            <w:tcW w:w="2256" w:type="pct"/>
            <w:vAlign w:val="center"/>
          </w:tcPr>
          <w:p w14:paraId="55F7C350">
            <w:pPr>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星火7斜井</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和</w:t>
            </w:r>
            <w:bookmarkStart w:id="572" w:name="OLE_LINK1155"/>
            <w:r>
              <w:rPr>
                <w:rFonts w:hint="eastAsia" w:cs="Times New Roman"/>
                <w:color w:val="000000" w:themeColor="text1"/>
                <w:sz w:val="21"/>
                <w:szCs w:val="21"/>
                <w:highlight w:val="none"/>
                <w:lang w:val="en-US" w:eastAsia="zh-CN"/>
                <w14:textFill>
                  <w14:solidFill>
                    <w14:schemeClr w14:val="tx1"/>
                  </w14:solidFill>
                </w14:textFill>
              </w:rPr>
              <w:t>星火701斜井</w:t>
            </w:r>
            <w:bookmarkEnd w:id="572"/>
            <w:r>
              <w:rPr>
                <w:rFonts w:hint="eastAsia" w:cs="Times New Roman"/>
                <w:color w:val="000000" w:themeColor="text1"/>
                <w:sz w:val="21"/>
                <w:szCs w:val="21"/>
                <w:highlight w:val="none"/>
                <w:lang w:val="en-US" w:eastAsia="zh-CN"/>
                <w14:textFill>
                  <w14:solidFill>
                    <w14:schemeClr w14:val="tx1"/>
                  </w14:solidFill>
                </w14:textFill>
              </w:rPr>
              <w:t>永久占地</w:t>
            </w:r>
          </w:p>
        </w:tc>
      </w:tr>
      <w:tr w14:paraId="7CC9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39" w:type="pct"/>
            <w:vAlign w:val="center"/>
          </w:tcPr>
          <w:p w14:paraId="4707FD5D">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573" w:name="OLE_LINK762" w:colFirst="3" w:colLast="3"/>
            <w:r>
              <w:rPr>
                <w:rFonts w:hint="eastAsia" w:cs="Times New Roman"/>
                <w:color w:val="000000" w:themeColor="text1"/>
                <w:sz w:val="21"/>
                <w:szCs w:val="21"/>
                <w:highlight w:val="none"/>
                <w:lang w:val="en-US" w:eastAsia="zh-CN"/>
                <w14:textFill>
                  <w14:solidFill>
                    <w14:schemeClr w14:val="tx1"/>
                  </w14:solidFill>
                </w14:textFill>
              </w:rPr>
              <w:t>2</w:t>
            </w:r>
          </w:p>
        </w:tc>
        <w:tc>
          <w:tcPr>
            <w:tcW w:w="809" w:type="pct"/>
            <w:vAlign w:val="center"/>
          </w:tcPr>
          <w:p w14:paraId="3A10F30B">
            <w:pPr>
              <w:pStyle w:val="64"/>
              <w:spacing w:before="24" w:after="24"/>
              <w:ind w:left="0" w:lef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vertAlign w:val="baseline"/>
                <w:lang w:val="en-US" w:eastAsia="zh-CN"/>
                <w14:textFill>
                  <w14:solidFill>
                    <w14:schemeClr w14:val="tx1"/>
                  </w14:solidFill>
                </w14:textFill>
              </w:rPr>
              <w:t>新钻井</w:t>
            </w:r>
          </w:p>
        </w:tc>
        <w:tc>
          <w:tcPr>
            <w:tcW w:w="505" w:type="pct"/>
            <w:vAlign w:val="center"/>
          </w:tcPr>
          <w:p w14:paraId="06E4FC5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69" w:type="pct"/>
            <w:vAlign w:val="center"/>
          </w:tcPr>
          <w:p w14:paraId="06B6A59A">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1.05</w:t>
            </w:r>
          </w:p>
        </w:tc>
        <w:tc>
          <w:tcPr>
            <w:tcW w:w="520" w:type="pct"/>
            <w:vAlign w:val="center"/>
          </w:tcPr>
          <w:p w14:paraId="51DE56C1">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1.05</w:t>
            </w:r>
          </w:p>
        </w:tc>
        <w:tc>
          <w:tcPr>
            <w:tcW w:w="2256" w:type="pct"/>
            <w:vAlign w:val="center"/>
          </w:tcPr>
          <w:p w14:paraId="602CB374">
            <w:pPr>
              <w:pStyle w:val="64"/>
              <w:spacing w:before="24" w:after="24"/>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星火7-2斜井临时占地</w:t>
            </w:r>
          </w:p>
        </w:tc>
      </w:tr>
      <w:bookmarkEnd w:id="570"/>
      <w:bookmarkEnd w:id="571"/>
      <w:bookmarkEnd w:id="573"/>
      <w:tr w14:paraId="6125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48" w:type="pct"/>
            <w:gridSpan w:val="2"/>
            <w:vAlign w:val="center"/>
          </w:tcPr>
          <w:p w14:paraId="6895538F">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574" w:name="OLE_LINK782" w:colFirst="1" w:colLast="2"/>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505" w:type="pct"/>
            <w:vAlign w:val="center"/>
          </w:tcPr>
          <w:p w14:paraId="2EDF41E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1.4328</w:t>
            </w:r>
          </w:p>
        </w:tc>
        <w:tc>
          <w:tcPr>
            <w:tcW w:w="569" w:type="pct"/>
            <w:vAlign w:val="center"/>
          </w:tcPr>
          <w:p w14:paraId="48BD860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1.05</w:t>
            </w:r>
          </w:p>
        </w:tc>
        <w:tc>
          <w:tcPr>
            <w:tcW w:w="520" w:type="pct"/>
            <w:vAlign w:val="center"/>
          </w:tcPr>
          <w:p w14:paraId="7E5D05B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2.4828</w:t>
            </w:r>
          </w:p>
        </w:tc>
        <w:tc>
          <w:tcPr>
            <w:tcW w:w="2256" w:type="pct"/>
            <w:vAlign w:val="center"/>
          </w:tcPr>
          <w:p w14:paraId="314F313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bookmarkEnd w:id="574"/>
    </w:tbl>
    <w:p w14:paraId="1DAB79B1">
      <w:pPr>
        <w:pStyle w:val="5"/>
        <w:pageBreakBefore w:val="0"/>
        <w:widowControl/>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575" w:name="OLE_LINK288"/>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"3.2.3.2"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
          <w:color w:val="000000" w:themeColor="text1"/>
          <w:sz w:val="24"/>
          <w:szCs w:val="22"/>
          <w:highlight w:val="none"/>
          <w14:textFill>
            <w14:solidFill>
              <w14:schemeClr w14:val="tx1"/>
            </w14:solidFill>
          </w14:textFill>
        </w:rPr>
        <w:t>施工期污染源分析</w:t>
      </w:r>
    </w:p>
    <w:p w14:paraId="75BD9777">
      <w:pPr>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4"/>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废水污染源</w:t>
      </w:r>
    </w:p>
    <w:p w14:paraId="42D0704C">
      <w:pPr>
        <w:pStyle w:val="65"/>
        <w:pageBreakBefore w:val="0"/>
        <w:kinsoku/>
        <w:overflowPunct/>
        <w:topLinePunct w:val="0"/>
        <w:autoSpaceDE/>
        <w:autoSpaceDN/>
        <w:bidi w:val="0"/>
        <w:adjustRightInd w:val="0"/>
        <w:snapToGrid w:val="0"/>
        <w:spacing w:line="360" w:lineRule="auto"/>
        <w:jc w:val="both"/>
        <w:rPr>
          <w:rFonts w:hint="default" w:ascii="Times New Roman" w:hAnsi="Times New Roman" w:cs="Times New Roman"/>
          <w:color w:val="000000" w:themeColor="text1"/>
          <w:kern w:val="0"/>
          <w:szCs w:val="24"/>
          <w:highlight w:val="none"/>
          <w14:textFill>
            <w14:solidFill>
              <w14:schemeClr w14:val="tx1"/>
            </w14:solidFill>
          </w14:textFill>
        </w:rPr>
      </w:pPr>
      <w:bookmarkStart w:id="576" w:name="OLE_LINK835"/>
      <w:r>
        <w:rPr>
          <w:rFonts w:hint="default" w:ascii="Times New Roman" w:hAnsi="Times New Roman" w:eastAsia="宋体" w:cs="Times New Roman"/>
          <w:color w:val="000000" w:themeColor="text1"/>
          <w:highlight w:val="none"/>
          <w14:textFill>
            <w14:solidFill>
              <w14:schemeClr w14:val="tx1"/>
            </w14:solidFill>
          </w14:textFill>
        </w:rPr>
        <w:t>①</w:t>
      </w:r>
      <w:bookmarkEnd w:id="576"/>
      <w:bookmarkStart w:id="577" w:name="OLE_LINK787"/>
      <w:r>
        <w:rPr>
          <w:rFonts w:hint="default" w:ascii="Times New Roman" w:hAnsi="Times New Roman" w:eastAsia="宋体" w:cs="Times New Roman"/>
          <w:color w:val="000000" w:themeColor="text1"/>
          <w:highlight w:val="none"/>
          <w14:textFill>
            <w14:solidFill>
              <w14:schemeClr w14:val="tx1"/>
            </w14:solidFill>
          </w14:textFill>
        </w:rPr>
        <w:t>钻井废水</w:t>
      </w:r>
      <w:bookmarkEnd w:id="577"/>
    </w:p>
    <w:p w14:paraId="33A02E66">
      <w:pPr>
        <w:pStyle w:val="81"/>
        <w:keepNext w:val="0"/>
        <w:keepLines w:val="0"/>
        <w:pageBreakBefore w:val="0"/>
        <w:kinsoku/>
        <w:wordWrap/>
        <w:overflowPunct/>
        <w:topLinePunct w:val="0"/>
        <w:autoSpaceDE/>
        <w:autoSpaceDN/>
        <w:bidi w:val="0"/>
        <w:adjustRightInd w:val="0"/>
        <w:snapToGrid w:val="0"/>
        <w:spacing w:line="360" w:lineRule="auto"/>
        <w:ind w:left="0" w:leftChars="0" w:firstLine="480"/>
        <w:jc w:val="both"/>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本工程涉及3口采气井，</w:t>
      </w:r>
      <w:r>
        <w:rPr>
          <w:rFonts w:hint="default" w:ascii="Times New Roman" w:hAnsi="Times New Roman" w:cs="Times New Roman"/>
          <w:color w:val="000000" w:themeColor="text1"/>
          <w:highlight w:val="none"/>
          <w:lang w:eastAsia="zh-CN"/>
          <w14:textFill>
            <w14:solidFill>
              <w14:schemeClr w14:val="tx1"/>
            </w14:solidFill>
          </w14:textFill>
        </w:rPr>
        <w:t>其中</w:t>
      </w:r>
      <w:r>
        <w:rPr>
          <w:rFonts w:hint="eastAsia" w:cs="Times New Roman"/>
          <w:color w:val="000000" w:themeColor="text1"/>
          <w:sz w:val="24"/>
          <w:szCs w:val="24"/>
          <w:highlight w:val="none"/>
          <w:lang w:val="en-US" w:eastAsia="zh-CN" w:bidi="ar-SA"/>
          <w14:textFill>
            <w14:solidFill>
              <w14:schemeClr w14:val="tx1"/>
            </w14:solidFill>
          </w14:textFill>
        </w:rPr>
        <w:t>星火7斜井、星火701斜井为勘探井转为生产井，</w:t>
      </w:r>
      <w:r>
        <w:rPr>
          <w:rFonts w:hint="default" w:ascii="Times New Roman" w:hAnsi="Times New Roman" w:cs="Times New Roman"/>
          <w:color w:val="000000" w:themeColor="text1"/>
          <w:highlight w:val="none"/>
          <w:lang w:eastAsia="zh-CN"/>
          <w14:textFill>
            <w14:solidFill>
              <w14:schemeClr w14:val="tx1"/>
            </w14:solidFill>
          </w14:textFill>
        </w:rPr>
        <w:t>新钻井</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口（</w:t>
      </w:r>
      <w:r>
        <w:rPr>
          <w:rFonts w:hint="eastAsia" w:cs="Times New Roman"/>
          <w:color w:val="000000" w:themeColor="text1"/>
          <w:sz w:val="24"/>
          <w:szCs w:val="24"/>
          <w:highlight w:val="none"/>
          <w:lang w:val="en-US" w:eastAsia="zh-CN" w:bidi="ar-SA"/>
          <w14:textFill>
            <w14:solidFill>
              <w14:schemeClr w14:val="tx1"/>
            </w14:solidFill>
          </w14:textFill>
        </w:rPr>
        <w:t>星火7-2斜井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，本工程</w:t>
      </w:r>
      <w:bookmarkStart w:id="578" w:name="OLE_LINK1336"/>
      <w:r>
        <w:rPr>
          <w:rFonts w:hint="default" w:ascii="Times New Roman" w:hAnsi="Times New Roman" w:cs="Times New Roman"/>
          <w:color w:val="000000" w:themeColor="text1"/>
          <w:spacing w:val="-3"/>
          <w:sz w:val="24"/>
          <w:szCs w:val="24"/>
          <w:highlight w:val="none"/>
          <w:lang w:eastAsia="zh-CN"/>
          <w14:textFill>
            <w14:solidFill>
              <w14:schemeClr w14:val="tx1"/>
            </w14:solidFill>
          </w14:textFill>
        </w:rPr>
        <w:t>总进尺</w:t>
      </w:r>
      <w:r>
        <w:rPr>
          <w:rFonts w:hint="eastAsia" w:cs="Times New Roman"/>
          <w:color w:val="000000" w:themeColor="text1"/>
          <w:spacing w:val="-3"/>
          <w:sz w:val="24"/>
          <w:szCs w:val="24"/>
          <w:highlight w:val="none"/>
          <w:lang w:val="en-US" w:eastAsia="zh-CN"/>
          <w14:textFill>
            <w14:solidFill>
              <w14:schemeClr w14:val="tx1"/>
            </w14:solidFill>
          </w14:textFill>
        </w:rPr>
        <w:t>5943</w:t>
      </w:r>
      <w:r>
        <w:rPr>
          <w:rFonts w:hint="default" w:ascii="Times New Roman" w:hAnsi="Times New Roman" w:cs="Times New Roman"/>
          <w:color w:val="000000" w:themeColor="text1"/>
          <w:spacing w:val="-3"/>
          <w:sz w:val="24"/>
          <w:szCs w:val="24"/>
          <w:highlight w:val="none"/>
          <w:lang w:eastAsia="zh-CN"/>
          <w14:textFill>
            <w14:solidFill>
              <w14:schemeClr w14:val="tx1"/>
            </w14:solidFill>
          </w14:textFill>
        </w:rPr>
        <w:t>m</w:t>
      </w:r>
      <w:bookmarkEnd w:id="578"/>
      <w:r>
        <w:rPr>
          <w:rFonts w:hint="default" w:ascii="Times New Roman" w:hAnsi="Times New Roman" w:cs="Times New Roman"/>
          <w:color w:val="000000" w:themeColor="text1"/>
          <w:highlight w:val="none"/>
          <w14:textFill>
            <w14:solidFill>
              <w14:schemeClr w14:val="tx1"/>
            </w14:solidFill>
          </w14:textFill>
        </w:rPr>
        <w:t>。</w:t>
      </w:r>
    </w:p>
    <w:p w14:paraId="6E8FE6F3">
      <w:pPr>
        <w:pStyle w:val="81"/>
        <w:keepNext w:val="0"/>
        <w:keepLines w:val="0"/>
        <w:pageBreakBefore w:val="0"/>
        <w:kinsoku/>
        <w:wordWrap/>
        <w:overflowPunct/>
        <w:topLinePunct w:val="0"/>
        <w:autoSpaceDE/>
        <w:autoSpaceDN/>
        <w:bidi w:val="0"/>
        <w:adjustRightInd w:val="0"/>
        <w:snapToGrid w:val="0"/>
        <w:spacing w:line="360" w:lineRule="auto"/>
        <w:ind w:left="0" w:leftChars="0" w:firstLine="480"/>
        <w:jc w:val="both"/>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根据</w:t>
      </w:r>
      <w:r>
        <w:rPr>
          <w:rFonts w:hint="eastAsia" w:ascii="Times New Roman" w:hAnsi="Times New Roman" w:eastAsia="宋体" w:cs="Times New Roman"/>
          <w:color w:val="000000" w:themeColor="text1"/>
          <w:highlight w:val="none"/>
          <w14:textFill>
            <w14:solidFill>
              <w14:schemeClr w14:val="tx1"/>
            </w14:solidFill>
          </w14:textFill>
        </w:rPr>
        <w:t>《排放源统计调查产排污核算方法和系数手册》</w:t>
      </w:r>
      <w:r>
        <w:rPr>
          <w:color w:val="000000" w:themeColor="text1"/>
          <w:highlight w:val="none"/>
          <w14:textFill>
            <w14:solidFill>
              <w14:schemeClr w14:val="tx1"/>
            </w14:solidFill>
          </w14:textFill>
        </w:rPr>
        <w:t>中石油和天然气开采专业及辅助性活动行业系数手册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钻井作业废水（≥4km进尺）产污系数52.64吨/百米</w:t>
      </w:r>
      <w:r>
        <w:rPr>
          <w:rFonts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本工程</w:t>
      </w:r>
      <w:r>
        <w:rPr>
          <w:rFonts w:ascii="Times New Roman" w:hAnsi="Times New Roman" w:eastAsia="宋体" w:cs="Times New Roman"/>
          <w:color w:val="000000" w:themeColor="text1"/>
          <w:highlight w:val="none"/>
          <w14:textFill>
            <w14:solidFill>
              <w14:schemeClr w14:val="tx1"/>
            </w14:solidFill>
          </w14:textFill>
        </w:rPr>
        <w:t>钻井废水产生量为</w:t>
      </w:r>
      <w:r>
        <w:rPr>
          <w:rFonts w:hint="eastAsia" w:cs="Times New Roman"/>
          <w:color w:val="000000" w:themeColor="text1"/>
          <w:highlight w:val="none"/>
          <w:lang w:val="en-US" w:eastAsia="zh-CN"/>
          <w14:textFill>
            <w14:solidFill>
              <w14:schemeClr w14:val="tx1"/>
            </w14:solidFill>
          </w14:textFill>
        </w:rPr>
        <w:t>3128.395</w:t>
      </w:r>
      <w:r>
        <w:rPr>
          <w:rFonts w:ascii="Times New Roman" w:hAnsi="Times New Roman" w:eastAsia="宋体" w:cs="Times New Roman"/>
          <w:color w:val="000000" w:themeColor="text1"/>
          <w:highlight w:val="none"/>
          <w14:textFill>
            <w14:solidFill>
              <w14:schemeClr w14:val="tx1"/>
            </w14:solidFill>
          </w14:textFill>
        </w:rPr>
        <w:t>m³。钻井废水连同</w:t>
      </w:r>
      <w:r>
        <w:rPr>
          <w:rFonts w:hint="eastAsia" w:ascii="Times New Roman" w:hAnsi="Times New Roman" w:eastAsia="宋体" w:cs="Times New Roman"/>
          <w:color w:val="000000" w:themeColor="text1"/>
          <w:highlight w:val="none"/>
          <w14:textFill>
            <w14:solidFill>
              <w14:schemeClr w14:val="tx1"/>
            </w14:solidFill>
          </w14:textFill>
        </w:rPr>
        <w:t>钻井泥浆、岩屑一同进入井队固控系统进行分离处理，分离后的液体统一转运至阿克苏塔河环保工程有限公司绿色环保工作站处置</w:t>
      </w:r>
      <w:r>
        <w:rPr>
          <w:rFonts w:ascii="Times New Roman" w:hAnsi="Times New Roman" w:eastAsia="宋体" w:cs="Times New Roman"/>
          <w:color w:val="000000" w:themeColor="text1"/>
          <w:highlight w:val="none"/>
          <w14:textFill>
            <w14:solidFill>
              <w14:schemeClr w14:val="tx1"/>
            </w14:solidFill>
          </w14:textFill>
        </w:rPr>
        <w:t>。</w:t>
      </w:r>
    </w:p>
    <w:p w14:paraId="7903DB9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hAnsi="Times New Roman"/>
          <w:color w:val="000000" w:themeColor="text1"/>
          <w:highlight w:val="none"/>
          <w:lang w:eastAsia="zh-CN"/>
          <w14:textFill>
            <w14:solidFill>
              <w14:schemeClr w14:val="tx1"/>
            </w14:solidFill>
          </w14:textFill>
        </w:rPr>
      </w:pPr>
      <w:bookmarkStart w:id="579" w:name="OLE_LINK836"/>
      <w:bookmarkStart w:id="580" w:name="OLE_LINK837"/>
      <w:r>
        <w:rPr>
          <w:rFonts w:hint="default" w:ascii="Times New Roman" w:hAnsi="Times New Roman" w:eastAsia="宋体" w:cs="Times New Roman"/>
          <w:color w:val="000000" w:themeColor="text1"/>
          <w:highlight w:val="none"/>
          <w14:textFill>
            <w14:solidFill>
              <w14:schemeClr w14:val="tx1"/>
            </w14:solidFill>
          </w14:textFill>
        </w:rPr>
        <w:t>②</w:t>
      </w:r>
      <w:bookmarkEnd w:id="579"/>
      <w:bookmarkEnd w:id="580"/>
      <w:r>
        <w:rPr>
          <w:rFonts w:hint="eastAsia" w:hAnsi="Times New Roman"/>
          <w:color w:val="000000" w:themeColor="text1"/>
          <w:highlight w:val="none"/>
          <w:lang w:eastAsia="zh-CN"/>
          <w14:textFill>
            <w14:solidFill>
              <w14:schemeClr w14:val="tx1"/>
            </w14:solidFill>
          </w14:textFill>
        </w:rPr>
        <w:t>酸化压裂废水</w:t>
      </w:r>
    </w:p>
    <w:p w14:paraId="0F5110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hAnsi="Times New Roman"/>
          <w:color w:val="000000" w:themeColor="text1"/>
          <w:highlight w:val="none"/>
          <w:lang w:val="en-US" w:eastAsia="zh-CN"/>
          <w14:textFill>
            <w14:solidFill>
              <w14:schemeClr w14:val="tx1"/>
            </w14:solidFill>
          </w14:textFill>
        </w:rPr>
        <w:t>本工程产生的</w:t>
      </w:r>
      <w:r>
        <w:rPr>
          <w:rFonts w:hint="eastAsia" w:hAnsi="Times New Roman"/>
          <w:color w:val="000000" w:themeColor="text1"/>
          <w:highlight w:val="none"/>
          <w:lang w:eastAsia="zh-CN"/>
          <w14:textFill>
            <w14:solidFill>
              <w14:schemeClr w14:val="tx1"/>
            </w14:solidFill>
          </w14:textFill>
        </w:rPr>
        <w:t>酸化压裂</w:t>
      </w:r>
      <w:r>
        <w:rPr>
          <w:rFonts w:hint="eastAsia"/>
          <w:color w:val="000000" w:themeColor="text1"/>
          <w:highlight w:val="none"/>
          <w:lang w:val="en-US" w:eastAsia="zh-CN"/>
          <w14:textFill>
            <w14:solidFill>
              <w14:schemeClr w14:val="tx1"/>
            </w14:solidFill>
          </w14:textFill>
        </w:rPr>
        <w:t>用量</w:t>
      </w:r>
      <w:r>
        <w:rPr>
          <w:rFonts w:hAnsi="Times New Roman"/>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10</w:t>
      </w:r>
      <w:r>
        <w:rPr>
          <w:rFonts w:hAnsi="Times New Roman"/>
          <w:color w:val="000000" w:themeColor="text1"/>
          <w:highlight w:val="none"/>
          <w14:textFill>
            <w14:solidFill>
              <w14:schemeClr w14:val="tx1"/>
            </w14:solidFill>
          </w14:textFill>
        </w:rPr>
        <w:t>0</w:t>
      </w:r>
      <w:r>
        <w:rPr>
          <w:rFonts w:hint="eastAsia" w:hAnsi="Times New Roman"/>
          <w:color w:val="000000" w:themeColor="text1"/>
          <w:highlight w:val="none"/>
          <w:lang w:val="en-US" w:eastAsia="zh-CN"/>
          <w14:textFill>
            <w14:solidFill>
              <w14:schemeClr w14:val="tx1"/>
            </w14:solidFill>
          </w14:textFill>
        </w:rPr>
        <w:t>0</w:t>
      </w:r>
      <w:r>
        <w:rPr>
          <w:rFonts w:hAnsi="Times New Roman"/>
          <w:color w:val="000000" w:themeColor="text1"/>
          <w:highlight w:val="none"/>
          <w14:textFill>
            <w14:solidFill>
              <w14:schemeClr w14:val="tx1"/>
            </w14:solidFill>
          </w14:textFill>
        </w:rPr>
        <w:t>m</w:t>
      </w:r>
      <w:r>
        <w:rPr>
          <w:rFonts w:hAnsi="Times New Roman"/>
          <w:color w:val="000000" w:themeColor="text1"/>
          <w:highlight w:val="none"/>
          <w:vertAlign w:val="superscript"/>
          <w14:textFill>
            <w14:solidFill>
              <w14:schemeClr w14:val="tx1"/>
            </w14:solidFill>
          </w14:textFill>
        </w:rPr>
        <w:t>3</w:t>
      </w:r>
      <w:r>
        <w:rPr>
          <w:rFonts w:hAnsi="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压裂液返排量约20%～50%，取最大值50%计算，主要污染物为石油类、悬浮物等。本工程井下作业过程废酸化压裂液产生量共计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，采用专用废液收集罐收集后运至阿克苏塔河环保工程有限公司绿色环保工作站进行无害化处置。</w:t>
      </w:r>
    </w:p>
    <w:p w14:paraId="73BFDD12">
      <w:pPr>
        <w:pStyle w:val="11"/>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outlineLvl w:val="4"/>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固体废物</w:t>
      </w:r>
      <w:bookmarkStart w:id="581" w:name="OLE_LINK295"/>
      <w:r>
        <w:rPr>
          <w:rFonts w:hint="default" w:ascii="Times New Roman" w:hAnsi="Times New Roman" w:cs="Times New Roman"/>
          <w:b/>
          <w:bCs/>
          <w:color w:val="000000" w:themeColor="text1"/>
          <w:highlight w:val="none"/>
          <w14:textFill>
            <w14:solidFill>
              <w14:schemeClr w14:val="tx1"/>
            </w14:solidFill>
          </w14:textFill>
        </w:rPr>
        <w:t>污染源</w:t>
      </w:r>
      <w:bookmarkEnd w:id="581"/>
    </w:p>
    <w:p w14:paraId="04C4A6A3">
      <w:pPr>
        <w:pStyle w:val="81"/>
        <w:keepNext w:val="0"/>
        <w:keepLines w:val="0"/>
        <w:pageBreakBefore w:val="0"/>
        <w:kinsoku/>
        <w:wordWrap/>
        <w:overflowPunct/>
        <w:topLinePunct w:val="0"/>
        <w:autoSpaceDE/>
        <w:autoSpaceDN/>
        <w:bidi w:val="0"/>
        <w:adjustRightInd w:val="0"/>
        <w:snapToGrid w:val="0"/>
        <w:spacing w:line="360" w:lineRule="auto"/>
        <w:ind w:left="0" w:leftChars="0" w:firstLine="480"/>
        <w:textAlignment w:val="auto"/>
        <w:rPr>
          <w:rFonts w:hAnsi="Times New Roman"/>
          <w:color w:val="000000" w:themeColor="text1"/>
          <w:highlight w:val="none"/>
          <w14:textFill>
            <w14:solidFill>
              <w14:schemeClr w14:val="tx1"/>
            </w14:solidFill>
          </w14:textFill>
        </w:rPr>
      </w:pPr>
      <w:r>
        <w:rPr>
          <w:rFonts w:hAnsi="Times New Roman"/>
          <w:color w:val="000000" w:themeColor="text1"/>
          <w:highlight w:val="none"/>
          <w14:textFill>
            <w14:solidFill>
              <w14:schemeClr w14:val="tx1"/>
            </w14:solidFill>
          </w14:textFill>
        </w:rPr>
        <w:fldChar w:fldCharType="begin"/>
      </w:r>
      <w:r>
        <w:rPr>
          <w:rFonts w:hAnsi="Times New Roman"/>
          <w:color w:val="000000" w:themeColor="text1"/>
          <w:highlight w:val="none"/>
          <w14:textFill>
            <w14:solidFill>
              <w14:schemeClr w14:val="tx1"/>
            </w14:solidFill>
          </w14:textFill>
        </w:rPr>
        <w:instrText xml:space="preserve"> = 1 \* GB3 </w:instrText>
      </w:r>
      <w:r>
        <w:rPr>
          <w:rFonts w:hAnsi="Times New Roman"/>
          <w:color w:val="000000" w:themeColor="text1"/>
          <w:highlight w:val="none"/>
          <w14:textFill>
            <w14:solidFill>
              <w14:schemeClr w14:val="tx1"/>
            </w14:solidFill>
          </w14:textFill>
        </w:rPr>
        <w:fldChar w:fldCharType="separate"/>
      </w:r>
      <w:r>
        <w:rPr>
          <w:rFonts w:hint="eastAsia" w:ascii="宋体" w:cs="宋体"/>
          <w:color w:val="000000" w:themeColor="text1"/>
          <w:highlight w:val="none"/>
          <w14:textFill>
            <w14:solidFill>
              <w14:schemeClr w14:val="tx1"/>
            </w14:solidFill>
          </w14:textFill>
        </w:rPr>
        <w:t>①</w:t>
      </w:r>
      <w:r>
        <w:rPr>
          <w:rFonts w:hAnsi="Times New Roman"/>
          <w:color w:val="000000" w:themeColor="text1"/>
          <w:highlight w:val="none"/>
          <w14:textFill>
            <w14:solidFill>
              <w14:schemeClr w14:val="tx1"/>
            </w14:solidFill>
          </w14:textFill>
        </w:rPr>
        <w:fldChar w:fldCharType="end"/>
      </w:r>
      <w:r>
        <w:rPr>
          <w:rFonts w:hAnsi="Times New Roman"/>
          <w:color w:val="000000" w:themeColor="text1"/>
          <w:highlight w:val="none"/>
          <w14:textFill>
            <w14:solidFill>
              <w14:schemeClr w14:val="tx1"/>
            </w14:solidFill>
          </w14:textFill>
        </w:rPr>
        <w:t>钻井泥浆</w:t>
      </w:r>
    </w:p>
    <w:p w14:paraId="121AD0A2">
      <w:pPr>
        <w:pStyle w:val="153"/>
        <w:keepNext w:val="0"/>
        <w:keepLines w:val="0"/>
        <w:pageBreakBefore w:val="0"/>
        <w:kinsoku/>
        <w:wordWrap/>
        <w:overflowPunct/>
        <w:topLinePunct w:val="0"/>
        <w:autoSpaceDE/>
        <w:autoSpaceDN/>
        <w:bidi w:val="0"/>
        <w:adjustRightInd w:val="0"/>
        <w:snapToGrid w:val="0"/>
        <w:spacing w:line="360" w:lineRule="auto"/>
        <w:ind w:left="0" w:leftChars="0" w:firstLine="512"/>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钻井泥浆的排放量依井的深度而增加，其排放量计算采用《油田开发环境影响评价文集》中的经验公式：</w:t>
      </w:r>
    </w:p>
    <w:p w14:paraId="290A1453">
      <w:pPr>
        <w:pStyle w:val="154"/>
        <w:keepNext w:val="0"/>
        <w:keepLines w:val="0"/>
        <w:pageBreakBefore w:val="0"/>
        <w:kinsoku/>
        <w:wordWrap/>
        <w:overflowPunct/>
        <w:topLinePunct w:val="0"/>
        <w:autoSpaceDE/>
        <w:autoSpaceDN/>
        <w:bidi w:val="0"/>
        <w:adjustRightInd w:val="0"/>
        <w:snapToGrid w:val="0"/>
        <w:spacing w:line="360" w:lineRule="auto"/>
        <w:ind w:left="0" w:leftChars="0" w:firstLine="420"/>
        <w:jc w:val="center"/>
        <w:textAlignment w:val="auto"/>
        <w:rPr>
          <w:color w:val="000000" w:themeColor="text1"/>
          <w:kern w:val="2"/>
          <w:sz w:val="21"/>
          <w:highlight w:val="none"/>
          <w14:textFill>
            <w14:solidFill>
              <w14:schemeClr w14:val="tx1"/>
            </w14:solidFill>
          </w14:textFill>
        </w:rPr>
      </w:pPr>
      <w:r>
        <w:rPr>
          <w:color w:val="000000" w:themeColor="text1"/>
          <w:kern w:val="2"/>
          <w:sz w:val="21"/>
          <w:highlight w:val="none"/>
          <w14:textFill>
            <w14:solidFill>
              <w14:schemeClr w14:val="tx1"/>
            </w14:solidFill>
          </w14:textFill>
        </w:rPr>
        <w:drawing>
          <wp:inline distT="0" distB="0" distL="114300" distR="114300">
            <wp:extent cx="2028825" cy="390525"/>
            <wp:effectExtent l="0" t="0" r="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2028825" cy="390525"/>
                    </a:xfrm>
                    <a:prstGeom prst="rect">
                      <a:avLst/>
                    </a:prstGeom>
                    <a:noFill/>
                    <a:ln>
                      <a:noFill/>
                    </a:ln>
                  </pic:spPr>
                </pic:pic>
              </a:graphicData>
            </a:graphic>
          </wp:inline>
        </w:drawing>
      </w:r>
    </w:p>
    <w:p w14:paraId="2F0DE766">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textAlignment w:val="auto"/>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式中：V——排到地面上的泥浆量（m</w:t>
      </w:r>
      <w:r>
        <w:rPr>
          <w:color w:val="000000" w:themeColor="text1"/>
          <w:kern w:val="2"/>
          <w:sz w:val="24"/>
          <w:szCs w:val="24"/>
          <w:highlight w:val="none"/>
          <w:vertAlign w:val="superscript"/>
          <w14:textFill>
            <w14:solidFill>
              <w14:schemeClr w14:val="tx1"/>
            </w14:solidFill>
          </w14:textFill>
        </w:rPr>
        <w:t>3</w:t>
      </w:r>
      <w:r>
        <w:rPr>
          <w:color w:val="000000" w:themeColor="text1"/>
          <w:kern w:val="2"/>
          <w:sz w:val="24"/>
          <w:szCs w:val="24"/>
          <w:highlight w:val="none"/>
          <w14:textFill>
            <w14:solidFill>
              <w14:schemeClr w14:val="tx1"/>
            </w14:solidFill>
          </w14:textFill>
        </w:rPr>
        <w:t>）；</w:t>
      </w:r>
    </w:p>
    <w:p w14:paraId="3A857163">
      <w:pPr>
        <w:pStyle w:val="154"/>
        <w:keepNext w:val="0"/>
        <w:keepLines w:val="0"/>
        <w:pageBreakBefore w:val="0"/>
        <w:kinsoku/>
        <w:wordWrap/>
        <w:overflowPunct/>
        <w:topLinePunct w:val="0"/>
        <w:autoSpaceDE/>
        <w:autoSpaceDN/>
        <w:bidi w:val="0"/>
        <w:adjustRightInd w:val="0"/>
        <w:snapToGrid w:val="0"/>
        <w:spacing w:line="360" w:lineRule="auto"/>
        <w:ind w:left="0" w:leftChars="0" w:firstLine="1200" w:firstLineChars="500"/>
        <w:textAlignment w:val="auto"/>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D——井眼的平均直径（m）；</w:t>
      </w:r>
    </w:p>
    <w:p w14:paraId="5C5128B9">
      <w:pPr>
        <w:pStyle w:val="154"/>
        <w:keepNext w:val="0"/>
        <w:keepLines w:val="0"/>
        <w:pageBreakBefore w:val="0"/>
        <w:kinsoku/>
        <w:wordWrap/>
        <w:overflowPunct/>
        <w:topLinePunct w:val="0"/>
        <w:autoSpaceDE/>
        <w:autoSpaceDN/>
        <w:bidi w:val="0"/>
        <w:adjustRightInd w:val="0"/>
        <w:snapToGrid w:val="0"/>
        <w:spacing w:line="360" w:lineRule="auto"/>
        <w:ind w:left="0" w:leftChars="0" w:firstLine="1200" w:firstLineChars="500"/>
        <w:textAlignment w:val="auto"/>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h——井深（m）。</w:t>
      </w:r>
    </w:p>
    <w:p w14:paraId="5F326089">
      <w:pPr>
        <w:pStyle w:val="81"/>
        <w:keepNext w:val="0"/>
        <w:keepLines w:val="0"/>
        <w:pageBreakBefore w:val="0"/>
        <w:kinsoku/>
        <w:wordWrap/>
        <w:overflowPunct/>
        <w:topLinePunct w:val="0"/>
        <w:autoSpaceDE/>
        <w:autoSpaceDN/>
        <w:bidi w:val="0"/>
        <w:adjustRightInd w:val="0"/>
        <w:snapToGrid w:val="0"/>
        <w:ind w:firstLine="480"/>
        <w:jc w:val="both"/>
        <w:textAlignment w:val="auto"/>
        <w:rPr>
          <w:rFonts w:hint="eastAsia" w:hAnsi="Times New Roman" w:eastAsia="宋体"/>
          <w:color w:val="000000" w:themeColor="text1"/>
          <w:highlight w:val="none"/>
          <w:lang w:eastAsia="zh-CN"/>
          <w14:textFill>
            <w14:solidFill>
              <w14:schemeClr w14:val="tx1"/>
            </w14:solidFill>
          </w14:textFill>
        </w:rPr>
      </w:pPr>
      <w:r>
        <w:rPr>
          <w:rFonts w:hAnsi="Times New Roman"/>
          <w:color w:val="000000" w:themeColor="text1"/>
          <w:highlight w:val="none"/>
          <w14:textFill>
            <w14:solidFill>
              <w14:schemeClr w14:val="tx1"/>
            </w14:solidFill>
          </w14:textFill>
        </w:rPr>
        <w:t>本工程</w:t>
      </w:r>
      <w:r>
        <w:rPr>
          <w:rFonts w:hint="eastAsia"/>
          <w:color w:val="000000" w:themeColor="text1"/>
          <w:highlight w:val="none"/>
          <w:lang w:val="en-US" w:eastAsia="zh-CN"/>
          <w14:textFill>
            <w14:solidFill>
              <w14:schemeClr w14:val="tx1"/>
            </w14:solidFill>
          </w14:textFill>
        </w:rPr>
        <w:t>星火7-2斜井</w:t>
      </w:r>
      <w:r>
        <w:rPr>
          <w:rFonts w:hint="default" w:ascii="Times New Roman" w:hAnsi="Times New Roman" w:cs="Times New Roman"/>
          <w:color w:val="000000" w:themeColor="text1"/>
          <w:highlight w:val="none"/>
          <w14:textFill>
            <w14:solidFill>
              <w14:schemeClr w14:val="tx1"/>
            </w14:solidFill>
          </w14:textFill>
        </w:rPr>
        <w:t>钻井过程中新</w:t>
      </w:r>
      <w:r>
        <w:rPr>
          <w:rFonts w:hint="eastAsia" w:ascii="Times New Roman" w:hAnsi="Times New Roman" w:cs="Times New Roman"/>
          <w:color w:val="000000" w:themeColor="text1"/>
          <w:highlight w:val="none"/>
          <w:lang w:val="en-US" w:eastAsia="zh-CN"/>
          <w14:textFill>
            <w14:solidFill>
              <w14:schemeClr w14:val="tx1"/>
            </w14:solidFill>
          </w14:textFill>
        </w:rPr>
        <w:t>钻井</w:t>
      </w:r>
      <w:bookmarkStart w:id="582" w:name="OLE_LINK1427"/>
      <w:r>
        <w:rPr>
          <w:rFonts w:hint="default" w:ascii="Times New Roman" w:hAnsi="Times New Roman" w:cs="Times New Roman"/>
          <w:color w:val="000000" w:themeColor="text1"/>
          <w:highlight w:val="none"/>
          <w14:textFill>
            <w14:solidFill>
              <w14:schemeClr w14:val="tx1"/>
            </w14:solidFill>
          </w14:textFill>
        </w:rPr>
        <w:t>一开、二开</w:t>
      </w:r>
      <w:r>
        <w:rPr>
          <w:rFonts w:hint="eastAsia" w:cs="Times New Roman"/>
          <w:color w:val="000000" w:themeColor="text1"/>
          <w:highlight w:val="none"/>
          <w:lang w:val="en-US" w:eastAsia="zh-CN"/>
          <w14:textFill>
            <w14:solidFill>
              <w14:schemeClr w14:val="tx1"/>
            </w14:solidFill>
          </w14:textFill>
        </w:rPr>
        <w:t>采用</w:t>
      </w:r>
      <w:r>
        <w:rPr>
          <w:rFonts w:hint="default" w:ascii="Times New Roman" w:hAnsi="Times New Roman" w:cs="Times New Roman"/>
          <w:color w:val="000000" w:themeColor="text1"/>
          <w:highlight w:val="none"/>
          <w14:textFill>
            <w14:solidFill>
              <w14:schemeClr w14:val="tx1"/>
            </w14:solidFill>
          </w14:textFill>
        </w:rPr>
        <w:t>非磺化水基泥浆，三开</w:t>
      </w:r>
      <w:r>
        <w:rPr>
          <w:rFonts w:hint="eastAsia" w:cs="Times New Roman"/>
          <w:color w:val="000000" w:themeColor="text1"/>
          <w:highlight w:val="none"/>
          <w:lang w:val="en-US" w:eastAsia="zh-CN"/>
          <w14:textFill>
            <w14:solidFill>
              <w14:schemeClr w14:val="tx1"/>
            </w14:solidFill>
          </w14:textFill>
        </w:rPr>
        <w:t>采用</w:t>
      </w:r>
      <w:r>
        <w:rPr>
          <w:rFonts w:hint="default" w:ascii="Times New Roman" w:hAnsi="Times New Roman" w:cs="Times New Roman"/>
          <w:color w:val="000000" w:themeColor="text1"/>
          <w:highlight w:val="none"/>
          <w14:textFill>
            <w14:solidFill>
              <w14:schemeClr w14:val="tx1"/>
            </w14:solidFill>
          </w14:textFill>
        </w:rPr>
        <w:t>磺化水基泥浆，四开</w:t>
      </w:r>
      <w:r>
        <w:rPr>
          <w:rFonts w:hint="eastAsia" w:cs="Times New Roman"/>
          <w:color w:val="000000" w:themeColor="text1"/>
          <w:highlight w:val="none"/>
          <w:lang w:val="en-US" w:eastAsia="zh-CN"/>
          <w14:textFill>
            <w14:solidFill>
              <w14:schemeClr w14:val="tx1"/>
            </w14:solidFill>
          </w14:textFill>
        </w:rPr>
        <w:t>采用</w:t>
      </w:r>
      <w:r>
        <w:rPr>
          <w:rFonts w:hint="default" w:ascii="Times New Roman" w:hAnsi="Times New Roman" w:cs="Times New Roman"/>
          <w:color w:val="000000" w:themeColor="text1"/>
          <w:highlight w:val="none"/>
          <w14:textFill>
            <w14:solidFill>
              <w14:schemeClr w14:val="tx1"/>
            </w14:solidFill>
          </w14:textFill>
        </w:rPr>
        <w:t>油基泥浆</w:t>
      </w:r>
      <w:bookmarkEnd w:id="582"/>
      <w:r>
        <w:rPr>
          <w:rFonts w:hint="default" w:ascii="Times New Roman" w:hAnsi="Times New Roman" w:cs="Times New Roman"/>
          <w:color w:val="000000" w:themeColor="text1"/>
          <w:highlight w:val="none"/>
          <w14:textFill>
            <w14:solidFill>
              <w14:schemeClr w14:val="tx1"/>
            </w14:solidFill>
          </w14:textFill>
        </w:rPr>
        <w:t>。由以上经验公式计算可得，</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产生的废弃泥浆量约</w:t>
      </w:r>
      <w:bookmarkStart w:id="583" w:name="OLE_LINK1293"/>
      <w:r>
        <w:rPr>
          <w:rFonts w:hint="eastAsia" w:cs="Times New Roman"/>
          <w:color w:val="000000" w:themeColor="text1"/>
          <w:highlight w:val="none"/>
          <w:lang w:val="en-US" w:eastAsia="zh-CN"/>
          <w14:textFill>
            <w14:solidFill>
              <w14:schemeClr w14:val="tx1"/>
            </w14:solidFill>
          </w14:textFill>
        </w:rPr>
        <w:t>821.6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bookmarkEnd w:id="583"/>
      <w:r>
        <w:rPr>
          <w:rFonts w:hint="default" w:ascii="Times New Roman" w:hAnsi="Times New Roman" w:cs="Times New Roman"/>
          <w:color w:val="000000" w:themeColor="text1"/>
          <w:highlight w:val="none"/>
          <w14:textFill>
            <w14:solidFill>
              <w14:schemeClr w14:val="tx1"/>
            </w14:solidFill>
          </w14:textFill>
        </w:rPr>
        <w:t>，其中非磺化水基泥浆约</w:t>
      </w:r>
      <w:r>
        <w:rPr>
          <w:rFonts w:hint="eastAsia" w:cs="Times New Roman"/>
          <w:color w:val="000000" w:themeColor="text1"/>
          <w:highlight w:val="none"/>
          <w:lang w:val="en-US" w:eastAsia="zh-CN"/>
          <w14:textFill>
            <w14:solidFill>
              <w14:schemeClr w14:val="tx1"/>
            </w14:solidFill>
          </w14:textFill>
        </w:rPr>
        <w:t>616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bookmarkStart w:id="584" w:name="OLE_LINK1409"/>
      <w:bookmarkStart w:id="585" w:name="OLE_LINK1434"/>
      <w:r>
        <w:rPr>
          <w:rFonts w:hint="default" w:ascii="Times New Roman" w:hAnsi="Times New Roman" w:cs="Times New Roman"/>
          <w:color w:val="000000" w:themeColor="text1"/>
          <w:highlight w:val="none"/>
          <w14:textFill>
            <w14:solidFill>
              <w14:schemeClr w14:val="tx1"/>
            </w14:solidFill>
          </w14:textFill>
        </w:rPr>
        <w:t>磺化水基泥浆</w:t>
      </w:r>
      <w:bookmarkEnd w:id="584"/>
      <w:r>
        <w:rPr>
          <w:rFonts w:hint="default" w:ascii="Times New Roman" w:hAnsi="Times New Roman" w:cs="Times New Roman"/>
          <w:color w:val="000000" w:themeColor="text1"/>
          <w:highlight w:val="none"/>
          <w14:textFill>
            <w14:solidFill>
              <w14:schemeClr w14:val="tx1"/>
            </w14:solidFill>
          </w14:textFill>
        </w:rPr>
        <w:t>约</w:t>
      </w:r>
      <w:bookmarkStart w:id="586" w:name="OLE_LINK1410"/>
      <w:r>
        <w:rPr>
          <w:rFonts w:hint="eastAsia" w:cs="Times New Roman"/>
          <w:color w:val="000000" w:themeColor="text1"/>
          <w:highlight w:val="none"/>
          <w:lang w:val="en-US" w:eastAsia="zh-CN"/>
          <w14:textFill>
            <w14:solidFill>
              <w14:schemeClr w14:val="tx1"/>
            </w14:solidFill>
          </w14:textFill>
        </w:rPr>
        <w:t>121.4</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bookmarkEnd w:id="586"/>
      <w:r>
        <w:rPr>
          <w:rFonts w:hint="eastAsia" w:cs="Times New Roman"/>
          <w:color w:val="000000" w:themeColor="text1"/>
          <w:highlight w:val="none"/>
          <w:vertAlign w:val="baseline"/>
          <w:lang w:eastAsia="zh-CN"/>
          <w14:textFill>
            <w14:solidFill>
              <w14:schemeClr w14:val="tx1"/>
            </w14:solidFill>
          </w14:textFill>
        </w:rPr>
        <w:t>，</w:t>
      </w:r>
      <w:r>
        <w:rPr>
          <w:rFonts w:hint="eastAsia" w:cs="Times New Roman"/>
          <w:color w:val="000000" w:themeColor="text1"/>
          <w:highlight w:val="none"/>
          <w:vertAlign w:val="baseline"/>
          <w:lang w:val="en-US" w:eastAsia="zh-CN"/>
          <w14:textFill>
            <w14:solidFill>
              <w14:schemeClr w14:val="tx1"/>
            </w14:solidFill>
          </w14:textFill>
        </w:rPr>
        <w:t>油基泥浆</w:t>
      </w:r>
      <w:r>
        <w:rPr>
          <w:rFonts w:hint="eastAsia" w:cs="Times New Roman"/>
          <w:color w:val="000000" w:themeColor="text1"/>
          <w:highlight w:val="none"/>
          <w:lang w:val="en-US" w:eastAsia="zh-CN"/>
          <w14:textFill>
            <w14:solidFill>
              <w14:schemeClr w14:val="tx1"/>
            </w14:solidFill>
          </w14:textFill>
        </w:rPr>
        <w:t>84.2</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p>
    <w:bookmarkEnd w:id="585"/>
    <w:p w14:paraId="7ACAE36B">
      <w:pPr>
        <w:pStyle w:val="65"/>
        <w:keepNext w:val="0"/>
        <w:keepLines w:val="0"/>
        <w:pageBreakBefore w:val="0"/>
        <w:kinsoku/>
        <w:wordWrap/>
        <w:overflowPunct/>
        <w:topLinePunct w:val="0"/>
        <w:autoSpaceDE/>
        <w:autoSpaceDN/>
        <w:bidi w:val="0"/>
        <w:adjustRightInd w:val="0"/>
        <w:snapToGrid w:val="0"/>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2 \* GB3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钻井岩屑</w:t>
      </w:r>
    </w:p>
    <w:p w14:paraId="2C828AD3">
      <w:pPr>
        <w:pStyle w:val="154"/>
        <w:keepNext w:val="0"/>
        <w:keepLines w:val="0"/>
        <w:pageBreakBefore w:val="0"/>
        <w:kinsoku/>
        <w:wordWrap/>
        <w:overflowPunct/>
        <w:topLinePunct w:val="0"/>
        <w:autoSpaceDE/>
        <w:autoSpaceDN/>
        <w:bidi w:val="0"/>
        <w:adjustRightInd w:val="0"/>
        <w:snapToGrid w:val="0"/>
        <w:ind w:firstLine="512"/>
        <w:textAlignment w:val="auto"/>
        <w:rPr>
          <w:color w:val="000000" w:themeColor="text1"/>
          <w:kern w:val="2"/>
          <w:sz w:val="21"/>
          <w:highlight w:val="none"/>
          <w14:textFill>
            <w14:solidFill>
              <w14:schemeClr w14:val="tx1"/>
            </w14:solidFill>
          </w14:textFill>
        </w:rPr>
      </w:pPr>
      <w:r>
        <w:rPr>
          <w:color w:val="000000" w:themeColor="text1"/>
          <w:spacing w:val="8"/>
          <w:kern w:val="24"/>
          <w:sz w:val="24"/>
          <w:szCs w:val="24"/>
          <w:highlight w:val="none"/>
          <w14:textFill>
            <w14:solidFill>
              <w14:schemeClr w14:val="tx1"/>
            </w14:solidFill>
          </w14:textFill>
        </w:rPr>
        <w:t>钻井过程中，岩石经钻头和泥浆的研磨而破碎成岩屑，并经泥浆携带至地面，进入不落地处理系统。本工程钻井岩屑可用下式计算：</w:t>
      </w:r>
    </w:p>
    <w:p w14:paraId="11FCA411">
      <w:pPr>
        <w:pStyle w:val="154"/>
        <w:keepNext w:val="0"/>
        <w:keepLines w:val="0"/>
        <w:pageBreakBefore w:val="0"/>
        <w:kinsoku/>
        <w:wordWrap/>
        <w:overflowPunct/>
        <w:topLinePunct w:val="0"/>
        <w:autoSpaceDE/>
        <w:autoSpaceDN/>
        <w:bidi w:val="0"/>
        <w:adjustRightInd w:val="0"/>
        <w:snapToGrid w:val="0"/>
        <w:ind w:firstLine="420"/>
        <w:jc w:val="center"/>
        <w:textAlignment w:val="auto"/>
        <w:rPr>
          <w:rFonts w:hint="default" w:ascii="Times New Roman" w:hAnsi="Times New Roman" w:cs="Times New Roman"/>
          <w:color w:val="000000" w:themeColor="text1"/>
          <w:kern w:val="2"/>
          <w:sz w:val="21"/>
          <w:highlight w:val="none"/>
          <w14:textFill>
            <w14:solidFill>
              <w14:schemeClr w14:val="tx1"/>
            </w14:solidFill>
          </w14:textFill>
        </w:rPr>
      </w:pPr>
      <w:r>
        <w:rPr>
          <w:rFonts w:hint="default" w:ascii="Times New Roman" w:hAnsi="Times New Roman" w:cs="Times New Roman"/>
          <w:color w:val="000000" w:themeColor="text1"/>
          <w:kern w:val="2"/>
          <w:sz w:val="21"/>
          <w:highlight w:val="none"/>
          <w14:textFill>
            <w14:solidFill>
              <w14:schemeClr w14:val="tx1"/>
            </w14:solidFill>
          </w14:textFill>
        </w:rPr>
        <w:t>W=1/4×л×D</w:t>
      </w:r>
      <w:r>
        <w:rPr>
          <w:rFonts w:hint="default" w:ascii="Times New Roman" w:hAnsi="Times New Roman" w:cs="Times New Roman"/>
          <w:color w:val="000000" w:themeColor="text1"/>
          <w:kern w:val="2"/>
          <w:sz w:val="21"/>
          <w:highlight w:val="none"/>
          <w:vertAlign w:val="superscript"/>
          <w14:textFill>
            <w14:solidFill>
              <w14:schemeClr w14:val="tx1"/>
            </w14:solidFill>
          </w14:textFill>
        </w:rPr>
        <w:t>2</w:t>
      </w:r>
      <w:r>
        <w:rPr>
          <w:rFonts w:hint="default" w:ascii="Times New Roman" w:hAnsi="Times New Roman" w:cs="Times New Roman"/>
          <w:color w:val="000000" w:themeColor="text1"/>
          <w:kern w:val="2"/>
          <w:sz w:val="21"/>
          <w:highlight w:val="none"/>
          <w14:textFill>
            <w14:solidFill>
              <w14:schemeClr w14:val="tx1"/>
            </w14:solidFill>
          </w14:textFill>
        </w:rPr>
        <w:t>×h×P</w:t>
      </w:r>
    </w:p>
    <w:p w14:paraId="74DCB91A">
      <w:pPr>
        <w:pStyle w:val="65"/>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式中：W</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钻井岩屑排放量，m³；</w:t>
      </w:r>
    </w:p>
    <w:p w14:paraId="3D65C15C">
      <w:pPr>
        <w:pStyle w:val="65"/>
        <w:keepNext w:val="0"/>
        <w:keepLines w:val="0"/>
        <w:pageBreakBefore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井的直径，m；h－井深，m；</w:t>
      </w:r>
    </w:p>
    <w:p w14:paraId="071BA6A9">
      <w:pPr>
        <w:pStyle w:val="65"/>
        <w:keepNext w:val="0"/>
        <w:keepLines w:val="0"/>
        <w:pageBreakBefore w:val="0"/>
        <w:kinsoku/>
        <w:wordWrap/>
        <w:overflowPunct/>
        <w:topLinePunct w:val="0"/>
        <w:autoSpaceDE/>
        <w:autoSpaceDN/>
        <w:bidi w:val="0"/>
        <w:adjustRightInd w:val="0"/>
        <w:snapToGrid w:val="0"/>
        <w:ind w:firstLine="1200" w:firstLineChars="50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膨胀系数，取P=2.2</w:t>
      </w:r>
      <w:r>
        <w:rPr>
          <w:rFonts w:hint="eastAsia" w:cs="Times New Roman"/>
          <w:color w:val="000000" w:themeColor="text1"/>
          <w:highlight w:val="none"/>
          <w:lang w:eastAsia="zh-CN"/>
          <w14:textFill>
            <w14:solidFill>
              <w14:schemeClr w14:val="tx1"/>
            </w14:solidFill>
          </w14:textFill>
        </w:rPr>
        <w:t>。</w:t>
      </w:r>
    </w:p>
    <w:p w14:paraId="76558D17">
      <w:pPr>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利用上述公式计算出钻井期内产生的岩屑量为</w:t>
      </w:r>
      <w:bookmarkStart w:id="587" w:name="OLE_LINK1294"/>
      <w:r>
        <w:rPr>
          <w:rFonts w:hint="eastAsia" w:cs="Times New Roman"/>
          <w:color w:val="000000" w:themeColor="text1"/>
          <w:sz w:val="24"/>
          <w:szCs w:val="24"/>
          <w:highlight w:val="none"/>
          <w:lang w:val="en-US" w:eastAsia="zh-CN"/>
          <w14:textFill>
            <w14:solidFill>
              <w14:schemeClr w14:val="tx1"/>
            </w14:solidFill>
          </w14:textFill>
        </w:rPr>
        <w:t>575.2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bookmarkEnd w:id="587"/>
      <w:r>
        <w:rPr>
          <w:rFonts w:hint="default" w:ascii="Times New Roman" w:hAnsi="Times New Roman" w:eastAsia="宋体" w:cs="Times New Roman"/>
          <w:color w:val="000000" w:themeColor="text1"/>
          <w:sz w:val="24"/>
          <w:szCs w:val="24"/>
          <w:highlight w:val="none"/>
          <w14:textFill>
            <w14:solidFill>
              <w14:schemeClr w14:val="tx1"/>
            </w14:solidFill>
          </w14:textFill>
        </w:rPr>
        <w:t>，其中膨润土泥浆钻井岩屑</w:t>
      </w:r>
      <w:r>
        <w:rPr>
          <w:rFonts w:hint="default" w:ascii="Times New Roman" w:hAnsi="Times New Roman" w:cs="Times New Roman"/>
          <w:color w:val="000000" w:themeColor="text1"/>
          <w:highlight w:val="none"/>
          <w:lang w:val="en-US" w:eastAsia="zh-CN"/>
          <w14:textFill>
            <w14:solidFill>
              <w14:schemeClr w14:val="tx1"/>
            </w14:solidFill>
          </w14:textFill>
        </w:rPr>
        <w:t>545.7</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588" w:name="OLE_LINK1416"/>
      <w:bookmarkStart w:id="589" w:name="OLE_LINK1417"/>
      <w:bookmarkStart w:id="590" w:name="OLE_LINK1435"/>
      <w:r>
        <w:rPr>
          <w:rFonts w:hint="default" w:ascii="Times New Roman" w:hAnsi="Times New Roman" w:eastAsia="宋体" w:cs="Times New Roman"/>
          <w:color w:val="000000" w:themeColor="text1"/>
          <w:sz w:val="24"/>
          <w:szCs w:val="24"/>
          <w:highlight w:val="none"/>
          <w14:textFill>
            <w14:solidFill>
              <w14:schemeClr w14:val="tx1"/>
            </w14:solidFill>
          </w14:textFill>
        </w:rPr>
        <w:t>磺化泥浆钻井岩屑</w:t>
      </w:r>
      <w:bookmarkEnd w:id="588"/>
      <w:r>
        <w:rPr>
          <w:rFonts w:hint="eastAsia" w:cs="Times New Roman"/>
          <w:color w:val="000000" w:themeColor="text1"/>
          <w:sz w:val="24"/>
          <w:szCs w:val="24"/>
          <w:highlight w:val="none"/>
          <w:lang w:val="en-US" w:eastAsia="zh-CN"/>
          <w14:textFill>
            <w14:solidFill>
              <w14:schemeClr w14:val="tx1"/>
            </w14:solidFill>
          </w14:textFill>
        </w:rPr>
        <w:t>27.9</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bookmarkEnd w:id="589"/>
      <w:r>
        <w:rPr>
          <w:rFonts w:hint="eastAsia" w:cs="Times New Roman"/>
          <w:color w:val="000000" w:themeColor="text1"/>
          <w:sz w:val="24"/>
          <w:szCs w:val="24"/>
          <w:highlight w:val="none"/>
          <w:vertAlign w:val="baseline"/>
          <w:lang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油基</w:t>
      </w:r>
      <w:r>
        <w:rPr>
          <w:rFonts w:hint="default" w:ascii="Times New Roman" w:hAnsi="Times New Roman" w:eastAsia="宋体" w:cs="Times New Roman"/>
          <w:color w:val="000000" w:themeColor="text1"/>
          <w:sz w:val="24"/>
          <w:szCs w:val="24"/>
          <w:highlight w:val="none"/>
          <w14:textFill>
            <w14:solidFill>
              <w14:schemeClr w14:val="tx1"/>
            </w14:solidFill>
          </w14:textFill>
        </w:rPr>
        <w:t>泥浆钻井岩屑</w:t>
      </w:r>
      <w:r>
        <w:rPr>
          <w:rFonts w:hint="eastAsia"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End w:id="590"/>
    </w:p>
    <w:p w14:paraId="427CF605">
      <w:pPr>
        <w:pStyle w:val="65"/>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宋体"/>
          <w:color w:val="000000" w:themeColor="text1"/>
          <w:highlight w:val="none"/>
          <w:lang w:val="en-US"/>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根据上述计算结果，钻井泥浆及岩屑产生量估算结果见表</w:t>
      </w:r>
      <w:r>
        <w:rPr>
          <w:rFonts w:hint="eastAsia" w:ascii="Times New Roman" w:hAnsi="Times New Roman" w:eastAsia="宋体" w:cs="宋体"/>
          <w:color w:val="000000" w:themeColor="text1"/>
          <w:highlight w:val="none"/>
          <w:lang w:val="en-US" w:eastAsia="zh-CN"/>
          <w14:textFill>
            <w14:solidFill>
              <w14:schemeClr w14:val="tx1"/>
            </w14:solidFill>
          </w14:textFill>
        </w:rPr>
        <w:t>3.3-2。</w:t>
      </w:r>
    </w:p>
    <w:p w14:paraId="6F627B0E">
      <w:pPr>
        <w:pStyle w:val="8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bookmarkStart w:id="591" w:name="OLE_LINK1292"/>
      <w:r>
        <w:rPr>
          <w:rFonts w:hint="default" w:ascii="Times New Roman" w:hAnsi="Times New Roman" w:eastAsia="宋体" w:cs="Times New Roman"/>
          <w:b/>
          <w:bCs w:val="0"/>
          <w:color w:val="000000" w:themeColor="text1"/>
          <w:kern w:val="0"/>
          <w:sz w:val="21"/>
          <w:szCs w:val="21"/>
          <w:highlight w:val="none"/>
          <w:lang w:val="en-GB" w:eastAsia="zh-CN" w:bidi="ar-SA"/>
          <w14:textFill>
            <w14:solidFill>
              <w14:schemeClr w14:val="tx1"/>
            </w14:solidFill>
          </w14:textFill>
        </w:rPr>
        <w:t>表</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3.3-2 </w:t>
      </w:r>
      <w:r>
        <w:rPr>
          <w:rFonts w:hint="default" w:ascii="Times New Roman" w:hAnsi="Times New Roman" w:eastAsia="宋体" w:cs="Times New Roman"/>
          <w:b/>
          <w:bCs w:val="0"/>
          <w:color w:val="000000" w:themeColor="text1"/>
          <w:kern w:val="0"/>
          <w:sz w:val="21"/>
          <w:szCs w:val="21"/>
          <w:highlight w:val="none"/>
          <w:lang w:val="en-GB" w:eastAsia="zh-CN" w:bidi="ar-SA"/>
          <w14:textFill>
            <w14:solidFill>
              <w14:schemeClr w14:val="tx1"/>
            </w14:solidFill>
          </w14:textFill>
        </w:rPr>
        <w:t xml:space="preserve">  本工程</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钻井泥浆及岩屑产生量估算表</w:t>
      </w:r>
    </w:p>
    <w:tbl>
      <w:tblPr>
        <w:tblStyle w:val="3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1440"/>
        <w:gridCol w:w="2220"/>
        <w:gridCol w:w="2594"/>
      </w:tblGrid>
      <w:tr w14:paraId="222F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105" w:type="dxa"/>
            <w:vAlign w:val="center"/>
          </w:tcPr>
          <w:p w14:paraId="2FB221A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bookmarkStart w:id="592" w:name="OLE_LINK1286" w:colFirst="2" w:colLast="2"/>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井型</w:t>
            </w:r>
          </w:p>
        </w:tc>
        <w:tc>
          <w:tcPr>
            <w:tcW w:w="1440" w:type="dxa"/>
            <w:vAlign w:val="center"/>
          </w:tcPr>
          <w:p w14:paraId="4BC616F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钻井液类型</w:t>
            </w:r>
          </w:p>
        </w:tc>
        <w:tc>
          <w:tcPr>
            <w:tcW w:w="2220" w:type="dxa"/>
            <w:vAlign w:val="center"/>
          </w:tcPr>
          <w:p w14:paraId="78229C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废弃</w:t>
            </w:r>
            <w:bookmarkStart w:id="593" w:name="OLE_LINK1407"/>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泥浆</w:t>
            </w:r>
            <w:bookmarkEnd w:id="593"/>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产生量（m³）</w:t>
            </w:r>
          </w:p>
        </w:tc>
        <w:tc>
          <w:tcPr>
            <w:tcW w:w="2594" w:type="dxa"/>
            <w:vAlign w:val="center"/>
          </w:tcPr>
          <w:p w14:paraId="6625000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废弃钻井岩屑产生量（m³）</w:t>
            </w:r>
          </w:p>
        </w:tc>
      </w:tr>
      <w:tr w14:paraId="7E31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05" w:type="dxa"/>
            <w:vMerge w:val="restart"/>
            <w:vAlign w:val="center"/>
          </w:tcPr>
          <w:p w14:paraId="5FB9038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14:textFill>
                  <w14:solidFill>
                    <w14:schemeClr w14:val="tx1"/>
                  </w14:solidFill>
                </w14:textFill>
              </w:rPr>
            </w:pPr>
            <w:bookmarkStart w:id="594" w:name="OLE_LINK1405" w:colFirst="2" w:colLast="2"/>
            <w:bookmarkStart w:id="595" w:name="OLE_LINK1406" w:colFirst="3" w:colLast="3"/>
            <w:r>
              <w:rPr>
                <w:rFonts w:hint="default" w:ascii="Times New Roman" w:hAnsi="Times New Roman" w:cs="Times New Roman"/>
                <w:color w:val="000000" w:themeColor="text1"/>
                <w:sz w:val="21"/>
                <w:szCs w:val="18"/>
                <w:highlight w:val="none"/>
                <w14:textFill>
                  <w14:solidFill>
                    <w14:schemeClr w14:val="tx1"/>
                  </w14:solidFill>
                </w14:textFill>
              </w:rPr>
              <w:t>新</w:t>
            </w:r>
            <w:r>
              <w:rPr>
                <w:rFonts w:hint="eastAsia" w:ascii="Times New Roman" w:hAnsi="Times New Roman" w:cs="Times New Roman"/>
                <w:color w:val="000000" w:themeColor="text1"/>
                <w:sz w:val="21"/>
                <w:szCs w:val="18"/>
                <w:highlight w:val="none"/>
                <w:lang w:val="en-US" w:eastAsia="zh-CN"/>
                <w14:textFill>
                  <w14:solidFill>
                    <w14:schemeClr w14:val="tx1"/>
                  </w14:solidFill>
                </w14:textFill>
              </w:rPr>
              <w:t>钻</w:t>
            </w:r>
            <w:r>
              <w:rPr>
                <w:rFonts w:hint="default" w:ascii="Times New Roman" w:hAnsi="Times New Roman" w:cs="Times New Roman"/>
                <w:color w:val="000000" w:themeColor="text1"/>
                <w:sz w:val="21"/>
                <w:szCs w:val="18"/>
                <w:highlight w:val="none"/>
                <w14:textFill>
                  <w14:solidFill>
                    <w14:schemeClr w14:val="tx1"/>
                  </w14:solidFill>
                </w14:textFill>
              </w:rPr>
              <w:t>井（</w:t>
            </w:r>
            <w:r>
              <w:rPr>
                <w:rFonts w:hint="eastAsia" w:cs="Times New Roman"/>
                <w:color w:val="000000" w:themeColor="text1"/>
                <w:sz w:val="21"/>
                <w:szCs w:val="18"/>
                <w:highlight w:val="none"/>
                <w:lang w:val="en-US" w:eastAsia="zh-CN"/>
                <w14:textFill>
                  <w14:solidFill>
                    <w14:schemeClr w14:val="tx1"/>
                  </w14:solidFill>
                </w14:textFill>
              </w:rPr>
              <w:t>星火7-2斜井</w:t>
            </w:r>
            <w:r>
              <w:rPr>
                <w:rFonts w:hint="default" w:ascii="Times New Roman" w:hAnsi="Times New Roman" w:cs="Times New Roman"/>
                <w:color w:val="000000" w:themeColor="text1"/>
                <w:sz w:val="21"/>
                <w:szCs w:val="18"/>
                <w:highlight w:val="none"/>
                <w14:textFill>
                  <w14:solidFill>
                    <w14:schemeClr w14:val="tx1"/>
                  </w14:solidFill>
                </w14:textFill>
              </w:rPr>
              <w:t>）</w:t>
            </w:r>
          </w:p>
        </w:tc>
        <w:tc>
          <w:tcPr>
            <w:tcW w:w="1440" w:type="dxa"/>
            <w:vAlign w:val="center"/>
          </w:tcPr>
          <w:p w14:paraId="12B17CC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14:textFill>
                  <w14:solidFill>
                    <w14:schemeClr w14:val="tx1"/>
                  </w14:solidFill>
                </w14:textFill>
              </w:rPr>
            </w:pPr>
            <w:bookmarkStart w:id="596" w:name="OLE_LINK1287"/>
            <w:r>
              <w:rPr>
                <w:rFonts w:hint="default" w:ascii="Times New Roman" w:hAnsi="Times New Roman" w:cs="Times New Roman"/>
                <w:color w:val="000000" w:themeColor="text1"/>
                <w:sz w:val="21"/>
                <w:szCs w:val="18"/>
                <w:highlight w:val="none"/>
                <w14:textFill>
                  <w14:solidFill>
                    <w14:schemeClr w14:val="tx1"/>
                  </w14:solidFill>
                </w14:textFill>
              </w:rPr>
              <w:t>水基非磺化</w:t>
            </w:r>
            <w:bookmarkEnd w:id="596"/>
          </w:p>
        </w:tc>
        <w:tc>
          <w:tcPr>
            <w:tcW w:w="2220" w:type="dxa"/>
            <w:vAlign w:val="center"/>
          </w:tcPr>
          <w:p w14:paraId="66AF0A8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616</w:t>
            </w:r>
          </w:p>
        </w:tc>
        <w:tc>
          <w:tcPr>
            <w:tcW w:w="2594" w:type="dxa"/>
            <w:vAlign w:val="center"/>
          </w:tcPr>
          <w:p w14:paraId="12CE7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545.7</w:t>
            </w:r>
          </w:p>
        </w:tc>
      </w:tr>
      <w:bookmarkEnd w:id="592"/>
      <w:tr w14:paraId="7F97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05" w:type="dxa"/>
            <w:vMerge w:val="continue"/>
            <w:vAlign w:val="center"/>
          </w:tcPr>
          <w:p w14:paraId="4158A34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14:textFill>
                  <w14:solidFill>
                    <w14:schemeClr w14:val="tx1"/>
                  </w14:solidFill>
                </w14:textFill>
              </w:rPr>
            </w:pPr>
          </w:p>
        </w:tc>
        <w:tc>
          <w:tcPr>
            <w:tcW w:w="1440" w:type="dxa"/>
            <w:vAlign w:val="center"/>
          </w:tcPr>
          <w:p w14:paraId="04AD0EC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14:textFill>
                  <w14:solidFill>
                    <w14:schemeClr w14:val="tx1"/>
                  </w14:solidFill>
                </w14:textFill>
              </w:rPr>
            </w:pPr>
            <w:bookmarkStart w:id="597" w:name="OLE_LINK1288"/>
            <w:r>
              <w:rPr>
                <w:rFonts w:hint="default" w:ascii="Times New Roman" w:hAnsi="Times New Roman" w:cs="Times New Roman"/>
                <w:color w:val="000000" w:themeColor="text1"/>
                <w:sz w:val="21"/>
                <w:szCs w:val="18"/>
                <w:highlight w:val="none"/>
                <w14:textFill>
                  <w14:solidFill>
                    <w14:schemeClr w14:val="tx1"/>
                  </w14:solidFill>
                </w14:textFill>
              </w:rPr>
              <w:t>水基</w:t>
            </w:r>
            <w:bookmarkStart w:id="598" w:name="OLE_LINK1404"/>
            <w:r>
              <w:rPr>
                <w:rFonts w:hint="default" w:ascii="Times New Roman" w:hAnsi="Times New Roman" w:cs="Times New Roman"/>
                <w:color w:val="000000" w:themeColor="text1"/>
                <w:sz w:val="21"/>
                <w:szCs w:val="18"/>
                <w:highlight w:val="none"/>
                <w14:textFill>
                  <w14:solidFill>
                    <w14:schemeClr w14:val="tx1"/>
                  </w14:solidFill>
                </w14:textFill>
              </w:rPr>
              <w:t>磺化</w:t>
            </w:r>
            <w:bookmarkEnd w:id="597"/>
            <w:bookmarkEnd w:id="598"/>
          </w:p>
        </w:tc>
        <w:tc>
          <w:tcPr>
            <w:tcW w:w="2220" w:type="dxa"/>
            <w:vAlign w:val="center"/>
          </w:tcPr>
          <w:p w14:paraId="31FA66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121.4</w:t>
            </w:r>
          </w:p>
        </w:tc>
        <w:tc>
          <w:tcPr>
            <w:tcW w:w="2594" w:type="dxa"/>
            <w:vAlign w:val="center"/>
          </w:tcPr>
          <w:p w14:paraId="722BB9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27.9</w:t>
            </w:r>
          </w:p>
        </w:tc>
      </w:tr>
      <w:tr w14:paraId="3501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05" w:type="dxa"/>
            <w:vMerge w:val="continue"/>
            <w:vAlign w:val="center"/>
          </w:tcPr>
          <w:p w14:paraId="5682064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14:textFill>
                  <w14:solidFill>
                    <w14:schemeClr w14:val="tx1"/>
                  </w14:solidFill>
                </w14:textFill>
              </w:rPr>
            </w:pPr>
            <w:bookmarkStart w:id="599" w:name="OLE_LINK1413" w:colFirst="2" w:colLast="2"/>
          </w:p>
        </w:tc>
        <w:tc>
          <w:tcPr>
            <w:tcW w:w="1440" w:type="dxa"/>
            <w:vAlign w:val="center"/>
          </w:tcPr>
          <w:p w14:paraId="62FF338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21"/>
                <w:szCs w:val="18"/>
                <w:highlight w:val="none"/>
                <w:lang w:val="en-US" w:eastAsia="zh-CN"/>
                <w14:textFill>
                  <w14:solidFill>
                    <w14:schemeClr w14:val="tx1"/>
                  </w14:solidFill>
                </w14:textFill>
              </w:rPr>
            </w:pPr>
            <w:bookmarkStart w:id="600" w:name="OLE_LINK1403"/>
            <w:r>
              <w:rPr>
                <w:rFonts w:hint="eastAsia" w:cs="Times New Roman"/>
                <w:color w:val="000000" w:themeColor="text1"/>
                <w:sz w:val="21"/>
                <w:szCs w:val="18"/>
                <w:highlight w:val="none"/>
                <w:lang w:val="en-US" w:eastAsia="zh-CN"/>
                <w14:textFill>
                  <w14:solidFill>
                    <w14:schemeClr w14:val="tx1"/>
                  </w14:solidFill>
                </w14:textFill>
              </w:rPr>
              <w:t>油基</w:t>
            </w:r>
            <w:bookmarkEnd w:id="600"/>
          </w:p>
        </w:tc>
        <w:tc>
          <w:tcPr>
            <w:tcW w:w="2220" w:type="dxa"/>
            <w:vAlign w:val="center"/>
          </w:tcPr>
          <w:p w14:paraId="4D448EE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18"/>
                <w:highlight w:val="none"/>
                <w:lang w:val="en-US" w:eastAsia="zh-CN"/>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84.2</w:t>
            </w:r>
          </w:p>
        </w:tc>
        <w:tc>
          <w:tcPr>
            <w:tcW w:w="2594" w:type="dxa"/>
            <w:vAlign w:val="center"/>
          </w:tcPr>
          <w:p w14:paraId="61A903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1.6</w:t>
            </w:r>
          </w:p>
        </w:tc>
      </w:tr>
      <w:bookmarkEnd w:id="594"/>
      <w:bookmarkEnd w:id="595"/>
      <w:bookmarkEnd w:id="599"/>
      <w:tr w14:paraId="42BA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45" w:type="dxa"/>
            <w:gridSpan w:val="2"/>
            <w:vAlign w:val="center"/>
          </w:tcPr>
          <w:p w14:paraId="149A008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t>合计</w:t>
            </w:r>
          </w:p>
        </w:tc>
        <w:tc>
          <w:tcPr>
            <w:tcW w:w="2220" w:type="dxa"/>
            <w:vAlign w:val="bottom"/>
          </w:tcPr>
          <w:p w14:paraId="585BB59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821.6</w:t>
            </w:r>
          </w:p>
        </w:tc>
        <w:tc>
          <w:tcPr>
            <w:tcW w:w="2594" w:type="dxa"/>
            <w:vAlign w:val="bottom"/>
          </w:tcPr>
          <w:p w14:paraId="0FF9064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575.2</w:t>
            </w:r>
          </w:p>
        </w:tc>
      </w:tr>
      <w:bookmarkEnd w:id="591"/>
    </w:tbl>
    <w:p w14:paraId="7E577FDF">
      <w:pPr>
        <w:pStyle w:val="81"/>
        <w:keepNext w:val="0"/>
        <w:keepLines w:val="0"/>
        <w:pageBreakBefore w:val="0"/>
        <w:kinsoku/>
        <w:wordWrap/>
        <w:overflowPunct/>
        <w:topLinePunct w:val="0"/>
        <w:autoSpaceDE/>
        <w:autoSpaceDN/>
        <w:bidi w:val="0"/>
        <w:adjustRightInd w:val="0"/>
        <w:snapToGrid w:val="0"/>
        <w:ind w:firstLine="480"/>
        <w:jc w:val="both"/>
        <w:textAlignment w:val="auto"/>
        <w:rPr>
          <w:rFonts w:hint="eastAsia" w:hAnsi="Times New Roman"/>
          <w:color w:val="000000" w:themeColor="text1"/>
          <w:highlight w:val="none"/>
          <w14:textFill>
            <w14:solidFill>
              <w14:schemeClr w14:val="tx1"/>
            </w14:solidFill>
          </w14:textFill>
        </w:rPr>
      </w:pPr>
      <w:bookmarkStart w:id="601" w:name="OLE_LINK1422"/>
      <w:r>
        <w:rPr>
          <w:rFonts w:hint="eastAsia" w:hAnsi="Times New Roman"/>
          <w:color w:val="000000" w:themeColor="text1"/>
          <w:highlight w:val="none"/>
          <w14:textFill>
            <w14:solidFill>
              <w14:schemeClr w14:val="tx1"/>
            </w14:solidFill>
          </w14:textFill>
        </w:rPr>
        <w:t>本工程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w:t>
      </w:r>
    </w:p>
    <w:p w14:paraId="35E00874">
      <w:pPr>
        <w:widowControl w:val="0"/>
        <w:spacing w:line="360" w:lineRule="auto"/>
        <w:ind w:firstLine="480" w:firstLineChars="200"/>
        <w:jc w:val="both"/>
        <w:rPr>
          <w:rFonts w:ascii="Times New Roman" w:hAnsi="Times New Roman" w:eastAsia="宋体" w:cs="Times New Roman"/>
          <w:color w:val="000000" w:themeColor="text1"/>
          <w:szCs w:val="20"/>
          <w:highlight w:val="none"/>
          <w14:textFill>
            <w14:solidFill>
              <w14:schemeClr w14:val="tx1"/>
            </w14:solidFill>
          </w14:textFill>
        </w:rPr>
      </w:pPr>
      <w:r>
        <w:rPr>
          <w:rFonts w:hint="eastAsia" w:hAnsi="Times New Roman"/>
          <w:color w:val="000000" w:themeColor="text1"/>
          <w:highlight w:val="none"/>
          <w14:textFill>
            <w14:solidFill>
              <w14:schemeClr w14:val="tx1"/>
            </w14:solidFill>
          </w14:textFill>
        </w:rPr>
        <w:t>废弃油基泥浆和废弃油基岩屑</w:t>
      </w:r>
      <w:r>
        <w:rPr>
          <w:rFonts w:ascii="Times New Roman" w:hAnsi="Times New Roman" w:eastAsia="宋体" w:cs="Times New Roman"/>
          <w:color w:val="000000" w:themeColor="text1"/>
          <w:kern w:val="2"/>
          <w:szCs w:val="22"/>
          <w:highlight w:val="none"/>
          <w14:textFill>
            <w14:solidFill>
              <w14:schemeClr w14:val="tx1"/>
            </w14:solidFill>
          </w14:textFill>
        </w:rPr>
        <w:t>，</w:t>
      </w:r>
      <w:r>
        <w:rPr>
          <w:rFonts w:hint="eastAsia" w:ascii="Times New Roman" w:hAnsi="Times New Roman" w:eastAsia="宋体" w:cs="Times New Roman"/>
          <w:color w:val="000000" w:themeColor="text1"/>
          <w:kern w:val="2"/>
          <w:szCs w:val="22"/>
          <w:highlight w:val="none"/>
          <w14:textFill>
            <w14:solidFill>
              <w14:schemeClr w14:val="tx1"/>
            </w14:solidFill>
          </w14:textFill>
        </w:rPr>
        <w:t>均</w:t>
      </w:r>
      <w:r>
        <w:rPr>
          <w:rFonts w:ascii="Times New Roman" w:hAnsi="Times New Roman" w:eastAsia="宋体" w:cs="Times New Roman"/>
          <w:color w:val="000000" w:themeColor="text1"/>
          <w:kern w:val="2"/>
          <w:szCs w:val="22"/>
          <w:highlight w:val="none"/>
          <w14:textFill>
            <w14:solidFill>
              <w14:schemeClr w14:val="tx1"/>
            </w14:solidFill>
          </w14:textFill>
        </w:rPr>
        <w:t>属于</w:t>
      </w:r>
      <w:r>
        <w:rPr>
          <w:rFonts w:hint="eastAsia" w:ascii="Times New Roman" w:hAnsi="Times New Roman" w:eastAsia="宋体" w:cs="Times New Roman"/>
          <w:color w:val="000000" w:themeColor="text1"/>
          <w:kern w:val="2"/>
          <w:szCs w:val="22"/>
          <w:highlight w:val="none"/>
          <w14:textFill>
            <w14:solidFill>
              <w14:schemeClr w14:val="tx1"/>
            </w14:solidFill>
          </w14:textFill>
        </w:rPr>
        <w:t>危险废物</w:t>
      </w:r>
      <w:r>
        <w:rPr>
          <w:rFonts w:ascii="Times New Roman" w:hAnsi="Times New Roman" w:eastAsia="宋体" w:cs="Times New Roman"/>
          <w:color w:val="000000" w:themeColor="text1"/>
          <w:kern w:val="2"/>
          <w:szCs w:val="22"/>
          <w:highlight w:val="none"/>
          <w14:textFill>
            <w14:solidFill>
              <w14:schemeClr w14:val="tx1"/>
            </w14:solidFill>
          </w14:textFill>
        </w:rPr>
        <w:t>（071-002-08），产生环境在钻井环节，外观性状半固体，特征污染物为废矿物油，产生规律：连续产生。</w:t>
      </w:r>
      <w:r>
        <w:rPr>
          <w:rFonts w:hint="eastAsia" w:ascii="Times New Roman" w:hAnsi="Times New Roman" w:eastAsia="宋体" w:cs="Times New Roman"/>
          <w:color w:val="000000" w:themeColor="text1"/>
          <w:kern w:val="2"/>
          <w:szCs w:val="22"/>
          <w:highlight w:val="none"/>
          <w14:textFill>
            <w14:solidFill>
              <w14:schemeClr w14:val="tx1"/>
            </w14:solidFill>
          </w14:textFill>
        </w:rPr>
        <w:t>废弃油基泥浆和废弃油基岩屑在钻井井场配置储罐集中储存</w:t>
      </w:r>
      <w:r>
        <w:rPr>
          <w:rFonts w:hint="eastAsia" w:ascii="Times New Roman" w:hAnsi="Times New Roman" w:eastAsia="宋体" w:cs="Times New Roman"/>
          <w:color w:val="000000" w:themeColor="text1"/>
          <w:kern w:val="2"/>
          <w:szCs w:val="22"/>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Cs w:val="22"/>
          <w:highlight w:val="none"/>
          <w14:textFill>
            <w14:solidFill>
              <w14:schemeClr w14:val="tx1"/>
            </w14:solidFill>
          </w14:textFill>
        </w:rPr>
        <w:t>委托有危废处置资质单位处置。</w:t>
      </w:r>
    </w:p>
    <w:bookmarkEnd w:id="601"/>
    <w:p w14:paraId="34A1079B">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fldChar w:fldCharType="begin"/>
      </w:r>
      <w:r>
        <w:rPr>
          <w:color w:val="000000" w:themeColor="text1"/>
          <w:kern w:val="2"/>
          <w:sz w:val="24"/>
          <w:szCs w:val="24"/>
          <w:highlight w:val="none"/>
          <w14:textFill>
            <w14:solidFill>
              <w14:schemeClr w14:val="tx1"/>
            </w14:solidFill>
          </w14:textFill>
        </w:rPr>
        <w:instrText xml:space="preserve"> = 3 \* GB3 \* MERGEFORMAT </w:instrText>
      </w:r>
      <w:r>
        <w:rPr>
          <w:color w:val="000000" w:themeColor="text1"/>
          <w:kern w:val="2"/>
          <w:sz w:val="24"/>
          <w:szCs w:val="24"/>
          <w:highlight w:val="none"/>
          <w14:textFill>
            <w14:solidFill>
              <w14:schemeClr w14:val="tx1"/>
            </w14:solidFill>
          </w14:textFill>
        </w:rPr>
        <w:fldChar w:fldCharType="separate"/>
      </w:r>
      <w:r>
        <w:rPr>
          <w:rFonts w:hint="eastAsia" w:ascii="宋体" w:hAnsi="宋体" w:cs="宋体"/>
          <w:color w:val="000000" w:themeColor="text1"/>
          <w:kern w:val="2"/>
          <w:sz w:val="24"/>
          <w:szCs w:val="24"/>
          <w:highlight w:val="none"/>
          <w14:textFill>
            <w14:solidFill>
              <w14:schemeClr w14:val="tx1"/>
            </w14:solidFill>
          </w14:textFill>
        </w:rPr>
        <w:t>③</w:t>
      </w:r>
      <w:r>
        <w:rPr>
          <w:color w:val="000000" w:themeColor="text1"/>
          <w:kern w:val="2"/>
          <w:sz w:val="24"/>
          <w:szCs w:val="24"/>
          <w:highlight w:val="none"/>
          <w14:textFill>
            <w14:solidFill>
              <w14:schemeClr w14:val="tx1"/>
            </w14:solidFill>
          </w14:textFill>
        </w:rPr>
        <w:fldChar w:fldCharType="end"/>
      </w:r>
      <w:r>
        <w:rPr>
          <w:color w:val="000000" w:themeColor="text1"/>
          <w:kern w:val="2"/>
          <w:sz w:val="24"/>
          <w:szCs w:val="24"/>
          <w:highlight w:val="none"/>
          <w14:textFill>
            <w14:solidFill>
              <w14:schemeClr w14:val="tx1"/>
            </w14:solidFill>
          </w14:textFill>
        </w:rPr>
        <w:t>落地油</w:t>
      </w:r>
    </w:p>
    <w:p w14:paraId="3C3351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落地油主要来自突发环境事件和</w:t>
      </w:r>
      <w:r>
        <w:rPr>
          <w:rFonts w:hint="eastAsia" w:cs="Times New Roman"/>
          <w:color w:val="000000" w:themeColor="text1"/>
          <w:kern w:val="0"/>
          <w:sz w:val="24"/>
          <w:szCs w:val="24"/>
          <w:highlight w:val="none"/>
          <w:lang w:val="en-US" w:eastAsia="zh-CN" w:bidi="ar-SA"/>
          <w14:textFill>
            <w14:solidFill>
              <w14:schemeClr w14:val="tx1"/>
            </w14:solidFill>
          </w14:textFill>
        </w:rPr>
        <w:t>油气</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处理环节等，属于《国家危险废物名录（2025年版）》，HW08类危险废物（废物代码：071-001-08）。</w:t>
      </w:r>
    </w:p>
    <w:p w14:paraId="450D887F">
      <w:pPr>
        <w:keepNext w:val="0"/>
        <w:keepLines w:val="0"/>
        <w:pageBreakBefore w:val="0"/>
        <w:widowControl/>
        <w:kinsoku/>
        <w:wordWrap/>
        <w:overflowPunct/>
        <w:topLinePunct w:val="0"/>
        <w:autoSpaceDE/>
        <w:autoSpaceDN/>
        <w:bidi w:val="0"/>
        <w:adjustRightInd/>
        <w:snapToGrid/>
        <w:spacing w:line="360" w:lineRule="auto"/>
        <w:ind w:firstLine="496" w:firstLineChars="200"/>
        <w:jc w:val="both"/>
        <w:textAlignment w:val="auto"/>
        <w:rPr>
          <w:snapToGrid w:val="0"/>
          <w:color w:val="000000" w:themeColor="text1"/>
          <w:spacing w:val="4"/>
          <w:szCs w:val="22"/>
          <w:highlight w:val="none"/>
          <w14:textFill>
            <w14:solidFill>
              <w14:schemeClr w14:val="tx1"/>
            </w14:solidFill>
          </w14:textFill>
        </w:rPr>
      </w:pPr>
      <w:r>
        <w:rPr>
          <w:snapToGrid w:val="0"/>
          <w:color w:val="000000" w:themeColor="text1"/>
          <w:spacing w:val="4"/>
          <w:szCs w:val="22"/>
          <w:highlight w:val="none"/>
          <w14:textFill>
            <w14:solidFill>
              <w14:schemeClr w14:val="tx1"/>
            </w14:solidFill>
          </w14:textFill>
        </w:rPr>
        <w:t>本项目井下作业时带罐作业，防止产生落地油，井口排出物全部进罐，做到原油100%回收，</w:t>
      </w:r>
      <w:r>
        <w:rPr>
          <w:color w:val="000000" w:themeColor="text1"/>
          <w:highlight w:val="none"/>
          <w14:textFill>
            <w14:solidFill>
              <w14:schemeClr w14:val="tx1"/>
            </w14:solidFill>
          </w14:textFill>
        </w:rPr>
        <w:t>类比区块内油井作业污泥产生量，约50kg/井·次，作业频次一般2年，约合0.025t/井。本项目共</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口井，产生落地油量为0.0</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t</w:t>
      </w:r>
      <w:r>
        <w:rPr>
          <w:snapToGrid w:val="0"/>
          <w:color w:val="000000" w:themeColor="text1"/>
          <w:spacing w:val="4"/>
          <w:szCs w:val="22"/>
          <w:highlight w:val="none"/>
          <w14:textFill>
            <w14:solidFill>
              <w14:schemeClr w14:val="tx1"/>
            </w14:solidFill>
          </w14:textFill>
        </w:rPr>
        <w:t>，</w:t>
      </w:r>
      <w:r>
        <w:rPr>
          <w:color w:val="000000" w:themeColor="text1"/>
          <w:highlight w:val="none"/>
          <w14:textFill>
            <w14:solidFill>
              <w14:schemeClr w14:val="tx1"/>
            </w14:solidFill>
          </w14:textFill>
        </w:rPr>
        <w:t>落地油回收率为100%，</w:t>
      </w:r>
      <w:r>
        <w:rPr>
          <w:snapToGrid w:val="0"/>
          <w:color w:val="000000" w:themeColor="text1"/>
          <w:spacing w:val="4"/>
          <w:szCs w:val="22"/>
          <w:highlight w:val="none"/>
          <w14:textFill>
            <w14:solidFill>
              <w14:schemeClr w14:val="tx1"/>
            </w14:solidFill>
          </w14:textFill>
        </w:rPr>
        <w:t>井下作业时带罐作业</w:t>
      </w:r>
      <w:r>
        <w:rPr>
          <w:rFonts w:hint="eastAsia"/>
          <w:snapToGrid w:val="0"/>
          <w:color w:val="000000" w:themeColor="text1"/>
          <w:spacing w:val="4"/>
          <w:szCs w:val="22"/>
          <w:highlight w:val="none"/>
          <w14:textFill>
            <w14:solidFill>
              <w14:schemeClr w14:val="tx1"/>
            </w14:solidFill>
          </w14:textFill>
        </w:rPr>
        <w:t>，</w:t>
      </w:r>
      <w:r>
        <w:rPr>
          <w:color w:val="000000" w:themeColor="text1"/>
          <w:highlight w:val="none"/>
          <w14:textFill>
            <w14:solidFill>
              <w14:schemeClr w14:val="tx1"/>
            </w14:solidFill>
          </w14:textFill>
        </w:rPr>
        <w:t>直接在作业施工现场由施工人员回收至罐车内，不在施工井场储存，</w:t>
      </w:r>
      <w:r>
        <w:rPr>
          <w:snapToGrid w:val="0"/>
          <w:color w:val="000000" w:themeColor="text1"/>
          <w:spacing w:val="4"/>
          <w:szCs w:val="22"/>
          <w:highlight w:val="none"/>
          <w14:textFill>
            <w14:solidFill>
              <w14:schemeClr w14:val="tx1"/>
            </w14:solidFill>
          </w14:textFill>
        </w:rPr>
        <w:t>对于</w:t>
      </w:r>
      <w:r>
        <w:rPr>
          <w:color w:val="000000" w:themeColor="text1"/>
          <w:highlight w:val="none"/>
          <w14:textFill>
            <w14:solidFill>
              <w14:schemeClr w14:val="tx1"/>
            </w14:solidFill>
          </w14:textFill>
        </w:rPr>
        <w:t>突发环境事件产生的落地油</w:t>
      </w:r>
      <w:r>
        <w:rPr>
          <w:snapToGrid w:val="0"/>
          <w:color w:val="000000" w:themeColor="text1"/>
          <w:spacing w:val="4"/>
          <w:szCs w:val="22"/>
          <w:highlight w:val="none"/>
          <w14:textFill>
            <w14:solidFill>
              <w14:schemeClr w14:val="tx1"/>
            </w14:solidFill>
          </w14:textFill>
        </w:rPr>
        <w:t>（如管线泄漏等），委托有资质单位进行无害化处理。</w:t>
      </w:r>
    </w:p>
    <w:p w14:paraId="48DE2E7C">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④废润滑油</w:t>
      </w:r>
    </w:p>
    <w:p w14:paraId="7E79BBA6">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kern w:val="2"/>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废润滑油主要来自设备维修过程，属于《国家危险废物名录（2025年版）》，HW08类危险废物（废物代码：900-214-08）。废润滑油间歇产生，本项目共3口井，</w:t>
      </w:r>
      <w:r>
        <w:rPr>
          <w:rFonts w:hint="eastAsia" w:cs="Times New Roman"/>
          <w:color w:val="000000" w:themeColor="text1"/>
          <w:kern w:val="0"/>
          <w:sz w:val="24"/>
          <w:szCs w:val="24"/>
          <w:highlight w:val="none"/>
          <w:lang w:val="en-US" w:eastAsia="zh-CN" w:bidi="ar-SA"/>
          <w14:textFill>
            <w14:solidFill>
              <w14:schemeClr w14:val="tx1"/>
            </w14:solidFill>
          </w14:textFill>
        </w:rPr>
        <w:t>施工期</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废润滑油产生量约0</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.5t，</w:t>
      </w:r>
      <w:bookmarkStart w:id="602" w:name="OLE_LINK1012"/>
      <w:r>
        <w:rPr>
          <w:rFonts w:hint="eastAsia" w:cs="Times New Roman"/>
          <w:color w:val="000000" w:themeColor="text1"/>
          <w:kern w:val="0"/>
          <w:sz w:val="24"/>
          <w:szCs w:val="24"/>
          <w:highlight w:val="none"/>
          <w:lang w:val="en-US" w:eastAsia="zh-CN" w:bidi="ar-SA"/>
          <w14:textFill>
            <w14:solidFill>
              <w14:schemeClr w14:val="tx1"/>
            </w14:solidFill>
          </w14:textFill>
        </w:rPr>
        <w:t>收集后</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bookmarkEnd w:id="602"/>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536D7913">
      <w:pPr>
        <w:pStyle w:val="65"/>
        <w:pageBreakBefore w:val="0"/>
        <w:kinsoku/>
        <w:overflowPunct/>
        <w:topLinePunct w:val="0"/>
        <w:autoSpaceDE/>
        <w:autoSpaceDN/>
        <w:bidi w:val="0"/>
        <w:adjustRightInd w:val="0"/>
        <w:snapToGrid w:val="0"/>
        <w:spacing w:line="360" w:lineRule="auto"/>
        <w:ind w:firstLine="480"/>
        <w:rPr>
          <w:rFonts w:hint="eastAsia" w:cs="Times New Roman"/>
          <w:color w:val="000000" w:themeColor="text1"/>
          <w:kern w:val="2"/>
          <w:sz w:val="25"/>
          <w:szCs w:val="25"/>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⑤</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eastAsia" w:cs="Times New Roman"/>
          <w:color w:val="000000" w:themeColor="text1"/>
          <w:kern w:val="2"/>
          <w:sz w:val="25"/>
          <w:szCs w:val="25"/>
          <w:highlight w:val="none"/>
          <w:lang w:val="en-US" w:eastAsia="zh-CN"/>
          <w14:textFill>
            <w14:solidFill>
              <w14:schemeClr w14:val="tx1"/>
            </w14:solidFill>
          </w14:textFill>
        </w:rPr>
        <w:t>废烧碱包装材料</w:t>
      </w:r>
    </w:p>
    <w:p w14:paraId="2492717A">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kern w:val="2"/>
          <w:sz w:val="25"/>
          <w:szCs w:val="25"/>
          <w:highlight w:val="none"/>
          <w:lang w:val="en-US" w:eastAsia="zh-CN"/>
          <w14:textFill>
            <w14:solidFill>
              <w14:schemeClr w14:val="tx1"/>
            </w14:solidFill>
          </w14:textFill>
        </w:rPr>
        <w:t>钻井施工过程中配制钻井泥浆时会产生少量废烧碱包装袋，属于危险废物HW49（900-047-49），需及时回收处置。钻井期间单井产生的废烧碱包装袋约为0.1t/口，本项目3口井，烧碱废包装袋产生量为0.3t，集中收集后暂存于铁桶内，收集后由区域具有危废处置资质的公司拉运处置。</w:t>
      </w:r>
    </w:p>
    <w:p w14:paraId="033CFEA1">
      <w:pPr>
        <w:pStyle w:val="64"/>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baseline"/>
        <w:outlineLvl w:val="9"/>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eastAsia" w:cs="Times New Roman"/>
          <w:color w:val="000000" w:themeColor="text1"/>
          <w:kern w:val="2"/>
          <w:sz w:val="25"/>
          <w:szCs w:val="25"/>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施工废料</w:t>
      </w:r>
    </w:p>
    <w:p w14:paraId="6AC9FE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施工废料主要包括边角料等。根据类比调查，本工程施工废料产生量约为0.24t。施工废料应首先考虑回收利用，不可回收利用部分拉运至当地固废填埋场处置。</w:t>
      </w:r>
    </w:p>
    <w:p w14:paraId="6B940A2F">
      <w:pPr>
        <w:pStyle w:val="65"/>
        <w:pageBreakBefore w:val="0"/>
        <w:kinsoku/>
        <w:overflowPunct/>
        <w:topLinePunct w:val="0"/>
        <w:autoSpaceDE/>
        <w:autoSpaceDN/>
        <w:bidi w:val="0"/>
        <w:adjustRightInd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begin"/>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⑦</w:t>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土石方平衡</w:t>
      </w:r>
    </w:p>
    <w:p w14:paraId="071C60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井场及道路施工过程产生的土方回填至挖方处或回填至周边低洼场地，并实施压实平整水土保持措施。</w:t>
      </w:r>
    </w:p>
    <w:p w14:paraId="4898FB08">
      <w:pPr>
        <w:pStyle w:val="11"/>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4"/>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3</w:t>
      </w:r>
      <w:r>
        <w:rPr>
          <w:rFonts w:hint="default" w:ascii="Times New Roman" w:hAnsi="Times New Roman" w:cs="Times New Roman"/>
          <w:b/>
          <w:bCs/>
          <w:color w:val="000000" w:themeColor="text1"/>
          <w:highlight w:val="none"/>
          <w:lang w:eastAsia="zh-CN"/>
          <w14:textFill>
            <w14:solidFill>
              <w14:schemeClr w14:val="tx1"/>
            </w14:solidFill>
          </w14:textFill>
        </w:rPr>
        <w:t>）</w:t>
      </w:r>
      <w:bookmarkStart w:id="603" w:name="OLE_LINK294"/>
      <w:r>
        <w:rPr>
          <w:rFonts w:hint="default" w:ascii="Times New Roman" w:hAnsi="Times New Roman" w:cs="Times New Roman"/>
          <w:b/>
          <w:bCs/>
          <w:color w:val="000000" w:themeColor="text1"/>
          <w:highlight w:val="none"/>
          <w14:textFill>
            <w14:solidFill>
              <w14:schemeClr w14:val="tx1"/>
            </w14:solidFill>
          </w14:textFill>
        </w:rPr>
        <w:t>废气污染源</w:t>
      </w:r>
      <w:bookmarkEnd w:id="603"/>
    </w:p>
    <w:p w14:paraId="36E1A1A2">
      <w:pPr>
        <w:pStyle w:val="11"/>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在施工期对环境空气的影响</w:t>
      </w:r>
      <w:r>
        <w:rPr>
          <w:rFonts w:hint="default" w:ascii="Times New Roman" w:hAnsi="Times New Roman" w:cs="Times New Roman"/>
          <w:color w:val="000000" w:themeColor="text1"/>
          <w:highlight w:val="none"/>
          <w:lang w:val="en-US" w:eastAsia="zh-CN"/>
          <w14:textFill>
            <w14:solidFill>
              <w14:schemeClr w14:val="tx1"/>
            </w14:solidFill>
          </w14:textFill>
        </w:rPr>
        <w:t>包括施工扬尘、施工车辆尾气</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储层改造废气</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放喷废气、油基泥浆和油基岩屑暂存废气。</w:t>
      </w:r>
    </w:p>
    <w:p w14:paraId="346CF91F">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bookmarkStart w:id="604" w:name="OLE_LINK285"/>
      <w:r>
        <w:rPr>
          <w:rFonts w:hint="eastAsia"/>
          <w:color w:val="000000" w:themeColor="text1"/>
          <w:highlight w:val="none"/>
          <w:lang w:val="en-US" w:eastAsia="zh-CN"/>
          <w14:textFill>
            <w14:solidFill>
              <w14:schemeClr w14:val="tx1"/>
            </w14:solidFill>
          </w14:textFill>
        </w:rPr>
        <w:t>①</w:t>
      </w:r>
      <w:r>
        <w:rPr>
          <w:color w:val="000000" w:themeColor="text1"/>
          <w:highlight w:val="none"/>
          <w14:textFill>
            <w14:solidFill>
              <w14:schemeClr w14:val="tx1"/>
            </w14:solidFill>
          </w14:textFill>
        </w:rPr>
        <w:t>施工扬尘</w:t>
      </w:r>
    </w:p>
    <w:p w14:paraId="74A6BDA2">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施工扬尘主要来自池体开挖、车辆运输过程中产生，井场施工过程中池体开挖周期较短，且井场采取洒水抑尘，运输车辆采取减速慢行和苫盖措施，可有效降低扬尘对周围大气环境的不利影响。</w:t>
      </w:r>
    </w:p>
    <w:p w14:paraId="0BE0C28A">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color w:val="000000" w:themeColor="text1"/>
          <w:highlight w:val="none"/>
          <w14:textFill>
            <w14:solidFill>
              <w14:schemeClr w14:val="tx1"/>
            </w14:solidFill>
          </w14:textFill>
        </w:rPr>
        <w:t>车辆尾气</w:t>
      </w:r>
    </w:p>
    <w:p w14:paraId="4500FCD0">
      <w:pPr>
        <w:pStyle w:val="12"/>
        <w:rPr>
          <w:rFonts w:hint="default" w:ascii="Times New Roman" w:hAnsi="Times New Roman" w:cs="Times New Roman"/>
          <w:color w:val="000000" w:themeColor="text1"/>
          <w:sz w:val="24"/>
          <w:szCs w:val="20"/>
          <w:highlight w:val="none"/>
          <w:lang w:val="en-US" w:eastAsia="zh-CN" w:bidi="ar-SA"/>
          <w14:textFill>
            <w14:solidFill>
              <w14:schemeClr w14:val="tx1"/>
            </w14:solidFill>
          </w14:textFill>
        </w:rPr>
      </w:pPr>
      <w:r>
        <w:rPr>
          <w:rFonts w:hint="eastAsia" w:cs="Times New Roman"/>
          <w:color w:val="000000" w:themeColor="text1"/>
          <w:sz w:val="24"/>
          <w:szCs w:val="20"/>
          <w:highlight w:val="none"/>
          <w:lang w:val="en-US" w:eastAsia="zh-CN" w:bidi="ar-SA"/>
          <w14:textFill>
            <w14:solidFill>
              <w14:schemeClr w14:val="tx1"/>
            </w14:solidFill>
          </w14:textFill>
        </w:rPr>
        <w:t>在油气田钻井工程和地面工程施工中使用多种燃油机动设备和运输车辆，</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会产生机械设备和车辆内燃机燃料燃烧废气，其污染物主要有颗粒物、SO</w:t>
      </w:r>
      <w:r>
        <w:rPr>
          <w:rFonts w:hint="default" w:ascii="Times New Roman" w:hAnsi="Times New Roman" w:eastAsia="宋体" w:cs="Times New Roman"/>
          <w:color w:val="000000" w:themeColor="text1"/>
          <w:sz w:val="24"/>
          <w:szCs w:val="20"/>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sz w:val="24"/>
          <w:szCs w:val="20"/>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等</w:t>
      </w:r>
      <w:r>
        <w:rPr>
          <w:rFonts w:hint="default" w:ascii="Times New Roman" w:hAnsi="Times New Roman" w:cs="Times New Roman"/>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施工机械和</w:t>
      </w:r>
      <w:bookmarkStart w:id="605" w:name="OLE_LINK286"/>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运输</w:t>
      </w:r>
      <w:bookmarkEnd w:id="605"/>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车辆运行时间一般都较短，从影响范围和程度来看，对周围大气环境的影响是有限的</w:t>
      </w:r>
      <w:r>
        <w:rPr>
          <w:rFonts w:hint="default" w:ascii="Times New Roman" w:hAnsi="Times New Roman" w:cs="Times New Roman"/>
          <w:color w:val="000000" w:themeColor="text1"/>
          <w:sz w:val="24"/>
          <w:szCs w:val="20"/>
          <w:highlight w:val="none"/>
          <w:lang w:val="en-US" w:eastAsia="zh-CN" w:bidi="ar-SA"/>
          <w14:textFill>
            <w14:solidFill>
              <w14:schemeClr w14:val="tx1"/>
            </w14:solidFill>
          </w14:textFill>
        </w:rPr>
        <w:t>。</w:t>
      </w:r>
    </w:p>
    <w:p w14:paraId="40E98027">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储层改造废气</w:t>
      </w:r>
    </w:p>
    <w:p w14:paraId="13B8C7DE">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储层改造过程废气主要来源于压裂液现场暂存过程、压裂液注入过程以及压裂返排液暂存过程中产生的废气，主要为HCl</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非甲烷总烃</w:t>
      </w:r>
      <w:r>
        <w:rPr>
          <w:color w:val="000000" w:themeColor="text1"/>
          <w:highlight w:val="none"/>
          <w14:textFill>
            <w14:solidFill>
              <w14:schemeClr w14:val="tx1"/>
            </w14:solidFill>
          </w14:textFill>
        </w:rPr>
        <w:t>等，</w:t>
      </w:r>
      <w:r>
        <w:rPr>
          <w:rFonts w:hint="default" w:ascii="Times New Roman" w:hAnsi="Times New Roman" w:eastAsia="宋体" w:cs="Times New Roman"/>
          <w:color w:val="000000" w:themeColor="text1"/>
          <w:highlight w:val="none"/>
          <w14:textFill>
            <w14:solidFill>
              <w14:schemeClr w14:val="tx1"/>
            </w14:solidFill>
          </w14:textFill>
        </w:rPr>
        <w:t>采用专用废液收集罐收集后运至阿克苏塔河环保工程有限公司绿色环保工作站进行无害化处置</w:t>
      </w:r>
      <w:r>
        <w:rPr>
          <w:color w:val="000000" w:themeColor="text1"/>
          <w:highlight w:val="none"/>
          <w14:textFill>
            <w14:solidFill>
              <w14:schemeClr w14:val="tx1"/>
            </w14:solidFill>
          </w14:textFill>
        </w:rPr>
        <w:t>，有效降低废气排放。</w:t>
      </w:r>
    </w:p>
    <w:p w14:paraId="732D4FAC">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color w:val="000000" w:themeColor="text1"/>
          <w:highlight w:val="none"/>
          <w14:textFill>
            <w14:solidFill>
              <w14:schemeClr w14:val="tx1"/>
            </w14:solidFill>
          </w14:textFill>
        </w:rPr>
        <w:t>放喷废气</w:t>
      </w:r>
    </w:p>
    <w:p w14:paraId="0A39E146">
      <w:pPr>
        <w:pStyle w:val="81"/>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本工程试油期间分离出的</w:t>
      </w:r>
      <w:r>
        <w:rPr>
          <w:rFonts w:hint="eastAsia"/>
          <w:color w:val="000000" w:themeColor="text1"/>
          <w:highlight w:val="none"/>
          <w:lang w:val="en-US" w:eastAsia="zh-CN"/>
          <w14:textFill>
            <w14:solidFill>
              <w14:schemeClr w14:val="tx1"/>
            </w14:solidFill>
          </w14:textFill>
        </w:rPr>
        <w:t>天然气</w:t>
      </w:r>
      <w:r>
        <w:rPr>
          <w:color w:val="000000" w:themeColor="text1"/>
          <w:highlight w:val="none"/>
          <w14:textFill>
            <w14:solidFill>
              <w14:schemeClr w14:val="tx1"/>
            </w14:solidFill>
          </w14:textFill>
        </w:rPr>
        <w:t>经过管线引至放喷池燃烧后排放，属短期排放。据此，试油期间大气污染物主要为天然气燃烧过程产生的烟尘、SO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、NOx 等。油气测试期为</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天</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工程试油期放喷时间较短，因此试油期间废气污染物排放量较小，且项目所在区域空旷，容易扩散，油气测试伴生气放喷期间井场周界外污染物排放满足《大气污染物综合排放标准》（GB16297-1996）无组织排放监控限值；井场边界非甲烷总烃排放满足《陆上石油天然气开采工业大气污染物排放标准》（GB39728-2020）相关要求，不会对周围环境和工作人员的健康造成明显不利影响。</w:t>
      </w:r>
    </w:p>
    <w:p w14:paraId="6983FC37">
      <w:pPr>
        <w:keepNext w:val="0"/>
        <w:keepLines w:val="0"/>
        <w:pageBreakBefore w:val="0"/>
        <w:widowControl/>
        <w:kinsoku/>
        <w:wordWrap/>
        <w:overflowPunct/>
        <w:topLinePunct w:val="0"/>
        <w:autoSpaceDE/>
        <w:autoSpaceDN/>
        <w:bidi w:val="0"/>
        <w:spacing w:line="360" w:lineRule="auto"/>
        <w:ind w:firstLine="480" w:firstLineChars="200"/>
        <w:jc w:val="both"/>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本工程新建的放喷池执行《石油天然气钻井、开发、储运防火防爆安全生产技术规程》（SY/T 5225-2019）关于放喷池选址要求及放喷撤离要求，测试放喷废气不会对周围环境和工作人员的健康产生明显不利影响。</w:t>
      </w:r>
    </w:p>
    <w:p w14:paraId="0AAF7560">
      <w:pPr>
        <w:pStyle w:val="81"/>
        <w:ind w:firstLine="482"/>
        <w:rPr>
          <w:rFonts w:hint="default" w:eastAsia="宋体"/>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⑤</w:t>
      </w:r>
      <w:r>
        <w:rPr>
          <w:rFonts w:hint="eastAsia"/>
          <w:color w:val="000000" w:themeColor="text1"/>
          <w:highlight w:val="none"/>
          <w14:textFill>
            <w14:solidFill>
              <w14:schemeClr w14:val="tx1"/>
            </w14:solidFill>
          </w14:textFill>
        </w:rPr>
        <w:t>油基泥浆和油基岩屑</w:t>
      </w:r>
      <w:r>
        <w:rPr>
          <w:rFonts w:hint="eastAsia"/>
          <w:color w:val="000000" w:themeColor="text1"/>
          <w:highlight w:val="none"/>
          <w:lang w:val="en-US" w:eastAsia="zh-CN"/>
          <w14:textFill>
            <w14:solidFill>
              <w14:schemeClr w14:val="tx1"/>
            </w14:solidFill>
          </w14:textFill>
        </w:rPr>
        <w:t>暂存废气</w:t>
      </w:r>
    </w:p>
    <w:p w14:paraId="721A4CDB">
      <w:pPr>
        <w:pStyle w:val="81"/>
        <w:ind w:firstLine="482"/>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钻井期间</w:t>
      </w:r>
      <w:r>
        <w:rPr>
          <w:rFonts w:hint="eastAsia"/>
          <w:b w:val="0"/>
          <w:bCs w:val="0"/>
          <w:color w:val="000000" w:themeColor="text1"/>
          <w:highlight w:val="none"/>
          <w14:textFill>
            <w14:solidFill>
              <w14:schemeClr w14:val="tx1"/>
            </w14:solidFill>
          </w14:textFill>
        </w:rPr>
        <w:t>废弃油基泥浆和废弃油基岩屑在钻井井场配置储罐集中储存，暂存过程中产生的废气主要为非甲烷总烃，</w:t>
      </w:r>
      <w:r>
        <w:rPr>
          <w:color w:val="000000" w:themeColor="text1"/>
          <w:highlight w:val="none"/>
          <w14:textFill>
            <w14:solidFill>
              <w14:schemeClr w14:val="tx1"/>
            </w14:solidFill>
          </w14:textFill>
        </w:rPr>
        <w:t>采取</w:t>
      </w:r>
      <w:r>
        <w:rPr>
          <w:rFonts w:hint="eastAsia"/>
          <w:b w:val="0"/>
          <w:bCs w:val="0"/>
          <w:color w:val="000000" w:themeColor="text1"/>
          <w:highlight w:val="none"/>
          <w14:textFill>
            <w14:solidFill>
              <w14:schemeClr w14:val="tx1"/>
            </w14:solidFill>
          </w14:textFill>
        </w:rPr>
        <w:t>储</w:t>
      </w:r>
      <w:r>
        <w:rPr>
          <w:color w:val="000000" w:themeColor="text1"/>
          <w:highlight w:val="none"/>
          <w14:textFill>
            <w14:solidFill>
              <w14:schemeClr w14:val="tx1"/>
            </w14:solidFill>
          </w14:textFill>
        </w:rPr>
        <w:t>罐存放措施，有效降低废气排放。</w:t>
      </w:r>
    </w:p>
    <w:bookmarkEnd w:id="604"/>
    <w:p w14:paraId="04B1D7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4"/>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4</w:t>
      </w: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噪声污染源</w:t>
      </w:r>
    </w:p>
    <w:p w14:paraId="01230342">
      <w:pPr>
        <w:pStyle w:val="1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本工程施工期噪声主要包括钻井工程、土方施工、各类施工机械和运输车辆产生的噪声。</w:t>
      </w:r>
      <w:r>
        <w:rPr>
          <w:rFonts w:hint="default" w:ascii="Times New Roman" w:hAnsi="Times New Roman" w:cs="Times New Roman"/>
          <w:color w:val="000000" w:themeColor="text1"/>
          <w:szCs w:val="24"/>
          <w:highlight w:val="none"/>
          <w14:textFill>
            <w14:solidFill>
              <w14:schemeClr w14:val="tx1"/>
            </w14:solidFill>
          </w14:textFill>
        </w:rPr>
        <w:t>参照《</w:t>
      </w:r>
      <w:bookmarkStart w:id="606" w:name="OLE_LINK291"/>
      <w:r>
        <w:rPr>
          <w:rFonts w:hint="default" w:ascii="Times New Roman" w:hAnsi="Times New Roman" w:cs="Times New Roman"/>
          <w:color w:val="000000" w:themeColor="text1"/>
          <w:szCs w:val="24"/>
          <w:highlight w:val="none"/>
          <w14:textFill>
            <w14:solidFill>
              <w14:schemeClr w14:val="tx1"/>
            </w14:solidFill>
          </w14:textFill>
        </w:rPr>
        <w:t>环境噪声与振动控制工程技术导则</w:t>
      </w:r>
      <w:bookmarkEnd w:id="606"/>
      <w:r>
        <w:rPr>
          <w:rFonts w:hint="default" w:ascii="Times New Roman" w:hAnsi="Times New Roman" w:cs="Times New Roman"/>
          <w:color w:val="000000" w:themeColor="text1"/>
          <w:szCs w:val="24"/>
          <w:highlight w:val="none"/>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HJ 2034-2013</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中表A.2和类比油田开发工程中井场</w:t>
      </w:r>
      <w:r>
        <w:rPr>
          <w:rFonts w:hint="eastAsia" w:ascii="Times New Roman" w:hAnsi="Times New Roman" w:cs="Times New Roman"/>
          <w:color w:val="000000" w:themeColor="text1"/>
          <w:szCs w:val="24"/>
          <w:highlight w:val="none"/>
          <w:lang w:eastAsia="zh-CN"/>
          <w14:textFill>
            <w14:solidFill>
              <w14:schemeClr w14:val="tx1"/>
            </w14:solidFill>
          </w14:textFill>
        </w:rPr>
        <w:t>和</w:t>
      </w:r>
      <w:r>
        <w:rPr>
          <w:rFonts w:hint="default" w:ascii="Times New Roman" w:hAnsi="Times New Roman" w:cs="Times New Roman"/>
          <w:color w:val="000000" w:themeColor="text1"/>
          <w:szCs w:val="24"/>
          <w:highlight w:val="none"/>
          <w14:textFill>
            <w14:solidFill>
              <w14:schemeClr w14:val="tx1"/>
            </w14:solidFill>
          </w14:textFill>
        </w:rPr>
        <w:t>管线铺设实际情况，</w:t>
      </w:r>
      <w:r>
        <w:rPr>
          <w:rFonts w:hint="eastAsia" w:ascii="Times New Roman" w:hAnsi="Times New Roman" w:cs="Times New Roman"/>
          <w:color w:val="000000" w:themeColor="text1"/>
          <w:szCs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Cs w:val="24"/>
          <w:highlight w:val="none"/>
          <w14:textFill>
            <w14:solidFill>
              <w14:schemeClr w14:val="tx1"/>
            </w14:solidFill>
          </w14:textFill>
        </w:rPr>
        <w:t>施工期拟采用的各类施工设备产噪值见表3.</w:t>
      </w:r>
      <w:r>
        <w:rPr>
          <w:rFonts w:hint="eastAsia" w:ascii="Times New Roman" w:hAnsi="Times New Roman" w:cs="Times New Roman"/>
          <w:color w:val="000000" w:themeColor="text1"/>
          <w:szCs w:val="24"/>
          <w:highlight w:val="none"/>
          <w:lang w:val="en-US" w:eastAsia="zh-CN"/>
          <w14:textFill>
            <w14:solidFill>
              <w14:schemeClr w14:val="tx1"/>
            </w14:solidFill>
          </w14:textFill>
        </w:rPr>
        <w:t>3-3</w:t>
      </w:r>
      <w:r>
        <w:rPr>
          <w:rFonts w:hint="default" w:ascii="Times New Roman" w:hAnsi="Times New Roman" w:cs="Times New Roman"/>
          <w:color w:val="000000" w:themeColor="text1"/>
          <w:szCs w:val="24"/>
          <w:highlight w:val="none"/>
          <w:lang w:val="en-US" w:eastAsia="zh-CN"/>
          <w14:textFill>
            <w14:solidFill>
              <w14:schemeClr w14:val="tx1"/>
            </w14:solidFill>
          </w14:textFill>
        </w:rPr>
        <w:t>。</w:t>
      </w:r>
    </w:p>
    <w:p w14:paraId="2DCFD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3-3   </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主要施工设备噪声源不同距离声压级</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单位：dB（A）/m</w:t>
      </w:r>
    </w:p>
    <w:tbl>
      <w:tblPr>
        <w:tblStyle w:val="38"/>
        <w:tblW w:w="8650"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3662"/>
        <w:gridCol w:w="3663"/>
      </w:tblGrid>
      <w:tr w14:paraId="3AFB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5" w:type="dxa"/>
            <w:vAlign w:val="center"/>
          </w:tcPr>
          <w:p w14:paraId="5E8EF441">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bookmarkStart w:id="607" w:name="_Toc180591660"/>
            <w:r>
              <w:rPr>
                <w:rFonts w:hint="eastAsia"/>
                <w:b/>
                <w:bCs w:val="0"/>
                <w:color w:val="000000" w:themeColor="text1"/>
                <w:sz w:val="21"/>
                <w:szCs w:val="21"/>
                <w:highlight w:val="none"/>
                <w14:textFill>
                  <w14:solidFill>
                    <w14:schemeClr w14:val="tx1"/>
                  </w14:solidFill>
                </w14:textFill>
              </w:rPr>
              <w:t>序号</w:t>
            </w:r>
            <w:bookmarkEnd w:id="607"/>
          </w:p>
        </w:tc>
        <w:tc>
          <w:tcPr>
            <w:tcW w:w="3662" w:type="dxa"/>
            <w:vAlign w:val="center"/>
          </w:tcPr>
          <w:p w14:paraId="373B93F3">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bookmarkStart w:id="608" w:name="_Toc180591661"/>
            <w:r>
              <w:rPr>
                <w:rFonts w:hint="eastAsia"/>
                <w:b/>
                <w:bCs w:val="0"/>
                <w:color w:val="000000" w:themeColor="text1"/>
                <w:sz w:val="21"/>
                <w:szCs w:val="21"/>
                <w:highlight w:val="none"/>
                <w14:textFill>
                  <w14:solidFill>
                    <w14:schemeClr w14:val="tx1"/>
                  </w14:solidFill>
                </w14:textFill>
              </w:rPr>
              <w:t>设备名称</w:t>
            </w:r>
            <w:bookmarkEnd w:id="608"/>
          </w:p>
        </w:tc>
        <w:tc>
          <w:tcPr>
            <w:tcW w:w="3663" w:type="dxa"/>
            <w:vAlign w:val="center"/>
          </w:tcPr>
          <w:p w14:paraId="453F2BF1">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color w:val="000000" w:themeColor="text1"/>
                <w:sz w:val="21"/>
                <w:szCs w:val="21"/>
                <w:highlight w:val="none"/>
                <w14:textFill>
                  <w14:solidFill>
                    <w14:schemeClr w14:val="tx1"/>
                  </w14:solidFill>
                </w14:textFill>
              </w:rPr>
            </w:pPr>
            <w:bookmarkStart w:id="609" w:name="_Toc180591662"/>
            <w:r>
              <w:rPr>
                <w:b/>
                <w:bCs w:val="0"/>
                <w:color w:val="000000" w:themeColor="text1"/>
                <w:sz w:val="21"/>
                <w:szCs w:val="21"/>
                <w:highlight w:val="none"/>
                <w:lang w:bidi="ar"/>
                <w14:textFill>
                  <w14:solidFill>
                    <w14:schemeClr w14:val="tx1"/>
                  </w14:solidFill>
                </w14:textFill>
              </w:rPr>
              <w:t>噪声值/距离</w:t>
            </w:r>
            <w:bookmarkEnd w:id="609"/>
          </w:p>
        </w:tc>
      </w:tr>
      <w:tr w14:paraId="713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14:paraId="16F94C5D">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1</w:t>
            </w:r>
          </w:p>
        </w:tc>
        <w:tc>
          <w:tcPr>
            <w:tcW w:w="3662" w:type="dxa"/>
            <w:vAlign w:val="center"/>
          </w:tcPr>
          <w:p w14:paraId="00CE2CFC">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装载机</w:t>
            </w:r>
          </w:p>
        </w:tc>
        <w:tc>
          <w:tcPr>
            <w:tcW w:w="3663" w:type="dxa"/>
            <w:vAlign w:val="center"/>
          </w:tcPr>
          <w:p w14:paraId="45B1C3C4">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90</w:t>
            </w:r>
            <w:r>
              <w:rPr>
                <w:color w:val="000000" w:themeColor="text1"/>
                <w:sz w:val="21"/>
                <w:szCs w:val="21"/>
                <w:highlight w:val="none"/>
                <w:lang w:bidi="ar"/>
                <w14:textFill>
                  <w14:solidFill>
                    <w14:schemeClr w14:val="tx1"/>
                  </w14:solidFill>
                </w14:textFill>
              </w:rPr>
              <w:t>/5</w:t>
            </w:r>
          </w:p>
        </w:tc>
      </w:tr>
      <w:tr w14:paraId="4C58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14:paraId="44FC1F76">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2</w:t>
            </w:r>
          </w:p>
        </w:tc>
        <w:tc>
          <w:tcPr>
            <w:tcW w:w="3662" w:type="dxa"/>
            <w:vAlign w:val="center"/>
          </w:tcPr>
          <w:p w14:paraId="16C51145">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挖掘机</w:t>
            </w:r>
          </w:p>
        </w:tc>
        <w:tc>
          <w:tcPr>
            <w:tcW w:w="3663" w:type="dxa"/>
            <w:vAlign w:val="center"/>
          </w:tcPr>
          <w:p w14:paraId="5843B4B2">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80</w:t>
            </w:r>
            <w:r>
              <w:rPr>
                <w:color w:val="000000" w:themeColor="text1"/>
                <w:sz w:val="21"/>
                <w:szCs w:val="21"/>
                <w:highlight w:val="none"/>
                <w:lang w:bidi="ar"/>
                <w14:textFill>
                  <w14:solidFill>
                    <w14:schemeClr w14:val="tx1"/>
                  </w14:solidFill>
                </w14:textFill>
              </w:rPr>
              <w:t>/5</w:t>
            </w:r>
          </w:p>
        </w:tc>
      </w:tr>
      <w:tr w14:paraId="4977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14:paraId="7A6095C1">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3</w:t>
            </w:r>
          </w:p>
        </w:tc>
        <w:tc>
          <w:tcPr>
            <w:tcW w:w="3662" w:type="dxa"/>
            <w:vAlign w:val="center"/>
          </w:tcPr>
          <w:p w14:paraId="5BE61211">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运输车辆</w:t>
            </w:r>
          </w:p>
        </w:tc>
        <w:tc>
          <w:tcPr>
            <w:tcW w:w="3663" w:type="dxa"/>
            <w:vAlign w:val="center"/>
          </w:tcPr>
          <w:p w14:paraId="1015E22F">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82</w:t>
            </w:r>
            <w:r>
              <w:rPr>
                <w:color w:val="000000" w:themeColor="text1"/>
                <w:sz w:val="21"/>
                <w:szCs w:val="21"/>
                <w:highlight w:val="none"/>
                <w:lang w:bidi="ar"/>
                <w14:textFill>
                  <w14:solidFill>
                    <w14:schemeClr w14:val="tx1"/>
                  </w14:solidFill>
                </w14:textFill>
              </w:rPr>
              <w:t>/5</w:t>
            </w:r>
          </w:p>
        </w:tc>
      </w:tr>
      <w:tr w14:paraId="3F45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14:paraId="5020CEBC">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4</w:t>
            </w:r>
          </w:p>
        </w:tc>
        <w:tc>
          <w:tcPr>
            <w:tcW w:w="3662" w:type="dxa"/>
            <w:vAlign w:val="center"/>
          </w:tcPr>
          <w:p w14:paraId="47AD7BD3">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压路机</w:t>
            </w:r>
          </w:p>
        </w:tc>
        <w:tc>
          <w:tcPr>
            <w:tcW w:w="3663" w:type="dxa"/>
            <w:vAlign w:val="center"/>
          </w:tcPr>
          <w:p w14:paraId="4DE281C1">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8</w:t>
            </w:r>
            <w:r>
              <w:rPr>
                <w:color w:val="000000" w:themeColor="text1"/>
                <w:sz w:val="21"/>
                <w:szCs w:val="21"/>
                <w:highlight w:val="none"/>
                <w:lang w:bidi="ar"/>
                <w14:textFill>
                  <w14:solidFill>
                    <w14:schemeClr w14:val="tx1"/>
                  </w14:solidFill>
                </w14:textFill>
              </w:rPr>
              <w:t>0/5</w:t>
            </w:r>
          </w:p>
        </w:tc>
      </w:tr>
      <w:tr w14:paraId="0FCA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14:paraId="7C24480F">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5</w:t>
            </w:r>
          </w:p>
        </w:tc>
        <w:tc>
          <w:tcPr>
            <w:tcW w:w="3662" w:type="dxa"/>
            <w:vAlign w:val="center"/>
          </w:tcPr>
          <w:p w14:paraId="6CB2504C">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推土机</w:t>
            </w:r>
          </w:p>
        </w:tc>
        <w:tc>
          <w:tcPr>
            <w:tcW w:w="3663" w:type="dxa"/>
            <w:vAlign w:val="center"/>
          </w:tcPr>
          <w:p w14:paraId="0990789D">
            <w:pPr>
              <w:pStyle w:val="4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83</w:t>
            </w:r>
            <w:r>
              <w:rPr>
                <w:color w:val="000000" w:themeColor="text1"/>
                <w:sz w:val="21"/>
                <w:szCs w:val="21"/>
                <w:highlight w:val="none"/>
                <w:lang w:bidi="ar"/>
                <w14:textFill>
                  <w14:solidFill>
                    <w14:schemeClr w14:val="tx1"/>
                  </w14:solidFill>
                </w14:textFill>
              </w:rPr>
              <w:t>/5</w:t>
            </w:r>
          </w:p>
        </w:tc>
      </w:tr>
      <w:bookmarkEnd w:id="575"/>
    </w:tbl>
    <w:p w14:paraId="29D5D2A9">
      <w:pPr>
        <w:pStyle w:val="11"/>
        <w:bidi w:val="0"/>
        <w:ind w:firstLine="482" w:firstLineChars="200"/>
        <w:outlineLvl w:val="4"/>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5</w:t>
      </w:r>
      <w:r>
        <w:rPr>
          <w:rFonts w:hint="default" w:ascii="Times New Roman" w:hAnsi="Times New Roman" w:cs="Times New Roman"/>
          <w:b/>
          <w:bCs/>
          <w:color w:val="000000" w:themeColor="text1"/>
          <w:highlight w:val="none"/>
          <w:lang w:eastAsia="zh-CN"/>
          <w14:textFill>
            <w14:solidFill>
              <w14:schemeClr w14:val="tx1"/>
            </w14:solidFill>
          </w14:textFill>
        </w:rPr>
        <w:t>）施工期</w:t>
      </w:r>
      <w:r>
        <w:rPr>
          <w:rFonts w:hint="default" w:ascii="Times New Roman" w:hAnsi="Times New Roman" w:cs="Times New Roman"/>
          <w:b/>
          <w:bCs/>
          <w:color w:val="000000" w:themeColor="text1"/>
          <w:highlight w:val="none"/>
          <w14:textFill>
            <w14:solidFill>
              <w14:schemeClr w14:val="tx1"/>
            </w14:solidFill>
          </w14:textFill>
        </w:rPr>
        <w:t>污染物排放汇总表</w:t>
      </w:r>
    </w:p>
    <w:p w14:paraId="24BBBE3D">
      <w:pPr>
        <w:pStyle w:val="11"/>
        <w:bidi w:val="0"/>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污染物排放汇总见表3.</w:t>
      </w:r>
      <w:r>
        <w:rPr>
          <w:rFonts w:hint="eastAsia" w:ascii="Times New Roman" w:hAnsi="Times New Roman" w:cs="Times New Roman"/>
          <w:color w:val="000000" w:themeColor="text1"/>
          <w:highlight w:val="none"/>
          <w:lang w:val="en-US" w:eastAsia="zh-CN"/>
          <w14:textFill>
            <w14:solidFill>
              <w14:schemeClr w14:val="tx1"/>
            </w14:solidFill>
          </w14:textFill>
        </w:rPr>
        <w:t>3-4</w:t>
      </w:r>
      <w:r>
        <w:rPr>
          <w:rFonts w:hint="default" w:ascii="Times New Roman" w:hAnsi="Times New Roman" w:cs="Times New Roman"/>
          <w:color w:val="000000" w:themeColor="text1"/>
          <w:highlight w:val="none"/>
          <w14:textFill>
            <w14:solidFill>
              <w14:schemeClr w14:val="tx1"/>
            </w14:solidFill>
          </w14:textFill>
        </w:rPr>
        <w:t>。</w:t>
      </w:r>
    </w:p>
    <w:p w14:paraId="11F9C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3-4</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 xml:space="preserve">  施工期污染物排放汇总</w:t>
      </w:r>
    </w:p>
    <w:tbl>
      <w:tblPr>
        <w:tblStyle w:val="37"/>
        <w:tblW w:w="86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3"/>
        <w:gridCol w:w="459"/>
        <w:gridCol w:w="1611"/>
        <w:gridCol w:w="1040"/>
        <w:gridCol w:w="1370"/>
        <w:gridCol w:w="3301"/>
      </w:tblGrid>
      <w:tr w14:paraId="59F3A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4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项 目</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8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工程</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E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污染源</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5F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主要污染物排放量</w:t>
            </w:r>
          </w:p>
        </w:tc>
        <w:tc>
          <w:tcPr>
            <w:tcW w:w="3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2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排放去向</w:t>
            </w:r>
          </w:p>
        </w:tc>
      </w:tr>
      <w:tr w14:paraId="61FB6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03"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77D6C5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污染源</w:t>
            </w:r>
          </w:p>
        </w:tc>
        <w:tc>
          <w:tcPr>
            <w:tcW w:w="459" w:type="dxa"/>
            <w:vMerge w:val="restart"/>
            <w:tcBorders>
              <w:top w:val="single" w:color="auto" w:sz="4" w:space="0"/>
              <w:left w:val="single" w:color="000000" w:sz="4" w:space="0"/>
              <w:right w:val="single" w:color="000000" w:sz="4" w:space="0"/>
            </w:tcBorders>
            <w:shd w:val="clear" w:color="auto" w:fill="auto"/>
            <w:vAlign w:val="center"/>
          </w:tcPr>
          <w:p w14:paraId="7C59A7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井场</w:t>
            </w:r>
          </w:p>
        </w:tc>
        <w:tc>
          <w:tcPr>
            <w:tcW w:w="1611" w:type="dxa"/>
            <w:tcBorders>
              <w:top w:val="single" w:color="auto" w:sz="4" w:space="0"/>
              <w:left w:val="single" w:color="000000" w:sz="4" w:space="0"/>
              <w:bottom w:val="single" w:color="000000" w:sz="4" w:space="0"/>
              <w:right w:val="single" w:color="000000" w:sz="4" w:space="0"/>
            </w:tcBorders>
            <w:shd w:val="clear" w:color="auto" w:fill="auto"/>
            <w:vAlign w:val="center"/>
          </w:tcPr>
          <w:p w14:paraId="5FF101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钻井废水</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4078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SS、COD、石油类、挥发酚、硫化物</w:t>
            </w:r>
          </w:p>
        </w:tc>
        <w:tc>
          <w:tcPr>
            <w:tcW w:w="137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5A4E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3128.395</w:t>
            </w:r>
            <w:r>
              <w:rPr>
                <w:rFonts w:ascii="Times New Roman" w:hAnsi="Times New Roman" w:eastAsia="宋体" w:cs="Times New Roman"/>
                <w:color w:val="000000" w:themeColor="text1"/>
                <w:sz w:val="21"/>
                <w:szCs w:val="21"/>
                <w:highlight w:val="none"/>
                <w14:textFill>
                  <w14:solidFill>
                    <w14:schemeClr w14:val="tx1"/>
                  </w14:solidFill>
                </w14:textFill>
              </w:rPr>
              <w:t>m³</w:t>
            </w:r>
          </w:p>
        </w:tc>
        <w:tc>
          <w:tcPr>
            <w:tcW w:w="3301" w:type="dxa"/>
            <w:tcBorders>
              <w:top w:val="single" w:color="auto" w:sz="4" w:space="0"/>
              <w:left w:val="single" w:color="000000" w:sz="4" w:space="0"/>
              <w:bottom w:val="single" w:color="000000" w:sz="4" w:space="0"/>
              <w:right w:val="single" w:color="000000" w:sz="4" w:space="0"/>
            </w:tcBorders>
            <w:shd w:val="clear" w:color="auto" w:fill="auto"/>
            <w:vAlign w:val="center"/>
          </w:tcPr>
          <w:p w14:paraId="50CCE2D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钻井废水连同钻井泥浆、岩屑一同进入井队固控系统进行分离处理，分离后的液体统一转运至阿克苏塔河环保工程有限公司绿色环保工作站处置</w:t>
            </w:r>
          </w:p>
        </w:tc>
      </w:tr>
      <w:tr w14:paraId="401F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03" w:type="dxa"/>
            <w:vMerge w:val="continue"/>
            <w:tcBorders>
              <w:left w:val="single" w:color="000000" w:sz="4" w:space="0"/>
              <w:right w:val="single" w:color="000000" w:sz="4" w:space="0"/>
            </w:tcBorders>
            <w:shd w:val="clear" w:color="auto" w:fill="auto"/>
            <w:vAlign w:val="center"/>
          </w:tcPr>
          <w:p w14:paraId="418C1E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000000" w:sz="4" w:space="0"/>
              <w:right w:val="single" w:color="000000" w:sz="4" w:space="0"/>
            </w:tcBorders>
            <w:shd w:val="clear" w:color="auto" w:fill="auto"/>
            <w:vAlign w:val="center"/>
          </w:tcPr>
          <w:p w14:paraId="7774FE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auto" w:sz="4" w:space="0"/>
              <w:left w:val="single" w:color="000000" w:sz="4" w:space="0"/>
              <w:bottom w:val="single" w:color="000000" w:sz="4" w:space="0"/>
              <w:right w:val="single" w:color="000000" w:sz="4" w:space="0"/>
            </w:tcBorders>
            <w:shd w:val="clear" w:color="auto" w:fill="auto"/>
            <w:vAlign w:val="center"/>
          </w:tcPr>
          <w:p w14:paraId="314C51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hAnsi="Times New Roman"/>
                <w:color w:val="000000" w:themeColor="text1"/>
                <w:sz w:val="21"/>
                <w:szCs w:val="21"/>
                <w:highlight w:val="none"/>
                <w:lang w:eastAsia="zh-CN"/>
                <w14:textFill>
                  <w14:solidFill>
                    <w14:schemeClr w14:val="tx1"/>
                  </w14:solidFill>
                </w14:textFill>
              </w:rPr>
              <w:t>酸化压裂废水</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14:paraId="1D58E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COD、挥发酚、硫化物</w:t>
            </w:r>
          </w:p>
        </w:tc>
        <w:tc>
          <w:tcPr>
            <w:tcW w:w="1370" w:type="dxa"/>
            <w:tcBorders>
              <w:top w:val="single" w:color="auto" w:sz="4" w:space="0"/>
              <w:left w:val="single" w:color="000000" w:sz="4" w:space="0"/>
              <w:bottom w:val="single" w:color="000000" w:sz="4" w:space="0"/>
              <w:right w:val="single" w:color="000000" w:sz="4" w:space="0"/>
            </w:tcBorders>
            <w:shd w:val="clear" w:color="auto" w:fill="auto"/>
            <w:vAlign w:val="center"/>
          </w:tcPr>
          <w:p w14:paraId="04D59B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hAnsi="Times New Roman"/>
                <w:color w:val="000000" w:themeColor="text1"/>
                <w:sz w:val="21"/>
                <w:szCs w:val="21"/>
                <w:highlight w:val="none"/>
                <w:lang w:val="en-US" w:eastAsia="zh-CN"/>
                <w14:textFill>
                  <w14:solidFill>
                    <w14:schemeClr w14:val="tx1"/>
                  </w14:solidFill>
                </w14:textFill>
              </w:rPr>
              <w:t>5</w:t>
            </w:r>
            <w:r>
              <w:rPr>
                <w:rFonts w:hAnsi="Times New Roman"/>
                <w:color w:val="000000" w:themeColor="text1"/>
                <w:sz w:val="21"/>
                <w:szCs w:val="21"/>
                <w:highlight w:val="none"/>
                <w14:textFill>
                  <w14:solidFill>
                    <w14:schemeClr w14:val="tx1"/>
                  </w14:solidFill>
                </w14:textFill>
              </w:rPr>
              <w:t>0</w:t>
            </w:r>
            <w:r>
              <w:rPr>
                <w:rFonts w:hint="eastAsia" w:hAnsi="Times New Roman"/>
                <w:color w:val="000000" w:themeColor="text1"/>
                <w:sz w:val="21"/>
                <w:szCs w:val="21"/>
                <w:highlight w:val="none"/>
                <w:lang w:val="en-US" w:eastAsia="zh-CN"/>
                <w14:textFill>
                  <w14:solidFill>
                    <w14:schemeClr w14:val="tx1"/>
                  </w14:solidFill>
                </w14:textFill>
              </w:rPr>
              <w:t>0</w:t>
            </w:r>
            <w:r>
              <w:rPr>
                <w:rFonts w:hAnsi="Times New Roman"/>
                <w:color w:val="000000" w:themeColor="text1"/>
                <w:sz w:val="21"/>
                <w:szCs w:val="21"/>
                <w:highlight w:val="none"/>
                <w14:textFill>
                  <w14:solidFill>
                    <w14:schemeClr w14:val="tx1"/>
                  </w14:solidFill>
                </w14:textFill>
              </w:rPr>
              <w:t>m</w:t>
            </w:r>
            <w:r>
              <w:rPr>
                <w:rFonts w:hAnsi="Times New Roman"/>
                <w:color w:val="000000" w:themeColor="text1"/>
                <w:sz w:val="21"/>
                <w:szCs w:val="21"/>
                <w:highlight w:val="none"/>
                <w:vertAlign w:val="superscript"/>
                <w14:textFill>
                  <w14:solidFill>
                    <w14:schemeClr w14:val="tx1"/>
                  </w14:solidFill>
                </w14:textFill>
              </w:rPr>
              <w:t>3</w:t>
            </w:r>
          </w:p>
        </w:tc>
        <w:tc>
          <w:tcPr>
            <w:tcW w:w="3301" w:type="dxa"/>
            <w:tcBorders>
              <w:top w:val="single" w:color="auto" w:sz="4" w:space="0"/>
              <w:left w:val="single" w:color="000000" w:sz="4" w:space="0"/>
              <w:bottom w:val="single" w:color="000000" w:sz="4" w:space="0"/>
              <w:right w:val="single" w:color="000000" w:sz="4" w:space="0"/>
            </w:tcBorders>
            <w:shd w:val="clear" w:color="auto" w:fill="auto"/>
            <w:vAlign w:val="center"/>
          </w:tcPr>
          <w:p w14:paraId="719CA1A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酸化压裂作业结束后压裂返排液排入回收罐中，运至阿克苏塔河环保工程有限公司绿色环保工作站处理，处理达标后回注。</w:t>
            </w:r>
          </w:p>
        </w:tc>
      </w:tr>
      <w:tr w14:paraId="6D22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restart"/>
            <w:tcBorders>
              <w:top w:val="single" w:color="000000" w:sz="4" w:space="0"/>
              <w:left w:val="single" w:color="000000" w:sz="4" w:space="0"/>
              <w:right w:val="single" w:color="000000" w:sz="4" w:space="0"/>
            </w:tcBorders>
            <w:shd w:val="clear" w:color="auto" w:fill="auto"/>
            <w:vAlign w:val="center"/>
          </w:tcPr>
          <w:p w14:paraId="4797EA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10" w:name="OLE_LINK792" w:colFirst="2" w:colLast="5"/>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固体废物污染源</w:t>
            </w:r>
          </w:p>
        </w:tc>
        <w:tc>
          <w:tcPr>
            <w:tcW w:w="459" w:type="dxa"/>
            <w:vMerge w:val="restart"/>
            <w:tcBorders>
              <w:top w:val="single" w:color="000000" w:sz="4" w:space="0"/>
              <w:left w:val="single" w:color="000000" w:sz="4" w:space="0"/>
              <w:right w:val="single" w:color="000000" w:sz="4" w:space="0"/>
            </w:tcBorders>
            <w:shd w:val="clear" w:color="auto" w:fill="auto"/>
            <w:vAlign w:val="center"/>
          </w:tcPr>
          <w:p w14:paraId="6FDBA2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11" w:name="OLE_LINK293"/>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井场</w:t>
            </w:r>
            <w:bookmarkEnd w:id="611"/>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6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钻井岩屑</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8F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岩屑</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C9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575.2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3301" w:type="dxa"/>
            <w:vMerge w:val="restart"/>
            <w:tcBorders>
              <w:top w:val="single" w:color="000000" w:sz="4" w:space="0"/>
              <w:left w:val="single" w:color="000000" w:sz="4" w:space="0"/>
              <w:right w:val="single" w:color="000000" w:sz="4" w:space="0"/>
            </w:tcBorders>
            <w:shd w:val="clear" w:color="auto" w:fill="auto"/>
            <w:vAlign w:val="center"/>
          </w:tcPr>
          <w:p w14:paraId="581119FB">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w:t>
            </w:r>
          </w:p>
          <w:p w14:paraId="6163ABBE">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弃油基泥浆和废弃油基岩屑，均属于危险废物（071-002-08），产生环境在钻井环节，外观性状半固体，特征污染物为废矿物油，产生规律：连续产生。废弃油基泥浆和废弃油基岩屑在钻井井场配置储罐集中储存，委托有危废处置资质单位处置。</w:t>
            </w:r>
          </w:p>
        </w:tc>
      </w:tr>
      <w:tr w14:paraId="51851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continue"/>
            <w:tcBorders>
              <w:left w:val="single" w:color="000000" w:sz="4" w:space="0"/>
              <w:right w:val="single" w:color="000000" w:sz="4" w:space="0"/>
            </w:tcBorders>
            <w:shd w:val="clear" w:color="auto" w:fill="auto"/>
            <w:vAlign w:val="center"/>
          </w:tcPr>
          <w:p w14:paraId="04D38F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612" w:name="OLE_LINK793" w:colFirst="4" w:colLast="5"/>
          </w:p>
        </w:tc>
        <w:tc>
          <w:tcPr>
            <w:tcW w:w="459" w:type="dxa"/>
            <w:vMerge w:val="continue"/>
            <w:tcBorders>
              <w:left w:val="single" w:color="000000" w:sz="4" w:space="0"/>
              <w:right w:val="single" w:color="000000" w:sz="4" w:space="0"/>
            </w:tcBorders>
            <w:shd w:val="clear" w:color="auto" w:fill="auto"/>
            <w:vAlign w:val="center"/>
          </w:tcPr>
          <w:p w14:paraId="153CCF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3E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钻井废弃泥浆</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4C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钻井废弃泥浆</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8D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821.6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3301" w:type="dxa"/>
            <w:vMerge w:val="continue"/>
            <w:tcBorders>
              <w:left w:val="single" w:color="000000" w:sz="4" w:space="0"/>
              <w:bottom w:val="single" w:color="000000" w:sz="4" w:space="0"/>
              <w:right w:val="single" w:color="000000" w:sz="4" w:space="0"/>
            </w:tcBorders>
            <w:shd w:val="clear" w:color="auto" w:fill="auto"/>
            <w:vAlign w:val="center"/>
          </w:tcPr>
          <w:p w14:paraId="0977C87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bookmarkEnd w:id="610"/>
      <w:bookmarkEnd w:id="612"/>
      <w:tr w14:paraId="47DDD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continue"/>
            <w:tcBorders>
              <w:left w:val="single" w:color="000000" w:sz="4" w:space="0"/>
              <w:right w:val="single" w:color="000000" w:sz="4" w:space="0"/>
            </w:tcBorders>
            <w:shd w:val="clear" w:color="auto" w:fill="auto"/>
            <w:vAlign w:val="center"/>
          </w:tcPr>
          <w:p w14:paraId="41091F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613" w:name="OLE_LINK847" w:colFirst="2" w:colLast="5"/>
          </w:p>
        </w:tc>
        <w:tc>
          <w:tcPr>
            <w:tcW w:w="459" w:type="dxa"/>
            <w:vMerge w:val="continue"/>
            <w:tcBorders>
              <w:left w:val="single" w:color="000000" w:sz="4" w:space="0"/>
              <w:right w:val="single" w:color="000000" w:sz="4" w:space="0"/>
            </w:tcBorders>
            <w:shd w:val="clear" w:color="auto" w:fill="auto"/>
            <w:vAlign w:val="center"/>
          </w:tcPr>
          <w:p w14:paraId="6D9DE8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40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落地油</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3D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52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614" w:name="OLE_LINK849"/>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0.075</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t</w:t>
            </w:r>
            <w:bookmarkEnd w:id="614"/>
          </w:p>
        </w:tc>
        <w:tc>
          <w:tcPr>
            <w:tcW w:w="3301" w:type="dxa"/>
            <w:vMerge w:val="restart"/>
            <w:tcBorders>
              <w:top w:val="single" w:color="000000" w:sz="4" w:space="0"/>
              <w:left w:val="single" w:color="000000" w:sz="4" w:space="0"/>
              <w:right w:val="single" w:color="000000" w:sz="4" w:space="0"/>
            </w:tcBorders>
            <w:shd w:val="clear" w:color="auto" w:fill="auto"/>
            <w:vAlign w:val="center"/>
          </w:tcPr>
          <w:p w14:paraId="3D9EF63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收集后委托持有危险废物经营许可证的单位利用处置</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bookmarkEnd w:id="613"/>
      <w:tr w14:paraId="5A2C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continue"/>
            <w:tcBorders>
              <w:left w:val="single" w:color="000000" w:sz="4" w:space="0"/>
              <w:right w:val="single" w:color="000000" w:sz="4" w:space="0"/>
            </w:tcBorders>
            <w:shd w:val="clear" w:color="auto" w:fill="auto"/>
            <w:vAlign w:val="center"/>
          </w:tcPr>
          <w:p w14:paraId="6AC7DB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000000" w:sz="4" w:space="0"/>
              <w:right w:val="single" w:color="000000" w:sz="4" w:space="0"/>
            </w:tcBorders>
            <w:shd w:val="clear" w:color="auto" w:fill="auto"/>
            <w:vAlign w:val="center"/>
          </w:tcPr>
          <w:p w14:paraId="7DAA0D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8D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废烧碱包装材料</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CB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89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0.3t</w:t>
            </w:r>
          </w:p>
        </w:tc>
        <w:tc>
          <w:tcPr>
            <w:tcW w:w="3301" w:type="dxa"/>
            <w:vMerge w:val="continue"/>
            <w:tcBorders>
              <w:left w:val="single" w:color="000000" w:sz="4" w:space="0"/>
              <w:bottom w:val="single" w:color="000000" w:sz="4" w:space="0"/>
              <w:right w:val="single" w:color="000000" w:sz="4" w:space="0"/>
            </w:tcBorders>
            <w:shd w:val="clear" w:color="auto" w:fill="auto"/>
            <w:vAlign w:val="center"/>
          </w:tcPr>
          <w:p w14:paraId="0E0D455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977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continue"/>
            <w:tcBorders>
              <w:left w:val="single" w:color="000000" w:sz="4" w:space="0"/>
              <w:right w:val="single" w:color="000000" w:sz="4" w:space="0"/>
            </w:tcBorders>
            <w:shd w:val="clear" w:color="auto" w:fill="auto"/>
            <w:vAlign w:val="center"/>
          </w:tcPr>
          <w:p w14:paraId="321013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000000" w:sz="4" w:space="0"/>
              <w:right w:val="single" w:color="000000" w:sz="4" w:space="0"/>
            </w:tcBorders>
            <w:shd w:val="clear" w:color="auto" w:fill="auto"/>
            <w:vAlign w:val="center"/>
          </w:tcPr>
          <w:p w14:paraId="68E1F8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1C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60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01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t</w:t>
            </w:r>
          </w:p>
        </w:tc>
        <w:tc>
          <w:tcPr>
            <w:tcW w:w="3301" w:type="dxa"/>
            <w:tcBorders>
              <w:left w:val="single" w:color="000000" w:sz="4" w:space="0"/>
              <w:bottom w:val="single" w:color="000000" w:sz="4" w:space="0"/>
              <w:right w:val="single" w:color="000000" w:sz="4" w:space="0"/>
            </w:tcBorders>
            <w:shd w:val="clear" w:color="auto" w:fill="auto"/>
            <w:vAlign w:val="center"/>
          </w:tcPr>
          <w:p w14:paraId="00DE1FD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自行利用回注系统或委托持有危险废物经营许可证的单位利用处置</w:t>
            </w:r>
          </w:p>
        </w:tc>
      </w:tr>
      <w:tr w14:paraId="1253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903" w:type="dxa"/>
            <w:vMerge w:val="continue"/>
            <w:tcBorders>
              <w:left w:val="single" w:color="000000" w:sz="4" w:space="0"/>
              <w:right w:val="single" w:color="000000" w:sz="4" w:space="0"/>
            </w:tcBorders>
            <w:shd w:val="clear" w:color="auto" w:fill="auto"/>
            <w:vAlign w:val="center"/>
          </w:tcPr>
          <w:p w14:paraId="37E8B8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000000" w:sz="4" w:space="0"/>
              <w:right w:val="single" w:color="000000" w:sz="4" w:space="0"/>
            </w:tcBorders>
            <w:shd w:val="clear" w:color="auto" w:fill="auto"/>
            <w:vAlign w:val="center"/>
          </w:tcPr>
          <w:p w14:paraId="3A77FFC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27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施工废料</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19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AF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w:t>
            </w:r>
          </w:p>
        </w:tc>
        <w:tc>
          <w:tcPr>
            <w:tcW w:w="3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461A">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施工废料应首先考虑回收利用，不可回收利用部分拉运至工业固废填埋场合规处置</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D0A2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continue"/>
            <w:tcBorders>
              <w:left w:val="single" w:color="000000" w:sz="4" w:space="0"/>
              <w:bottom w:val="single" w:color="auto" w:sz="4" w:space="0"/>
              <w:right w:val="single" w:color="000000" w:sz="4" w:space="0"/>
            </w:tcBorders>
            <w:shd w:val="clear" w:color="auto" w:fill="auto"/>
            <w:vAlign w:val="center"/>
          </w:tcPr>
          <w:p w14:paraId="53890BD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59" w:type="dxa"/>
            <w:vMerge w:val="continue"/>
            <w:tcBorders>
              <w:left w:val="single" w:color="000000" w:sz="4" w:space="0"/>
              <w:bottom w:val="single" w:color="auto" w:sz="4" w:space="0"/>
              <w:right w:val="single" w:color="000000" w:sz="4" w:space="0"/>
            </w:tcBorders>
            <w:shd w:val="clear" w:color="auto" w:fill="auto"/>
            <w:vAlign w:val="center"/>
          </w:tcPr>
          <w:p w14:paraId="3C3749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611" w:type="dxa"/>
            <w:tcBorders>
              <w:top w:val="single" w:color="000000" w:sz="4" w:space="0"/>
              <w:left w:val="single" w:color="000000" w:sz="4" w:space="0"/>
              <w:bottom w:val="single" w:color="auto" w:sz="4" w:space="0"/>
              <w:right w:val="single" w:color="000000" w:sz="4" w:space="0"/>
            </w:tcBorders>
            <w:shd w:val="clear" w:color="auto" w:fill="auto"/>
            <w:vAlign w:val="center"/>
          </w:tcPr>
          <w:p w14:paraId="207A2D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土石方</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3EFDC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w:t>
            </w: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0ADDF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w:t>
            </w:r>
          </w:p>
        </w:tc>
        <w:tc>
          <w:tcPr>
            <w:tcW w:w="3301" w:type="dxa"/>
            <w:tcBorders>
              <w:top w:val="single" w:color="000000" w:sz="4" w:space="0"/>
              <w:left w:val="single" w:color="000000" w:sz="4" w:space="0"/>
              <w:bottom w:val="single" w:color="auto" w:sz="4" w:space="0"/>
              <w:right w:val="single" w:color="000000" w:sz="4" w:space="0"/>
            </w:tcBorders>
            <w:shd w:val="clear" w:color="auto" w:fill="auto"/>
            <w:vAlign w:val="center"/>
          </w:tcPr>
          <w:p w14:paraId="553CF37A">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回填至挖方处或回填至周边低洼场地，并实施压实平整水土保持措施。</w:t>
            </w:r>
          </w:p>
        </w:tc>
      </w:tr>
      <w:tr w14:paraId="25EB4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restart"/>
            <w:tcBorders>
              <w:top w:val="single" w:color="auto" w:sz="4" w:space="0"/>
              <w:left w:val="single" w:color="auto" w:sz="4" w:space="0"/>
              <w:right w:val="single" w:color="auto" w:sz="4" w:space="0"/>
            </w:tcBorders>
            <w:shd w:val="clear" w:color="auto" w:fill="auto"/>
            <w:vAlign w:val="center"/>
          </w:tcPr>
          <w:p w14:paraId="6126AFB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废气污染源</w:t>
            </w:r>
          </w:p>
        </w:tc>
        <w:tc>
          <w:tcPr>
            <w:tcW w:w="459" w:type="dxa"/>
            <w:vMerge w:val="restart"/>
            <w:tcBorders>
              <w:left w:val="single" w:color="auto" w:sz="4" w:space="0"/>
              <w:right w:val="single" w:color="000000" w:sz="4" w:space="0"/>
            </w:tcBorders>
            <w:shd w:val="clear" w:color="auto" w:fill="auto"/>
            <w:vAlign w:val="center"/>
          </w:tcPr>
          <w:p w14:paraId="2A0058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井场</w:t>
            </w:r>
          </w:p>
        </w:tc>
        <w:tc>
          <w:tcPr>
            <w:tcW w:w="1611" w:type="dxa"/>
            <w:tcBorders>
              <w:top w:val="single" w:color="000000" w:sz="4" w:space="0"/>
              <w:left w:val="single" w:color="000000" w:sz="4" w:space="0"/>
              <w:right w:val="single" w:color="000000" w:sz="4" w:space="0"/>
            </w:tcBorders>
            <w:shd w:val="clear" w:color="auto" w:fill="auto"/>
            <w:vAlign w:val="center"/>
          </w:tcPr>
          <w:p w14:paraId="147DF7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施工扬尘</w:t>
            </w:r>
          </w:p>
        </w:tc>
        <w:tc>
          <w:tcPr>
            <w:tcW w:w="1040" w:type="dxa"/>
            <w:vMerge w:val="restart"/>
            <w:tcBorders>
              <w:top w:val="single" w:color="000000" w:sz="4" w:space="0"/>
              <w:left w:val="single" w:color="000000" w:sz="4" w:space="0"/>
              <w:right w:val="single" w:color="000000" w:sz="4" w:space="0"/>
            </w:tcBorders>
            <w:shd w:val="clear" w:color="auto" w:fill="auto"/>
            <w:vAlign w:val="center"/>
          </w:tcPr>
          <w:p w14:paraId="039CE7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TSP、SO</w:t>
            </w:r>
            <w:r>
              <w:rPr>
                <w:rFonts w:ascii="Times New Roman" w:hAnsi="Times New Roman" w:eastAsia="宋体" w:cs="Times New Roman"/>
                <w:color w:val="000000" w:themeColor="text1"/>
                <w:kern w:val="2"/>
                <w:sz w:val="21"/>
                <w:szCs w:val="21"/>
                <w:highlight w:val="none"/>
                <w:vertAlign w:val="subscript"/>
                <w:lang w:bidi="en-US"/>
                <w14:textFill>
                  <w14:solidFill>
                    <w14:schemeClr w14:val="tx1"/>
                  </w14:solidFill>
                </w14:textFill>
              </w:rPr>
              <w:t>2</w:t>
            </w: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、NO</w:t>
            </w:r>
            <w:r>
              <w:rPr>
                <w:rFonts w:ascii="Times New Roman" w:hAnsi="Times New Roman" w:eastAsia="宋体" w:cs="Times New Roman"/>
                <w:color w:val="000000" w:themeColor="text1"/>
                <w:kern w:val="2"/>
                <w:sz w:val="21"/>
                <w:szCs w:val="21"/>
                <w:highlight w:val="none"/>
                <w:vertAlign w:val="subscript"/>
                <w:lang w:bidi="en-US"/>
                <w14:textFill>
                  <w14:solidFill>
                    <w14:schemeClr w14:val="tx1"/>
                  </w14:solidFill>
                </w14:textFill>
              </w:rPr>
              <w:t>x</w:t>
            </w: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等</w:t>
            </w: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2AAFC4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少量</w:t>
            </w:r>
          </w:p>
        </w:tc>
        <w:tc>
          <w:tcPr>
            <w:tcW w:w="3301" w:type="dxa"/>
            <w:tcBorders>
              <w:top w:val="single" w:color="000000" w:sz="4" w:space="0"/>
              <w:left w:val="single" w:color="000000" w:sz="4" w:space="0"/>
              <w:right w:val="single" w:color="000000" w:sz="4" w:space="0"/>
            </w:tcBorders>
            <w:shd w:val="clear" w:color="auto" w:fill="auto"/>
            <w:vAlign w:val="center"/>
          </w:tcPr>
          <w:p w14:paraId="520DC1C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洒水降尘</w:t>
            </w:r>
          </w:p>
        </w:tc>
      </w:tr>
      <w:tr w14:paraId="5A292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continue"/>
            <w:tcBorders>
              <w:left w:val="single" w:color="auto" w:sz="4" w:space="0"/>
              <w:right w:val="single" w:color="auto" w:sz="4" w:space="0"/>
            </w:tcBorders>
            <w:shd w:val="clear" w:color="auto" w:fill="auto"/>
            <w:vAlign w:val="center"/>
          </w:tcPr>
          <w:p w14:paraId="57C73E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auto" w:sz="4" w:space="0"/>
              <w:right w:val="single" w:color="000000" w:sz="4" w:space="0"/>
            </w:tcBorders>
            <w:shd w:val="clear" w:color="auto" w:fill="auto"/>
            <w:vAlign w:val="center"/>
          </w:tcPr>
          <w:p w14:paraId="4216EE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right w:val="single" w:color="000000" w:sz="4" w:space="0"/>
            </w:tcBorders>
            <w:shd w:val="clear" w:color="auto" w:fill="auto"/>
            <w:vAlign w:val="center"/>
          </w:tcPr>
          <w:p w14:paraId="2142AF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车辆尾气</w:t>
            </w:r>
          </w:p>
        </w:tc>
        <w:tc>
          <w:tcPr>
            <w:tcW w:w="1040" w:type="dxa"/>
            <w:vMerge w:val="continue"/>
            <w:tcBorders>
              <w:left w:val="single" w:color="000000" w:sz="4" w:space="0"/>
              <w:bottom w:val="single" w:color="auto" w:sz="4" w:space="0"/>
              <w:right w:val="single" w:color="000000" w:sz="4" w:space="0"/>
            </w:tcBorders>
            <w:shd w:val="clear" w:color="auto" w:fill="auto"/>
            <w:vAlign w:val="center"/>
          </w:tcPr>
          <w:p w14:paraId="0B8006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26F19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少量</w:t>
            </w:r>
          </w:p>
        </w:tc>
        <w:tc>
          <w:tcPr>
            <w:tcW w:w="3301" w:type="dxa"/>
            <w:tcBorders>
              <w:top w:val="single" w:color="000000" w:sz="4" w:space="0"/>
              <w:left w:val="single" w:color="000000" w:sz="4" w:space="0"/>
              <w:right w:val="single" w:color="000000" w:sz="4" w:space="0"/>
            </w:tcBorders>
            <w:shd w:val="clear" w:color="auto" w:fill="auto"/>
            <w:vAlign w:val="center"/>
          </w:tcPr>
          <w:p w14:paraId="1667B48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使用合格燃料</w:t>
            </w:r>
          </w:p>
        </w:tc>
      </w:tr>
      <w:tr w14:paraId="4134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continue"/>
            <w:tcBorders>
              <w:left w:val="single" w:color="auto" w:sz="4" w:space="0"/>
              <w:right w:val="single" w:color="auto" w:sz="4" w:space="0"/>
            </w:tcBorders>
            <w:shd w:val="clear" w:color="auto" w:fill="auto"/>
            <w:vAlign w:val="center"/>
          </w:tcPr>
          <w:p w14:paraId="3A6996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auto" w:sz="4" w:space="0"/>
              <w:right w:val="single" w:color="000000" w:sz="4" w:space="0"/>
            </w:tcBorders>
            <w:shd w:val="clear" w:color="auto" w:fill="auto"/>
            <w:vAlign w:val="center"/>
          </w:tcPr>
          <w:p w14:paraId="3F1D5A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right w:val="single" w:color="000000" w:sz="4" w:space="0"/>
            </w:tcBorders>
            <w:shd w:val="clear" w:color="auto" w:fill="auto"/>
            <w:vAlign w:val="center"/>
          </w:tcPr>
          <w:p w14:paraId="241791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储层改造废气</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F83F1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en-US"/>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eastAsia="zh-CN" w:bidi="en-US"/>
                <w14:textFill>
                  <w14:solidFill>
                    <w14:schemeClr w14:val="tx1"/>
                  </w14:solidFill>
                </w14:textFill>
              </w:rPr>
              <w:t>、</w:t>
            </w: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HCl</w:t>
            </w: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7D1C2B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少量</w:t>
            </w:r>
          </w:p>
        </w:tc>
        <w:tc>
          <w:tcPr>
            <w:tcW w:w="3301" w:type="dxa"/>
            <w:tcBorders>
              <w:top w:val="single" w:color="000000" w:sz="4" w:space="0"/>
              <w:left w:val="single" w:color="000000" w:sz="4" w:space="0"/>
              <w:right w:val="single" w:color="000000" w:sz="4" w:space="0"/>
            </w:tcBorders>
            <w:shd w:val="clear" w:color="auto" w:fill="auto"/>
            <w:vAlign w:val="center"/>
          </w:tcPr>
          <w:p w14:paraId="5E05906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bidi="en-US"/>
                <w14:textFill>
                  <w14:solidFill>
                    <w14:schemeClr w14:val="tx1"/>
                  </w14:solidFill>
                </w14:textFill>
              </w:rPr>
              <w:t>采用专用废液收集罐收集后运至阿克苏塔河环保工程有限公司绿色环保工作站进行无害化处置，有效降低废气排放。</w:t>
            </w:r>
          </w:p>
        </w:tc>
      </w:tr>
      <w:tr w14:paraId="28F73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continue"/>
            <w:tcBorders>
              <w:left w:val="single" w:color="auto" w:sz="4" w:space="0"/>
              <w:right w:val="single" w:color="auto" w:sz="4" w:space="0"/>
            </w:tcBorders>
            <w:shd w:val="clear" w:color="auto" w:fill="auto"/>
            <w:vAlign w:val="center"/>
          </w:tcPr>
          <w:p w14:paraId="5B557E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auto" w:sz="4" w:space="0"/>
              <w:right w:val="single" w:color="000000" w:sz="4" w:space="0"/>
            </w:tcBorders>
            <w:shd w:val="clear" w:color="auto" w:fill="auto"/>
            <w:vAlign w:val="center"/>
          </w:tcPr>
          <w:p w14:paraId="0C7DD1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right w:val="single" w:color="000000" w:sz="4" w:space="0"/>
            </w:tcBorders>
            <w:shd w:val="clear" w:color="auto" w:fill="auto"/>
            <w:vAlign w:val="center"/>
          </w:tcPr>
          <w:p w14:paraId="230652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放喷废气</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14:paraId="174C63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烟尘、SO</w:t>
            </w:r>
            <w:r>
              <w:rPr>
                <w:rFonts w:ascii="Times New Roman" w:hAnsi="Times New Roman" w:eastAsia="宋体" w:cs="Times New Roman"/>
                <w:color w:val="000000" w:themeColor="text1"/>
                <w:kern w:val="2"/>
                <w:sz w:val="21"/>
                <w:szCs w:val="21"/>
                <w:highlight w:val="none"/>
                <w:vertAlign w:val="subscript"/>
                <w:lang w:bidi="en-US"/>
                <w14:textFill>
                  <w14:solidFill>
                    <w14:schemeClr w14:val="tx1"/>
                  </w14:solidFill>
                </w14:textFill>
              </w:rPr>
              <w:t>2</w:t>
            </w: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、NOx</w:t>
            </w: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F5F4F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少量</w:t>
            </w:r>
          </w:p>
        </w:tc>
        <w:tc>
          <w:tcPr>
            <w:tcW w:w="3301" w:type="dxa"/>
            <w:tcBorders>
              <w:top w:val="single" w:color="000000" w:sz="4" w:space="0"/>
              <w:left w:val="single" w:color="000000" w:sz="4" w:space="0"/>
              <w:right w:val="single" w:color="000000" w:sz="4" w:space="0"/>
            </w:tcBorders>
            <w:shd w:val="clear" w:color="auto" w:fill="auto"/>
            <w:vAlign w:val="center"/>
          </w:tcPr>
          <w:p w14:paraId="38DD6CB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燃烧放喷</w:t>
            </w:r>
          </w:p>
        </w:tc>
      </w:tr>
      <w:tr w14:paraId="3C93C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903" w:type="dxa"/>
            <w:vMerge w:val="continue"/>
            <w:tcBorders>
              <w:left w:val="single" w:color="auto" w:sz="4" w:space="0"/>
              <w:bottom w:val="single" w:color="auto" w:sz="4" w:space="0"/>
              <w:right w:val="single" w:color="auto" w:sz="4" w:space="0"/>
            </w:tcBorders>
            <w:shd w:val="clear" w:color="auto" w:fill="auto"/>
            <w:vAlign w:val="center"/>
          </w:tcPr>
          <w:p w14:paraId="2A1BAA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59" w:type="dxa"/>
            <w:vMerge w:val="continue"/>
            <w:tcBorders>
              <w:left w:val="single" w:color="auto" w:sz="4" w:space="0"/>
              <w:right w:val="single" w:color="000000" w:sz="4" w:space="0"/>
            </w:tcBorders>
            <w:shd w:val="clear" w:color="auto" w:fill="auto"/>
            <w:vAlign w:val="center"/>
          </w:tcPr>
          <w:p w14:paraId="063B35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611" w:type="dxa"/>
            <w:tcBorders>
              <w:top w:val="single" w:color="000000" w:sz="4" w:space="0"/>
              <w:left w:val="single" w:color="000000" w:sz="4" w:space="0"/>
              <w:right w:val="single" w:color="000000" w:sz="4" w:space="0"/>
            </w:tcBorders>
            <w:shd w:val="clear" w:color="auto" w:fill="auto"/>
            <w:vAlign w:val="center"/>
          </w:tcPr>
          <w:p w14:paraId="70C0CA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bidi="en-US"/>
                <w14:textFill>
                  <w14:solidFill>
                    <w14:schemeClr w14:val="tx1"/>
                  </w14:solidFill>
                </w14:textFill>
              </w:rPr>
              <w:t>油基泥浆和油基岩屑暂存废气</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14:paraId="0EE4F5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en-US"/>
                <w14:textFill>
                  <w14:solidFill>
                    <w14:schemeClr w14:val="tx1"/>
                  </w14:solidFill>
                </w14:textFill>
              </w:rPr>
              <w:t>非甲烷总烃</w:t>
            </w:r>
          </w:p>
        </w:tc>
        <w:tc>
          <w:tcPr>
            <w:tcW w:w="13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8717E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少量</w:t>
            </w:r>
          </w:p>
        </w:tc>
        <w:tc>
          <w:tcPr>
            <w:tcW w:w="3301" w:type="dxa"/>
            <w:tcBorders>
              <w:top w:val="single" w:color="000000" w:sz="4" w:space="0"/>
              <w:left w:val="single" w:color="000000" w:sz="4" w:space="0"/>
              <w:right w:val="single" w:color="000000" w:sz="4" w:space="0"/>
            </w:tcBorders>
            <w:shd w:val="clear" w:color="auto" w:fill="auto"/>
            <w:vAlign w:val="center"/>
          </w:tcPr>
          <w:p w14:paraId="1B2443D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pP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采取</w:t>
            </w:r>
            <w:r>
              <w:rPr>
                <w:rFonts w:hint="eastAsia" w:ascii="Times New Roman" w:hAnsi="Times New Roman" w:eastAsia="宋体" w:cs="Times New Roman"/>
                <w:color w:val="000000" w:themeColor="text1"/>
                <w:kern w:val="2"/>
                <w:sz w:val="21"/>
                <w:szCs w:val="21"/>
                <w:highlight w:val="none"/>
                <w:lang w:val="en-US" w:eastAsia="zh-CN" w:bidi="en-US"/>
                <w14:textFill>
                  <w14:solidFill>
                    <w14:schemeClr w14:val="tx1"/>
                  </w14:solidFill>
                </w14:textFill>
              </w:rPr>
              <w:t>储</w:t>
            </w:r>
            <w:r>
              <w:rPr>
                <w:rFonts w:ascii="Times New Roman" w:hAnsi="Times New Roman" w:eastAsia="宋体" w:cs="Times New Roman"/>
                <w:color w:val="000000" w:themeColor="text1"/>
                <w:kern w:val="2"/>
                <w:sz w:val="21"/>
                <w:szCs w:val="21"/>
                <w:highlight w:val="none"/>
                <w:lang w:bidi="en-US"/>
                <w14:textFill>
                  <w14:solidFill>
                    <w14:schemeClr w14:val="tx1"/>
                  </w14:solidFill>
                </w14:textFill>
              </w:rPr>
              <w:t>罐存放措施</w:t>
            </w:r>
          </w:p>
        </w:tc>
      </w:tr>
      <w:tr w14:paraId="6530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03" w:type="dxa"/>
            <w:tcBorders>
              <w:top w:val="single" w:color="auto" w:sz="4" w:space="0"/>
              <w:left w:val="single" w:color="000000" w:sz="4" w:space="0"/>
              <w:bottom w:val="single" w:color="000000" w:sz="4" w:space="0"/>
              <w:right w:val="single" w:color="auto" w:sz="4" w:space="0"/>
            </w:tcBorders>
            <w:shd w:val="clear" w:color="auto" w:fill="auto"/>
            <w:vAlign w:val="center"/>
          </w:tcPr>
          <w:p w14:paraId="4CF6FE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噪声污染源</w:t>
            </w:r>
          </w:p>
        </w:tc>
        <w:tc>
          <w:tcPr>
            <w:tcW w:w="459" w:type="dxa"/>
            <w:tcBorders>
              <w:top w:val="single" w:color="auto" w:sz="4" w:space="0"/>
              <w:left w:val="single" w:color="auto" w:sz="4" w:space="0"/>
              <w:bottom w:val="single" w:color="auto" w:sz="4" w:space="0"/>
              <w:right w:val="single" w:color="auto" w:sz="4" w:space="0"/>
            </w:tcBorders>
            <w:shd w:val="clear" w:color="auto" w:fill="auto"/>
            <w:vAlign w:val="center"/>
          </w:tcPr>
          <w:p w14:paraId="2FB96B40">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井场</w:t>
            </w:r>
          </w:p>
        </w:tc>
        <w:tc>
          <w:tcPr>
            <w:tcW w:w="1611" w:type="dxa"/>
            <w:tcBorders>
              <w:top w:val="single" w:color="auto" w:sz="4" w:space="0"/>
              <w:left w:val="single" w:color="auto" w:sz="4" w:space="0"/>
              <w:bottom w:val="single" w:color="auto" w:sz="4" w:space="0"/>
              <w:right w:val="single" w:color="auto" w:sz="4" w:space="0"/>
            </w:tcBorders>
            <w:shd w:val="clear" w:color="auto" w:fill="auto"/>
            <w:vAlign w:val="center"/>
          </w:tcPr>
          <w:p w14:paraId="7B7ABAA6">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土方施工</w:t>
            </w:r>
            <w:r>
              <w:rPr>
                <w:rFonts w:hint="eastAsia" w:cs="Times New Roman"/>
                <w:color w:val="000000" w:themeColor="text1"/>
                <w:kern w:val="0"/>
                <w:sz w:val="21"/>
                <w:szCs w:val="21"/>
                <w:highlight w:val="none"/>
                <w:lang w:eastAsia="zh-CN" w:bidi="en-US"/>
                <w14:textFill>
                  <w14:solidFill>
                    <w14:schemeClr w14:val="tx1"/>
                  </w14:solidFill>
                </w14:textFill>
              </w:rPr>
              <w:t>、</w:t>
            </w: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施工机械、运输车辆</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7BC2F7B9">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5F07A28C">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8</w:t>
            </w:r>
            <w:r>
              <w:rPr>
                <w:rFonts w:hint="eastAsia" w:cs="Times New Roman"/>
                <w:color w:val="000000" w:themeColor="text1"/>
                <w:kern w:val="0"/>
                <w:sz w:val="21"/>
                <w:szCs w:val="21"/>
                <w:highlight w:val="none"/>
                <w:lang w:val="en-US" w:eastAsia="zh-CN" w:bidi="en-US"/>
                <w14:textFill>
                  <w14:solidFill>
                    <w14:schemeClr w14:val="tx1"/>
                  </w14:solidFill>
                </w14:textFill>
              </w:rPr>
              <w:t>0</w:t>
            </w: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w:t>
            </w:r>
            <w:r>
              <w:rPr>
                <w:rFonts w:hint="eastAsia" w:cs="Times New Roman"/>
                <w:color w:val="000000" w:themeColor="text1"/>
                <w:kern w:val="0"/>
                <w:sz w:val="21"/>
                <w:szCs w:val="21"/>
                <w:highlight w:val="none"/>
                <w:lang w:val="en-US" w:eastAsia="zh-CN" w:bidi="en-US"/>
                <w14:textFill>
                  <w14:solidFill>
                    <w14:schemeClr w14:val="tx1"/>
                  </w14:solidFill>
                </w14:textFill>
              </w:rPr>
              <w:t>90</w:t>
            </w: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dB</w:t>
            </w:r>
            <w:r>
              <w:rPr>
                <w:rFonts w:hint="eastAsia" w:cs="Times New Roman"/>
                <w:color w:val="000000" w:themeColor="text1"/>
                <w:kern w:val="0"/>
                <w:sz w:val="21"/>
                <w:szCs w:val="21"/>
                <w:highlight w:val="none"/>
                <w:lang w:eastAsia="zh-CN" w:bidi="en-US"/>
                <w14:textFill>
                  <w14:solidFill>
                    <w14:schemeClr w14:val="tx1"/>
                  </w14:solidFill>
                </w14:textFill>
              </w:rPr>
              <w:t>(</w:t>
            </w: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A</w:t>
            </w:r>
            <w:r>
              <w:rPr>
                <w:rFonts w:hint="eastAsia" w:cs="Times New Roman"/>
                <w:color w:val="000000" w:themeColor="text1"/>
                <w:kern w:val="0"/>
                <w:sz w:val="21"/>
                <w:szCs w:val="21"/>
                <w:highlight w:val="none"/>
                <w:lang w:eastAsia="zh-CN" w:bidi="en-US"/>
                <w14:textFill>
                  <w14:solidFill>
                    <w14:schemeClr w14:val="tx1"/>
                  </w14:solidFill>
                </w14:textFill>
              </w:rPr>
              <w:t>)</w:t>
            </w:r>
          </w:p>
        </w:tc>
        <w:tc>
          <w:tcPr>
            <w:tcW w:w="3301" w:type="dxa"/>
            <w:tcBorders>
              <w:top w:val="single" w:color="auto" w:sz="4" w:space="0"/>
              <w:left w:val="single" w:color="auto" w:sz="4" w:space="0"/>
              <w:bottom w:val="single" w:color="auto" w:sz="4" w:space="0"/>
              <w:right w:val="single" w:color="auto" w:sz="4" w:space="0"/>
            </w:tcBorders>
            <w:shd w:val="clear" w:color="auto" w:fill="auto"/>
            <w:vAlign w:val="center"/>
          </w:tcPr>
          <w:p w14:paraId="73BDEBB8">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bidi="en-US"/>
                <w14:textFill>
                  <w14:solidFill>
                    <w14:schemeClr w14:val="tx1"/>
                  </w14:solidFill>
                </w14:textFill>
              </w:rPr>
              <w:t>加强施工管理</w:t>
            </w:r>
            <w:r>
              <w:rPr>
                <w:rFonts w:hint="eastAsia" w:cs="Times New Roman"/>
                <w:color w:val="000000" w:themeColor="text1"/>
                <w:kern w:val="0"/>
                <w:sz w:val="21"/>
                <w:szCs w:val="21"/>
                <w:highlight w:val="none"/>
                <w:lang w:eastAsia="zh-CN" w:bidi="en-US"/>
                <w14:textFill>
                  <w14:solidFill>
                    <w14:schemeClr w14:val="tx1"/>
                  </w14:solidFill>
                </w14:textFill>
              </w:rPr>
              <w:t>。</w:t>
            </w:r>
          </w:p>
        </w:tc>
      </w:tr>
    </w:tbl>
    <w:p w14:paraId="6C09AEDD">
      <w:pPr>
        <w:pStyle w:val="4"/>
        <w:bidi w:val="0"/>
        <w:rPr>
          <w:rFonts w:hint="default" w:ascii="Times New Roman" w:hAnsi="Times New Roman" w:cs="Times New Roman"/>
          <w:color w:val="000000" w:themeColor="text1"/>
          <w:sz w:val="28"/>
          <w:szCs w:val="28"/>
          <w:highlight w:val="none"/>
          <w14:textFill>
            <w14:solidFill>
              <w14:schemeClr w14:val="tx1"/>
            </w14:solidFill>
          </w14:textFill>
        </w:rPr>
      </w:pPr>
      <w:bookmarkStart w:id="615" w:name="OLE_LINK256"/>
      <w:r>
        <w:rPr>
          <w:rFonts w:hint="default" w:ascii="Times New Roman" w:hAnsi="Times New Roman" w:cs="Times New Roman"/>
          <w:color w:val="000000" w:themeColor="text1"/>
          <w:sz w:val="28"/>
          <w:szCs w:val="28"/>
          <w:highlight w:val="none"/>
          <w14:textFill>
            <w14:solidFill>
              <w14:schemeClr w14:val="tx1"/>
            </w14:solidFill>
          </w14:textFill>
        </w:rPr>
        <w:t>3.</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cs="Times New Roman"/>
          <w:color w:val="000000" w:themeColor="text1"/>
          <w:sz w:val="28"/>
          <w:szCs w:val="28"/>
          <w:highlight w:val="none"/>
          <w14:textFill>
            <w14:solidFill>
              <w14:schemeClr w14:val="tx1"/>
            </w14:solidFill>
          </w14:textFill>
        </w:rPr>
        <w:t>.3运营期环境影响因素分析</w:t>
      </w:r>
    </w:p>
    <w:bookmarkEnd w:id="615"/>
    <w:p w14:paraId="0BD1BB9E">
      <w:pPr>
        <w:pStyle w:val="33"/>
        <w:keepNext w:val="0"/>
        <w:keepLines w:val="0"/>
        <w:widowControl w:val="0"/>
        <w:suppressLineNumbers w:val="0"/>
        <w:adjustRightInd w:val="0"/>
        <w:spacing w:before="0" w:beforeAutospacing="0" w:after="0" w:afterAutospacing="0" w:line="360" w:lineRule="auto"/>
        <w:ind w:right="0"/>
        <w:jc w:val="both"/>
        <w:outlineLvl w:val="3"/>
        <w:rPr>
          <w:rFonts w:hint="default" w:ascii="Times New Roman" w:hAnsi="Times New Roman" w:eastAsia="宋体" w:cs="Times New Roman"/>
          <w:b/>
          <w:bCs/>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4"/>
          <w:szCs w:val="20"/>
          <w:highlight w:val="none"/>
          <w:lang w:val="en-US" w:eastAsia="zh-CN" w:bidi="ar"/>
          <w14:textFill>
            <w14:solidFill>
              <w14:schemeClr w14:val="tx1"/>
            </w14:solidFill>
          </w14:textFill>
        </w:rPr>
        <w:t>3.</w:t>
      </w:r>
      <w:r>
        <w:rPr>
          <w:rFonts w:hint="eastAsia" w:cs="Times New Roman"/>
          <w:b/>
          <w:bCs/>
          <w:color w:val="000000" w:themeColor="text1"/>
          <w:kern w:val="2"/>
          <w:sz w:val="24"/>
          <w:szCs w:val="20"/>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4"/>
          <w:szCs w:val="20"/>
          <w:highlight w:val="none"/>
          <w:lang w:val="en-US" w:eastAsia="zh-CN" w:bidi="ar"/>
          <w14:textFill>
            <w14:solidFill>
              <w14:schemeClr w14:val="tx1"/>
            </w14:solidFill>
          </w14:textFill>
        </w:rPr>
        <w:t>.3.</w:t>
      </w:r>
      <w:r>
        <w:rPr>
          <w:rFonts w:hint="eastAsia" w:cs="Times New Roman"/>
          <w:b/>
          <w:bCs/>
          <w:color w:val="000000" w:themeColor="text1"/>
          <w:kern w:val="2"/>
          <w:sz w:val="24"/>
          <w:szCs w:val="20"/>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2"/>
          <w:sz w:val="24"/>
          <w:szCs w:val="20"/>
          <w:highlight w:val="none"/>
          <w:lang w:val="en-US" w:eastAsia="zh-CN" w:bidi="ar"/>
          <w14:textFill>
            <w14:solidFill>
              <w14:schemeClr w14:val="tx1"/>
            </w14:solidFill>
          </w14:textFill>
        </w:rPr>
        <w:t>废水污染源</w:t>
      </w:r>
    </w:p>
    <w:p w14:paraId="5C137D4C">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pPr>
      <w:bookmarkStart w:id="616" w:name="OLE_LINK406"/>
      <w:r>
        <w:rPr>
          <w:rFonts w:hint="default" w:ascii="Times New Roman" w:hAnsi="Times New Roman" w:eastAsia="宋体" w:cs="Times New Roman"/>
          <w:color w:val="000000" w:themeColor="text1"/>
          <w:highlight w:val="none"/>
          <w14:textFill>
            <w14:solidFill>
              <w14:schemeClr w14:val="tx1"/>
            </w14:solidFill>
          </w14:textFill>
        </w:rPr>
        <w:t>①</w:t>
      </w:r>
      <w:bookmarkEnd w:id="616"/>
      <w:r>
        <w:rPr>
          <w:rFonts w:hint="eastAsia" w:cs="Times New Roman"/>
          <w:color w:val="000000" w:themeColor="text1"/>
          <w:kern w:val="2"/>
          <w:sz w:val="24"/>
          <w:szCs w:val="20"/>
          <w:highlight w:val="none"/>
          <w:lang w:val="en-US" w:eastAsia="zh-CN" w:bidi="ar"/>
          <w14:textFill>
            <w14:solidFill>
              <w14:schemeClr w14:val="tx1"/>
            </w14:solidFill>
          </w14:textFill>
        </w:rPr>
        <w:t>采出水</w:t>
      </w:r>
    </w:p>
    <w:p w14:paraId="5F0EF387">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eastAsia" w:cs="Times New Roman"/>
          <w:color w:val="000000" w:themeColor="text1"/>
          <w:kern w:val="2"/>
          <w:sz w:val="24"/>
          <w:szCs w:val="20"/>
          <w:highlight w:val="none"/>
          <w:lang w:val="en-US" w:eastAsia="zh-CN" w:bidi="ar"/>
          <w14:textFill>
            <w14:solidFill>
              <w14:schemeClr w14:val="tx1"/>
            </w14:solidFill>
          </w14:textFill>
        </w:rPr>
        <w:t>本项目油气</w:t>
      </w:r>
      <w:r>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t>经电磁加热器加热至20℃进油气计量分离器分离，经分离后天然气经油气计量分离器分离后，湿气销售至第三方公司，由第三方公司</w:t>
      </w:r>
      <w:r>
        <w:rPr>
          <w:rFonts w:hint="eastAsia" w:cs="Times New Roman"/>
          <w:color w:val="000000" w:themeColor="text1"/>
          <w:kern w:val="2"/>
          <w:sz w:val="24"/>
          <w:szCs w:val="20"/>
          <w:highlight w:val="none"/>
          <w:lang w:val="en-US" w:eastAsia="zh-CN" w:bidi="ar"/>
          <w14:textFill>
            <w14:solidFill>
              <w14:schemeClr w14:val="tx1"/>
            </w14:solidFill>
          </w14:textFill>
        </w:rPr>
        <w:t>脱硫、</w:t>
      </w:r>
      <w:r>
        <w:rPr>
          <w:rFonts w:hint="eastAsia" w:ascii="Times New Roman" w:hAnsi="Times New Roman" w:cs="Times New Roman"/>
          <w:color w:val="000000" w:themeColor="text1"/>
          <w:kern w:val="2"/>
          <w:sz w:val="24"/>
          <w:szCs w:val="20"/>
          <w:highlight w:val="none"/>
          <w:lang w:val="en-US" w:eastAsia="zh-CN" w:bidi="ar"/>
          <w14:textFill>
            <w14:solidFill>
              <w14:schemeClr w14:val="tx1"/>
            </w14:solidFill>
          </w14:textFill>
        </w:rPr>
        <w:t>脱水、脱烃</w:t>
      </w:r>
      <w:r>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t>处理后装车外销。凝析油进多功能储集器缓冲装车外运至雅克拉集气处理站处理</w:t>
      </w:r>
      <w:r>
        <w:rPr>
          <w:rFonts w:hint="eastAsia" w:ascii="Times New Roman" w:hAnsi="Times New Roman" w:cs="Times New Roman"/>
          <w:color w:val="000000" w:themeColor="text1"/>
          <w:kern w:val="2"/>
          <w:sz w:val="24"/>
          <w:szCs w:val="20"/>
          <w:highlight w:val="none"/>
          <w:lang w:val="en-US" w:eastAsia="zh-CN" w:bidi="ar"/>
          <w14:textFill>
            <w14:solidFill>
              <w14:schemeClr w14:val="tx1"/>
            </w14:solidFill>
          </w14:textFill>
        </w:rPr>
        <w:t>。开采</w:t>
      </w:r>
      <w:r>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t>初期不含水</w:t>
      </w:r>
      <w:r>
        <w:rPr>
          <w:rFonts w:hint="eastAsia" w:ascii="Times New Roman" w:hAnsi="Times New Roman" w:cs="Times New Roman"/>
          <w:color w:val="000000" w:themeColor="text1"/>
          <w:kern w:val="2"/>
          <w:sz w:val="24"/>
          <w:szCs w:val="20"/>
          <w:highlight w:val="none"/>
          <w:lang w:val="en-US" w:eastAsia="zh-CN" w:bidi="ar"/>
          <w14:textFill>
            <w14:solidFill>
              <w14:schemeClr w14:val="tx1"/>
            </w14:solidFill>
          </w14:textFill>
        </w:rPr>
        <w:t>，后期若产生采出水</w:t>
      </w:r>
      <w:r>
        <w:rPr>
          <w:rFonts w:hint="eastAsia" w:cs="Times New Roman"/>
          <w:color w:val="000000" w:themeColor="text1"/>
          <w:kern w:val="2"/>
          <w:sz w:val="24"/>
          <w:szCs w:val="20"/>
          <w:highlight w:val="none"/>
          <w:lang w:val="en-US" w:eastAsia="zh-CN" w:bidi="ar"/>
          <w14:textFill>
            <w14:solidFill>
              <w14:schemeClr w14:val="tx1"/>
            </w14:solidFill>
          </w14:textFill>
        </w:rPr>
        <w:t>，</w:t>
      </w:r>
      <w:r>
        <w:rPr>
          <w:rFonts w:hint="eastAsia" w:ascii="Times New Roman" w:hAnsi="Times New Roman" w:cs="Times New Roman"/>
          <w:color w:val="000000" w:themeColor="text1"/>
          <w:kern w:val="2"/>
          <w:sz w:val="24"/>
          <w:szCs w:val="20"/>
          <w:highlight w:val="none"/>
          <w:lang w:val="en-US" w:eastAsia="zh-CN" w:bidi="ar"/>
          <w14:textFill>
            <w14:solidFill>
              <w14:schemeClr w14:val="tx1"/>
            </w14:solidFill>
          </w14:textFill>
        </w:rPr>
        <w:t>随凝析油一同</w:t>
      </w:r>
      <w:r>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t>运至雅克拉集气处理站处理。</w:t>
      </w:r>
    </w:p>
    <w:p w14:paraId="4FEB3C51">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kern w:val="2"/>
          <w:sz w:val="24"/>
          <w:szCs w:val="20"/>
          <w:highlight w:val="none"/>
          <w:lang w:val="en-US" w:eastAsia="zh-CN" w:bidi="ar"/>
          <w14:textFill>
            <w14:solidFill>
              <w14:schemeClr w14:val="tx1"/>
            </w14:solidFill>
          </w14:textFill>
        </w:rPr>
        <w:t>井下作业废水</w:t>
      </w:r>
    </w:p>
    <w:p w14:paraId="72A12382">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运营期不定期的</w:t>
      </w:r>
      <w:r>
        <w:rPr>
          <w:rFonts w:hint="default" w:ascii="Times New Roman" w:hAnsi="Times New Roman" w:eastAsia="宋体" w:cs="Times New Roman"/>
          <w:color w:val="000000" w:themeColor="text1"/>
          <w:sz w:val="24"/>
          <w:szCs w:val="24"/>
          <w:highlight w:val="none"/>
          <w14:textFill>
            <w14:solidFill>
              <w14:schemeClr w14:val="tx1"/>
            </w14:solidFill>
          </w14:textFill>
        </w:rPr>
        <w:t>井下作业主要包括洗井、修井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侧钻</w:t>
      </w:r>
      <w:r>
        <w:rPr>
          <w:rFonts w:hint="default" w:ascii="Times New Roman" w:hAnsi="Times New Roman" w:eastAsia="宋体" w:cs="Times New Roman"/>
          <w:color w:val="000000" w:themeColor="text1"/>
          <w:sz w:val="24"/>
          <w:szCs w:val="24"/>
          <w:highlight w:val="none"/>
          <w14:textFill>
            <w14:solidFill>
              <w14:schemeClr w14:val="tx1"/>
            </w14:solidFill>
          </w14:textFill>
        </w:rPr>
        <w:t>等，主要分析洗井、修井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侧钻</w:t>
      </w:r>
      <w:r>
        <w:rPr>
          <w:rFonts w:hint="default" w:ascii="Times New Roman" w:hAnsi="Times New Roman" w:eastAsia="宋体" w:cs="Times New Roman"/>
          <w:color w:val="000000" w:themeColor="text1"/>
          <w:sz w:val="24"/>
          <w:szCs w:val="24"/>
          <w:highlight w:val="none"/>
          <w14:textFill>
            <w14:solidFill>
              <w14:schemeClr w14:val="tx1"/>
            </w14:solidFill>
          </w14:textFill>
        </w:rPr>
        <w:t>过程产生的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污染物</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侧钻</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过程产生的</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钻井泥浆岩屑污染物计算见运营期固废分析。</w:t>
      </w:r>
    </w:p>
    <w:p w14:paraId="727E3351">
      <w:pPr>
        <w:pStyle w:val="124"/>
        <w:keepNext w:val="0"/>
        <w:keepLines w:val="0"/>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根据《关于发布〈排放源统计调查产排污核算方法和系数手册〉的公告》（环保部公告2021年第16号）中与石油和天然气开采专业及辅助性活动行业系数手册中产排污系数，计算井下作业废液的产生量。</w:t>
      </w:r>
    </w:p>
    <w:p w14:paraId="46E4D9B1">
      <w:pPr>
        <w:pStyle w:val="159"/>
        <w:keepNext w:val="0"/>
        <w:keepLines w:val="0"/>
        <w:pageBreakBefore w:val="0"/>
        <w:widowControl/>
        <w:kinsoku/>
        <w:wordWrap/>
        <w:overflowPunct/>
        <w:topLinePunct w:val="0"/>
        <w:autoSpaceDE/>
        <w:autoSpaceDN/>
        <w:bidi w:val="0"/>
        <w:spacing w:before="0" w:beforeLines="0" w:after="0" w:afterLines="0"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与石油和天然气开采专业及辅助性活动产排污系数一览表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2245"/>
        <w:gridCol w:w="1203"/>
        <w:gridCol w:w="1478"/>
        <w:gridCol w:w="1264"/>
        <w:gridCol w:w="985"/>
      </w:tblGrid>
      <w:tr w14:paraId="4207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37" w:type="pct"/>
            <w:vAlign w:val="center"/>
          </w:tcPr>
          <w:p w14:paraId="016FBAB6">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原料名称</w:t>
            </w:r>
          </w:p>
        </w:tc>
        <w:tc>
          <w:tcPr>
            <w:tcW w:w="1302" w:type="pct"/>
            <w:vAlign w:val="center"/>
          </w:tcPr>
          <w:p w14:paraId="535B0E7E">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工艺名称</w:t>
            </w:r>
          </w:p>
        </w:tc>
        <w:tc>
          <w:tcPr>
            <w:tcW w:w="698" w:type="pct"/>
            <w:vAlign w:val="center"/>
          </w:tcPr>
          <w:p w14:paraId="0234FB18">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规模等级</w:t>
            </w:r>
          </w:p>
        </w:tc>
        <w:tc>
          <w:tcPr>
            <w:tcW w:w="857" w:type="pct"/>
            <w:vAlign w:val="center"/>
          </w:tcPr>
          <w:p w14:paraId="4F7ADDDE">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污染物指标</w:t>
            </w:r>
          </w:p>
        </w:tc>
        <w:tc>
          <w:tcPr>
            <w:tcW w:w="733" w:type="pct"/>
            <w:vAlign w:val="center"/>
          </w:tcPr>
          <w:p w14:paraId="229E9814">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产污系数</w:t>
            </w:r>
          </w:p>
        </w:tc>
        <w:tc>
          <w:tcPr>
            <w:tcW w:w="571" w:type="pct"/>
            <w:vAlign w:val="center"/>
          </w:tcPr>
          <w:p w14:paraId="1C0D8CBE">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r>
      <w:tr w14:paraId="3FE0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vMerge w:val="restart"/>
            <w:vAlign w:val="center"/>
          </w:tcPr>
          <w:p w14:paraId="77C2034F">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洗井液</w:t>
            </w:r>
          </w:p>
        </w:tc>
        <w:tc>
          <w:tcPr>
            <w:tcW w:w="1302" w:type="pct"/>
            <w:vAlign w:val="center"/>
          </w:tcPr>
          <w:p w14:paraId="24002DF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非低渗透油井洗井作业</w:t>
            </w:r>
          </w:p>
        </w:tc>
        <w:tc>
          <w:tcPr>
            <w:tcW w:w="698" w:type="pct"/>
            <w:vAlign w:val="center"/>
          </w:tcPr>
          <w:p w14:paraId="5597492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所有规模</w:t>
            </w:r>
          </w:p>
        </w:tc>
        <w:tc>
          <w:tcPr>
            <w:tcW w:w="857" w:type="pct"/>
            <w:vAlign w:val="center"/>
          </w:tcPr>
          <w:p w14:paraId="4ACC7D3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废洗井液</w:t>
            </w:r>
          </w:p>
        </w:tc>
        <w:tc>
          <w:tcPr>
            <w:tcW w:w="733" w:type="pct"/>
            <w:vAlign w:val="center"/>
          </w:tcPr>
          <w:p w14:paraId="0D03EE4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76</w:t>
            </w:r>
          </w:p>
        </w:tc>
        <w:tc>
          <w:tcPr>
            <w:tcW w:w="571" w:type="pct"/>
            <w:vAlign w:val="center"/>
          </w:tcPr>
          <w:p w14:paraId="2789F62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吨/井</w:t>
            </w:r>
          </w:p>
        </w:tc>
      </w:tr>
      <w:tr w14:paraId="2A1E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pct"/>
            <w:vMerge w:val="continue"/>
            <w:vAlign w:val="center"/>
          </w:tcPr>
          <w:p w14:paraId="3B43FD0C">
            <w:pPr>
              <w:pStyle w:val="16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2" w:type="pct"/>
            <w:vAlign w:val="center"/>
          </w:tcPr>
          <w:p w14:paraId="2F7A8D7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修井</w:t>
            </w:r>
          </w:p>
        </w:tc>
        <w:tc>
          <w:tcPr>
            <w:tcW w:w="698" w:type="pct"/>
            <w:vAlign w:val="center"/>
          </w:tcPr>
          <w:p w14:paraId="5D5BDC1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所有规模</w:t>
            </w:r>
          </w:p>
        </w:tc>
        <w:tc>
          <w:tcPr>
            <w:tcW w:w="857" w:type="pct"/>
            <w:vAlign w:val="center"/>
          </w:tcPr>
          <w:p w14:paraId="70688C0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废洗井液</w:t>
            </w:r>
          </w:p>
        </w:tc>
        <w:tc>
          <w:tcPr>
            <w:tcW w:w="733" w:type="pct"/>
            <w:vAlign w:val="center"/>
          </w:tcPr>
          <w:p w14:paraId="6B02F79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25.29</w:t>
            </w:r>
          </w:p>
        </w:tc>
        <w:tc>
          <w:tcPr>
            <w:tcW w:w="571" w:type="pct"/>
            <w:vAlign w:val="center"/>
          </w:tcPr>
          <w:p w14:paraId="6E24E5D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吨/井</w:t>
            </w:r>
          </w:p>
        </w:tc>
      </w:tr>
    </w:tbl>
    <w:p w14:paraId="65B1B8CC">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根据上表计算，一口井产生的废洗井液为101.29吨，本工程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口井，废洗井液产生量为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303.87</w:t>
      </w:r>
      <w:r>
        <w:rPr>
          <w:rFonts w:hint="default" w:ascii="Times New Roman" w:hAnsi="Times New Roman" w:eastAsia="宋体" w:cs="Times New Roman"/>
          <w:color w:val="000000" w:themeColor="text1"/>
          <w:sz w:val="24"/>
          <w:szCs w:val="24"/>
          <w:highlight w:val="none"/>
          <w14:textFill>
            <w14:solidFill>
              <w14:schemeClr w14:val="tx1"/>
            </w14:solidFill>
          </w14:textFill>
        </w:rPr>
        <w:t>吨，每2年1次计算，每年产生井下作业废水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151.935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采用专用回收罐进行回收，拉运至阿克苏塔河环保工程有限公司绿色环保工作站废液处理系统进行处理，达到《碎屑岩油藏注水水质指标技术要求及分析方法》（SY/T5329-2022）标准中指标后回注油层，不外排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703A1A2">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生活污水</w:t>
      </w:r>
    </w:p>
    <w:p w14:paraId="7130F016">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000000" w:themeColor="text1"/>
          <w:highlight w:val="none"/>
          <w:lang w:eastAsia="zh-CN"/>
          <w14:textFill>
            <w14:solidFill>
              <w14:schemeClr w14:val="tx1"/>
            </w14:solidFill>
          </w14:textFill>
        </w:rPr>
      </w:pPr>
      <w:r>
        <w:rPr>
          <w:rFonts w:hint="eastAsia" w:cs="Times New Roman"/>
          <w:color w:val="000000" w:themeColor="text1"/>
          <w:kern w:val="2"/>
          <w:sz w:val="24"/>
          <w:szCs w:val="20"/>
          <w:highlight w:val="none"/>
          <w:lang w:val="en-US" w:eastAsia="zh-CN" w:bidi="ar"/>
          <w14:textFill>
            <w14:solidFill>
              <w14:schemeClr w14:val="tx1"/>
            </w14:solidFill>
          </w14:textFill>
        </w:rPr>
        <w:t>本工程</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井场无人值守，通过远程监控、人员定期巡检进行管理。运营期工作人员由</w:t>
      </w:r>
      <w:bookmarkStart w:id="617" w:name="OLE_LINK337"/>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雅克拉采气厂内部调剂解决</w:t>
      </w:r>
      <w:bookmarkEnd w:id="617"/>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，故不新增生活污水。</w:t>
      </w:r>
    </w:p>
    <w:p w14:paraId="007247A1">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bookmarkStart w:id="618" w:name="OLE_LINK340"/>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"3.2.4.3"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固体废物污染源</w:t>
      </w:r>
    </w:p>
    <w:p w14:paraId="5CC52F74">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619" w:name="OLE_LINK316"/>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生活垃圾</w:t>
      </w:r>
    </w:p>
    <w:p w14:paraId="31F885F1">
      <w:pPr>
        <w:spacing w:line="360" w:lineRule="auto"/>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运营期工作人员由</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雅克拉采气厂内部调剂解决</w:t>
      </w:r>
      <w:r>
        <w:rPr>
          <w:rFonts w:hint="default" w:ascii="Times New Roman" w:hAnsi="Times New Roman" w:cs="Times New Roman"/>
          <w:color w:val="000000" w:themeColor="text1"/>
          <w:highlight w:val="none"/>
          <w14:textFill>
            <w14:solidFill>
              <w14:schemeClr w14:val="tx1"/>
            </w14:solidFill>
          </w14:textFill>
        </w:rPr>
        <w:t>，故不新增生活垃圾。</w:t>
      </w:r>
    </w:p>
    <w:p w14:paraId="6E02C7EB">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危险废物</w:t>
      </w:r>
    </w:p>
    <w:p w14:paraId="6D5CD982">
      <w:pPr>
        <w:pStyle w:val="6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落地油</w:t>
      </w:r>
      <w:bookmarkEnd w:id="619"/>
    </w:p>
    <w:p w14:paraId="270DD45F">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落地油</w:t>
      </w:r>
      <w:bookmarkStart w:id="620" w:name="OLE_LINK319"/>
      <w:r>
        <w:rPr>
          <w:color w:val="000000" w:themeColor="text1"/>
          <w:highlight w:val="none"/>
          <w14:textFill>
            <w14:solidFill>
              <w14:schemeClr w14:val="tx1"/>
            </w14:solidFill>
          </w14:textFill>
        </w:rPr>
        <w:t>主要</w:t>
      </w:r>
      <w:r>
        <w:rPr>
          <w:rFonts w:hint="default" w:ascii="Times New Roman" w:hAnsi="Times New Roman" w:cs="Times New Roman"/>
          <w:color w:val="000000" w:themeColor="text1"/>
          <w:highlight w:val="none"/>
          <w14:textFill>
            <w14:solidFill>
              <w14:schemeClr w14:val="tx1"/>
            </w14:solidFill>
          </w14:textFill>
        </w:rPr>
        <w:t>来自</w:t>
      </w:r>
      <w:bookmarkEnd w:id="620"/>
      <w:r>
        <w:rPr>
          <w:rFonts w:hint="eastAsia" w:cs="Times New Roman"/>
          <w:color w:val="000000" w:themeColor="text1"/>
          <w:highlight w:val="none"/>
          <w:lang w:val="en-US" w:eastAsia="zh-CN"/>
          <w14:textFill>
            <w14:solidFill>
              <w14:schemeClr w14:val="tx1"/>
            </w14:solidFill>
          </w14:textFill>
        </w:rPr>
        <w:t>井下作业环节</w:t>
      </w:r>
      <w:r>
        <w:rPr>
          <w:rFonts w:hint="default" w:ascii="Times New Roman" w:hAnsi="Times New Roman" w:cs="Times New Roman"/>
          <w:color w:val="000000" w:themeColor="text1"/>
          <w:highlight w:val="none"/>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油气</w:t>
      </w:r>
      <w:r>
        <w:rPr>
          <w:rFonts w:hint="default" w:ascii="Times New Roman" w:hAnsi="Times New Roman" w:cs="Times New Roman"/>
          <w:color w:val="000000" w:themeColor="text1"/>
          <w:highlight w:val="none"/>
          <w14:textFill>
            <w14:solidFill>
              <w14:schemeClr w14:val="tx1"/>
            </w14:solidFill>
          </w14:textFill>
        </w:rPr>
        <w:t>处理环节等</w:t>
      </w:r>
      <w:r>
        <w:rPr>
          <w:rFonts w:hint="eastAsia" w:cs="Times New Roman"/>
          <w:color w:val="000000" w:themeColor="text1"/>
          <w:highlight w:val="none"/>
          <w:lang w:eastAsia="zh-CN"/>
          <w14:textFill>
            <w14:solidFill>
              <w14:schemeClr w14:val="tx1"/>
            </w14:solidFill>
          </w14:textFill>
        </w:rPr>
        <w:t>。</w:t>
      </w:r>
      <w:bookmarkStart w:id="621" w:name="OLE_LINK320"/>
      <w:bookmarkStart w:id="622" w:name="OLE_LINK325"/>
      <w:r>
        <w:rPr>
          <w:rFonts w:hint="eastAsia"/>
          <w:color w:val="000000" w:themeColor="text1"/>
          <w:highlight w:val="none"/>
          <w:lang w:val="en-US" w:eastAsia="zh-CN"/>
          <w14:textFill>
            <w14:solidFill>
              <w14:schemeClr w14:val="tx1"/>
            </w14:solidFill>
          </w14:textFill>
        </w:rPr>
        <w:t>根据《</w:t>
      </w:r>
      <w:bookmarkStart w:id="623" w:name="OLE_LINK313"/>
      <w:r>
        <w:rPr>
          <w:rFonts w:hint="eastAsia"/>
          <w:color w:val="000000" w:themeColor="text1"/>
          <w:highlight w:val="none"/>
          <w:lang w:val="en-US" w:eastAsia="zh-CN"/>
          <w14:textFill>
            <w14:solidFill>
              <w14:schemeClr w14:val="tx1"/>
            </w14:solidFill>
          </w14:textFill>
        </w:rPr>
        <w:t>国家危险废物名录</w:t>
      </w:r>
      <w:bookmarkEnd w:id="623"/>
      <w:r>
        <w:rPr>
          <w:rFonts w:hint="eastAsia"/>
          <w:color w:val="000000" w:themeColor="text1"/>
          <w:highlight w:val="none"/>
          <w:lang w:val="en-US" w:eastAsia="zh-CN"/>
          <w14:textFill>
            <w14:solidFill>
              <w14:schemeClr w14:val="tx1"/>
            </w14:solidFill>
          </w14:textFill>
        </w:rPr>
        <w:t>（2025年版）》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bookmarkEnd w:id="621"/>
      <w:r>
        <w:rPr>
          <w:rFonts w:hint="default" w:ascii="Times New Roman" w:hAnsi="Times New Roman" w:cs="Times New Roman"/>
          <w:color w:val="000000" w:themeColor="text1"/>
          <w:highlight w:val="none"/>
          <w14:textFill>
            <w14:solidFill>
              <w14:schemeClr w14:val="tx1"/>
            </w14:solidFill>
          </w14:textFill>
        </w:rPr>
        <w:t>落地油</w:t>
      </w:r>
      <w:bookmarkStart w:id="624" w:name="OLE_LINK321"/>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HW08废矿物油与含矿物油废物</w:t>
      </w:r>
      <w:r>
        <w:rPr>
          <w:rFonts w:hint="default"/>
          <w:color w:val="000000" w:themeColor="text1"/>
          <w:highlight w:val="none"/>
          <w:lang w:eastAsia="zh-CN"/>
          <w14:textFill>
            <w14:solidFill>
              <w14:schemeClr w14:val="tx1"/>
            </w14:solidFill>
          </w14:textFill>
        </w:rPr>
        <w:t>（废物代码：</w:t>
      </w:r>
      <w:bookmarkStart w:id="625" w:name="OLE_LINK315"/>
      <w:r>
        <w:rPr>
          <w:rFonts w:hint="default"/>
          <w:color w:val="000000" w:themeColor="text1"/>
          <w:highlight w:val="none"/>
          <w14:textFill>
            <w14:solidFill>
              <w14:schemeClr w14:val="tx1"/>
            </w14:solidFill>
          </w14:textFill>
        </w:rPr>
        <w:t>071-001-08</w:t>
      </w:r>
      <w:bookmarkEnd w:id="625"/>
      <w:r>
        <w:rPr>
          <w:rFonts w:hint="default"/>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bookmarkEnd w:id="622"/>
    <w:bookmarkEnd w:id="624"/>
    <w:p w14:paraId="7ECF6715">
      <w:pPr>
        <w:spacing w:line="360" w:lineRule="auto"/>
        <w:ind w:firstLine="496"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本</w:t>
      </w:r>
      <w:r>
        <w:rPr>
          <w:rFonts w:hint="eastAsia" w:cs="Times New Roman"/>
          <w:snapToGrid w:val="0"/>
          <w:color w:val="000000" w:themeColor="text1"/>
          <w:spacing w:val="4"/>
          <w:szCs w:val="22"/>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spacing w:val="4"/>
          <w:szCs w:val="22"/>
          <w:highlight w:val="none"/>
          <w14:textFill>
            <w14:solidFill>
              <w14:schemeClr w14:val="tx1"/>
            </w14:solidFill>
          </w14:textFill>
        </w:rPr>
        <w:t>井下作业时带罐作业，防止产生</w:t>
      </w:r>
      <w:bookmarkStart w:id="626" w:name="OLE_LINK314"/>
      <w:r>
        <w:rPr>
          <w:rFonts w:hint="default" w:ascii="Times New Roman" w:hAnsi="Times New Roman" w:cs="Times New Roman"/>
          <w:snapToGrid w:val="0"/>
          <w:color w:val="000000" w:themeColor="text1"/>
          <w:spacing w:val="4"/>
          <w:szCs w:val="22"/>
          <w:highlight w:val="none"/>
          <w14:textFill>
            <w14:solidFill>
              <w14:schemeClr w14:val="tx1"/>
            </w14:solidFill>
          </w14:textFill>
        </w:rPr>
        <w:t>落地</w:t>
      </w:r>
      <w:bookmarkEnd w:id="626"/>
      <w:r>
        <w:rPr>
          <w:rFonts w:hint="default" w:ascii="Times New Roman" w:hAnsi="Times New Roman" w:cs="Times New Roman"/>
          <w:snapToGrid w:val="0"/>
          <w:color w:val="000000" w:themeColor="text1"/>
          <w:spacing w:val="4"/>
          <w:szCs w:val="22"/>
          <w:highlight w:val="none"/>
          <w14:textFill>
            <w14:solidFill>
              <w14:schemeClr w14:val="tx1"/>
            </w14:solidFill>
          </w14:textFill>
        </w:rPr>
        <w:t>油，井口排出物全部进罐，做到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cs="Times New Roman"/>
          <w:snapToGrid w:val="0"/>
          <w:color w:val="000000" w:themeColor="text1"/>
          <w:spacing w:val="4"/>
          <w:szCs w:val="22"/>
          <w:highlight w:val="none"/>
          <w14:textFill>
            <w14:solidFill>
              <w14:schemeClr w14:val="tx1"/>
            </w14:solidFill>
          </w14:textFill>
        </w:rPr>
        <w:t>100%回收</w:t>
      </w:r>
      <w:r>
        <w:rPr>
          <w:rFonts w:hint="eastAsia" w:cs="Times New Roman"/>
          <w:snapToGrid w:val="0"/>
          <w:color w:val="000000" w:themeColor="text1"/>
          <w:spacing w:val="4"/>
          <w:szCs w:val="22"/>
          <w:highlight w:val="none"/>
          <w:lang w:eastAsia="zh-CN"/>
          <w14:textFill>
            <w14:solidFill>
              <w14:schemeClr w14:val="tx1"/>
            </w14:solidFill>
          </w14:textFill>
        </w:rPr>
        <w:t>。</w:t>
      </w:r>
      <w:r>
        <w:rPr>
          <w:color w:val="000000" w:themeColor="text1"/>
          <w:highlight w:val="none"/>
          <w14:textFill>
            <w14:solidFill>
              <w14:schemeClr w14:val="tx1"/>
            </w14:solidFill>
          </w14:textFill>
        </w:rPr>
        <w:t>按照单井落地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color w:val="000000" w:themeColor="text1"/>
          <w:highlight w:val="none"/>
          <w14:textFill>
            <w14:solidFill>
              <w14:schemeClr w14:val="tx1"/>
            </w14:solidFill>
          </w14:textFill>
        </w:rPr>
        <w:t>产生量约0.1t/a计算，本工程运行后落地油总产生量约0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t/a</w:t>
      </w:r>
      <w:r>
        <w:rPr>
          <w:rFonts w:hint="default" w:ascii="Times New Roman" w:hAnsi="Times New Roman" w:cs="Times New Roman"/>
          <w:snapToGrid w:val="0"/>
          <w:color w:val="000000" w:themeColor="text1"/>
          <w:spacing w:val="4"/>
          <w:szCs w:val="22"/>
          <w:highlight w:val="none"/>
          <w14:textFill>
            <w14:solidFill>
              <w14:schemeClr w14:val="tx1"/>
            </w14:solidFill>
          </w14:textFill>
        </w:rPr>
        <w:t>。</w:t>
      </w:r>
      <w:bookmarkStart w:id="627" w:name="OLE_LINK410"/>
      <w:r>
        <w:rPr>
          <w:rFonts w:hint="default" w:ascii="Times New Roman" w:hAnsi="Times New Roman" w:cs="Times New Roman"/>
          <w:color w:val="000000" w:themeColor="text1"/>
          <w:highlight w:val="none"/>
          <w14:textFill>
            <w14:solidFill>
              <w14:schemeClr w14:val="tx1"/>
            </w14:solidFill>
          </w14:textFill>
        </w:rPr>
        <w:t>落地油不在施工井场储存，</w:t>
      </w:r>
      <w:bookmarkStart w:id="628" w:name="OLE_LINK329"/>
      <w:r>
        <w:rPr>
          <w:rFonts w:hint="default" w:ascii="Times New Roman" w:hAnsi="Times New Roman" w:cs="Times New Roman"/>
          <w:color w:val="000000" w:themeColor="text1"/>
          <w:highlight w:val="none"/>
          <w14:textFill>
            <w14:solidFill>
              <w14:schemeClr w14:val="tx1"/>
            </w14:solidFill>
          </w14:textFill>
        </w:rPr>
        <w:t>直接在作业施工现场由施工人员回收至密闭的专用罐车内</w:t>
      </w:r>
      <w:bookmarkEnd w:id="628"/>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统一由阿克苏塔河环保工程有限公司绿色环保工作站进行无害化处理</w:t>
      </w:r>
      <w:bookmarkEnd w:id="627"/>
      <w:r>
        <w:rPr>
          <w:rFonts w:hint="default" w:ascii="Times New Roman" w:hAnsi="Times New Roman" w:cs="Times New Roman"/>
          <w:snapToGrid w:val="0"/>
          <w:color w:val="000000" w:themeColor="text1"/>
          <w:spacing w:val="4"/>
          <w:szCs w:val="22"/>
          <w:highlight w:val="none"/>
          <w14:textFill>
            <w14:solidFill>
              <w14:schemeClr w14:val="tx1"/>
            </w14:solidFill>
          </w14:textFill>
        </w:rPr>
        <w:t>。严格按照《危险废物贮存污染控制标准》</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GB18597-2023</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《危险废物收集</w:t>
      </w:r>
      <w:r>
        <w:rPr>
          <w:rFonts w:hint="default" w:ascii="Times New Roman" w:hAnsi="Times New Roman" w:cs="Times New Roman"/>
          <w:snapToGrid w:val="0"/>
          <w:color w:val="000000" w:themeColor="text1"/>
          <w:spacing w:val="4"/>
          <w:szCs w:val="22"/>
          <w:highlight w:val="none"/>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pacing w:val="4"/>
          <w:szCs w:val="22"/>
          <w:highlight w:val="none"/>
          <w14:textFill>
            <w14:solidFill>
              <w14:schemeClr w14:val="tx1"/>
            </w14:solidFill>
          </w14:textFill>
        </w:rPr>
        <w:t>贮存</w:t>
      </w:r>
      <w:r>
        <w:rPr>
          <w:rFonts w:hint="default" w:ascii="Times New Roman" w:hAnsi="Times New Roman" w:cs="Times New Roman"/>
          <w:snapToGrid w:val="0"/>
          <w:color w:val="000000" w:themeColor="text1"/>
          <w:spacing w:val="4"/>
          <w:szCs w:val="22"/>
          <w:highlight w:val="none"/>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pacing w:val="4"/>
          <w:szCs w:val="22"/>
          <w:highlight w:val="none"/>
          <w14:textFill>
            <w14:solidFill>
              <w14:schemeClr w14:val="tx1"/>
            </w14:solidFill>
          </w14:textFill>
        </w:rPr>
        <w:t>运输技术规范》</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HJ2025-2012</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和《危险废物转移管理办法》</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中的相关要求收集、贮存、运输</w:t>
      </w:r>
      <w:r>
        <w:rPr>
          <w:rFonts w:hint="default" w:ascii="Times New Roman" w:hAnsi="Times New Roman" w:cs="Times New Roman"/>
          <w:color w:val="000000" w:themeColor="text1"/>
          <w:highlight w:val="none"/>
          <w14:textFill>
            <w14:solidFill>
              <w14:schemeClr w14:val="tx1"/>
            </w14:solidFill>
          </w14:textFill>
        </w:rPr>
        <w:t>。</w:t>
      </w:r>
    </w:p>
    <w:p w14:paraId="7F0F6094">
      <w:pPr>
        <w:pStyle w:val="6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bookmarkStart w:id="629" w:name="OLE_LINK318"/>
      <w:r>
        <w:rPr>
          <w:rFonts w:hint="default" w:ascii="Times New Roman" w:hAnsi="Times New Roman" w:eastAsia="宋体"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废防渗材料</w:t>
      </w:r>
      <w:bookmarkEnd w:id="629"/>
    </w:p>
    <w:p w14:paraId="1B21F97C">
      <w:pPr>
        <w:spacing w:line="360" w:lineRule="auto"/>
        <w:ind w:firstLine="496" w:firstLineChars="200"/>
        <w:jc w:val="both"/>
        <w:rPr>
          <w:rFonts w:hint="eastAsia" w:cs="Times New Roman"/>
          <w:color w:val="000000" w:themeColor="text1"/>
          <w:highlight w:val="none"/>
          <w:lang w:val="en-US" w:eastAsia="zh-CN"/>
          <w14:textFill>
            <w14:solidFill>
              <w14:schemeClr w14:val="tx1"/>
            </w14:solidFill>
          </w14:textFill>
        </w:rPr>
      </w:pPr>
      <w:bookmarkStart w:id="630" w:name="OLE_LINK322"/>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w:t>
      </w:r>
      <w:bookmarkEnd w:id="630"/>
      <w:bookmarkStart w:id="631" w:name="OLE_LINK324"/>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主要来自</w:t>
      </w:r>
      <w:bookmarkEnd w:id="631"/>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作业过程</w:t>
      </w:r>
      <w:r>
        <w:rPr>
          <w:rFonts w:hint="eastAsia" w:eastAsia="宋体" w:cs="Times New Roman"/>
          <w:snapToGrid w:val="0"/>
          <w:color w:val="000000" w:themeColor="text1"/>
          <w:spacing w:val="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w:t>
      </w:r>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HW08废矿物油与含矿物油废物</w:t>
      </w:r>
      <w:r>
        <w:rPr>
          <w:rFonts w:hint="default"/>
          <w:color w:val="000000" w:themeColor="text1"/>
          <w:highlight w:val="none"/>
          <w:lang w:eastAsia="zh-CN"/>
          <w14:textFill>
            <w14:solidFill>
              <w14:schemeClr w14:val="tx1"/>
            </w14:solidFill>
          </w14:textFill>
        </w:rPr>
        <w:t>（废物代码：</w:t>
      </w:r>
      <w:r>
        <w:rPr>
          <w:rFonts w:hint="default"/>
          <w:color w:val="000000" w:themeColor="text1"/>
          <w:highlight w:val="none"/>
          <w14:textFill>
            <w14:solidFill>
              <w14:schemeClr w14:val="tx1"/>
            </w14:solidFill>
          </w14:textFill>
        </w:rPr>
        <w:t>900-249-08</w:t>
      </w:r>
      <w:r>
        <w:rPr>
          <w:rFonts w:hint="default"/>
          <w:color w:val="000000" w:themeColor="text1"/>
          <w:highlight w:val="none"/>
          <w:lang w:eastAsia="zh-CN"/>
          <w14:textFill>
            <w14:solidFill>
              <w14:schemeClr w14:val="tx1"/>
            </w14:solidFill>
          </w14:textFill>
        </w:rPr>
        <w:t>）</w:t>
      </w:r>
      <w:r>
        <w:rPr>
          <w:rFonts w:hint="eastAsia" w:eastAsia="宋体" w:cs="Times New Roman"/>
          <w:snapToGrid w:val="0"/>
          <w:color w:val="000000" w:themeColor="text1"/>
          <w:spacing w:val="4"/>
          <w:sz w:val="24"/>
          <w:szCs w:val="22"/>
          <w:highlight w:val="none"/>
          <w:lang w:val="en-US" w:eastAsia="zh-CN" w:bidi="ar-SA"/>
          <w14:textFill>
            <w14:solidFill>
              <w14:schemeClr w14:val="tx1"/>
            </w14:solidFill>
          </w14:textFill>
        </w:rPr>
        <w:t>。</w:t>
      </w:r>
    </w:p>
    <w:p w14:paraId="69452C84">
      <w:pPr>
        <w:pStyle w:val="11"/>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运营期作业时，作业场地下方铺设</w:t>
      </w:r>
      <w:bookmarkStart w:id="632" w:name="OLE_LINK317"/>
      <w:r>
        <w:rPr>
          <w:rFonts w:hint="default" w:ascii="Times New Roman" w:hAnsi="Times New Roman" w:cs="Times New Roman"/>
          <w:color w:val="000000" w:themeColor="text1"/>
          <w:highlight w:val="none"/>
          <w14:textFill>
            <w14:solidFill>
              <w14:schemeClr w14:val="tx1"/>
            </w14:solidFill>
          </w14:textFill>
        </w:rPr>
        <w:t>防渗</w:t>
      </w:r>
      <w:r>
        <w:rPr>
          <w:rFonts w:hint="eastAsia"/>
          <w:color w:val="000000" w:themeColor="text1"/>
          <w:highlight w:val="none"/>
          <w14:textFill>
            <w14:solidFill>
              <w14:schemeClr w14:val="tx1"/>
            </w14:solidFill>
          </w14:textFill>
        </w:rPr>
        <w:t>材料</w:t>
      </w:r>
      <w:bookmarkEnd w:id="632"/>
      <w:r>
        <w:rPr>
          <w:rFonts w:hint="default" w:ascii="Times New Roman" w:hAnsi="Times New Roman" w:cs="Times New Roman"/>
          <w:color w:val="000000" w:themeColor="text1"/>
          <w:highlight w:val="none"/>
          <w14:textFill>
            <w14:solidFill>
              <w14:schemeClr w14:val="tx1"/>
            </w14:solidFill>
          </w14:textFill>
        </w:rPr>
        <w:t>，产生的落地油直接落在防渗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上，目前油田使用的防渗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均可重复利用，平均重复利用1</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2年。单块防渗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重约250kg（12m×12m），口井作业用2块，约合0.25t/a·井</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default"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产生废弃防渗材料量约</w:t>
      </w:r>
      <w:bookmarkStart w:id="633" w:name="OLE_LINK411"/>
      <w:r>
        <w:rPr>
          <w:rFonts w:hint="default" w:ascii="Times New Roman" w:hAnsi="Times New Roman" w:cs="Times New Roman"/>
          <w:color w:val="000000" w:themeColor="text1"/>
          <w:highlight w:val="none"/>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75</w:t>
      </w:r>
      <w:r>
        <w:rPr>
          <w:rFonts w:hint="default" w:ascii="Times New Roman" w:hAnsi="Times New Roman" w:cs="Times New Roman"/>
          <w:color w:val="000000" w:themeColor="text1"/>
          <w:highlight w:val="none"/>
          <w14:textFill>
            <w14:solidFill>
              <w14:schemeClr w14:val="tx1"/>
            </w14:solidFill>
          </w14:textFill>
        </w:rPr>
        <w:t>t/a</w:t>
      </w:r>
      <w:bookmarkEnd w:id="633"/>
      <w:r>
        <w:rPr>
          <w:rFonts w:hint="default" w:ascii="Times New Roman" w:hAnsi="Times New Roman" w:cs="Times New Roman"/>
          <w:color w:val="000000" w:themeColor="text1"/>
          <w:highlight w:val="none"/>
          <w14:textFill>
            <w14:solidFill>
              <w14:schemeClr w14:val="tx1"/>
            </w14:solidFill>
          </w14:textFill>
        </w:rPr>
        <w:t>。作业施工结束后，</w:t>
      </w:r>
      <w:bookmarkStart w:id="634" w:name="OLE_LINK328"/>
      <w:r>
        <w:rPr>
          <w:rFonts w:hint="default" w:ascii="Times New Roman" w:hAnsi="Times New Roman" w:cs="Times New Roman"/>
          <w:color w:val="000000" w:themeColor="text1"/>
          <w:highlight w:val="none"/>
          <w14:textFill>
            <w14:solidFill>
              <w14:schemeClr w14:val="tx1"/>
            </w14:solidFill>
          </w14:textFill>
        </w:rPr>
        <w:t>由</w:t>
      </w:r>
      <w:bookmarkStart w:id="635" w:name="OLE_LINK412"/>
      <w:r>
        <w:rPr>
          <w:rFonts w:hint="default" w:ascii="Times New Roman" w:hAnsi="Times New Roman" w:cs="Times New Roman"/>
          <w:color w:val="000000" w:themeColor="text1"/>
          <w:highlight w:val="none"/>
          <w14:textFill>
            <w14:solidFill>
              <w14:schemeClr w14:val="tx1"/>
            </w14:solidFill>
          </w14:textFill>
        </w:rPr>
        <w:t>施工单位将废弃的</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w:t>
      </w:r>
      <w:r>
        <w:rPr>
          <w:rFonts w:hint="default" w:ascii="Times New Roman" w:hAnsi="Times New Roman" w:cs="Times New Roman"/>
          <w:color w:val="000000" w:themeColor="text1"/>
          <w:highlight w:val="none"/>
          <w14:textFill>
            <w14:solidFill>
              <w14:schemeClr w14:val="tx1"/>
            </w14:solidFill>
          </w14:textFill>
        </w:rPr>
        <w:t>集中收集，不在井场贮存，</w:t>
      </w:r>
      <w:bookmarkStart w:id="636" w:name="OLE_LINK327"/>
      <w:r>
        <w:rPr>
          <w:rFonts w:hint="default" w:ascii="Times New Roman" w:hAnsi="Times New Roman" w:cs="Times New Roman"/>
          <w:color w:val="000000" w:themeColor="text1"/>
          <w:highlight w:val="none"/>
          <w14:textFill>
            <w14:solidFill>
              <w14:schemeClr w14:val="tx1"/>
            </w14:solidFill>
          </w14:textFill>
        </w:rPr>
        <w:t>委托</w:t>
      </w:r>
      <w:bookmarkStart w:id="637" w:name="OLE_LINK323"/>
      <w:r>
        <w:rPr>
          <w:rFonts w:hint="default" w:ascii="Times New Roman" w:hAnsi="Times New Roman" w:cs="Times New Roman"/>
          <w:color w:val="000000" w:themeColor="text1"/>
          <w:highlight w:val="none"/>
          <w14:textFill>
            <w14:solidFill>
              <w14:schemeClr w14:val="tx1"/>
            </w14:solidFill>
          </w14:textFill>
        </w:rPr>
        <w:t>持有危险废物经营许可证的</w:t>
      </w:r>
      <w:bookmarkEnd w:id="634"/>
      <w:bookmarkEnd w:id="636"/>
      <w:bookmarkEnd w:id="637"/>
      <w:r>
        <w:rPr>
          <w:rFonts w:hint="eastAsia" w:ascii="Times New Roman" w:hAnsi="Times New Roman" w:cs="Times New Roman"/>
          <w:color w:val="000000" w:themeColor="text1"/>
          <w:highlight w:val="none"/>
          <w:lang w:eastAsia="zh-CN"/>
          <w14:textFill>
            <w14:solidFill>
              <w14:schemeClr w14:val="tx1"/>
            </w14:solidFill>
          </w14:textFill>
        </w:rPr>
        <w:t>单位利用处置</w:t>
      </w:r>
      <w:bookmarkEnd w:id="635"/>
      <w:r>
        <w:rPr>
          <w:rFonts w:hint="default" w:ascii="Times New Roman" w:hAnsi="Times New Roman" w:cs="Times New Roman"/>
          <w:color w:val="000000" w:themeColor="text1"/>
          <w:highlight w:val="none"/>
          <w14:textFill>
            <w14:solidFill>
              <w14:schemeClr w14:val="tx1"/>
            </w14:solidFill>
          </w14:textFill>
        </w:rPr>
        <w:t>，拉运过程中持有危险废物经营许可证的单位应使用专车、按照指定的拉运路线。</w:t>
      </w:r>
    </w:p>
    <w:p w14:paraId="1B23CCE7">
      <w:pPr>
        <w:numPr>
          <w:ilvl w:val="0"/>
          <w:numId w:val="0"/>
        </w:numPr>
        <w:spacing w:line="360" w:lineRule="auto"/>
        <w:ind w:left="0" w:leftChars="0" w:firstLine="480" w:firstLineChars="200"/>
        <w:jc w:val="both"/>
        <w:rPr>
          <w:rFonts w:hint="eastAsia" w:cs="Times New Roman"/>
          <w:color w:val="000000" w:themeColor="text1"/>
          <w:highlight w:val="none"/>
          <w:lang w:eastAsia="zh-CN"/>
          <w14:textFill>
            <w14:solidFill>
              <w14:schemeClr w14:val="tx1"/>
            </w14:solidFill>
          </w14:textFill>
        </w:rPr>
      </w:pPr>
      <w:bookmarkStart w:id="638" w:name="OLE_LINK833"/>
      <w:bookmarkStart w:id="639" w:name="OLE_LINK330"/>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3 \* GB3 \* MERGEFORMAT </w:instrText>
      </w:r>
      <w:r>
        <w:rPr>
          <w:rFonts w:hint="default"/>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hint="default"/>
          <w:color w:val="000000" w:themeColor="text1"/>
          <w:highlight w:val="none"/>
          <w14:textFill>
            <w14:solidFill>
              <w14:schemeClr w14:val="tx1"/>
            </w14:solidFill>
          </w14:textFill>
        </w:rPr>
        <w:fldChar w:fldCharType="end"/>
      </w:r>
      <w:bookmarkEnd w:id="638"/>
      <w:r>
        <w:rPr>
          <w:rFonts w:hint="eastAsia" w:cs="Times New Roman"/>
          <w:color w:val="000000" w:themeColor="text1"/>
          <w:highlight w:val="none"/>
          <w:lang w:eastAsia="zh-CN"/>
          <w14:textFill>
            <w14:solidFill>
              <w14:schemeClr w14:val="tx1"/>
            </w14:solidFill>
          </w14:textFill>
        </w:rPr>
        <w:t>清罐底泥</w:t>
      </w:r>
      <w:bookmarkEnd w:id="639"/>
    </w:p>
    <w:p w14:paraId="1D1BD733">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清罐底泥主要来自井场储罐</w:t>
      </w:r>
      <w:bookmarkStart w:id="640" w:name="OLE_LINK333"/>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w:t>
      </w:r>
      <w:bookmarkEnd w:id="640"/>
      <w:bookmarkStart w:id="641" w:name="OLE_LINK339"/>
      <w:r>
        <w:rPr>
          <w:rFonts w:hint="eastAsia"/>
          <w:color w:val="000000" w:themeColor="text1"/>
          <w:highlight w:val="none"/>
          <w:lang w:val="en-US" w:eastAsia="zh-CN"/>
          <w14:textFill>
            <w14:solidFill>
              <w14:schemeClr w14:val="tx1"/>
            </w14:solidFill>
          </w14:textFill>
        </w:rPr>
        <w:t>《国家危险废物名录（2025年版）》</w:t>
      </w:r>
      <w:bookmarkEnd w:id="641"/>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w:t>
      </w:r>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w:t>
      </w:r>
      <w:bookmarkStart w:id="642" w:name="OLE_LINK335"/>
      <w:r>
        <w:rPr>
          <w:rFonts w:hint="default"/>
          <w:color w:val="000000" w:themeColor="text1"/>
          <w:highlight w:val="none"/>
          <w14:textFill>
            <w14:solidFill>
              <w14:schemeClr w14:val="tx1"/>
            </w14:solidFill>
          </w14:textFill>
        </w:rPr>
        <w:t>废矿物油与含矿物油废物</w:t>
      </w:r>
      <w:bookmarkEnd w:id="642"/>
      <w:r>
        <w:rPr>
          <w:rFonts w:hint="default"/>
          <w:color w:val="000000" w:themeColor="text1"/>
          <w:highlight w:val="none"/>
          <w:lang w:eastAsia="zh-CN"/>
          <w14:textFill>
            <w14:solidFill>
              <w14:schemeClr w14:val="tx1"/>
            </w14:solidFill>
          </w14:textFill>
        </w:rPr>
        <w:t>（废物代码：</w:t>
      </w:r>
      <w:r>
        <w:rPr>
          <w:rFonts w:hint="default"/>
          <w:color w:val="000000" w:themeColor="text1"/>
          <w:highlight w:val="none"/>
          <w14:textFill>
            <w14:solidFill>
              <w14:schemeClr w14:val="tx1"/>
            </w14:solidFill>
          </w14:textFill>
        </w:rPr>
        <w:t>071-001-08</w:t>
      </w:r>
      <w:r>
        <w:rPr>
          <w:rFonts w:hint="default"/>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根据油田资料</w:t>
      </w:r>
      <w:r>
        <w:rPr>
          <w:rFonts w:hint="eastAsia"/>
          <w:color w:val="000000" w:themeColor="text1"/>
          <w:highlight w:val="none"/>
          <w:lang w:eastAsia="zh-CN"/>
          <w14:textFill>
            <w14:solidFill>
              <w14:schemeClr w14:val="tx1"/>
            </w14:solidFill>
          </w14:textFill>
        </w:rPr>
        <w:t>类比分析，预计回收油泥</w:t>
      </w:r>
      <w:bookmarkStart w:id="643" w:name="OLE_LINK413"/>
      <w:r>
        <w:rPr>
          <w:rFonts w:hint="eastAsia"/>
          <w:color w:val="000000" w:themeColor="text1"/>
          <w:highlight w:val="none"/>
          <w:lang w:eastAsia="zh-CN"/>
          <w14:textFill>
            <w14:solidFill>
              <w14:schemeClr w14:val="tx1"/>
            </w14:solidFill>
          </w14:textFill>
        </w:rPr>
        <w:t>0.1t</w:t>
      </w:r>
      <w:r>
        <w:rPr>
          <w:rFonts w:hint="eastAsia"/>
          <w:color w:val="000000" w:themeColor="text1"/>
          <w:highlight w:val="none"/>
          <w:lang w:val="en-US" w:eastAsia="zh-CN"/>
          <w14:textFill>
            <w14:solidFill>
              <w14:schemeClr w14:val="tx1"/>
            </w14:solidFill>
          </w14:textFill>
        </w:rPr>
        <w:t>/a</w:t>
      </w:r>
      <w:bookmarkEnd w:id="643"/>
      <w:r>
        <w:rPr>
          <w:rFonts w:hint="eastAsia"/>
          <w:color w:val="000000" w:themeColor="text1"/>
          <w:highlight w:val="none"/>
          <w:lang w:eastAsia="zh-CN"/>
          <w14:textFill>
            <w14:solidFill>
              <w14:schemeClr w14:val="tx1"/>
            </w14:solidFill>
          </w14:textFill>
        </w:rPr>
        <w:t>。清罐底泥直接在作业施工现场由</w:t>
      </w:r>
      <w:bookmarkStart w:id="644" w:name="OLE_LINK414"/>
      <w:r>
        <w:rPr>
          <w:rFonts w:hint="eastAsia"/>
          <w:color w:val="000000" w:themeColor="text1"/>
          <w:highlight w:val="none"/>
          <w:lang w:eastAsia="zh-CN"/>
          <w14:textFill>
            <w14:solidFill>
              <w14:schemeClr w14:val="tx1"/>
            </w14:solidFill>
          </w14:textFill>
        </w:rPr>
        <w:t>施工人员回收至密闭的专用罐车内，</w:t>
      </w:r>
      <w:r>
        <w:rPr>
          <w:rFonts w:hint="default" w:ascii="Times New Roman" w:hAnsi="Times New Roman" w:cs="Times New Roman"/>
          <w:color w:val="000000" w:themeColor="text1"/>
          <w:highlight w:val="none"/>
          <w14:textFill>
            <w14:solidFill>
              <w14:schemeClr w14:val="tx1"/>
            </w14:solidFill>
          </w14:textFill>
        </w:rPr>
        <w:t>委托持有危险废物经营许可证的</w:t>
      </w:r>
      <w:r>
        <w:rPr>
          <w:rFonts w:hint="eastAsia" w:cs="Times New Roman"/>
          <w:color w:val="000000" w:themeColor="text1"/>
          <w:highlight w:val="none"/>
          <w:lang w:eastAsia="zh-CN"/>
          <w14:textFill>
            <w14:solidFill>
              <w14:schemeClr w14:val="tx1"/>
            </w14:solidFill>
          </w14:textFill>
        </w:rPr>
        <w:t>单位利用处置</w:t>
      </w:r>
      <w:bookmarkEnd w:id="644"/>
      <w:r>
        <w:rPr>
          <w:rFonts w:hint="eastAsia" w:cs="Times New Roman"/>
          <w:color w:val="000000" w:themeColor="text1"/>
          <w:highlight w:val="none"/>
          <w:lang w:val="en-US" w:eastAsia="zh-CN"/>
          <w14:textFill>
            <w14:solidFill>
              <w14:schemeClr w14:val="tx1"/>
            </w14:solidFill>
          </w14:textFill>
        </w:rPr>
        <w:t>。</w:t>
      </w:r>
    </w:p>
    <w:p w14:paraId="01951349">
      <w:pPr>
        <w:spacing w:line="360" w:lineRule="auto"/>
        <w:ind w:firstLine="480" w:firstLineChars="200"/>
        <w:jc w:val="both"/>
        <w:rPr>
          <w:rFonts w:hint="eastAsia" w:eastAsia="宋体" w:cs="Times New Roman"/>
          <w:color w:val="000000" w:themeColor="text1"/>
          <w:highlight w:val="none"/>
          <w:lang w:eastAsia="zh-CN"/>
          <w14:textFill>
            <w14:solidFill>
              <w14:schemeClr w14:val="tx1"/>
            </w14:solidFill>
          </w14:textFill>
        </w:rPr>
      </w:pPr>
      <w:bookmarkStart w:id="645" w:name="OLE_LINK415"/>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4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eastAsia" w:eastAsia="宋体" w:cs="Times New Roman"/>
          <w:color w:val="000000" w:themeColor="text1"/>
          <w:highlight w:val="none"/>
          <w:lang w:eastAsia="zh-CN"/>
          <w14:textFill>
            <w14:solidFill>
              <w14:schemeClr w14:val="tx1"/>
            </w14:solidFill>
          </w14:textFill>
        </w:rPr>
        <w:t>废润滑油</w:t>
      </w:r>
      <w:bookmarkEnd w:id="645"/>
    </w:p>
    <w:p w14:paraId="06506D38">
      <w:pPr>
        <w:spacing w:line="360" w:lineRule="auto"/>
        <w:ind w:firstLine="480" w:firstLineChars="200"/>
        <w:jc w:val="both"/>
        <w:rPr>
          <w:rFonts w:hint="eastAsia" w:eastAsia="宋体" w:cs="Times New Roman"/>
          <w:color w:val="000000" w:themeColor="text1"/>
          <w:highlight w:val="none"/>
          <w:lang w:eastAsia="zh-CN"/>
          <w14:textFill>
            <w14:solidFill>
              <w14:schemeClr w14:val="tx1"/>
            </w14:solidFill>
          </w14:textFill>
        </w:rPr>
      </w:pPr>
      <w:bookmarkStart w:id="646" w:name="OLE_LINK334"/>
      <w:r>
        <w:rPr>
          <w:rFonts w:hint="default" w:eastAsia="宋体" w:cs="Times New Roman"/>
          <w:color w:val="000000" w:themeColor="text1"/>
          <w:highlight w:val="none"/>
          <w:lang w:eastAsia="zh-CN"/>
          <w14:textFill>
            <w14:solidFill>
              <w14:schemeClr w14:val="tx1"/>
            </w14:solidFill>
          </w14:textFill>
        </w:rPr>
        <w:t>废润滑油</w:t>
      </w:r>
      <w:bookmarkEnd w:id="646"/>
      <w:r>
        <w:rPr>
          <w:rFonts w:hint="default" w:eastAsia="宋体" w:cs="Times New Roman"/>
          <w:color w:val="000000" w:themeColor="text1"/>
          <w:highlight w:val="none"/>
          <w:lang w:eastAsia="zh-CN"/>
          <w14:textFill>
            <w14:solidFill>
              <w14:schemeClr w14:val="tx1"/>
            </w14:solidFill>
          </w14:textFill>
        </w:rPr>
        <w:t>主要来自设备维修</w:t>
      </w:r>
      <w:r>
        <w:rPr>
          <w:rFonts w:hint="default" w:eastAsia="宋体" w:cs="Times New Roman"/>
          <w:color w:val="000000" w:themeColor="text1"/>
          <w:highlight w:val="none"/>
          <w:lang w:val="en-US" w:eastAsia="zh-CN"/>
          <w14:textFill>
            <w14:solidFill>
              <w14:schemeClr w14:val="tx1"/>
            </w14:solidFill>
          </w14:textFill>
        </w:rPr>
        <w:t>过程</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w:t>
      </w:r>
      <w:r>
        <w:rPr>
          <w:rFonts w:hint="default" w:eastAsia="宋体" w:cs="Times New Roman"/>
          <w:color w:val="000000" w:themeColor="text1"/>
          <w:highlight w:val="none"/>
          <w:lang w:eastAsia="zh-CN"/>
          <w14:textFill>
            <w14:solidFill>
              <w14:schemeClr w14:val="tx1"/>
            </w14:solidFill>
          </w14:textFill>
        </w:rPr>
        <w:t>《国家危险废物名录（2025年版）》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eastAsia="宋体" w:cs="Times New Roman"/>
          <w:color w:val="000000" w:themeColor="text1"/>
          <w:highlight w:val="none"/>
          <w:lang w:eastAsia="zh-CN"/>
          <w14:textFill>
            <w14:solidFill>
              <w14:schemeClr w14:val="tx1"/>
            </w14:solidFill>
          </w14:textFill>
        </w:rPr>
        <w:t>，废润滑油</w:t>
      </w:r>
      <w:r>
        <w:rPr>
          <w:rFonts w:hint="eastAsia" w:eastAsia="宋体" w:cs="Times New Roman"/>
          <w:color w:val="000000" w:themeColor="text1"/>
          <w:highlight w:val="none"/>
          <w:lang w:val="en-US" w:eastAsia="zh-CN"/>
          <w14:textFill>
            <w14:solidFill>
              <w14:schemeClr w14:val="tx1"/>
            </w14:solidFill>
          </w14:textFill>
        </w:rPr>
        <w:t>属于</w:t>
      </w:r>
      <w:r>
        <w:rPr>
          <w:rFonts w:hint="default" w:eastAsia="宋体" w:cs="Times New Roman"/>
          <w:color w:val="000000" w:themeColor="text1"/>
          <w:highlight w:val="none"/>
          <w:lang w:eastAsia="zh-CN"/>
          <w14:textFill>
            <w14:solidFill>
              <w14:schemeClr w14:val="tx1"/>
            </w14:solidFill>
          </w14:textFill>
        </w:rPr>
        <w:t>HW08</w:t>
      </w:r>
      <w:r>
        <w:rPr>
          <w:rFonts w:hint="default"/>
          <w:color w:val="000000" w:themeColor="text1"/>
          <w:highlight w:val="none"/>
          <w14:textFill>
            <w14:solidFill>
              <w14:schemeClr w14:val="tx1"/>
            </w14:solidFill>
          </w14:textFill>
        </w:rPr>
        <w:t>废矿物油与含矿物油废物</w:t>
      </w:r>
      <w:r>
        <w:rPr>
          <w:rFonts w:hint="default" w:eastAsia="宋体" w:cs="Times New Roman"/>
          <w:color w:val="000000" w:themeColor="text1"/>
          <w:highlight w:val="none"/>
          <w:lang w:eastAsia="zh-CN"/>
          <w14:textFill>
            <w14:solidFill>
              <w14:schemeClr w14:val="tx1"/>
            </w14:solidFill>
          </w14:textFill>
        </w:rPr>
        <w:t>（废物代码：</w:t>
      </w:r>
      <w:bookmarkStart w:id="647" w:name="OLE_LINK336"/>
      <w:r>
        <w:rPr>
          <w:rFonts w:hint="default" w:eastAsia="宋体" w:cs="Times New Roman"/>
          <w:color w:val="000000" w:themeColor="text1"/>
          <w:highlight w:val="none"/>
          <w:lang w:eastAsia="zh-CN"/>
          <w14:textFill>
            <w14:solidFill>
              <w14:schemeClr w14:val="tx1"/>
            </w14:solidFill>
          </w14:textFill>
        </w:rPr>
        <w:t>900-214-08</w:t>
      </w:r>
      <w:bookmarkEnd w:id="647"/>
      <w:r>
        <w:rPr>
          <w:rFonts w:hint="default" w:eastAsia="宋体" w:cs="Times New Roman"/>
          <w:color w:val="000000" w:themeColor="text1"/>
          <w:highlight w:val="none"/>
          <w:lang w:eastAsia="zh-CN"/>
          <w14:textFill>
            <w14:solidFill>
              <w14:schemeClr w14:val="tx1"/>
            </w14:solidFill>
          </w14:textFill>
        </w:rPr>
        <w:t>）。废润滑油间歇产生，废润滑油</w:t>
      </w:r>
      <w:r>
        <w:rPr>
          <w:rFonts w:hint="default" w:eastAsia="宋体" w:cs="Times New Roman"/>
          <w:color w:val="000000" w:themeColor="text1"/>
          <w:highlight w:val="none"/>
          <w:lang w:val="en-US" w:eastAsia="zh-CN"/>
          <w14:textFill>
            <w14:solidFill>
              <w14:schemeClr w14:val="tx1"/>
            </w14:solidFill>
          </w14:textFill>
        </w:rPr>
        <w:t>产生</w:t>
      </w:r>
      <w:r>
        <w:rPr>
          <w:rFonts w:hint="default" w:eastAsia="宋体" w:cs="Times New Roman"/>
          <w:color w:val="000000" w:themeColor="text1"/>
          <w:highlight w:val="none"/>
          <w:lang w:eastAsia="zh-CN"/>
          <w14:textFill>
            <w14:solidFill>
              <w14:schemeClr w14:val="tx1"/>
            </w14:solidFill>
          </w14:textFill>
        </w:rPr>
        <w:t>量约</w:t>
      </w:r>
      <w:bookmarkStart w:id="648" w:name="OLE_LINK416"/>
      <w:r>
        <w:rPr>
          <w:rFonts w:hint="default" w:eastAsia="宋体" w:cs="Times New Roman"/>
          <w:color w:val="000000" w:themeColor="text1"/>
          <w:highlight w:val="none"/>
          <w:lang w:val="en-US" w:eastAsia="zh-CN"/>
          <w14:textFill>
            <w14:solidFill>
              <w14:schemeClr w14:val="tx1"/>
            </w14:solidFill>
          </w14:textFill>
        </w:rPr>
        <w:t>0.5</w:t>
      </w:r>
      <w:r>
        <w:rPr>
          <w:rFonts w:hint="default" w:eastAsia="宋体" w:cs="Times New Roman"/>
          <w:color w:val="000000" w:themeColor="text1"/>
          <w:highlight w:val="none"/>
          <w:lang w:eastAsia="zh-CN"/>
          <w14:textFill>
            <w14:solidFill>
              <w14:schemeClr w14:val="tx1"/>
            </w14:solidFill>
          </w14:textFill>
        </w:rPr>
        <w:t>t/a</w:t>
      </w:r>
      <w:bookmarkEnd w:id="648"/>
      <w:r>
        <w:rPr>
          <w:rFonts w:hint="default" w:eastAsia="宋体" w:cs="Times New Roman"/>
          <w:color w:val="000000" w:themeColor="text1"/>
          <w:highlight w:val="none"/>
          <w:lang w:eastAsia="zh-CN"/>
          <w14:textFill>
            <w14:solidFill>
              <w14:schemeClr w14:val="tx1"/>
            </w14:solidFill>
          </w14:textFill>
        </w:rPr>
        <w:t>，</w:t>
      </w:r>
      <w:r>
        <w:rPr>
          <w:rFonts w:hint="default" w:eastAsia="宋体" w:cs="Times New Roman"/>
          <w:color w:val="000000" w:themeColor="text1"/>
          <w:highlight w:val="none"/>
          <w:lang w:val="en-US" w:eastAsia="zh-CN"/>
          <w14:textFill>
            <w14:solidFill>
              <w14:schemeClr w14:val="tx1"/>
            </w14:solidFill>
          </w14:textFill>
        </w:rPr>
        <w:t>收集后自行利用回注系统或委托持有危险废物经营许可证的单位利用处置。</w:t>
      </w:r>
    </w:p>
    <w:p w14:paraId="665D0A8C">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⑤</w:t>
      </w:r>
      <w:r>
        <w:rPr>
          <w:rFonts w:hint="eastAsia" w:cs="Times New Roman"/>
          <w:color w:val="000000" w:themeColor="text1"/>
          <w:highlight w:val="none"/>
          <w:lang w:val="en-US" w:eastAsia="zh-CN"/>
          <w14:textFill>
            <w14:solidFill>
              <w14:schemeClr w14:val="tx1"/>
            </w14:solidFill>
          </w14:textFill>
        </w:rPr>
        <w:t>废弃</w:t>
      </w:r>
      <w:r>
        <w:rPr>
          <w:rFonts w:hint="eastAsia" w:eastAsia="宋体" w:cs="Times New Roman"/>
          <w:color w:val="000000" w:themeColor="text1"/>
          <w:highlight w:val="none"/>
          <w:lang w:val="en-US" w:eastAsia="zh-CN"/>
          <w14:textFill>
            <w14:solidFill>
              <w14:schemeClr w14:val="tx1"/>
            </w14:solidFill>
          </w14:textFill>
        </w:rPr>
        <w:t>油基泥浆、油基岩屑</w:t>
      </w:r>
    </w:p>
    <w:p w14:paraId="2E3546B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运营期不定期的井下作业侧钻过程产生的污染物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主要为钻井泥浆和岩屑</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口井不定期的侧钻作业进尺按照</w:t>
      </w: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00m/次计算，</w:t>
      </w:r>
      <w:r>
        <w:rPr>
          <w:rFonts w:hint="default" w:ascii="Times New Roman" w:hAnsi="Times New Roman" w:eastAsia="宋体" w:cs="Times New Roman"/>
          <w:color w:val="000000" w:themeColor="text1"/>
          <w:highlight w:val="none"/>
          <w:lang w:eastAsia="zh-CN"/>
          <w14:textFill>
            <w14:solidFill>
              <w14:schemeClr w14:val="tx1"/>
            </w14:solidFill>
          </w14:textFill>
        </w:rPr>
        <w:t>钻头尺寸</w:t>
      </w:r>
      <w:r>
        <w:rPr>
          <w:rFonts w:hint="default" w:ascii="Times New Roman" w:hAnsi="Times New Roman" w:eastAsia="宋体" w:cs="Times New Roman"/>
          <w:color w:val="000000" w:themeColor="text1"/>
          <w:highlight w:val="none"/>
          <w:lang w:val="en-US" w:eastAsia="zh-CN"/>
          <w14:textFill>
            <w14:solidFill>
              <w14:schemeClr w14:val="tx1"/>
            </w14:solidFill>
          </w14:textFill>
        </w:rPr>
        <w:t>149.2</w:t>
      </w:r>
      <w:r>
        <w:rPr>
          <w:rFonts w:hint="default" w:ascii="Times New Roman" w:hAnsi="Times New Roman" w:eastAsia="宋体" w:cs="Times New Roman"/>
          <w:color w:val="000000" w:themeColor="text1"/>
          <w:highlight w:val="none"/>
          <w:lang w:eastAsia="zh-CN"/>
          <w14:textFill>
            <w14:solidFill>
              <w14:schemeClr w14:val="tx1"/>
            </w14:solidFill>
          </w14:textFill>
        </w:rPr>
        <w:t>mm，</w:t>
      </w:r>
      <w:r>
        <w:rPr>
          <w:rFonts w:hint="default" w:ascii="Times New Roman" w:hAnsi="Times New Roman" w:eastAsia="宋体" w:cs="Times New Roman"/>
          <w:color w:val="000000" w:themeColor="text1"/>
          <w:highlight w:val="none"/>
          <w14:textFill>
            <w14:solidFill>
              <w14:schemeClr w14:val="tx1"/>
            </w14:solidFill>
          </w14:textFill>
        </w:rPr>
        <w:t>侧钻2次</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泥浆体系为</w:t>
      </w:r>
      <w:r>
        <w:rPr>
          <w:rFonts w:hint="eastAsia" w:eastAsia="宋体" w:cs="Times New Roman"/>
          <w:color w:val="000000" w:themeColor="text1"/>
          <w:highlight w:val="none"/>
          <w:lang w:val="en-US" w:eastAsia="zh-CN"/>
          <w14:textFill>
            <w14:solidFill>
              <w14:schemeClr w14:val="tx1"/>
            </w14:solidFill>
          </w14:textFill>
        </w:rPr>
        <w:t>油基</w:t>
      </w:r>
      <w:r>
        <w:rPr>
          <w:rFonts w:hint="default" w:ascii="Times New Roman" w:hAnsi="Times New Roman" w:eastAsia="宋体" w:cs="Times New Roman"/>
          <w:color w:val="000000" w:themeColor="text1"/>
          <w:highlight w:val="none"/>
          <w14:textFill>
            <w14:solidFill>
              <w14:schemeClr w14:val="tx1"/>
            </w14:solidFill>
          </w14:textFill>
        </w:rPr>
        <w:t>泥浆</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34D56DC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经计算，每口井单次侧钻产生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油基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泥浆量为115.8m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油基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岩屑量为13.9m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51F4C9F8">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废弃油基泥浆和废弃油基岩屑，均属于危险废物（071-002-08），产生环境在钻井环节，外观性状半固体，特征污染物为废矿物油，产生规律：连续产生。废弃油基泥浆和废弃油基岩屑在井场配置储罐集中储存，委托有危废处置资质单位处置。</w:t>
      </w:r>
    </w:p>
    <w:p w14:paraId="4FAD277D">
      <w:pPr>
        <w:pStyle w:val="6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根据</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bookmarkStart w:id="649" w:name="OLE_LINK338"/>
      <w:r>
        <w:rPr>
          <w:rFonts w:hint="default" w:ascii="Times New Roman" w:hAnsi="Times New Roman" w:cs="Times New Roman"/>
          <w:bCs/>
          <w:color w:val="000000" w:themeColor="text1"/>
          <w:sz w:val="24"/>
          <w:szCs w:val="24"/>
          <w:highlight w:val="none"/>
          <w14:textFill>
            <w14:solidFill>
              <w14:schemeClr w14:val="tx1"/>
            </w14:solidFill>
          </w14:textFill>
        </w:rPr>
        <w:t>危险废物环境管理指南</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 w:val="24"/>
          <w:szCs w:val="24"/>
          <w:highlight w:val="none"/>
          <w14:textFill>
            <w14:solidFill>
              <w14:schemeClr w14:val="tx1"/>
            </w14:solidFill>
          </w14:textFill>
        </w:rPr>
        <w:t>陆上石油天然气开采</w:t>
      </w:r>
      <w:bookmarkEnd w:id="649"/>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生态环境部公告2021年第74号</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和《国家危险废物名录（2025年版）》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本</w:t>
      </w:r>
      <w:r>
        <w:rPr>
          <w:rFonts w:hint="eastAsia" w:cs="Times New Roman"/>
          <w:bCs/>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bCs/>
          <w:color w:val="000000" w:themeColor="text1"/>
          <w:sz w:val="24"/>
          <w:szCs w:val="24"/>
          <w:highlight w:val="none"/>
          <w14:textFill>
            <w14:solidFill>
              <w14:schemeClr w14:val="tx1"/>
            </w14:solidFill>
          </w14:textFill>
        </w:rPr>
        <w:t>运营期危险废物产排污统计表详见表3.</w:t>
      </w:r>
      <w:r>
        <w:rPr>
          <w:rFonts w:hint="eastAsia"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sz w:val="24"/>
          <w:szCs w:val="24"/>
          <w:highlight w:val="none"/>
          <w14:textFill>
            <w14:solidFill>
              <w14:schemeClr w14:val="tx1"/>
            </w14:solidFill>
          </w14:textFill>
        </w:rPr>
        <w:t>。</w:t>
      </w:r>
    </w:p>
    <w:bookmarkEnd w:id="618"/>
    <w:p w14:paraId="49E72D88">
      <w:pPr>
        <w:pStyle w:val="6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snapToGrid/>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val="0"/>
          <w:snapToGrid/>
          <w:color w:val="000000" w:themeColor="text1"/>
          <w:sz w:val="21"/>
          <w:szCs w:val="21"/>
          <w:highlight w:val="none"/>
          <w:lang w:val="zh-CN" w:eastAsia="zh-CN" w:bidi="ar-SA"/>
          <w14:textFill>
            <w14:solidFill>
              <w14:schemeClr w14:val="tx1"/>
            </w14:solidFill>
          </w14:textFill>
        </w:rPr>
        <w:t>表3.</w:t>
      </w:r>
      <w:r>
        <w:rPr>
          <w:rFonts w:hint="eastAsia" w:ascii="Times New Roman" w:hAnsi="Times New Roman" w:eastAsia="宋体" w:cs="Times New Roman"/>
          <w:b/>
          <w:bCs w:val="0"/>
          <w:snapToGrid/>
          <w:color w:val="000000" w:themeColor="text1"/>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val="0"/>
          <w:snapToGrid/>
          <w:color w:val="000000" w:themeColor="text1"/>
          <w:sz w:val="21"/>
          <w:szCs w:val="21"/>
          <w:highlight w:val="none"/>
          <w:lang w:val="zh-CN" w:eastAsia="zh-CN" w:bidi="ar-SA"/>
          <w14:textFill>
            <w14:solidFill>
              <w14:schemeClr w14:val="tx1"/>
            </w14:solidFill>
          </w14:textFill>
        </w:rPr>
        <w:t>-</w:t>
      </w:r>
      <w:r>
        <w:rPr>
          <w:rFonts w:hint="eastAsia" w:ascii="Times New Roman" w:hAnsi="Times New Roman" w:eastAsia="宋体" w:cs="Times New Roman"/>
          <w:b/>
          <w:bCs w:val="0"/>
          <w:snapToGrid/>
          <w:color w:val="000000" w:themeColor="text1"/>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bCs w:val="0"/>
          <w:snapToGrid/>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val="0"/>
          <w:snapToGrid/>
          <w:color w:val="000000" w:themeColor="text1"/>
          <w:sz w:val="21"/>
          <w:szCs w:val="21"/>
          <w:highlight w:val="none"/>
          <w:lang w:val="zh-CN" w:eastAsia="zh-CN" w:bidi="ar-SA"/>
          <w14:textFill>
            <w14:solidFill>
              <w14:schemeClr w14:val="tx1"/>
            </w14:solidFill>
          </w14:textFill>
        </w:rPr>
        <w:t>运营期危险废物产生、处置及防治措施情况一览表</w:t>
      </w:r>
    </w:p>
    <w:tbl>
      <w:tblPr>
        <w:tblStyle w:val="37"/>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6"/>
        <w:gridCol w:w="927"/>
        <w:gridCol w:w="685"/>
        <w:gridCol w:w="757"/>
        <w:gridCol w:w="870"/>
        <w:gridCol w:w="940"/>
        <w:gridCol w:w="679"/>
        <w:gridCol w:w="709"/>
        <w:gridCol w:w="550"/>
        <w:gridCol w:w="540"/>
        <w:gridCol w:w="1424"/>
      </w:tblGrid>
      <w:tr w14:paraId="1832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2" w:hRule="atLeast"/>
          <w:tblHeader/>
          <w:jc w:val="center"/>
        </w:trPr>
        <w:tc>
          <w:tcPr>
            <w:tcW w:w="170" w:type="pct"/>
            <w:shd w:val="clear" w:color="auto" w:fill="auto"/>
            <w:vAlign w:val="center"/>
          </w:tcPr>
          <w:p w14:paraId="78E02697">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序号</w:t>
            </w:r>
          </w:p>
        </w:tc>
        <w:tc>
          <w:tcPr>
            <w:tcW w:w="553" w:type="pct"/>
            <w:shd w:val="clear" w:color="auto" w:fill="auto"/>
            <w:vAlign w:val="center"/>
          </w:tcPr>
          <w:p w14:paraId="41943118">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危险废物名称</w:t>
            </w:r>
          </w:p>
        </w:tc>
        <w:tc>
          <w:tcPr>
            <w:tcW w:w="409" w:type="pct"/>
            <w:shd w:val="clear" w:color="auto" w:fill="auto"/>
            <w:vAlign w:val="center"/>
          </w:tcPr>
          <w:p w14:paraId="35F2B8EE">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废物</w:t>
            </w:r>
          </w:p>
          <w:p w14:paraId="05992CF7">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类别</w:t>
            </w:r>
          </w:p>
        </w:tc>
        <w:tc>
          <w:tcPr>
            <w:tcW w:w="452" w:type="pct"/>
            <w:shd w:val="clear" w:color="auto" w:fill="auto"/>
            <w:vAlign w:val="center"/>
          </w:tcPr>
          <w:p w14:paraId="61299C59">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废物</w:t>
            </w:r>
          </w:p>
          <w:p w14:paraId="6288DD9B">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代码</w:t>
            </w:r>
          </w:p>
        </w:tc>
        <w:tc>
          <w:tcPr>
            <w:tcW w:w="519" w:type="pct"/>
            <w:shd w:val="clear" w:color="auto" w:fill="auto"/>
            <w:vAlign w:val="center"/>
          </w:tcPr>
          <w:p w14:paraId="510E27A5">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产生量</w:t>
            </w:r>
          </w:p>
          <w:p w14:paraId="13434C2D">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t/a</w:t>
            </w: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w:t>
            </w:r>
          </w:p>
        </w:tc>
        <w:tc>
          <w:tcPr>
            <w:tcW w:w="561" w:type="pct"/>
            <w:shd w:val="clear" w:color="auto" w:fill="auto"/>
            <w:vAlign w:val="center"/>
          </w:tcPr>
          <w:p w14:paraId="55B14BFE">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产生</w:t>
            </w:r>
          </w:p>
          <w:p w14:paraId="00DB64AD">
            <w:pPr>
              <w:widowControl w:val="0"/>
              <w:adjustRightInd/>
              <w:spacing w:line="240" w:lineRule="auto"/>
              <w:ind w:firstLine="0" w:firstLineChars="0"/>
              <w:jc w:val="center"/>
              <w:textAlignment w:val="baseline"/>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环节</w:t>
            </w:r>
          </w:p>
        </w:tc>
        <w:tc>
          <w:tcPr>
            <w:tcW w:w="405" w:type="pct"/>
            <w:shd w:val="clear" w:color="auto" w:fill="auto"/>
            <w:vAlign w:val="center"/>
          </w:tcPr>
          <w:p w14:paraId="50C20D61">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外观性状</w:t>
            </w:r>
          </w:p>
        </w:tc>
        <w:tc>
          <w:tcPr>
            <w:tcW w:w="423" w:type="pct"/>
            <w:shd w:val="clear" w:color="auto" w:fill="auto"/>
            <w:vAlign w:val="center"/>
          </w:tcPr>
          <w:p w14:paraId="21A1BA2E">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特征污染物</w:t>
            </w:r>
          </w:p>
        </w:tc>
        <w:tc>
          <w:tcPr>
            <w:tcW w:w="328" w:type="pct"/>
            <w:shd w:val="clear" w:color="auto" w:fill="auto"/>
            <w:vAlign w:val="center"/>
          </w:tcPr>
          <w:p w14:paraId="7DEF252D">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产生规律</w:t>
            </w:r>
          </w:p>
        </w:tc>
        <w:tc>
          <w:tcPr>
            <w:tcW w:w="322" w:type="pct"/>
            <w:shd w:val="clear" w:color="auto" w:fill="auto"/>
            <w:vAlign w:val="center"/>
          </w:tcPr>
          <w:p w14:paraId="3DABD016">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危废</w:t>
            </w:r>
          </w:p>
          <w:p w14:paraId="07F1C663">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特性</w:t>
            </w:r>
          </w:p>
        </w:tc>
        <w:tc>
          <w:tcPr>
            <w:tcW w:w="850" w:type="pct"/>
            <w:shd w:val="clear" w:color="auto" w:fill="auto"/>
            <w:vAlign w:val="center"/>
          </w:tcPr>
          <w:p w14:paraId="1C328F7B">
            <w:pPr>
              <w:widowControl w:val="0"/>
              <w:adjustRightInd/>
              <w:spacing w:line="240" w:lineRule="auto"/>
              <w:ind w:firstLine="0" w:firstLineChars="0"/>
              <w:jc w:val="center"/>
              <w:textAlignment w:val="baseline"/>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bidi="ar-SA"/>
                <w14:textFill>
                  <w14:solidFill>
                    <w14:schemeClr w14:val="tx1"/>
                  </w14:solidFill>
                </w14:textFill>
              </w:rPr>
              <w:t>污染防治措施</w:t>
            </w:r>
          </w:p>
        </w:tc>
      </w:tr>
      <w:tr w14:paraId="4A74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10" w:hRule="atLeast"/>
          <w:jc w:val="center"/>
        </w:trPr>
        <w:tc>
          <w:tcPr>
            <w:tcW w:w="170" w:type="pct"/>
            <w:shd w:val="clear" w:color="auto" w:fill="auto"/>
            <w:vAlign w:val="center"/>
          </w:tcPr>
          <w:p w14:paraId="16608669">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w:t>
            </w:r>
          </w:p>
        </w:tc>
        <w:tc>
          <w:tcPr>
            <w:tcW w:w="553" w:type="pct"/>
            <w:shd w:val="clear" w:color="auto" w:fill="auto"/>
            <w:vAlign w:val="center"/>
          </w:tcPr>
          <w:p w14:paraId="5106EF61">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落地油</w:t>
            </w:r>
          </w:p>
        </w:tc>
        <w:tc>
          <w:tcPr>
            <w:tcW w:w="409" w:type="pct"/>
            <w:shd w:val="clear" w:color="auto" w:fill="auto"/>
            <w:vAlign w:val="center"/>
          </w:tcPr>
          <w:p w14:paraId="63A23C66">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1F496913">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0" w:name="OLE_LINK341"/>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071-001-08</w:t>
            </w:r>
            <w:bookmarkEnd w:id="650"/>
          </w:p>
        </w:tc>
        <w:tc>
          <w:tcPr>
            <w:tcW w:w="519" w:type="pct"/>
            <w:shd w:val="clear" w:color="auto" w:fill="auto"/>
            <w:vAlign w:val="center"/>
          </w:tcPr>
          <w:p w14:paraId="6B0CB41D">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3</w:t>
            </w:r>
          </w:p>
        </w:tc>
        <w:tc>
          <w:tcPr>
            <w:tcW w:w="561" w:type="pct"/>
            <w:shd w:val="clear" w:color="auto" w:fill="auto"/>
            <w:vAlign w:val="center"/>
          </w:tcPr>
          <w:p w14:paraId="2ABC00BD">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井下作业</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、油气</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处理</w:t>
            </w:r>
          </w:p>
        </w:tc>
        <w:tc>
          <w:tcPr>
            <w:tcW w:w="405" w:type="pct"/>
            <w:shd w:val="clear" w:color="auto" w:fill="auto"/>
            <w:vAlign w:val="center"/>
          </w:tcPr>
          <w:p w14:paraId="7A2DFF32">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半固体、固体</w:t>
            </w:r>
          </w:p>
        </w:tc>
        <w:tc>
          <w:tcPr>
            <w:tcW w:w="423" w:type="pct"/>
            <w:shd w:val="clear" w:color="auto" w:fill="auto"/>
            <w:vAlign w:val="center"/>
          </w:tcPr>
          <w:p w14:paraId="065E3093">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1" w:name="OLE_LINK345"/>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w:t>
            </w:r>
          </w:p>
          <w:p w14:paraId="05496827">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物油</w:t>
            </w:r>
            <w:bookmarkEnd w:id="651"/>
          </w:p>
        </w:tc>
        <w:tc>
          <w:tcPr>
            <w:tcW w:w="328" w:type="pct"/>
            <w:shd w:val="clear" w:color="auto" w:fill="auto"/>
            <w:vAlign w:val="center"/>
          </w:tcPr>
          <w:p w14:paraId="22098009">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2" w:name="OLE_LINK347"/>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间歇</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产生</w:t>
            </w:r>
            <w:bookmarkEnd w:id="652"/>
          </w:p>
        </w:tc>
        <w:tc>
          <w:tcPr>
            <w:tcW w:w="322" w:type="pct"/>
            <w:shd w:val="clear" w:color="auto" w:fill="auto"/>
            <w:vAlign w:val="center"/>
          </w:tcPr>
          <w:p w14:paraId="5F669B51">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r>
              <w:rPr>
                <w:rFonts w:hint="eastAsia" w:cs="Times New Roman"/>
                <w:snapToGrid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w:t>
            </w:r>
          </w:p>
        </w:tc>
        <w:tc>
          <w:tcPr>
            <w:tcW w:w="850" w:type="pct"/>
            <w:shd w:val="clear" w:color="auto" w:fill="auto"/>
            <w:vAlign w:val="center"/>
          </w:tcPr>
          <w:p w14:paraId="17B11CEA">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由阿克苏塔河环保工程有限公司绿色环保工作站处理。</w:t>
            </w:r>
          </w:p>
        </w:tc>
      </w:tr>
      <w:tr w14:paraId="379B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170" w:type="pct"/>
            <w:shd w:val="clear" w:color="auto" w:fill="auto"/>
            <w:vAlign w:val="center"/>
          </w:tcPr>
          <w:p w14:paraId="2C07DED0">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2</w:t>
            </w:r>
          </w:p>
        </w:tc>
        <w:tc>
          <w:tcPr>
            <w:tcW w:w="553" w:type="pct"/>
            <w:shd w:val="clear" w:color="auto" w:fill="auto"/>
            <w:vAlign w:val="center"/>
          </w:tcPr>
          <w:p w14:paraId="62F5C2D9">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清罐底泥</w:t>
            </w:r>
          </w:p>
        </w:tc>
        <w:tc>
          <w:tcPr>
            <w:tcW w:w="409" w:type="pct"/>
            <w:shd w:val="clear" w:color="auto" w:fill="auto"/>
            <w:vAlign w:val="center"/>
          </w:tcPr>
          <w:p w14:paraId="62C47F76">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7CFFF759">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071-001-08</w:t>
            </w:r>
          </w:p>
        </w:tc>
        <w:tc>
          <w:tcPr>
            <w:tcW w:w="519" w:type="pct"/>
            <w:shd w:val="clear" w:color="auto" w:fill="auto"/>
            <w:vAlign w:val="center"/>
          </w:tcPr>
          <w:p w14:paraId="653EA30D">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w:t>
            </w:r>
          </w:p>
        </w:tc>
        <w:tc>
          <w:tcPr>
            <w:tcW w:w="561" w:type="pct"/>
            <w:shd w:val="clear" w:color="auto" w:fill="auto"/>
            <w:vAlign w:val="center"/>
          </w:tcPr>
          <w:p w14:paraId="10C0CCBC">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井场储罐</w:t>
            </w:r>
          </w:p>
        </w:tc>
        <w:tc>
          <w:tcPr>
            <w:tcW w:w="405" w:type="pct"/>
            <w:shd w:val="clear" w:color="auto" w:fill="auto"/>
            <w:vAlign w:val="center"/>
          </w:tcPr>
          <w:p w14:paraId="484F45FB">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半固体</w:t>
            </w:r>
          </w:p>
        </w:tc>
        <w:tc>
          <w:tcPr>
            <w:tcW w:w="423" w:type="pct"/>
            <w:shd w:val="clear" w:color="auto" w:fill="auto"/>
            <w:vAlign w:val="center"/>
          </w:tcPr>
          <w:p w14:paraId="26F8D2E9">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w:t>
            </w:r>
          </w:p>
          <w:p w14:paraId="70C23E17">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物油</w:t>
            </w:r>
          </w:p>
        </w:tc>
        <w:tc>
          <w:tcPr>
            <w:tcW w:w="328" w:type="pct"/>
            <w:shd w:val="clear" w:color="auto" w:fill="auto"/>
            <w:vAlign w:val="center"/>
          </w:tcPr>
          <w:p w14:paraId="28B200F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间歇</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产生</w:t>
            </w:r>
          </w:p>
        </w:tc>
        <w:tc>
          <w:tcPr>
            <w:tcW w:w="322" w:type="pct"/>
            <w:shd w:val="clear" w:color="auto" w:fill="auto"/>
            <w:vAlign w:val="center"/>
          </w:tcPr>
          <w:p w14:paraId="0443CE1F">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3" w:name="OLE_LINK346"/>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r>
              <w:rPr>
                <w:rFonts w:hint="eastAsia" w:cs="Times New Roman"/>
                <w:snapToGrid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w:t>
            </w:r>
            <w:bookmarkEnd w:id="653"/>
          </w:p>
        </w:tc>
        <w:tc>
          <w:tcPr>
            <w:tcW w:w="850" w:type="pct"/>
            <w:shd w:val="clear" w:color="auto" w:fill="auto"/>
            <w:vAlign w:val="center"/>
          </w:tcPr>
          <w:p w14:paraId="27B144F7">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委托持有危险废物经营许可证的</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单位利用处置。</w:t>
            </w:r>
          </w:p>
        </w:tc>
      </w:tr>
      <w:tr w14:paraId="6F99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70" w:type="pct"/>
            <w:shd w:val="clear" w:color="auto" w:fill="auto"/>
            <w:vAlign w:val="center"/>
          </w:tcPr>
          <w:p w14:paraId="547A0EDB">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4" w:name="OLE_LINK343" w:colFirst="2" w:colLast="3"/>
            <w:bookmarkStart w:id="655" w:name="OLE_LINK344" w:colFirst="5" w:colLast="11"/>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3</w:t>
            </w:r>
          </w:p>
        </w:tc>
        <w:tc>
          <w:tcPr>
            <w:tcW w:w="553" w:type="pct"/>
            <w:shd w:val="clear" w:color="auto" w:fill="auto"/>
            <w:vAlign w:val="center"/>
          </w:tcPr>
          <w:p w14:paraId="1C0538A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废防渗</w:t>
            </w:r>
          </w:p>
          <w:p w14:paraId="05641DDB">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材料</w:t>
            </w:r>
          </w:p>
        </w:tc>
        <w:tc>
          <w:tcPr>
            <w:tcW w:w="409" w:type="pct"/>
            <w:shd w:val="clear" w:color="auto" w:fill="auto"/>
            <w:vAlign w:val="center"/>
          </w:tcPr>
          <w:p w14:paraId="47652E83">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42F4EBA7">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900-249-08</w:t>
            </w:r>
          </w:p>
        </w:tc>
        <w:tc>
          <w:tcPr>
            <w:tcW w:w="519" w:type="pct"/>
            <w:shd w:val="clear" w:color="auto" w:fill="auto"/>
            <w:vAlign w:val="center"/>
          </w:tcPr>
          <w:p w14:paraId="31E1B18E">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75</w:t>
            </w:r>
          </w:p>
        </w:tc>
        <w:tc>
          <w:tcPr>
            <w:tcW w:w="561" w:type="pct"/>
            <w:shd w:val="clear" w:color="auto" w:fill="auto"/>
            <w:vAlign w:val="center"/>
          </w:tcPr>
          <w:p w14:paraId="36E66F4C">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场地清理环节</w:t>
            </w:r>
          </w:p>
        </w:tc>
        <w:tc>
          <w:tcPr>
            <w:tcW w:w="405" w:type="pct"/>
            <w:shd w:val="clear" w:color="auto" w:fill="auto"/>
            <w:vAlign w:val="center"/>
          </w:tcPr>
          <w:p w14:paraId="6C1AA64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固体</w:t>
            </w:r>
          </w:p>
        </w:tc>
        <w:tc>
          <w:tcPr>
            <w:tcW w:w="423" w:type="pct"/>
            <w:shd w:val="clear" w:color="auto" w:fill="auto"/>
            <w:vAlign w:val="center"/>
          </w:tcPr>
          <w:p w14:paraId="7D03BEA9">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w:t>
            </w:r>
          </w:p>
          <w:p w14:paraId="62389CB6">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物油</w:t>
            </w:r>
          </w:p>
        </w:tc>
        <w:tc>
          <w:tcPr>
            <w:tcW w:w="328" w:type="pct"/>
            <w:shd w:val="clear" w:color="auto" w:fill="auto"/>
            <w:vAlign w:val="center"/>
          </w:tcPr>
          <w:p w14:paraId="37816567">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间歇</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产生</w:t>
            </w:r>
          </w:p>
        </w:tc>
        <w:tc>
          <w:tcPr>
            <w:tcW w:w="322" w:type="pct"/>
            <w:shd w:val="clear" w:color="auto" w:fill="auto"/>
            <w:vAlign w:val="center"/>
          </w:tcPr>
          <w:p w14:paraId="42E94EDB">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r>
              <w:rPr>
                <w:rFonts w:hint="eastAsia" w:cs="Times New Roman"/>
                <w:snapToGrid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w:t>
            </w:r>
          </w:p>
        </w:tc>
        <w:tc>
          <w:tcPr>
            <w:tcW w:w="850" w:type="pct"/>
            <w:shd w:val="clear" w:color="auto" w:fill="auto"/>
            <w:vAlign w:val="center"/>
          </w:tcPr>
          <w:p w14:paraId="71A34388">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bookmarkStart w:id="656" w:name="OLE_LINK342"/>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委托持有危险废物经营许可证的</w:t>
            </w:r>
            <w:bookmarkEnd w:id="656"/>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单位利用处置</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p>
        </w:tc>
      </w:tr>
      <w:bookmarkEnd w:id="654"/>
      <w:bookmarkEnd w:id="655"/>
      <w:tr w14:paraId="2F8E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70" w:type="pct"/>
            <w:shd w:val="clear" w:color="auto" w:fill="auto"/>
            <w:vAlign w:val="center"/>
          </w:tcPr>
          <w:p w14:paraId="5530A5C5">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4</w:t>
            </w:r>
          </w:p>
        </w:tc>
        <w:tc>
          <w:tcPr>
            <w:tcW w:w="553" w:type="pct"/>
            <w:shd w:val="clear" w:color="auto" w:fill="auto"/>
            <w:vAlign w:val="center"/>
          </w:tcPr>
          <w:p w14:paraId="5C38BF0E">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废润滑油</w:t>
            </w:r>
          </w:p>
        </w:tc>
        <w:tc>
          <w:tcPr>
            <w:tcW w:w="409" w:type="pct"/>
            <w:shd w:val="clear" w:color="auto" w:fill="auto"/>
            <w:vAlign w:val="center"/>
          </w:tcPr>
          <w:p w14:paraId="4EBDFD8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175B6EBB">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900-214-08</w:t>
            </w:r>
          </w:p>
        </w:tc>
        <w:tc>
          <w:tcPr>
            <w:tcW w:w="519" w:type="pct"/>
            <w:shd w:val="clear" w:color="auto" w:fill="auto"/>
            <w:vAlign w:val="center"/>
          </w:tcPr>
          <w:p w14:paraId="4D3B3975">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0.5</w:t>
            </w:r>
          </w:p>
        </w:tc>
        <w:tc>
          <w:tcPr>
            <w:tcW w:w="561" w:type="pct"/>
            <w:shd w:val="clear" w:color="auto" w:fill="auto"/>
            <w:vAlign w:val="center"/>
          </w:tcPr>
          <w:p w14:paraId="41FC251A">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井场</w:t>
            </w:r>
          </w:p>
        </w:tc>
        <w:tc>
          <w:tcPr>
            <w:tcW w:w="405" w:type="pct"/>
            <w:shd w:val="clear" w:color="auto" w:fill="auto"/>
            <w:vAlign w:val="center"/>
          </w:tcPr>
          <w:p w14:paraId="7C1216A8">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固体</w:t>
            </w:r>
          </w:p>
        </w:tc>
        <w:tc>
          <w:tcPr>
            <w:tcW w:w="423" w:type="pct"/>
            <w:shd w:val="clear" w:color="auto" w:fill="auto"/>
            <w:vAlign w:val="center"/>
          </w:tcPr>
          <w:p w14:paraId="089C685E">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w:t>
            </w:r>
          </w:p>
          <w:p w14:paraId="20D22D6F">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物油</w:t>
            </w:r>
          </w:p>
        </w:tc>
        <w:tc>
          <w:tcPr>
            <w:tcW w:w="328" w:type="pct"/>
            <w:shd w:val="clear" w:color="auto" w:fill="auto"/>
            <w:vAlign w:val="center"/>
          </w:tcPr>
          <w:p w14:paraId="7A209FB3">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间歇</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产生</w:t>
            </w:r>
          </w:p>
        </w:tc>
        <w:tc>
          <w:tcPr>
            <w:tcW w:w="322" w:type="pct"/>
            <w:shd w:val="clear" w:color="auto" w:fill="auto"/>
            <w:vAlign w:val="center"/>
          </w:tcPr>
          <w:p w14:paraId="6FB4F230">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r>
              <w:rPr>
                <w:rFonts w:hint="eastAsia" w:cs="Times New Roman"/>
                <w:snapToGrid w:val="0"/>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w:t>
            </w:r>
          </w:p>
        </w:tc>
        <w:tc>
          <w:tcPr>
            <w:tcW w:w="850" w:type="pct"/>
            <w:shd w:val="clear" w:color="auto" w:fill="auto"/>
            <w:vAlign w:val="center"/>
          </w:tcPr>
          <w:p w14:paraId="4C683730">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自行利用回注系统或委托持有危险废物经营许可证的单位利用处置</w:t>
            </w:r>
          </w:p>
        </w:tc>
      </w:tr>
      <w:tr w14:paraId="11D2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70" w:type="pct"/>
            <w:shd w:val="clear" w:color="auto" w:fill="auto"/>
            <w:vAlign w:val="center"/>
          </w:tcPr>
          <w:p w14:paraId="4558ADF2">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5</w:t>
            </w:r>
          </w:p>
        </w:tc>
        <w:tc>
          <w:tcPr>
            <w:tcW w:w="553" w:type="pct"/>
            <w:shd w:val="clear" w:color="auto" w:fill="auto"/>
            <w:vAlign w:val="center"/>
          </w:tcPr>
          <w:p w14:paraId="7EE8ED4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废弃油基泥浆</w:t>
            </w:r>
          </w:p>
        </w:tc>
        <w:tc>
          <w:tcPr>
            <w:tcW w:w="409" w:type="pct"/>
            <w:shd w:val="clear" w:color="auto" w:fill="auto"/>
            <w:vAlign w:val="center"/>
          </w:tcPr>
          <w:p w14:paraId="4564D9F6">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05DA1816">
            <w:pPr>
              <w:widowControl w:val="0"/>
              <w:spacing w:line="240" w:lineRule="auto"/>
              <w:ind w:firstLine="0" w:firstLineChars="0"/>
              <w:jc w:val="center"/>
              <w:rPr>
                <w:rFonts w:hint="default" w:ascii="Times New Roman" w:hAnsi="Times New Roman" w:eastAsia="宋体" w:cs="Times New Roman"/>
                <w:color w:val="000000" w:themeColor="text1"/>
                <w:spacing w:val="5"/>
                <w:kern w:val="2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pacing w:val="5"/>
                <w:kern w:val="21"/>
                <w:sz w:val="21"/>
                <w:szCs w:val="21"/>
                <w:highlight w:val="none"/>
                <w14:textFill>
                  <w14:solidFill>
                    <w14:schemeClr w14:val="tx1"/>
                  </w14:solidFill>
                </w14:textFill>
              </w:rPr>
              <w:t>071-002-08</w:t>
            </w:r>
          </w:p>
        </w:tc>
        <w:tc>
          <w:tcPr>
            <w:tcW w:w="519" w:type="pct"/>
            <w:shd w:val="clear" w:color="auto" w:fill="auto"/>
            <w:vAlign w:val="center"/>
          </w:tcPr>
          <w:p w14:paraId="10C22473">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115.8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/井·次</w:t>
            </w:r>
          </w:p>
        </w:tc>
        <w:tc>
          <w:tcPr>
            <w:tcW w:w="561" w:type="pct"/>
            <w:shd w:val="clear" w:color="auto" w:fill="auto"/>
            <w:vAlign w:val="center"/>
          </w:tcPr>
          <w:p w14:paraId="0F187A88">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侧钻</w:t>
            </w: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过程</w:t>
            </w:r>
          </w:p>
        </w:tc>
        <w:tc>
          <w:tcPr>
            <w:tcW w:w="405" w:type="pct"/>
            <w:shd w:val="clear" w:color="auto" w:fill="auto"/>
            <w:vAlign w:val="center"/>
          </w:tcPr>
          <w:p w14:paraId="6EE3E340">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半固态</w:t>
            </w:r>
          </w:p>
        </w:tc>
        <w:tc>
          <w:tcPr>
            <w:tcW w:w="423" w:type="pct"/>
            <w:shd w:val="clear" w:color="auto" w:fill="auto"/>
            <w:vAlign w:val="center"/>
          </w:tcPr>
          <w:p w14:paraId="5FDBB1FB">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废矿物油</w:t>
            </w:r>
          </w:p>
        </w:tc>
        <w:tc>
          <w:tcPr>
            <w:tcW w:w="328" w:type="pct"/>
            <w:shd w:val="clear" w:color="auto" w:fill="auto"/>
            <w:vAlign w:val="center"/>
          </w:tcPr>
          <w:p w14:paraId="6ED89462">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连续</w:t>
            </w:r>
          </w:p>
        </w:tc>
        <w:tc>
          <w:tcPr>
            <w:tcW w:w="322" w:type="pct"/>
            <w:shd w:val="clear" w:color="auto" w:fill="auto"/>
            <w:vAlign w:val="center"/>
          </w:tcPr>
          <w:p w14:paraId="081F502A">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p>
        </w:tc>
        <w:tc>
          <w:tcPr>
            <w:tcW w:w="850" w:type="pct"/>
            <w:vMerge w:val="restart"/>
            <w:shd w:val="clear" w:color="auto" w:fill="auto"/>
            <w:vAlign w:val="center"/>
          </w:tcPr>
          <w:p w14:paraId="39A7DA34">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废弃油基泥浆和废弃油基岩屑在井场配置储罐集中储存，委托有危废处置资质单位处置。</w:t>
            </w:r>
          </w:p>
        </w:tc>
      </w:tr>
      <w:tr w14:paraId="528A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3" w:hRule="atLeast"/>
          <w:jc w:val="center"/>
        </w:trPr>
        <w:tc>
          <w:tcPr>
            <w:tcW w:w="170" w:type="pct"/>
            <w:shd w:val="clear" w:color="auto" w:fill="auto"/>
            <w:vAlign w:val="center"/>
          </w:tcPr>
          <w:p w14:paraId="73B62F58">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6</w:t>
            </w:r>
          </w:p>
        </w:tc>
        <w:tc>
          <w:tcPr>
            <w:tcW w:w="553" w:type="pct"/>
            <w:shd w:val="clear" w:color="auto" w:fill="auto"/>
            <w:vAlign w:val="center"/>
          </w:tcPr>
          <w:p w14:paraId="2E0B469A">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废弃油基岩屑</w:t>
            </w:r>
          </w:p>
        </w:tc>
        <w:tc>
          <w:tcPr>
            <w:tcW w:w="409" w:type="pct"/>
            <w:shd w:val="clear" w:color="auto" w:fill="auto"/>
            <w:vAlign w:val="center"/>
          </w:tcPr>
          <w:p w14:paraId="5D25DE35">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HW08</w:t>
            </w:r>
          </w:p>
        </w:tc>
        <w:tc>
          <w:tcPr>
            <w:tcW w:w="452" w:type="pct"/>
            <w:shd w:val="clear" w:color="auto" w:fill="auto"/>
            <w:vAlign w:val="center"/>
          </w:tcPr>
          <w:p w14:paraId="31695ACF">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071-002-08</w:t>
            </w:r>
          </w:p>
        </w:tc>
        <w:tc>
          <w:tcPr>
            <w:tcW w:w="519" w:type="pct"/>
            <w:shd w:val="clear" w:color="auto" w:fill="auto"/>
            <w:vAlign w:val="center"/>
          </w:tcPr>
          <w:p w14:paraId="37FAD341">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13.9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/井·次</w:t>
            </w:r>
          </w:p>
        </w:tc>
        <w:tc>
          <w:tcPr>
            <w:tcW w:w="561" w:type="pct"/>
            <w:shd w:val="clear" w:color="auto" w:fill="auto"/>
            <w:vAlign w:val="center"/>
          </w:tcPr>
          <w:p w14:paraId="160D83D2">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侧钻</w:t>
            </w: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过程</w:t>
            </w:r>
          </w:p>
        </w:tc>
        <w:tc>
          <w:tcPr>
            <w:tcW w:w="405" w:type="pct"/>
            <w:shd w:val="clear" w:color="auto" w:fill="auto"/>
            <w:vAlign w:val="center"/>
          </w:tcPr>
          <w:p w14:paraId="1A1C72D0">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固态</w:t>
            </w:r>
          </w:p>
        </w:tc>
        <w:tc>
          <w:tcPr>
            <w:tcW w:w="423" w:type="pct"/>
            <w:shd w:val="clear" w:color="auto" w:fill="auto"/>
            <w:vAlign w:val="center"/>
          </w:tcPr>
          <w:p w14:paraId="4A94C28A">
            <w:pPr>
              <w:widowControl w:val="0"/>
              <w:adjustRightInd/>
              <w:spacing w:line="240" w:lineRule="auto"/>
              <w:ind w:firstLine="0" w:firstLineChars="0"/>
              <w:jc w:val="center"/>
              <w:textAlignment w:val="baseline"/>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废矿物油</w:t>
            </w:r>
          </w:p>
        </w:tc>
        <w:tc>
          <w:tcPr>
            <w:tcW w:w="328" w:type="pct"/>
            <w:shd w:val="clear" w:color="auto" w:fill="auto"/>
            <w:vAlign w:val="center"/>
          </w:tcPr>
          <w:p w14:paraId="482AF8F3">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连续</w:t>
            </w:r>
          </w:p>
        </w:tc>
        <w:tc>
          <w:tcPr>
            <w:tcW w:w="322" w:type="pct"/>
            <w:shd w:val="clear" w:color="auto" w:fill="auto"/>
            <w:vAlign w:val="center"/>
          </w:tcPr>
          <w:p w14:paraId="4ADFD092">
            <w:pPr>
              <w:widowControl w:val="0"/>
              <w:adjustRightInd/>
              <w:spacing w:line="240" w:lineRule="auto"/>
              <w:ind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T</w:t>
            </w:r>
          </w:p>
        </w:tc>
        <w:tc>
          <w:tcPr>
            <w:tcW w:w="850" w:type="pct"/>
            <w:vMerge w:val="continue"/>
            <w:shd w:val="clear" w:color="auto" w:fill="auto"/>
            <w:vAlign w:val="center"/>
          </w:tcPr>
          <w:p w14:paraId="789AB6C5">
            <w:pPr>
              <w:pStyle w:val="61"/>
              <w:keepNext w:val="0"/>
              <w:keepLines w:val="0"/>
              <w:pageBreakBefore w:val="0"/>
              <w:shd w:val="clear"/>
              <w:kinsoku/>
              <w:wordWrap/>
              <w:topLinePunct w:val="0"/>
              <w:bidi w:val="0"/>
              <w:adjustRightInd w:val="0"/>
              <w:snapToGrid w:val="0"/>
              <w:spacing w:line="240" w:lineRule="auto"/>
              <w:jc w:val="both"/>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r>
    </w:tbl>
    <w:p w14:paraId="1B642FF9">
      <w:pPr>
        <w:keepNext w:val="0"/>
        <w:keepLines/>
        <w:pageBreakBefore w:val="0"/>
        <w:widowControl w:val="0"/>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fldChar w:fldCharType="begin"/>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instrText xml:space="preserve">HYPERLINK "../(孟媛)/TK788X（0905）/3.2.4.2"</w:instrText>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fldChar w:fldCharType="separate"/>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t>3.</w:t>
      </w:r>
      <w:r>
        <w:rPr>
          <w:rFonts w:hint="eastAsia" w:cs="Times New Roman"/>
          <w:b/>
          <w:color w:val="000000" w:themeColor="text1"/>
          <w:sz w:val="24"/>
          <w:szCs w:val="2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t>.</w:t>
      </w:r>
      <w:r>
        <w:rPr>
          <w:rFonts w:hint="default" w:ascii="Times New Roman" w:hAnsi="Times New Roman" w:cs="Times New Roman"/>
          <w:b/>
          <w:color w:val="000000" w:themeColor="text1"/>
          <w:sz w:val="24"/>
          <w:szCs w:val="2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t>.</w:t>
      </w:r>
      <w:r>
        <w:rPr>
          <w:rFonts w:hint="eastAsia" w:cs="Times New Roman"/>
          <w:b/>
          <w:color w:val="000000" w:themeColor="text1"/>
          <w:sz w:val="24"/>
          <w:szCs w:val="2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fldChar w:fldCharType="end"/>
      </w:r>
      <w:r>
        <w:rPr>
          <w:rFonts w:hint="default" w:ascii="Times New Roman" w:hAnsi="Times New Roman" w:eastAsia="宋体" w:cs="Times New Roman"/>
          <w:b/>
          <w:color w:val="000000" w:themeColor="text1"/>
          <w:sz w:val="24"/>
          <w:szCs w:val="22"/>
          <w:highlight w:val="none"/>
          <w:lang w:val="en-US"/>
          <w14:textFill>
            <w14:solidFill>
              <w14:schemeClr w14:val="tx1"/>
            </w14:solidFill>
          </w14:textFill>
        </w:rPr>
        <w:t>废气污染源</w:t>
      </w:r>
    </w:p>
    <w:p w14:paraId="7D96221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eastAsia"/>
          <w:color w:val="000000" w:themeColor="text1"/>
          <w:highlight w:val="none"/>
          <w14:textFill>
            <w14:solidFill>
              <w14:schemeClr w14:val="tx1"/>
            </w14:solidFill>
          </w14:textFill>
        </w:rPr>
        <w:t>运营期的废气排放源主要为井场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拉运</w:t>
      </w:r>
      <w:r>
        <w:rPr>
          <w:rFonts w:hint="eastAsia"/>
          <w:color w:val="000000" w:themeColor="text1"/>
          <w:highlight w:val="none"/>
          <w14:textFill>
            <w14:solidFill>
              <w14:schemeClr w14:val="tx1"/>
            </w14:solidFill>
          </w14:textFill>
        </w:rPr>
        <w:t>过程中</w:t>
      </w:r>
      <w:r>
        <w:rPr>
          <w:rFonts w:hint="eastAsia"/>
          <w:color w:val="000000" w:themeColor="text1"/>
          <w:highlight w:val="none"/>
          <w:lang w:val="en-US" w:eastAsia="zh-CN"/>
          <w14:textFill>
            <w14:solidFill>
              <w14:schemeClr w14:val="tx1"/>
            </w14:solidFill>
          </w14:textFill>
        </w:rPr>
        <w:t>产生的</w:t>
      </w:r>
      <w:r>
        <w:rPr>
          <w:rFonts w:hint="eastAsia"/>
          <w:color w:val="000000" w:themeColor="text1"/>
          <w:highlight w:val="none"/>
          <w14:textFill>
            <w14:solidFill>
              <w14:schemeClr w14:val="tx1"/>
            </w14:solidFill>
          </w14:textFill>
        </w:rPr>
        <w:t>无组织废气排放。无组织排放的污染物主要为井口、阀门以及油罐等处产生的无组织挥发烃类</w:t>
      </w:r>
      <w:r>
        <w:rPr>
          <w:rFonts w:hint="default" w:ascii="Times New Roman" w:hAnsi="Times New Roman" w:cs="Times New Roman"/>
          <w:color w:val="000000" w:themeColor="text1"/>
          <w:highlight w:val="none"/>
          <w14:textFill>
            <w14:solidFill>
              <w14:schemeClr w14:val="tx1"/>
            </w14:solidFill>
          </w14:textFill>
        </w:rPr>
        <w:t>。</w:t>
      </w:r>
    </w:p>
    <w:p w14:paraId="12F4DCB4">
      <w:pPr>
        <w:keepNext w:val="0"/>
        <w:keepLines w:val="0"/>
        <w:pageBreakBefore w:val="0"/>
        <w:widowControl/>
        <w:kinsoku/>
        <w:wordWrap/>
        <w:overflowPunct/>
        <w:topLinePunct w:val="0"/>
        <w:bidi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657" w:name="OLE_LINK374"/>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无组织废气</w:t>
      </w:r>
    </w:p>
    <w:p w14:paraId="731AA948">
      <w:pPr>
        <w:keepNext w:val="0"/>
        <w:keepLines w:val="0"/>
        <w:pageBreakBefore w:val="0"/>
        <w:widowControl/>
        <w:kinsoku/>
        <w:wordWrap/>
        <w:overflowPunct/>
        <w:topLinePunct w:val="0"/>
        <w:autoSpaceDE w:val="0"/>
        <w:autoSpaceDN w:val="0"/>
        <w:bidi w:val="0"/>
        <w:spacing w:line="360" w:lineRule="auto"/>
        <w:ind w:firstLine="480" w:firstLineChars="200"/>
        <w:jc w:val="both"/>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本工程运营期无组织排放的废气污染物主要为非甲烷总烃。非甲烷总烃排放源包括两个，一个为储罐大小呼吸过程以及装卸过程的无组织排放，一个为阀门、法兰等位置的无组织排放。</w:t>
      </w:r>
    </w:p>
    <w:p w14:paraId="7AA6515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储罐无组织挥发非甲烷总烃</w:t>
      </w:r>
    </w:p>
    <w:p w14:paraId="365DAF92">
      <w:pPr>
        <w:pStyle w:val="109"/>
        <w:keepNext w:val="0"/>
        <w:keepLines w:val="0"/>
        <w:pageBreakBefore w:val="0"/>
        <w:widowControl/>
        <w:kinsoku/>
        <w:wordWrap/>
        <w:overflowPunct/>
        <w:topLinePunct w:val="0"/>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本工程三口井共用一个井场，井场内设置</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座</w:t>
      </w:r>
      <w:bookmarkStart w:id="658" w:name="OLE_LINK829"/>
      <w:r>
        <w:rPr>
          <w:rFonts w:hint="eastAsia" w:cs="Times New Roman"/>
          <w:color w:val="000000" w:themeColor="text1"/>
          <w:kern w:val="24"/>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0m</w:t>
      </w:r>
      <w:r>
        <w:rPr>
          <w:rFonts w:hint="eastAsia" w:ascii="Times New Roman" w:hAnsi="Times New Roman" w:eastAsia="宋体" w:cs="Times New Roman"/>
          <w:color w:val="000000" w:themeColor="text1"/>
          <w:kern w:val="24"/>
          <w:sz w:val="24"/>
          <w:szCs w:val="24"/>
          <w:highlight w:val="none"/>
          <w:vertAlign w:val="superscript"/>
          <w:lang w:val="en-US" w:eastAsia="zh-CN"/>
          <w14:textFill>
            <w14:solidFill>
              <w14:schemeClr w14:val="tx1"/>
            </w14:solidFill>
          </w14:textFill>
        </w:rPr>
        <w:t>3</w:t>
      </w:r>
      <w:bookmarkEnd w:id="658"/>
      <w:bookmarkStart w:id="659" w:name="OLE_LINK365"/>
      <w:r>
        <w:rPr>
          <w:rFonts w:hint="default" w:ascii="Times New Roman" w:hAnsi="Times New Roman" w:eastAsia="宋体" w:cs="Times New Roman"/>
          <w:color w:val="000000" w:themeColor="text1"/>
          <w:sz w:val="24"/>
          <w:szCs w:val="24"/>
          <w:highlight w:val="none"/>
          <w14:textFill>
            <w14:solidFill>
              <w14:schemeClr w14:val="tx1"/>
            </w14:solidFill>
          </w14:textFill>
        </w:rPr>
        <w:t>多功能</w:t>
      </w:r>
      <w:bookmarkStart w:id="660" w:name="OLE_LINK361"/>
      <w:r>
        <w:rPr>
          <w:rFonts w:hint="default" w:ascii="Times New Roman" w:hAnsi="Times New Roman" w:eastAsia="宋体" w:cs="Times New Roman"/>
          <w:color w:val="000000" w:themeColor="text1"/>
          <w:sz w:val="24"/>
          <w:szCs w:val="24"/>
          <w:highlight w:val="none"/>
          <w14:textFill>
            <w14:solidFill>
              <w14:schemeClr w14:val="tx1"/>
            </w14:solidFill>
          </w14:textFill>
        </w:rPr>
        <w:t>储集器</w:t>
      </w:r>
      <w:bookmarkEnd w:id="659"/>
      <w:bookmarkEnd w:id="660"/>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储集器均采用固定顶罐，罐体因</w:t>
      </w:r>
      <w:bookmarkStart w:id="661" w:name="OLE_LINK362"/>
      <w:r>
        <w:rPr>
          <w:rFonts w:hint="default" w:ascii="Times New Roman" w:hAnsi="Times New Roman" w:eastAsia="宋体" w:cs="Times New Roman"/>
          <w:color w:val="000000" w:themeColor="text1"/>
          <w:sz w:val="24"/>
          <w:szCs w:val="24"/>
          <w:highlight w:val="none"/>
          <w14:textFill>
            <w14:solidFill>
              <w14:schemeClr w14:val="tx1"/>
            </w14:solidFill>
          </w14:textFill>
        </w:rPr>
        <w:t>大小呼吸作用</w:t>
      </w:r>
      <w:bookmarkEnd w:id="661"/>
      <w:r>
        <w:rPr>
          <w:rFonts w:hint="default" w:ascii="Times New Roman" w:hAnsi="Times New Roman" w:eastAsia="宋体" w:cs="Times New Roman"/>
          <w:color w:val="000000" w:themeColor="text1"/>
          <w:sz w:val="24"/>
          <w:szCs w:val="24"/>
          <w:highlight w:val="none"/>
          <w14:textFill>
            <w14:solidFill>
              <w14:schemeClr w14:val="tx1"/>
            </w14:solidFill>
          </w14:textFill>
        </w:rPr>
        <w:t>排放无组织非甲烷总烃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小呼吸排放是由于温度和大气压力的变化引起蒸气的膨胀和收缩而产生的蒸气排出，它出现在罐内液面无任何变化的情况，是非人为干扰的自然排放方式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14:paraId="7F54D77D">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小呼吸：L</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B</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=0.191×M(P/(100910-P))</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0.68</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1.73</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0.51</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×ΔT</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0.45</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×F</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×C×K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c</w:t>
      </w:r>
    </w:p>
    <w:p w14:paraId="04483944">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大呼吸：L</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W</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=4.188×10</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×M×P×K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×Kc</w:t>
      </w:r>
    </w:p>
    <w:p w14:paraId="1E1C508A">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B</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——储罐的呼吸排放量(kg/a)；</w:t>
      </w:r>
    </w:p>
    <w:p w14:paraId="7D44D086">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M——储罐内蒸汽的分子量；</w:t>
      </w:r>
    </w:p>
    <w:p w14:paraId="5563E87D">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P——在大量液体状态下，真实的蒸汽压力(Pa)；</w:t>
      </w:r>
    </w:p>
    <w:p w14:paraId="7979059F">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D——罐的直径(m)；</w:t>
      </w:r>
    </w:p>
    <w:p w14:paraId="0280CB82">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H——平均蒸汽空间高度(m)；</w:t>
      </w:r>
    </w:p>
    <w:p w14:paraId="24D01C41">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ΔT——一天之内的平均温差(℃)；</w:t>
      </w:r>
    </w:p>
    <w:p w14:paraId="57C4F751">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F</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——涂层因子(无量纲)，根据油气状况取值在1～1.5之间，取1.25；</w:t>
      </w:r>
    </w:p>
    <w:p w14:paraId="653A1030">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C——用于小直径罐的调节因子(无量纲)，直径在0～9m之间的罐体，C=1-0.0123(D-9)</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，罐径大于9m的C=1；</w:t>
      </w:r>
    </w:p>
    <w:p w14:paraId="4BCDBEC8">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——产品因子(石油原油取0.</w:t>
      </w:r>
      <w:r>
        <w:rPr>
          <w:rFonts w:hint="eastAsia" w:ascii="Times New Roman" w:hAnsi="Times New Roman" w:eastAsia="宋体" w:cs="Times New Roman"/>
          <w:color w:val="000000" w:themeColor="text1"/>
          <w:spacing w:val="5"/>
          <w:kern w:val="2"/>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5，其他液体取1.0)。</w:t>
      </w:r>
    </w:p>
    <w:p w14:paraId="67B01327">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L</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W</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——固定顶罐的工作损失(kg/m</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投入量)；</w:t>
      </w:r>
    </w:p>
    <w:p w14:paraId="4170472B">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color w:val="000000" w:themeColor="text1"/>
          <w:spacing w:val="5"/>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——周转因子(无量纲)，取值按年周转次数(K，次)确定：K≤36，K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=1，36＜K≤220，K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=11.467×K</w:t>
      </w:r>
      <w:r>
        <w:rPr>
          <w:rFonts w:hint="default" w:ascii="Times New Roman" w:hAnsi="Times New Roman" w:eastAsia="宋体" w:cs="Times New Roman"/>
          <w:color w:val="000000" w:themeColor="text1"/>
          <w:spacing w:val="5"/>
          <w:kern w:val="2"/>
          <w:sz w:val="24"/>
          <w:szCs w:val="24"/>
          <w:highlight w:val="none"/>
          <w:vertAlign w:val="superscript"/>
          <w14:textFill>
            <w14:solidFill>
              <w14:schemeClr w14:val="tx1"/>
            </w14:solidFill>
          </w14:textFill>
        </w:rPr>
        <w:t>-0.7026</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，K＞220，K</w:t>
      </w:r>
      <w:r>
        <w:rPr>
          <w:rFonts w:hint="default" w:ascii="Times New Roman" w:hAnsi="Times New Roman" w:eastAsia="宋体" w:cs="Times New Roman"/>
          <w:color w:val="000000" w:themeColor="text1"/>
          <w:spacing w:val="5"/>
          <w:kern w:val="2"/>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=0.26；</w:t>
      </w:r>
    </w:p>
    <w:p w14:paraId="0A480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5"/>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5"/>
          <w:kern w:val="2"/>
          <w:sz w:val="21"/>
          <w:szCs w:val="21"/>
          <w:highlight w:val="none"/>
          <w14:textFill>
            <w14:solidFill>
              <w14:schemeClr w14:val="tx1"/>
            </w14:solidFill>
          </w14:textFill>
        </w:rPr>
        <w:t>表</w:t>
      </w:r>
      <w:r>
        <w:rPr>
          <w:rFonts w:hint="eastAsia" w:cs="Times New Roman"/>
          <w:b/>
          <w:bCs/>
          <w:color w:val="000000" w:themeColor="text1"/>
          <w:spacing w:val="5"/>
          <w:kern w:val="2"/>
          <w:sz w:val="21"/>
          <w:szCs w:val="21"/>
          <w:highlight w:val="none"/>
          <w:lang w:val="en-US" w:eastAsia="zh-CN"/>
          <w14:textFill>
            <w14:solidFill>
              <w14:schemeClr w14:val="tx1"/>
            </w14:solidFill>
          </w14:textFill>
        </w:rPr>
        <w:t>3.3-7</w:t>
      </w:r>
      <w:r>
        <w:rPr>
          <w:rFonts w:hint="default" w:ascii="Times New Roman" w:hAnsi="Times New Roman" w:eastAsia="宋体" w:cs="Times New Roman"/>
          <w:b/>
          <w:bCs/>
          <w:color w:val="000000" w:themeColor="text1"/>
          <w:spacing w:val="5"/>
          <w:kern w:val="2"/>
          <w:sz w:val="21"/>
          <w:szCs w:val="21"/>
          <w:highlight w:val="none"/>
          <w14:textFill>
            <w14:solidFill>
              <w14:schemeClr w14:val="tx1"/>
            </w14:solidFill>
          </w14:textFill>
        </w:rPr>
        <w:t xml:space="preserve">      各参数取值一览表</w:t>
      </w:r>
    </w:p>
    <w:tbl>
      <w:tblPr>
        <w:tblStyle w:val="37"/>
        <w:tblW w:w="4996"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28" w:type="dxa"/>
          <w:bottom w:w="0" w:type="dxa"/>
          <w:right w:w="28" w:type="dxa"/>
        </w:tblCellMar>
      </w:tblPr>
      <w:tblGrid>
        <w:gridCol w:w="1601"/>
        <w:gridCol w:w="733"/>
        <w:gridCol w:w="769"/>
        <w:gridCol w:w="733"/>
        <w:gridCol w:w="733"/>
        <w:gridCol w:w="841"/>
        <w:gridCol w:w="636"/>
        <w:gridCol w:w="916"/>
        <w:gridCol w:w="743"/>
        <w:gridCol w:w="751"/>
      </w:tblGrid>
      <w:tr w14:paraId="610FA01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46" w:type="pct"/>
            <w:noWrap/>
            <w:vAlign w:val="center"/>
          </w:tcPr>
          <w:p w14:paraId="5C4AF2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项目</w:t>
            </w:r>
          </w:p>
        </w:tc>
        <w:tc>
          <w:tcPr>
            <w:tcW w:w="433" w:type="pct"/>
            <w:noWrap/>
            <w:vAlign w:val="center"/>
          </w:tcPr>
          <w:p w14:paraId="0B297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M</w:t>
            </w:r>
          </w:p>
        </w:tc>
        <w:tc>
          <w:tcPr>
            <w:tcW w:w="454" w:type="pct"/>
            <w:noWrap/>
            <w:vAlign w:val="center"/>
          </w:tcPr>
          <w:p w14:paraId="7286A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P/Pa</w:t>
            </w:r>
          </w:p>
        </w:tc>
        <w:tc>
          <w:tcPr>
            <w:tcW w:w="433" w:type="pct"/>
            <w:noWrap/>
            <w:vAlign w:val="center"/>
          </w:tcPr>
          <w:p w14:paraId="6779E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D/m</w:t>
            </w:r>
          </w:p>
        </w:tc>
        <w:tc>
          <w:tcPr>
            <w:tcW w:w="433" w:type="pct"/>
            <w:noWrap/>
            <w:vAlign w:val="center"/>
          </w:tcPr>
          <w:p w14:paraId="1DA1E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H/m</w:t>
            </w:r>
          </w:p>
        </w:tc>
        <w:tc>
          <w:tcPr>
            <w:tcW w:w="497" w:type="pct"/>
            <w:noWrap/>
            <w:vAlign w:val="center"/>
          </w:tcPr>
          <w:p w14:paraId="5466C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ΔT/</w:t>
            </w: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w:t>
            </w:r>
          </w:p>
        </w:tc>
        <w:tc>
          <w:tcPr>
            <w:tcW w:w="376" w:type="pct"/>
            <w:noWrap/>
            <w:vAlign w:val="center"/>
          </w:tcPr>
          <w:p w14:paraId="1090B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F</w:t>
            </w:r>
            <w:r>
              <w:rPr>
                <w:rFonts w:hint="default" w:ascii="Times New Roman" w:hAnsi="Times New Roman" w:eastAsia="宋体" w:cs="Times New Roman"/>
                <w:color w:val="000000" w:themeColor="text1"/>
                <w:spacing w:val="-10"/>
                <w:kern w:val="2"/>
                <w:sz w:val="21"/>
                <w:szCs w:val="21"/>
                <w:highlight w:val="none"/>
                <w:vertAlign w:val="subscript"/>
                <w14:textFill>
                  <w14:solidFill>
                    <w14:schemeClr w14:val="tx1"/>
                  </w14:solidFill>
                </w14:textFill>
              </w:rPr>
              <w:t>P</w:t>
            </w:r>
          </w:p>
        </w:tc>
        <w:tc>
          <w:tcPr>
            <w:tcW w:w="541" w:type="pct"/>
            <w:noWrap/>
            <w:vAlign w:val="center"/>
          </w:tcPr>
          <w:p w14:paraId="7AE25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C</w:t>
            </w:r>
          </w:p>
        </w:tc>
        <w:tc>
          <w:tcPr>
            <w:tcW w:w="439" w:type="pct"/>
            <w:noWrap/>
            <w:vAlign w:val="center"/>
          </w:tcPr>
          <w:p w14:paraId="734EA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K</w:t>
            </w:r>
            <w:r>
              <w:rPr>
                <w:rFonts w:hint="default" w:ascii="Times New Roman" w:hAnsi="Times New Roman" w:eastAsia="宋体" w:cs="Times New Roman"/>
                <w:color w:val="000000" w:themeColor="text1"/>
                <w:spacing w:val="-10"/>
                <w:kern w:val="2"/>
                <w:sz w:val="21"/>
                <w:szCs w:val="21"/>
                <w:highlight w:val="none"/>
                <w:vertAlign w:val="subscript"/>
                <w14:textFill>
                  <w14:solidFill>
                    <w14:schemeClr w14:val="tx1"/>
                  </w14:solidFill>
                </w14:textFill>
              </w:rPr>
              <w:t>c</w:t>
            </w:r>
          </w:p>
        </w:tc>
        <w:tc>
          <w:tcPr>
            <w:tcW w:w="443" w:type="pct"/>
            <w:noWrap/>
            <w:vAlign w:val="center"/>
          </w:tcPr>
          <w:p w14:paraId="06ED3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K</w:t>
            </w:r>
            <w:r>
              <w:rPr>
                <w:rFonts w:hint="default" w:ascii="Times New Roman" w:hAnsi="Times New Roman" w:eastAsia="宋体" w:cs="Times New Roman"/>
                <w:color w:val="000000" w:themeColor="text1"/>
                <w:spacing w:val="-10"/>
                <w:kern w:val="2"/>
                <w:sz w:val="21"/>
                <w:szCs w:val="21"/>
                <w:highlight w:val="none"/>
                <w:vertAlign w:val="subscript"/>
                <w14:textFill>
                  <w14:solidFill>
                    <w14:schemeClr w14:val="tx1"/>
                  </w14:solidFill>
                </w14:textFill>
              </w:rPr>
              <w:t>N</w:t>
            </w:r>
          </w:p>
        </w:tc>
      </w:tr>
      <w:tr w14:paraId="40428AB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46" w:type="pct"/>
            <w:noWrap/>
            <w:vAlign w:val="center"/>
          </w:tcPr>
          <w:p w14:paraId="03E25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w:t>
            </w: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功能储集器</w:t>
            </w:r>
          </w:p>
        </w:tc>
        <w:tc>
          <w:tcPr>
            <w:tcW w:w="433" w:type="pct"/>
            <w:noWrap/>
            <w:vAlign w:val="center"/>
          </w:tcPr>
          <w:p w14:paraId="65175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60</w:t>
            </w:r>
          </w:p>
        </w:tc>
        <w:tc>
          <w:tcPr>
            <w:tcW w:w="454" w:type="pct"/>
            <w:noWrap/>
            <w:vAlign w:val="center"/>
          </w:tcPr>
          <w:p w14:paraId="39171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24400</w:t>
            </w:r>
          </w:p>
        </w:tc>
        <w:tc>
          <w:tcPr>
            <w:tcW w:w="433" w:type="pct"/>
            <w:noWrap/>
            <w:vAlign w:val="center"/>
          </w:tcPr>
          <w:p w14:paraId="13049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2.8</w:t>
            </w:r>
          </w:p>
        </w:tc>
        <w:tc>
          <w:tcPr>
            <w:tcW w:w="433" w:type="pct"/>
            <w:noWrap/>
            <w:vAlign w:val="center"/>
          </w:tcPr>
          <w:p w14:paraId="0AC97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1.571</w:t>
            </w:r>
          </w:p>
        </w:tc>
        <w:tc>
          <w:tcPr>
            <w:tcW w:w="497" w:type="pct"/>
            <w:noWrap/>
            <w:vAlign w:val="center"/>
          </w:tcPr>
          <w:p w14:paraId="23C77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10</w:t>
            </w:r>
          </w:p>
        </w:tc>
        <w:tc>
          <w:tcPr>
            <w:tcW w:w="376" w:type="pct"/>
            <w:noWrap/>
            <w:vAlign w:val="center"/>
          </w:tcPr>
          <w:p w14:paraId="37FD1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1.25</w:t>
            </w:r>
          </w:p>
        </w:tc>
        <w:tc>
          <w:tcPr>
            <w:tcW w:w="541" w:type="pct"/>
            <w:noWrap/>
            <w:vAlign w:val="center"/>
          </w:tcPr>
          <w:p w14:paraId="1BA90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color w:val="000000" w:themeColor="text1"/>
                <w:spacing w:val="-10"/>
                <w:kern w:val="2"/>
                <w:sz w:val="21"/>
                <w:szCs w:val="21"/>
                <w:highlight w:val="none"/>
                <w:lang w:val="en-US" w:eastAsia="zh-CN"/>
                <w14:textFill>
                  <w14:solidFill>
                    <w14:schemeClr w14:val="tx1"/>
                  </w14:solidFill>
                </w14:textFill>
              </w:rPr>
              <w:t>0.527</w:t>
            </w:r>
          </w:p>
        </w:tc>
        <w:tc>
          <w:tcPr>
            <w:tcW w:w="439" w:type="pct"/>
            <w:noWrap/>
            <w:vAlign w:val="center"/>
          </w:tcPr>
          <w:p w14:paraId="72E52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w w:val="100"/>
                <w:kern w:val="2"/>
                <w:sz w:val="21"/>
                <w:szCs w:val="21"/>
                <w:highlight w:val="none"/>
                <w:lang w:val="en-US" w:eastAsia="zh-CN" w:bidi="ar-SA"/>
                <w14:textFill>
                  <w14:solidFill>
                    <w14:schemeClr w14:val="tx1"/>
                  </w14:solidFill>
                </w14:textFill>
              </w:rPr>
              <w:t>0.</w:t>
            </w:r>
            <w:r>
              <w:rPr>
                <w:rFonts w:hint="eastAsia" w:eastAsia="宋体" w:cs="Times New Roman"/>
                <w:color w:val="000000" w:themeColor="text1"/>
                <w:spacing w:val="-10"/>
                <w:w w:val="100"/>
                <w:kern w:val="2"/>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10"/>
                <w:w w:val="100"/>
                <w:kern w:val="2"/>
                <w:sz w:val="21"/>
                <w:szCs w:val="21"/>
                <w:highlight w:val="none"/>
                <w:lang w:val="en-US" w:eastAsia="zh-CN" w:bidi="ar-SA"/>
                <w14:textFill>
                  <w14:solidFill>
                    <w14:schemeClr w14:val="tx1"/>
                  </w14:solidFill>
                </w14:textFill>
              </w:rPr>
              <w:t>5</w:t>
            </w:r>
          </w:p>
        </w:tc>
        <w:tc>
          <w:tcPr>
            <w:tcW w:w="443" w:type="pct"/>
            <w:noWrap/>
            <w:vAlign w:val="center"/>
          </w:tcPr>
          <w:p w14:paraId="1409A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t>0.6</w:t>
            </w:r>
            <w:r>
              <w:rPr>
                <w:rFonts w:hint="eastAsia" w:eastAsia="宋体" w:cs="Times New Roman"/>
                <w:color w:val="000000" w:themeColor="text1"/>
                <w:spacing w:val="-10"/>
                <w:kern w:val="2"/>
                <w:sz w:val="21"/>
                <w:szCs w:val="21"/>
                <w:highlight w:val="none"/>
                <w:lang w:val="en-US" w:eastAsia="zh-CN"/>
                <w14:textFill>
                  <w14:solidFill>
                    <w14:schemeClr w14:val="tx1"/>
                  </w14:solidFill>
                </w14:textFill>
              </w:rPr>
              <w:t>38</w:t>
            </w:r>
          </w:p>
        </w:tc>
      </w:tr>
    </w:tbl>
    <w:p w14:paraId="5E90A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pacing w:val="5"/>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5"/>
          <w:kern w:val="2"/>
          <w:sz w:val="21"/>
          <w:szCs w:val="21"/>
          <w:highlight w:val="none"/>
          <w14:textFill>
            <w14:solidFill>
              <w14:schemeClr w14:val="tx1"/>
            </w14:solidFill>
          </w14:textFill>
        </w:rPr>
        <w:t>表</w:t>
      </w:r>
      <w:r>
        <w:rPr>
          <w:rFonts w:hint="eastAsia" w:cs="Times New Roman"/>
          <w:b/>
          <w:bCs/>
          <w:color w:val="000000" w:themeColor="text1"/>
          <w:spacing w:val="5"/>
          <w:kern w:val="2"/>
          <w:sz w:val="21"/>
          <w:szCs w:val="21"/>
          <w:highlight w:val="none"/>
          <w:lang w:val="en-US" w:eastAsia="zh-CN"/>
          <w14:textFill>
            <w14:solidFill>
              <w14:schemeClr w14:val="tx1"/>
            </w14:solidFill>
          </w14:textFill>
        </w:rPr>
        <w:t>3.3-8</w:t>
      </w:r>
      <w:r>
        <w:rPr>
          <w:rFonts w:hint="default" w:ascii="Times New Roman" w:hAnsi="Times New Roman" w:eastAsia="宋体" w:cs="Times New Roman"/>
          <w:b/>
          <w:bCs/>
          <w:color w:val="000000" w:themeColor="text1"/>
          <w:spacing w:val="5"/>
          <w:kern w:val="2"/>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5"/>
          <w:kern w:val="2"/>
          <w:sz w:val="21"/>
          <w:szCs w:val="21"/>
          <w:highlight w:val="none"/>
          <w:lang w:val="en-US" w:eastAsia="zh-CN"/>
          <w14:textFill>
            <w14:solidFill>
              <w14:schemeClr w14:val="tx1"/>
            </w14:solidFill>
          </w14:textFill>
        </w:rPr>
        <w:t>储罐大小呼吸废气</w:t>
      </w:r>
      <w:r>
        <w:rPr>
          <w:rFonts w:hint="default" w:ascii="Times New Roman" w:hAnsi="Times New Roman" w:eastAsia="宋体" w:cs="Times New Roman"/>
          <w:b/>
          <w:bCs/>
          <w:color w:val="000000" w:themeColor="text1"/>
          <w:spacing w:val="5"/>
          <w:kern w:val="2"/>
          <w:sz w:val="21"/>
          <w:szCs w:val="21"/>
          <w:highlight w:val="none"/>
          <w14:textFill>
            <w14:solidFill>
              <w14:schemeClr w14:val="tx1"/>
            </w14:solidFill>
          </w14:textFill>
        </w:rPr>
        <w:t>一览表</w:t>
      </w:r>
    </w:p>
    <w:tbl>
      <w:tblPr>
        <w:tblStyle w:val="37"/>
        <w:tblW w:w="4998"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28" w:type="dxa"/>
          <w:bottom w:w="0" w:type="dxa"/>
          <w:right w:w="28" w:type="dxa"/>
        </w:tblCellMar>
      </w:tblPr>
      <w:tblGrid>
        <w:gridCol w:w="2272"/>
        <w:gridCol w:w="3279"/>
        <w:gridCol w:w="1894"/>
        <w:gridCol w:w="1015"/>
      </w:tblGrid>
      <w:tr w14:paraId="5C829D9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2" w:type="pct"/>
            <w:noWrap/>
            <w:vAlign w:val="center"/>
          </w:tcPr>
          <w:p w14:paraId="548E0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储罐名称</w:t>
            </w:r>
          </w:p>
        </w:tc>
        <w:tc>
          <w:tcPr>
            <w:tcW w:w="1937" w:type="pct"/>
            <w:noWrap/>
            <w:vAlign w:val="center"/>
          </w:tcPr>
          <w:p w14:paraId="5C970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大呼吸废气量(kg/a)</w:t>
            </w:r>
          </w:p>
        </w:tc>
        <w:tc>
          <w:tcPr>
            <w:tcW w:w="1119" w:type="pct"/>
            <w:noWrap/>
            <w:vAlign w:val="center"/>
          </w:tcPr>
          <w:p w14:paraId="368CE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小呼吸废气量(kg/a)</w:t>
            </w:r>
          </w:p>
        </w:tc>
        <w:tc>
          <w:tcPr>
            <w:tcW w:w="599" w:type="pct"/>
            <w:noWrap/>
            <w:vAlign w:val="center"/>
          </w:tcPr>
          <w:p w14:paraId="621B7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合计(kg/a)</w:t>
            </w:r>
          </w:p>
        </w:tc>
      </w:tr>
      <w:tr w14:paraId="5DC9EB3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2" w:type="pct"/>
            <w:noWrap/>
            <w:vAlign w:val="center"/>
          </w:tcPr>
          <w:p w14:paraId="7D4F0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单座</w:t>
            </w:r>
            <w:r>
              <w:rPr>
                <w:rFonts w:hint="default" w:ascii="Times New Roman" w:hAnsi="Times New Roman" w:eastAsia="宋体" w:cs="Times New Roman"/>
                <w:color w:val="000000" w:themeColor="text1"/>
                <w:sz w:val="21"/>
                <w:szCs w:val="21"/>
                <w:highlight w:val="none"/>
                <w14:textFill>
                  <w14:solidFill>
                    <w14:schemeClr w14:val="tx1"/>
                  </w14:solidFill>
                </w14:textFill>
              </w:rPr>
              <w:t>多</w:t>
            </w: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功能储集器</w:t>
            </w:r>
          </w:p>
        </w:tc>
        <w:tc>
          <w:tcPr>
            <w:tcW w:w="1937" w:type="pct"/>
            <w:noWrap/>
            <w:vAlign w:val="center"/>
          </w:tcPr>
          <w:p w14:paraId="1D292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0.293</w:t>
            </w: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×6</w:t>
            </w: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t>(周转次数)</w:t>
            </w: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=17.873</w:t>
            </w:r>
          </w:p>
        </w:tc>
        <w:tc>
          <w:tcPr>
            <w:tcW w:w="1119" w:type="pct"/>
            <w:noWrap/>
            <w:vAlign w:val="center"/>
          </w:tcPr>
          <w:p w14:paraId="10166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54.827</w:t>
            </w:r>
          </w:p>
        </w:tc>
        <w:tc>
          <w:tcPr>
            <w:tcW w:w="599" w:type="pct"/>
            <w:noWrap/>
            <w:vAlign w:val="center"/>
          </w:tcPr>
          <w:p w14:paraId="79BD3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72.7</w:t>
            </w:r>
          </w:p>
        </w:tc>
      </w:tr>
      <w:tr w14:paraId="1F314F6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2" w:type="pct"/>
            <w:noWrap/>
            <w:vAlign w:val="center"/>
          </w:tcPr>
          <w:p w14:paraId="40172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4座</w:t>
            </w:r>
            <w:r>
              <w:rPr>
                <w:rFonts w:hint="default" w:ascii="Times New Roman" w:hAnsi="Times New Roman" w:eastAsia="宋体" w:cs="Times New Roman"/>
                <w:color w:val="000000" w:themeColor="text1"/>
                <w:sz w:val="21"/>
                <w:szCs w:val="21"/>
                <w:highlight w:val="none"/>
                <w14:textFill>
                  <w14:solidFill>
                    <w14:schemeClr w14:val="tx1"/>
                  </w14:solidFill>
                </w14:textFill>
              </w:rPr>
              <w:t>多</w:t>
            </w:r>
            <w:r>
              <w:rPr>
                <w:rFonts w:hint="default" w:ascii="Times New Roman" w:hAnsi="Times New Roman" w:eastAsia="宋体" w:cs="Times New Roman"/>
                <w:bCs/>
                <w:color w:val="000000" w:themeColor="text1"/>
                <w:spacing w:val="-10"/>
                <w:kern w:val="2"/>
                <w:sz w:val="21"/>
                <w:szCs w:val="21"/>
                <w:highlight w:val="none"/>
                <w14:textFill>
                  <w14:solidFill>
                    <w14:schemeClr w14:val="tx1"/>
                  </w14:solidFill>
                </w14:textFill>
              </w:rPr>
              <w:t>功能储集器</w:t>
            </w: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合计</w:t>
            </w:r>
          </w:p>
        </w:tc>
        <w:tc>
          <w:tcPr>
            <w:tcW w:w="1937" w:type="pct"/>
            <w:noWrap/>
            <w:vAlign w:val="center"/>
          </w:tcPr>
          <w:p w14:paraId="76B88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71.492</w:t>
            </w:r>
          </w:p>
        </w:tc>
        <w:tc>
          <w:tcPr>
            <w:tcW w:w="1119" w:type="pct"/>
            <w:noWrap/>
            <w:vAlign w:val="center"/>
          </w:tcPr>
          <w:p w14:paraId="55105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219.308</w:t>
            </w:r>
          </w:p>
        </w:tc>
        <w:tc>
          <w:tcPr>
            <w:tcW w:w="599" w:type="pct"/>
            <w:noWrap/>
            <w:vAlign w:val="center"/>
          </w:tcPr>
          <w:p w14:paraId="2B2F0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Cs/>
                <w:color w:val="000000" w:themeColor="text1"/>
                <w:spacing w:val="-10"/>
                <w:kern w:val="2"/>
                <w:sz w:val="21"/>
                <w:szCs w:val="21"/>
                <w:highlight w:val="none"/>
                <w:lang w:val="en-US" w:eastAsia="zh-CN"/>
                <w14:textFill>
                  <w14:solidFill>
                    <w14:schemeClr w14:val="tx1"/>
                  </w14:solidFill>
                </w14:textFill>
              </w:rPr>
            </w:pPr>
            <w:r>
              <w:rPr>
                <w:rFonts w:hint="eastAsia" w:eastAsia="宋体" w:cs="Times New Roman"/>
                <w:bCs/>
                <w:color w:val="000000" w:themeColor="text1"/>
                <w:spacing w:val="-10"/>
                <w:kern w:val="2"/>
                <w:sz w:val="21"/>
                <w:szCs w:val="21"/>
                <w:highlight w:val="none"/>
                <w:lang w:val="en-US" w:eastAsia="zh-CN"/>
                <w14:textFill>
                  <w14:solidFill>
                    <w14:schemeClr w14:val="tx1"/>
                  </w14:solidFill>
                </w14:textFill>
              </w:rPr>
              <w:t>290.8</w:t>
            </w:r>
          </w:p>
        </w:tc>
      </w:tr>
    </w:tbl>
    <w:p w14:paraId="1EFD7EB7">
      <w:pPr>
        <w:keepNext w:val="0"/>
        <w:keepLines w:val="0"/>
        <w:pageBreakBefore w:val="0"/>
        <w:widowControl/>
        <w:kinsoku/>
        <w:wordWrap/>
        <w:overflowPunct/>
        <w:topLinePunct w:val="0"/>
        <w:bidi w:val="0"/>
        <w:adjustRightInd w:val="0"/>
        <w:snapToGrid w:val="0"/>
        <w:spacing w:before="0" w:beforeLines="0" w:after="0" w:afterLines="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项目凝析油密度0.772g/cm</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，凝析油产能规模33.9t/d（14491m</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/a）。</w:t>
      </w:r>
      <w:bookmarkStart w:id="662" w:name="OLE_LINK1086"/>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经计算，</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单座</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多功能储集器静置损失</w:t>
      </w:r>
      <w:bookmarkEnd w:id="662"/>
      <w:bookmarkStart w:id="663" w:name="OLE_LINK1087"/>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0.018</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t/a</w:t>
      </w:r>
      <w:bookmarkEnd w:id="663"/>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Start w:id="664" w:name="OLE_LINK1088"/>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工作损失</w:t>
      </w:r>
      <w:bookmarkStart w:id="665" w:name="OLE_LINK1089"/>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0.055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t/a</w:t>
      </w:r>
      <w:bookmarkEnd w:id="664"/>
      <w:bookmarkEnd w:id="665"/>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Start w:id="666" w:name="OLE_LINK1095"/>
      <w:bookmarkStart w:id="667" w:name="OLE_LINK1098"/>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本工程井场</w:t>
      </w:r>
      <w:bookmarkEnd w:id="666"/>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4座</w:t>
      </w:r>
      <w:bookmarkStart w:id="668" w:name="OLE_LINK1092"/>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多功能储集器大小呼吸非甲烷总烃排放量</w:t>
      </w:r>
      <w:bookmarkEnd w:id="668"/>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0.291</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t/a。</w:t>
      </w:r>
    </w:p>
    <w:bookmarkEnd w:id="667"/>
    <w:p w14:paraId="5E30FF35">
      <w:pPr>
        <w:keepNext w:val="0"/>
        <w:keepLines w:val="0"/>
        <w:pageBreakBefore w:val="0"/>
        <w:widowControl/>
        <w:kinsoku/>
        <w:wordWrap/>
        <w:overflowPunct/>
        <w:topLinePunct w:val="0"/>
        <w:autoSpaceDE w:val="0"/>
        <w:autoSpaceDN w:val="0"/>
        <w:bidi w:val="0"/>
        <w:spacing w:line="360" w:lineRule="auto"/>
        <w:ind w:firstLine="480" w:firstLineChars="200"/>
        <w:jc w:val="both"/>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default" w:ascii="Times New Roman" w:hAnsi="Times New Roman" w:cs="Times New Roman"/>
          <w:color w:val="000000" w:themeColor="text1"/>
          <w:szCs w:val="28"/>
          <w:highlight w:val="none"/>
          <w14:textFill>
            <w14:solidFill>
              <w14:schemeClr w14:val="tx1"/>
            </w14:solidFill>
          </w14:textFill>
        </w:rPr>
        <w:fldChar w:fldCharType="begin"/>
      </w:r>
      <w:r>
        <w:rPr>
          <w:rFonts w:hint="default" w:ascii="Times New Roman" w:hAnsi="Times New Roman" w:cs="Times New Roman"/>
          <w:color w:val="000000" w:themeColor="text1"/>
          <w:szCs w:val="28"/>
          <w:highlight w:val="none"/>
          <w14:textFill>
            <w14:solidFill>
              <w14:schemeClr w14:val="tx1"/>
            </w14:solidFill>
          </w14:textFill>
        </w:rPr>
        <w:instrText xml:space="preserve"> = 2 \* GB3 \* MERGEFORMAT </w:instrText>
      </w:r>
      <w:r>
        <w:rPr>
          <w:rFonts w:hint="default" w:ascii="Times New Roman" w:hAnsi="Times New Roman" w:cs="Times New Roman"/>
          <w:color w:val="000000" w:themeColor="text1"/>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default" w:ascii="Times New Roman" w:hAnsi="Times New Roman" w:cs="Times New Roman"/>
          <w:color w:val="000000" w:themeColor="text1"/>
          <w:szCs w:val="28"/>
          <w:highlight w:val="none"/>
          <w14:textFill>
            <w14:solidFill>
              <w14:schemeClr w14:val="tx1"/>
            </w14:solidFill>
          </w14:textFill>
        </w:rPr>
        <w:fldChar w:fldCharType="end"/>
      </w:r>
      <w:r>
        <w:rPr>
          <w:rFonts w:hint="default" w:ascii="Times New Roman" w:hAnsi="Times New Roman" w:cs="Times New Roman"/>
          <w:color w:val="000000" w:themeColor="text1"/>
          <w:szCs w:val="28"/>
          <w:highlight w:val="none"/>
          <w14:textFill>
            <w14:solidFill>
              <w14:schemeClr w14:val="tx1"/>
            </w14:solidFill>
          </w14:textFill>
        </w:rPr>
        <w:t>设备动静密封点泄漏VOCs</w:t>
      </w:r>
    </w:p>
    <w:p w14:paraId="0772DB5D">
      <w:pPr>
        <w:pStyle w:val="124"/>
        <w:spacing w:line="360" w:lineRule="auto"/>
        <w:ind w:firstLine="480"/>
        <w:rPr>
          <w:rFonts w:ascii="Times New Roman" w:hAnsi="Times New Roman"/>
          <w:color w:val="000000" w:themeColor="text1"/>
          <w:sz w:val="24"/>
          <w:szCs w:val="32"/>
          <w:highlight w:val="none"/>
          <w14:textFill>
            <w14:solidFill>
              <w14:schemeClr w14:val="tx1"/>
            </w14:solidFill>
          </w14:textFill>
        </w:rPr>
      </w:pPr>
      <w:r>
        <w:rPr>
          <w:rFonts w:ascii="Times New Roman" w:hAnsi="Times New Roman"/>
          <w:color w:val="000000" w:themeColor="text1"/>
          <w:sz w:val="24"/>
          <w:szCs w:val="32"/>
          <w:highlight w:val="none"/>
          <w14:textFill>
            <w14:solidFill>
              <w14:schemeClr w14:val="tx1"/>
            </w14:solidFill>
          </w14:textFill>
        </w:rPr>
        <w:t>井口密封并设紧急截断阀，可有效减少烃类气体的挥发。在油气集输环节产生的挥发性有机物（VOCs）主要包括非甲烷总烃（烷烃、烯烃、芳香烃、炔烃等）、含氧有机化合物（醛、酮、醇、醚、酯、酚等）、卤代烃，含氮有机化合物，含硫有机化合物等，对本项目而言，VOCs主要为非甲烷总烃。</w:t>
      </w:r>
    </w:p>
    <w:p w14:paraId="5C562A3E">
      <w:pPr>
        <w:pStyle w:val="33"/>
        <w:widowControl w:val="0"/>
        <w:autoSpaceDE w:val="0"/>
        <w:adjustRightInd w:val="0"/>
        <w:spacing w:before="0" w:beforeAutospacing="0" w:after="0" w:afterAutospacing="0" w:line="360" w:lineRule="auto"/>
        <w:ind w:firstLine="480"/>
        <w:jc w:val="both"/>
        <w:textAlignment w:val="baseline"/>
        <w:rPr>
          <w:rFonts w:ascii="Times New Roman" w:hAnsi="Times New Roman" w:cs="Times New Roman"/>
          <w:bCs/>
          <w:color w:val="000000" w:themeColor="text1"/>
          <w:szCs w:val="25"/>
          <w:highlight w:val="none"/>
          <w14:textFill>
            <w14:solidFill>
              <w14:schemeClr w14:val="tx1"/>
            </w14:solidFill>
          </w14:textFill>
        </w:rPr>
      </w:pPr>
      <w:r>
        <w:rPr>
          <w:rFonts w:ascii="Times New Roman" w:hAnsi="Times New Roman" w:cs="Times New Roman"/>
          <w:bCs/>
          <w:color w:val="000000" w:themeColor="text1"/>
          <w:szCs w:val="25"/>
          <w:highlight w:val="none"/>
          <w14:textFill>
            <w14:solidFill>
              <w14:schemeClr w14:val="tx1"/>
            </w14:solidFill>
          </w14:textFill>
        </w:rPr>
        <w:t>正常工况下设备动静密封点泄漏VOCs排放量根据《排污许可证申请与核发技术规范石化工业》（P12），挥发性有机物流经的设备与管线组件密封点泄漏的挥发性有机物年许可排放量按下列公式计算：</w:t>
      </w:r>
    </w:p>
    <w:p w14:paraId="709F73D9">
      <w:pPr>
        <w:pStyle w:val="33"/>
        <w:widowControl w:val="0"/>
        <w:autoSpaceDE w:val="0"/>
        <w:adjustRightInd w:val="0"/>
        <w:spacing w:before="0" w:beforeAutospacing="0" w:after="0" w:afterAutospacing="0" w:line="360" w:lineRule="auto"/>
        <w:ind w:firstLine="480"/>
        <w:jc w:val="center"/>
        <w:textAlignment w:val="baseline"/>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drawing>
          <wp:inline distT="0" distB="0" distL="114300" distR="114300">
            <wp:extent cx="4259580" cy="829310"/>
            <wp:effectExtent l="0" t="0" r="7620" b="889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9"/>
                    <a:stretch>
                      <a:fillRect/>
                    </a:stretch>
                  </pic:blipFill>
                  <pic:spPr>
                    <a:xfrm>
                      <a:off x="0" y="0"/>
                      <a:ext cx="4259580" cy="829310"/>
                    </a:xfrm>
                    <a:prstGeom prst="rect">
                      <a:avLst/>
                    </a:prstGeom>
                    <a:noFill/>
                    <a:ln>
                      <a:noFill/>
                    </a:ln>
                  </pic:spPr>
                </pic:pic>
              </a:graphicData>
            </a:graphic>
          </wp:inline>
        </w:drawing>
      </w:r>
    </w:p>
    <w:p w14:paraId="302C382E">
      <w:pPr>
        <w:widowControl/>
        <w:spacing w:line="360" w:lineRule="auto"/>
        <w:ind w:firstLine="480"/>
        <w:rPr>
          <w:color w:val="000000" w:themeColor="text1"/>
          <w:szCs w:val="21"/>
          <w:highlight w:val="none"/>
          <w14:textFill>
            <w14:solidFill>
              <w14:schemeClr w14:val="tx1"/>
            </w14:solidFill>
          </w14:textFill>
        </w:rPr>
      </w:pPr>
      <w:r>
        <w:rPr>
          <w:color w:val="000000" w:themeColor="text1"/>
          <w:szCs w:val="21"/>
          <w:highlight w:val="none"/>
          <w:lang w:bidi="ar"/>
          <w14:textFill>
            <w14:solidFill>
              <w14:schemeClr w14:val="tx1"/>
            </w14:solidFill>
          </w14:textFill>
        </w:rPr>
        <w:t>式中：</w:t>
      </w:r>
      <w:r>
        <w:rPr>
          <w:i/>
          <w:iCs/>
          <w:color w:val="000000" w:themeColor="text1"/>
          <w:szCs w:val="21"/>
          <w:highlight w:val="none"/>
          <w:lang w:bidi="ar"/>
          <w14:textFill>
            <w14:solidFill>
              <w14:schemeClr w14:val="tx1"/>
            </w14:solidFill>
          </w14:textFill>
        </w:rPr>
        <w:t>E</w:t>
      </w:r>
      <w:r>
        <w:rPr>
          <w:color w:val="000000" w:themeColor="text1"/>
          <w:szCs w:val="21"/>
          <w:highlight w:val="none"/>
          <w:lang w:bidi="ar"/>
          <w14:textFill>
            <w14:solidFill>
              <w14:schemeClr w14:val="tx1"/>
            </w14:solidFill>
          </w14:textFill>
        </w:rPr>
        <w:t xml:space="preserve">设备 —设备与管线组件密封点泄漏的挥发性有机物年许可排放量，kg/a； </w:t>
      </w:r>
    </w:p>
    <w:p w14:paraId="2B74095D">
      <w:pPr>
        <w:widowControl/>
        <w:spacing w:line="360" w:lineRule="auto"/>
        <w:ind w:firstLine="720" w:firstLineChars="300"/>
        <w:rPr>
          <w:color w:val="000000" w:themeColor="text1"/>
          <w:szCs w:val="21"/>
          <w:highlight w:val="none"/>
          <w14:textFill>
            <w14:solidFill>
              <w14:schemeClr w14:val="tx1"/>
            </w14:solidFill>
          </w14:textFill>
        </w:rPr>
      </w:pPr>
      <w:r>
        <w:rPr>
          <w:i/>
          <w:iCs/>
          <w:color w:val="000000" w:themeColor="text1"/>
          <w:szCs w:val="21"/>
          <w:highlight w:val="none"/>
          <w:lang w:bidi="ar"/>
          <w14:textFill>
            <w14:solidFill>
              <w14:schemeClr w14:val="tx1"/>
            </w14:solidFill>
          </w14:textFill>
        </w:rPr>
        <w:t xml:space="preserve">t i </w:t>
      </w:r>
      <w:r>
        <w:rPr>
          <w:color w:val="000000" w:themeColor="text1"/>
          <w:szCs w:val="21"/>
          <w:highlight w:val="none"/>
          <w:lang w:bidi="ar"/>
          <w14:textFill>
            <w14:solidFill>
              <w14:schemeClr w14:val="tx1"/>
            </w14:solidFill>
          </w14:textFill>
        </w:rPr>
        <w:t>—密封点</w:t>
      </w:r>
      <w:r>
        <w:rPr>
          <w:i/>
          <w:iCs/>
          <w:color w:val="000000" w:themeColor="text1"/>
          <w:szCs w:val="21"/>
          <w:highlight w:val="none"/>
          <w:lang w:bidi="ar"/>
          <w14:textFill>
            <w14:solidFill>
              <w14:schemeClr w14:val="tx1"/>
            </w14:solidFill>
          </w14:textFill>
        </w:rPr>
        <w:t>i</w:t>
      </w:r>
      <w:r>
        <w:rPr>
          <w:color w:val="000000" w:themeColor="text1"/>
          <w:szCs w:val="21"/>
          <w:highlight w:val="none"/>
          <w:lang w:bidi="ar"/>
          <w14:textFill>
            <w14:solidFill>
              <w14:schemeClr w14:val="tx1"/>
            </w14:solidFill>
          </w14:textFill>
        </w:rPr>
        <w:t xml:space="preserve">的年运行时间，h/a； </w:t>
      </w:r>
    </w:p>
    <w:p w14:paraId="1D9807A9">
      <w:pPr>
        <w:widowControl/>
        <w:spacing w:line="360" w:lineRule="auto"/>
        <w:ind w:firstLine="720" w:firstLineChars="300"/>
        <w:rPr>
          <w:color w:val="000000" w:themeColor="text1"/>
          <w:szCs w:val="21"/>
          <w:highlight w:val="none"/>
          <w14:textFill>
            <w14:solidFill>
              <w14:schemeClr w14:val="tx1"/>
            </w14:solidFill>
          </w14:textFill>
        </w:rPr>
      </w:pPr>
      <w:r>
        <w:rPr>
          <w:i/>
          <w:iCs/>
          <w:color w:val="000000" w:themeColor="text1"/>
          <w:szCs w:val="21"/>
          <w:highlight w:val="none"/>
          <w:lang w:bidi="ar"/>
          <w14:textFill>
            <w14:solidFill>
              <w14:schemeClr w14:val="tx1"/>
            </w14:solidFill>
          </w14:textFill>
        </w:rPr>
        <w:t>e</w:t>
      </w:r>
      <w:r>
        <w:rPr>
          <w:i/>
          <w:iCs/>
          <w:color w:val="000000" w:themeColor="text1"/>
          <w:szCs w:val="21"/>
          <w:highlight w:val="none"/>
          <w:vertAlign w:val="subscript"/>
          <w:lang w:bidi="ar"/>
          <w14:textFill>
            <w14:solidFill>
              <w14:schemeClr w14:val="tx1"/>
            </w14:solidFill>
          </w14:textFill>
        </w:rPr>
        <w:t>TOC</w:t>
      </w:r>
      <w:r>
        <w:rPr>
          <w:color w:val="000000" w:themeColor="text1"/>
          <w:szCs w:val="21"/>
          <w:highlight w:val="none"/>
          <w:vertAlign w:val="subscript"/>
          <w:lang w:bidi="ar"/>
          <w14:textFill>
            <w14:solidFill>
              <w14:schemeClr w14:val="tx1"/>
            </w14:solidFill>
          </w14:textFill>
        </w:rPr>
        <w:t>,</w:t>
      </w:r>
      <w:r>
        <w:rPr>
          <w:i/>
          <w:iCs/>
          <w:color w:val="000000" w:themeColor="text1"/>
          <w:szCs w:val="21"/>
          <w:highlight w:val="none"/>
          <w:vertAlign w:val="subscript"/>
          <w:lang w:bidi="ar"/>
          <w14:textFill>
            <w14:solidFill>
              <w14:schemeClr w14:val="tx1"/>
            </w14:solidFill>
          </w14:textFill>
        </w:rPr>
        <w:t>i</w:t>
      </w:r>
      <w:r>
        <w:rPr>
          <w:i/>
          <w:iCs/>
          <w:color w:val="000000" w:themeColor="text1"/>
          <w:szCs w:val="21"/>
          <w:highlight w:val="none"/>
          <w:lang w:bidi="ar"/>
          <w14:textFill>
            <w14:solidFill>
              <w14:schemeClr w14:val="tx1"/>
            </w14:solidFill>
          </w14:textFill>
        </w:rPr>
        <w:t xml:space="preserve"> </w:t>
      </w:r>
      <w:r>
        <w:rPr>
          <w:color w:val="000000" w:themeColor="text1"/>
          <w:szCs w:val="21"/>
          <w:highlight w:val="none"/>
          <w:lang w:bidi="ar"/>
          <w14:textFill>
            <w14:solidFill>
              <w14:schemeClr w14:val="tx1"/>
            </w14:solidFill>
          </w14:textFill>
        </w:rPr>
        <w:t>—密封点</w:t>
      </w:r>
      <w:r>
        <w:rPr>
          <w:i/>
          <w:iCs/>
          <w:color w:val="000000" w:themeColor="text1"/>
          <w:szCs w:val="21"/>
          <w:highlight w:val="none"/>
          <w:lang w:bidi="ar"/>
          <w14:textFill>
            <w14:solidFill>
              <w14:schemeClr w14:val="tx1"/>
            </w14:solidFill>
          </w14:textFill>
        </w:rPr>
        <w:t xml:space="preserve">i </w:t>
      </w:r>
      <w:r>
        <w:rPr>
          <w:color w:val="000000" w:themeColor="text1"/>
          <w:szCs w:val="21"/>
          <w:highlight w:val="none"/>
          <w:lang w:bidi="ar"/>
          <w14:textFill>
            <w14:solidFill>
              <w14:schemeClr w14:val="tx1"/>
            </w14:solidFill>
          </w14:textFill>
        </w:rPr>
        <w:t xml:space="preserve">的总有机碳（TOC）排放速率，kg/h； </w:t>
      </w:r>
    </w:p>
    <w:p w14:paraId="6C6A8DD2">
      <w:pPr>
        <w:widowControl/>
        <w:spacing w:line="360" w:lineRule="auto"/>
        <w:ind w:firstLine="720" w:firstLineChars="300"/>
        <w:rPr>
          <w:color w:val="000000" w:themeColor="text1"/>
          <w:szCs w:val="21"/>
          <w:highlight w:val="none"/>
          <w14:textFill>
            <w14:solidFill>
              <w14:schemeClr w14:val="tx1"/>
            </w14:solidFill>
          </w14:textFill>
        </w:rPr>
      </w:pPr>
      <w:r>
        <w:rPr>
          <w:i/>
          <w:iCs/>
          <w:color w:val="000000" w:themeColor="text1"/>
          <w:szCs w:val="21"/>
          <w:highlight w:val="none"/>
          <w:lang w:bidi="ar"/>
          <w14:textFill>
            <w14:solidFill>
              <w14:schemeClr w14:val="tx1"/>
            </w14:solidFill>
          </w14:textFill>
        </w:rPr>
        <w:t>WF</w:t>
      </w:r>
      <w:r>
        <w:rPr>
          <w:i/>
          <w:iCs/>
          <w:color w:val="000000" w:themeColor="text1"/>
          <w:szCs w:val="21"/>
          <w:highlight w:val="none"/>
          <w:vertAlign w:val="subscript"/>
          <w:lang w:bidi="ar"/>
          <w14:textFill>
            <w14:solidFill>
              <w14:schemeClr w14:val="tx1"/>
            </w14:solidFill>
          </w14:textFill>
        </w:rPr>
        <w:t>VOCs</w:t>
      </w:r>
      <w:r>
        <w:rPr>
          <w:color w:val="000000" w:themeColor="text1"/>
          <w:szCs w:val="21"/>
          <w:highlight w:val="none"/>
          <w:vertAlign w:val="subscript"/>
          <w:lang w:bidi="ar"/>
          <w14:textFill>
            <w14:solidFill>
              <w14:schemeClr w14:val="tx1"/>
            </w14:solidFill>
          </w14:textFill>
        </w:rPr>
        <w:t>,</w:t>
      </w:r>
      <w:r>
        <w:rPr>
          <w:i/>
          <w:iCs/>
          <w:color w:val="000000" w:themeColor="text1"/>
          <w:szCs w:val="21"/>
          <w:highlight w:val="none"/>
          <w:vertAlign w:val="subscript"/>
          <w:lang w:bidi="ar"/>
          <w14:textFill>
            <w14:solidFill>
              <w14:schemeClr w14:val="tx1"/>
            </w14:solidFill>
          </w14:textFill>
        </w:rPr>
        <w:t>i</w:t>
      </w:r>
      <w:r>
        <w:rPr>
          <w:i/>
          <w:iCs/>
          <w:color w:val="000000" w:themeColor="text1"/>
          <w:szCs w:val="21"/>
          <w:highlight w:val="none"/>
          <w:lang w:bidi="ar"/>
          <w14:textFill>
            <w14:solidFill>
              <w14:schemeClr w14:val="tx1"/>
            </w14:solidFill>
          </w14:textFill>
        </w:rPr>
        <w:t xml:space="preserve"> </w:t>
      </w:r>
      <w:r>
        <w:rPr>
          <w:color w:val="000000" w:themeColor="text1"/>
          <w:szCs w:val="21"/>
          <w:highlight w:val="none"/>
          <w:lang w:bidi="ar"/>
          <w14:textFill>
            <w14:solidFill>
              <w14:schemeClr w14:val="tx1"/>
            </w14:solidFill>
          </w14:textFill>
        </w:rPr>
        <w:t>—流经密封点</w:t>
      </w:r>
      <w:r>
        <w:rPr>
          <w:i/>
          <w:iCs/>
          <w:color w:val="000000" w:themeColor="text1"/>
          <w:szCs w:val="21"/>
          <w:highlight w:val="none"/>
          <w:lang w:bidi="ar"/>
          <w14:textFill>
            <w14:solidFill>
              <w14:schemeClr w14:val="tx1"/>
            </w14:solidFill>
          </w14:textFill>
        </w:rPr>
        <w:t xml:space="preserve">i </w:t>
      </w:r>
      <w:r>
        <w:rPr>
          <w:color w:val="000000" w:themeColor="text1"/>
          <w:szCs w:val="21"/>
          <w:highlight w:val="none"/>
          <w:lang w:bidi="ar"/>
          <w14:textFill>
            <w14:solidFill>
              <w14:schemeClr w14:val="tx1"/>
            </w14:solidFill>
          </w14:textFill>
        </w:rPr>
        <w:t>的物料中挥发性有机物平均质量分数，根据设计文件取值；</w:t>
      </w:r>
    </w:p>
    <w:p w14:paraId="4ECFB0AB">
      <w:pPr>
        <w:widowControl/>
        <w:spacing w:line="360" w:lineRule="auto"/>
        <w:ind w:firstLine="720" w:firstLineChars="300"/>
        <w:rPr>
          <w:color w:val="000000" w:themeColor="text1"/>
          <w:szCs w:val="21"/>
          <w:highlight w:val="none"/>
          <w14:textFill>
            <w14:solidFill>
              <w14:schemeClr w14:val="tx1"/>
            </w14:solidFill>
          </w14:textFill>
        </w:rPr>
      </w:pPr>
      <w:r>
        <w:rPr>
          <w:i/>
          <w:iCs/>
          <w:color w:val="000000" w:themeColor="text1"/>
          <w:szCs w:val="21"/>
          <w:highlight w:val="none"/>
          <w:lang w:bidi="ar"/>
          <w14:textFill>
            <w14:solidFill>
              <w14:schemeClr w14:val="tx1"/>
            </w14:solidFill>
          </w14:textFill>
        </w:rPr>
        <w:t>WF</w:t>
      </w:r>
      <w:r>
        <w:rPr>
          <w:i/>
          <w:iCs/>
          <w:color w:val="000000" w:themeColor="text1"/>
          <w:szCs w:val="21"/>
          <w:highlight w:val="none"/>
          <w:vertAlign w:val="subscript"/>
          <w:lang w:bidi="ar"/>
          <w14:textFill>
            <w14:solidFill>
              <w14:schemeClr w14:val="tx1"/>
            </w14:solidFill>
          </w14:textFill>
        </w:rPr>
        <w:t>TOC</w:t>
      </w:r>
      <w:r>
        <w:rPr>
          <w:color w:val="000000" w:themeColor="text1"/>
          <w:szCs w:val="21"/>
          <w:highlight w:val="none"/>
          <w:vertAlign w:val="subscript"/>
          <w:lang w:bidi="ar"/>
          <w14:textFill>
            <w14:solidFill>
              <w14:schemeClr w14:val="tx1"/>
            </w14:solidFill>
          </w14:textFill>
        </w:rPr>
        <w:t>,</w:t>
      </w:r>
      <w:r>
        <w:rPr>
          <w:i/>
          <w:iCs/>
          <w:color w:val="000000" w:themeColor="text1"/>
          <w:szCs w:val="21"/>
          <w:highlight w:val="none"/>
          <w:vertAlign w:val="subscript"/>
          <w:lang w:bidi="ar"/>
          <w14:textFill>
            <w14:solidFill>
              <w14:schemeClr w14:val="tx1"/>
            </w14:solidFill>
          </w14:textFill>
        </w:rPr>
        <w:t xml:space="preserve">i </w:t>
      </w:r>
      <w:r>
        <w:rPr>
          <w:color w:val="000000" w:themeColor="text1"/>
          <w:szCs w:val="21"/>
          <w:highlight w:val="none"/>
          <w:lang w:bidi="ar"/>
          <w14:textFill>
            <w14:solidFill>
              <w14:schemeClr w14:val="tx1"/>
            </w14:solidFill>
          </w14:textFill>
        </w:rPr>
        <w:t>—流经密封点</w:t>
      </w:r>
      <w:r>
        <w:rPr>
          <w:i/>
          <w:iCs/>
          <w:color w:val="000000" w:themeColor="text1"/>
          <w:szCs w:val="21"/>
          <w:highlight w:val="none"/>
          <w:lang w:bidi="ar"/>
          <w14:textFill>
            <w14:solidFill>
              <w14:schemeClr w14:val="tx1"/>
            </w14:solidFill>
          </w14:textFill>
        </w:rPr>
        <w:t>i</w:t>
      </w:r>
      <w:r>
        <w:rPr>
          <w:color w:val="000000" w:themeColor="text1"/>
          <w:szCs w:val="21"/>
          <w:highlight w:val="none"/>
          <w:lang w:bidi="ar"/>
          <w14:textFill>
            <w14:solidFill>
              <w14:schemeClr w14:val="tx1"/>
            </w14:solidFill>
          </w14:textFill>
        </w:rPr>
        <w:t>的物料中总有机碳（TOC）平均质量分数，根据设计文件取值；（本次评价按保守估计的原则，将TOC全部视为可挥发性有机物VOCs，WF</w:t>
      </w:r>
      <w:r>
        <w:rPr>
          <w:color w:val="000000" w:themeColor="text1"/>
          <w:szCs w:val="21"/>
          <w:highlight w:val="none"/>
          <w:vertAlign w:val="subscript"/>
          <w:lang w:bidi="ar"/>
          <w14:textFill>
            <w14:solidFill>
              <w14:schemeClr w14:val="tx1"/>
            </w14:solidFill>
          </w14:textFill>
        </w:rPr>
        <w:t>VOCS</w:t>
      </w:r>
      <w:r>
        <w:rPr>
          <w:color w:val="000000" w:themeColor="text1"/>
          <w:szCs w:val="21"/>
          <w:highlight w:val="none"/>
          <w:lang w:bidi="ar"/>
          <w14:textFill>
            <w14:solidFill>
              <w14:schemeClr w14:val="tx1"/>
            </w14:solidFill>
          </w14:textFill>
        </w:rPr>
        <w:t>=WF</w:t>
      </w:r>
      <w:r>
        <w:rPr>
          <w:color w:val="000000" w:themeColor="text1"/>
          <w:szCs w:val="21"/>
          <w:highlight w:val="none"/>
          <w:vertAlign w:val="subscript"/>
          <w:lang w:bidi="ar"/>
          <w14:textFill>
            <w14:solidFill>
              <w14:schemeClr w14:val="tx1"/>
            </w14:solidFill>
          </w14:textFill>
        </w:rPr>
        <w:t>TOC</w:t>
      </w:r>
      <w:r>
        <w:rPr>
          <w:color w:val="000000" w:themeColor="text1"/>
          <w:szCs w:val="21"/>
          <w:highlight w:val="none"/>
          <w:lang w:bidi="ar"/>
          <w14:textFill>
            <w14:solidFill>
              <w14:schemeClr w14:val="tx1"/>
            </w14:solidFill>
          </w14:textFill>
        </w:rPr>
        <w:t>）</w:t>
      </w:r>
    </w:p>
    <w:p w14:paraId="10B961DF">
      <w:pPr>
        <w:widowControl/>
        <w:spacing w:line="360" w:lineRule="auto"/>
        <w:ind w:firstLine="720" w:firstLineChars="300"/>
        <w:rPr>
          <w:color w:val="000000" w:themeColor="text1"/>
          <w:szCs w:val="21"/>
          <w:highlight w:val="none"/>
          <w14:textFill>
            <w14:solidFill>
              <w14:schemeClr w14:val="tx1"/>
            </w14:solidFill>
          </w14:textFill>
        </w:rPr>
      </w:pPr>
      <w:r>
        <w:rPr>
          <w:i/>
          <w:iCs/>
          <w:color w:val="000000" w:themeColor="text1"/>
          <w:szCs w:val="21"/>
          <w:highlight w:val="none"/>
          <w:lang w:bidi="ar"/>
          <w14:textFill>
            <w14:solidFill>
              <w14:schemeClr w14:val="tx1"/>
            </w14:solidFill>
          </w14:textFill>
        </w:rPr>
        <w:t>n</w:t>
      </w:r>
      <w:r>
        <w:rPr>
          <w:color w:val="000000" w:themeColor="text1"/>
          <w:szCs w:val="21"/>
          <w:highlight w:val="none"/>
          <w:lang w:bidi="ar"/>
          <w14:textFill>
            <w14:solidFill>
              <w14:schemeClr w14:val="tx1"/>
            </w14:solidFill>
          </w14:textFill>
        </w:rPr>
        <w:t>—挥发性有机物流经的设备与管线组件密封点数，见附录 B 中的表 B.1。</w:t>
      </w:r>
    </w:p>
    <w:p w14:paraId="4029F83A">
      <w:pPr>
        <w:pStyle w:val="33"/>
        <w:widowControl w:val="0"/>
        <w:autoSpaceDE w:val="0"/>
        <w:adjustRightInd w:val="0"/>
        <w:spacing w:before="0" w:beforeAutospacing="0" w:after="0" w:afterAutospacing="0" w:line="240" w:lineRule="auto"/>
        <w:ind w:firstLine="0" w:firstLineChars="0"/>
        <w:jc w:val="center"/>
        <w:textAlignment w:val="baseline"/>
        <w:rPr>
          <w:rFonts w:ascii="Times New Roman" w:hAnsi="Times New Roman" w:cs="Times New Roman"/>
          <w:b/>
          <w:bCs/>
          <w:color w:val="000000" w:themeColor="text1"/>
          <w:kern w:val="2"/>
          <w:sz w:val="21"/>
          <w:szCs w:val="21"/>
          <w:highlight w:val="none"/>
          <w:lang w:bidi="ar"/>
          <w14:textFill>
            <w14:solidFill>
              <w14:schemeClr w14:val="tx1"/>
            </w14:solidFill>
          </w14:textFill>
        </w:rPr>
      </w:pPr>
      <w:r>
        <w:rPr>
          <w:rFonts w:ascii="Times New Roman" w:hAnsi="Times New Roman" w:cs="Times New Roman"/>
          <w:b/>
          <w:bCs/>
          <w:color w:val="000000" w:themeColor="text1"/>
          <w:kern w:val="2"/>
          <w:sz w:val="21"/>
          <w:szCs w:val="21"/>
          <w:highlight w:val="none"/>
          <w:lang w:bidi="ar"/>
          <w14:textFill>
            <w14:solidFill>
              <w14:schemeClr w14:val="tx1"/>
            </w14:solidFill>
          </w14:textFill>
        </w:rPr>
        <w:t>表3.</w:t>
      </w:r>
      <w:r>
        <w:rPr>
          <w:rFonts w:hint="eastAsia" w:cs="Times New Roman"/>
          <w:b/>
          <w:bCs/>
          <w:color w:val="000000" w:themeColor="text1"/>
          <w:kern w:val="2"/>
          <w:sz w:val="21"/>
          <w:szCs w:val="21"/>
          <w:highlight w:val="none"/>
          <w:lang w:val="en-US" w:eastAsia="zh-CN" w:bidi="ar"/>
          <w14:textFill>
            <w14:solidFill>
              <w14:schemeClr w14:val="tx1"/>
            </w14:solidFill>
          </w14:textFill>
        </w:rPr>
        <w:t>3-9</w:t>
      </w:r>
      <w:r>
        <w:rPr>
          <w:rFonts w:ascii="Times New Roman" w:hAnsi="Times New Roman" w:cs="Times New Roman"/>
          <w:b/>
          <w:bCs/>
          <w:color w:val="000000" w:themeColor="text1"/>
          <w:kern w:val="2"/>
          <w:sz w:val="21"/>
          <w:szCs w:val="21"/>
          <w:highlight w:val="none"/>
          <w:lang w:bidi="ar"/>
          <w14:textFill>
            <w14:solidFill>
              <w14:schemeClr w14:val="tx1"/>
            </w14:solidFill>
          </w14:textFill>
        </w:rPr>
        <w:t xml:space="preserve">   </w:t>
      </w:r>
      <w:r>
        <w:rPr>
          <w:rFonts w:hint="eastAsia"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密封点TOC泄漏排放速率</w:t>
      </w:r>
      <w:r>
        <w:rPr>
          <w:rFonts w:ascii="Times New Roman" w:hAnsi="Times New Roman" w:cs="Times New Roman"/>
          <w:b/>
          <w:bCs/>
          <w:color w:val="000000" w:themeColor="text1"/>
          <w:kern w:val="2"/>
          <w:sz w:val="21"/>
          <w:szCs w:val="21"/>
          <w:highlight w:val="none"/>
          <w:lang w:bidi="ar"/>
          <w14:textFill>
            <w14:solidFill>
              <w14:schemeClr w14:val="tx1"/>
            </w14:solidFill>
          </w14:textFill>
        </w:rPr>
        <w:t>eTOC,i取值</w:t>
      </w:r>
    </w:p>
    <w:tbl>
      <w:tblPr>
        <w:tblStyle w:val="37"/>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538"/>
        <w:gridCol w:w="3854"/>
      </w:tblGrid>
      <w:tr w14:paraId="21BC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Align w:val="center"/>
          </w:tcPr>
          <w:p w14:paraId="5893ACE7">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类型</w:t>
            </w:r>
          </w:p>
        </w:tc>
        <w:tc>
          <w:tcPr>
            <w:tcW w:w="2028" w:type="pct"/>
            <w:vAlign w:val="center"/>
          </w:tcPr>
          <w:p w14:paraId="3B8D5FCB">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设备类型</w:t>
            </w:r>
          </w:p>
        </w:tc>
        <w:tc>
          <w:tcPr>
            <w:tcW w:w="2209" w:type="pct"/>
            <w:vAlign w:val="center"/>
          </w:tcPr>
          <w:p w14:paraId="06A312B1">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 xml:space="preserve">排放速率 </w:t>
            </w:r>
            <w:r>
              <w:rPr>
                <w:rFonts w:hint="default" w:ascii="Times New Roman" w:hAnsi="Times New Roman" w:eastAsia="宋体" w:cs="Times New Roman"/>
                <w:i/>
                <w:iCs/>
                <w:color w:val="000000" w:themeColor="text1"/>
                <w:sz w:val="21"/>
                <w:szCs w:val="21"/>
                <w:highlight w:val="none"/>
                <w:lang w:bidi="ar"/>
                <w14:textFill>
                  <w14:solidFill>
                    <w14:schemeClr w14:val="tx1"/>
                  </w14:solidFill>
                </w14:textFill>
              </w:rPr>
              <w:t>e</w:t>
            </w:r>
            <w:r>
              <w:rPr>
                <w:rFonts w:hint="default" w:ascii="Times New Roman" w:hAnsi="Times New Roman" w:eastAsia="宋体" w:cs="Times New Roman"/>
                <w:b/>
                <w:bCs/>
                <w:color w:val="000000" w:themeColor="text1"/>
                <w:kern w:val="2"/>
                <w:sz w:val="21"/>
                <w:szCs w:val="21"/>
                <w:highlight w:val="none"/>
                <w:vertAlign w:val="subscript"/>
                <w:lang w:bidi="ar"/>
                <w14:textFill>
                  <w14:solidFill>
                    <w14:schemeClr w14:val="tx1"/>
                  </w14:solidFill>
                </w14:textFill>
              </w:rPr>
              <w:t>TOC,i</w:t>
            </w:r>
            <w:r>
              <w:rPr>
                <w:rFonts w:hint="default" w:ascii="Times New Roman" w:hAnsi="Times New Roman" w:eastAsia="宋体" w:cs="Times New Roman"/>
                <w:b/>
                <w:bCs/>
                <w:color w:val="000000" w:themeColor="text1"/>
                <w:kern w:val="2"/>
                <w:sz w:val="21"/>
                <w:szCs w:val="21"/>
                <w:highlight w:val="none"/>
                <w:lang w:bidi="ar"/>
                <w14:textFill>
                  <w14:solidFill>
                    <w14:schemeClr w14:val="tx1"/>
                  </w14:solidFill>
                </w14:textFill>
              </w:rPr>
              <w:t>（kg/h/排放源）</w:t>
            </w:r>
          </w:p>
        </w:tc>
      </w:tr>
      <w:tr w14:paraId="5E10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restart"/>
            <w:vAlign w:val="center"/>
          </w:tcPr>
          <w:p w14:paraId="1104AA76">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石油炼制工业</w:t>
            </w:r>
          </w:p>
        </w:tc>
        <w:tc>
          <w:tcPr>
            <w:tcW w:w="2028" w:type="pct"/>
            <w:shd w:val="clear" w:color="auto" w:fill="auto"/>
            <w:vAlign w:val="center"/>
          </w:tcPr>
          <w:p w14:paraId="74636E3D">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连接件</w:t>
            </w:r>
          </w:p>
        </w:tc>
        <w:tc>
          <w:tcPr>
            <w:tcW w:w="2209" w:type="pct"/>
            <w:shd w:val="clear" w:color="auto" w:fill="auto"/>
            <w:vAlign w:val="center"/>
          </w:tcPr>
          <w:p w14:paraId="013F6F81">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0.028</w:t>
            </w:r>
          </w:p>
        </w:tc>
      </w:tr>
      <w:tr w14:paraId="3C4D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vAlign w:val="center"/>
          </w:tcPr>
          <w:p w14:paraId="10447BCC">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2028" w:type="pct"/>
            <w:shd w:val="clear" w:color="auto" w:fill="auto"/>
            <w:vAlign w:val="center"/>
          </w:tcPr>
          <w:p w14:paraId="5A46F5AE">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开口阀或开口管线</w:t>
            </w:r>
          </w:p>
        </w:tc>
        <w:tc>
          <w:tcPr>
            <w:tcW w:w="2209" w:type="pct"/>
            <w:shd w:val="clear" w:color="auto" w:fill="auto"/>
            <w:vAlign w:val="center"/>
          </w:tcPr>
          <w:p w14:paraId="2B8860C9">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0.03</w:t>
            </w:r>
          </w:p>
        </w:tc>
      </w:tr>
      <w:tr w14:paraId="6E36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vAlign w:val="center"/>
          </w:tcPr>
          <w:p w14:paraId="1CCA6457">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2028" w:type="pct"/>
            <w:shd w:val="clear" w:color="auto" w:fill="auto"/>
            <w:vAlign w:val="center"/>
          </w:tcPr>
          <w:p w14:paraId="08FDBA49">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阀门</w:t>
            </w:r>
          </w:p>
        </w:tc>
        <w:tc>
          <w:tcPr>
            <w:tcW w:w="2209" w:type="pct"/>
            <w:shd w:val="clear" w:color="auto" w:fill="auto"/>
            <w:vAlign w:val="center"/>
          </w:tcPr>
          <w:p w14:paraId="01B63D2D">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0.064</w:t>
            </w:r>
          </w:p>
        </w:tc>
      </w:tr>
      <w:tr w14:paraId="2718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vAlign w:val="center"/>
          </w:tcPr>
          <w:p w14:paraId="0DB1DE82">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2028" w:type="pct"/>
            <w:shd w:val="clear" w:color="auto" w:fill="auto"/>
            <w:vAlign w:val="center"/>
          </w:tcPr>
          <w:p w14:paraId="7253A860">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压缩机、搅拌器、泄压设备</w:t>
            </w:r>
          </w:p>
        </w:tc>
        <w:tc>
          <w:tcPr>
            <w:tcW w:w="2209" w:type="pct"/>
            <w:shd w:val="clear" w:color="auto" w:fill="auto"/>
            <w:vAlign w:val="center"/>
          </w:tcPr>
          <w:p w14:paraId="574489E7">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0.073</w:t>
            </w:r>
          </w:p>
        </w:tc>
      </w:tr>
      <w:tr w14:paraId="3B79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vAlign w:val="center"/>
          </w:tcPr>
          <w:p w14:paraId="47AB2F80">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2028" w:type="pct"/>
            <w:shd w:val="clear" w:color="auto" w:fill="auto"/>
            <w:vAlign w:val="center"/>
          </w:tcPr>
          <w:p w14:paraId="2EA6F06B">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泵</w:t>
            </w:r>
          </w:p>
        </w:tc>
        <w:tc>
          <w:tcPr>
            <w:tcW w:w="2209" w:type="pct"/>
            <w:shd w:val="clear" w:color="auto" w:fill="auto"/>
            <w:vAlign w:val="center"/>
          </w:tcPr>
          <w:p w14:paraId="77359FE0">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0.074</w:t>
            </w:r>
          </w:p>
        </w:tc>
      </w:tr>
      <w:tr w14:paraId="2181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vAlign w:val="center"/>
          </w:tcPr>
          <w:p w14:paraId="6D67BA03">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2028" w:type="pct"/>
            <w:shd w:val="clear" w:color="auto" w:fill="auto"/>
            <w:vAlign w:val="center"/>
          </w:tcPr>
          <w:p w14:paraId="7C7B4574">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法兰</w:t>
            </w:r>
          </w:p>
        </w:tc>
        <w:tc>
          <w:tcPr>
            <w:tcW w:w="2209" w:type="pct"/>
            <w:shd w:val="clear" w:color="auto" w:fill="auto"/>
            <w:vAlign w:val="center"/>
          </w:tcPr>
          <w:p w14:paraId="474C6DC7">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0.085</w:t>
            </w:r>
          </w:p>
        </w:tc>
      </w:tr>
      <w:tr w14:paraId="5168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pct"/>
            <w:vMerge w:val="continue"/>
          </w:tcPr>
          <w:p w14:paraId="7621B875">
            <w:pPr>
              <w:pStyle w:val="33"/>
              <w:keepNext w:val="0"/>
              <w:keepLines w:val="0"/>
              <w:pageBreakBefore w:val="0"/>
              <w:widowControl w:val="0"/>
              <w:kinsoku/>
              <w:wordWrap/>
              <w:overflowPunct/>
              <w:topLinePunct w:val="0"/>
              <w:autoSpaceDE w:val="0"/>
              <w:autoSpaceDN/>
              <w:bidi w:val="0"/>
              <w:adjustRightInd w:val="0"/>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pPr>
          </w:p>
        </w:tc>
        <w:tc>
          <w:tcPr>
            <w:tcW w:w="0" w:type="auto"/>
            <w:shd w:val="clear" w:color="auto" w:fill="auto"/>
            <w:vAlign w:val="center"/>
          </w:tcPr>
          <w:p w14:paraId="62769D85">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其他</w:t>
            </w:r>
          </w:p>
        </w:tc>
        <w:tc>
          <w:tcPr>
            <w:tcW w:w="0" w:type="auto"/>
            <w:shd w:val="clear" w:color="auto" w:fill="auto"/>
            <w:vAlign w:val="center"/>
          </w:tcPr>
          <w:p w14:paraId="5098AE10">
            <w:pPr>
              <w:keepNext w:val="0"/>
              <w:keepLines w:val="0"/>
              <w:pageBreakBefore w:val="0"/>
              <w:widowControl w:val="0"/>
              <w:kinsoku/>
              <w:wordWrap/>
              <w:overflowPunct/>
              <w:topLinePunct w:val="0"/>
              <w:autoSpaceDN/>
              <w:bidi w:val="0"/>
              <w:snapToGrid/>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0.073</w:t>
            </w:r>
          </w:p>
        </w:tc>
      </w:tr>
    </w:tbl>
    <w:p w14:paraId="2DD05DF6">
      <w:pPr>
        <w:pStyle w:val="65"/>
        <w:jc w:val="both"/>
        <w:rPr>
          <w:rFonts w:hint="eastAsia" w:cs="宋体"/>
          <w:color w:val="000000" w:themeColor="text1"/>
          <w:highlight w:val="none"/>
          <w14:textFill>
            <w14:solidFill>
              <w14:schemeClr w14:val="tx1"/>
            </w14:solidFill>
          </w14:textFill>
        </w:rPr>
      </w:pPr>
      <w:r>
        <w:rPr>
          <w:rFonts w:hint="default" w:ascii="Times New Roman" w:hAnsi="Times New Roman" w:cs="Times New Roman"/>
          <w:color w:val="000000" w:themeColor="text1"/>
          <w:szCs w:val="28"/>
          <w:highlight w:val="none"/>
          <w14:textFill>
            <w14:solidFill>
              <w14:schemeClr w14:val="tx1"/>
            </w14:solidFill>
          </w14:textFill>
        </w:rPr>
        <w:t>参照《石化行业VOCs污染源排查工作指南》，若未提供TOC中 VOCs的质量分数，则取1进行核算，</w:t>
      </w:r>
      <w:r>
        <w:rPr>
          <w:bCs/>
          <w:snapToGrid w:val="0"/>
          <w:color w:val="000000" w:themeColor="text1"/>
          <w:szCs w:val="24"/>
          <w:highlight w:val="none"/>
          <w14:textFill>
            <w14:solidFill>
              <w14:schemeClr w14:val="tx1"/>
            </w14:solidFill>
          </w14:textFill>
        </w:rPr>
        <w:t>本次评价按保守估计的原则，将TOC全部视为可挥发性有机物VOCs</w:t>
      </w:r>
      <w:r>
        <w:rPr>
          <w:rFonts w:hint="eastAsia"/>
          <w:bCs/>
          <w:snapToGrid w:val="0"/>
          <w:color w:val="000000" w:themeColor="text1"/>
          <w:szCs w:val="24"/>
          <w:highlight w:val="none"/>
          <w14:textFill>
            <w14:solidFill>
              <w14:schemeClr w14:val="tx1"/>
            </w14:solidFill>
          </w14:textFill>
        </w:rPr>
        <w:t>，</w:t>
      </w:r>
      <w:r>
        <w:rPr>
          <w:color w:val="000000" w:themeColor="text1"/>
          <w:kern w:val="2"/>
          <w:szCs w:val="24"/>
          <w:highlight w:val="none"/>
          <w14:textFill>
            <w14:solidFill>
              <w14:schemeClr w14:val="tx1"/>
            </w14:solidFill>
          </w14:textFill>
        </w:rPr>
        <w:t>本工程采出液</w:t>
      </w:r>
      <w:r>
        <w:rPr>
          <w:rFonts w:hint="eastAsia"/>
          <w:color w:val="000000" w:themeColor="text1"/>
          <w:kern w:val="2"/>
          <w:szCs w:val="24"/>
          <w:highlight w:val="none"/>
          <w14:textFill>
            <w14:solidFill>
              <w14:schemeClr w14:val="tx1"/>
            </w14:solidFill>
          </w14:textFill>
        </w:rPr>
        <w:t>以及天然气</w:t>
      </w:r>
      <w:r>
        <w:rPr>
          <w:color w:val="000000" w:themeColor="text1"/>
          <w:kern w:val="2"/>
          <w:szCs w:val="24"/>
          <w:highlight w:val="none"/>
          <w14:textFill>
            <w14:solidFill>
              <w14:schemeClr w14:val="tx1"/>
            </w14:solidFill>
          </w14:textFill>
        </w:rPr>
        <w:t>中</w:t>
      </w:r>
      <w:r>
        <w:rPr>
          <w:i/>
          <w:iCs/>
          <w:color w:val="000000" w:themeColor="text1"/>
          <w:kern w:val="2"/>
          <w:szCs w:val="24"/>
          <w:highlight w:val="none"/>
          <w14:textFill>
            <w14:solidFill>
              <w14:schemeClr w14:val="tx1"/>
            </w14:solidFill>
          </w14:textFill>
        </w:rPr>
        <w:t>WF</w:t>
      </w:r>
      <w:r>
        <w:rPr>
          <w:i/>
          <w:iCs/>
          <w:color w:val="000000" w:themeColor="text1"/>
          <w:kern w:val="2"/>
          <w:szCs w:val="24"/>
          <w:highlight w:val="none"/>
          <w:vertAlign w:val="subscript"/>
          <w14:textFill>
            <w14:solidFill>
              <w14:schemeClr w14:val="tx1"/>
            </w14:solidFill>
          </w14:textFill>
        </w:rPr>
        <w:t>VOCs，i</w:t>
      </w:r>
      <w:r>
        <w:rPr>
          <w:color w:val="000000" w:themeColor="text1"/>
          <w:kern w:val="2"/>
          <w:szCs w:val="24"/>
          <w:highlight w:val="none"/>
          <w:lang w:val="zh-CN"/>
          <w14:textFill>
            <w14:solidFill>
              <w14:schemeClr w14:val="tx1"/>
            </w14:solidFill>
          </w14:textFill>
        </w:rPr>
        <w:t>和</w:t>
      </w:r>
      <w:r>
        <w:rPr>
          <w:i/>
          <w:iCs/>
          <w:color w:val="000000" w:themeColor="text1"/>
          <w:kern w:val="2"/>
          <w:szCs w:val="24"/>
          <w:highlight w:val="none"/>
          <w14:textFill>
            <w14:solidFill>
              <w14:schemeClr w14:val="tx1"/>
            </w14:solidFill>
          </w14:textFill>
        </w:rPr>
        <w:t>WF</w:t>
      </w:r>
      <w:r>
        <w:rPr>
          <w:i/>
          <w:iCs/>
          <w:color w:val="000000" w:themeColor="text1"/>
          <w:kern w:val="2"/>
          <w:szCs w:val="24"/>
          <w:highlight w:val="none"/>
          <w:vertAlign w:val="subscript"/>
          <w14:textFill>
            <w14:solidFill>
              <w14:schemeClr w14:val="tx1"/>
            </w14:solidFill>
          </w14:textFill>
        </w:rPr>
        <w:t>TOC，i</w:t>
      </w:r>
      <w:r>
        <w:rPr>
          <w:color w:val="000000" w:themeColor="text1"/>
          <w:kern w:val="2"/>
          <w:szCs w:val="24"/>
          <w:highlight w:val="none"/>
          <w:lang w:val="zh-CN"/>
          <w14:textFill>
            <w14:solidFill>
              <w14:schemeClr w14:val="tx1"/>
            </w14:solidFill>
          </w14:textFill>
        </w:rPr>
        <w:t>比值取1</w:t>
      </w:r>
      <w:r>
        <w:rPr>
          <w:rFonts w:hint="eastAsia" w:cs="宋体"/>
          <w:color w:val="000000" w:themeColor="text1"/>
          <w:highlight w:val="none"/>
          <w14:textFill>
            <w14:solidFill>
              <w14:schemeClr w14:val="tx1"/>
            </w14:solidFill>
          </w14:textFill>
        </w:rPr>
        <w:t>。</w:t>
      </w:r>
    </w:p>
    <w:p w14:paraId="5B11A5F4">
      <w:pPr>
        <w:pStyle w:val="65"/>
        <w:jc w:val="both"/>
        <w:rPr>
          <w:rFonts w:hint="default" w:ascii="Times New Roman" w:hAnsi="Times New Roman" w:cs="Times New Roman"/>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本工程三口井共用一个井场</w:t>
      </w:r>
      <w:r>
        <w:rPr>
          <w:rFonts w:hint="eastAsia" w:cs="宋体"/>
          <w:color w:val="000000" w:themeColor="text1"/>
          <w:highlight w:val="none"/>
          <w:lang w:eastAsia="zh-CN"/>
          <w14:textFill>
            <w14:solidFill>
              <w14:schemeClr w14:val="tx1"/>
            </w14:solidFill>
          </w14:textFill>
        </w:rPr>
        <w:t>，</w:t>
      </w:r>
      <w:r>
        <w:rPr>
          <w:rFonts w:hint="eastAsia" w:cs="宋体"/>
          <w:color w:val="000000" w:themeColor="text1"/>
          <w:highlight w:val="none"/>
          <w14:textFill>
            <w14:solidFill>
              <w14:schemeClr w14:val="tx1"/>
            </w14:solidFill>
          </w14:textFill>
        </w:rPr>
        <w:t>井场无</w:t>
      </w:r>
      <w:r>
        <w:rPr>
          <w:rFonts w:hint="eastAsia"/>
          <w:color w:val="000000" w:themeColor="text1"/>
          <w:highlight w:val="none"/>
          <w14:textFill>
            <w14:solidFill>
              <w14:schemeClr w14:val="tx1"/>
            </w14:solidFill>
          </w14:textFill>
        </w:rPr>
        <w:t>组织废气核算见表</w:t>
      </w:r>
      <w:r>
        <w:rPr>
          <w:rFonts w:hint="default" w:ascii="Times New Roman" w:hAnsi="Times New Roman" w:cs="Times New Roman"/>
          <w:color w:val="000000" w:themeColor="text1"/>
          <w:highlight w:val="none"/>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w:t>
      </w:r>
    </w:p>
    <w:p w14:paraId="528578FF">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表3.</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3-10</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 xml:space="preserve">   本工程井场</w:t>
      </w:r>
      <w:bookmarkStart w:id="669" w:name="OLE_LINK802"/>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无组织废气</w:t>
      </w:r>
      <w:bookmarkEnd w:id="669"/>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核算一览表</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67"/>
        <w:gridCol w:w="987"/>
        <w:gridCol w:w="993"/>
        <w:gridCol w:w="2024"/>
        <w:gridCol w:w="1450"/>
        <w:gridCol w:w="1158"/>
        <w:gridCol w:w="1281"/>
      </w:tblGrid>
      <w:tr w14:paraId="30A71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noWrap w:val="0"/>
            <w:vAlign w:val="center"/>
          </w:tcPr>
          <w:p w14:paraId="1C5255A6">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583" w:type="pct"/>
            <w:noWrap w:val="0"/>
            <w:vAlign w:val="center"/>
          </w:tcPr>
          <w:p w14:paraId="676BD5CE">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设备名称</w:t>
            </w:r>
          </w:p>
        </w:tc>
        <w:tc>
          <w:tcPr>
            <w:tcW w:w="587" w:type="pct"/>
            <w:noWrap w:val="0"/>
            <w:vAlign w:val="center"/>
          </w:tcPr>
          <w:p w14:paraId="2DEFC4E7">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设备数量（个）</w:t>
            </w:r>
          </w:p>
        </w:tc>
        <w:tc>
          <w:tcPr>
            <w:tcW w:w="1196" w:type="pct"/>
            <w:noWrap w:val="0"/>
            <w:vAlign w:val="center"/>
          </w:tcPr>
          <w:p w14:paraId="47D201CF">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排放速率eTOC,i/（kg/h/排放源）</w:t>
            </w:r>
          </w:p>
        </w:tc>
        <w:tc>
          <w:tcPr>
            <w:tcW w:w="855" w:type="pct"/>
            <w:noWrap w:val="0"/>
            <w:vAlign w:val="center"/>
          </w:tcPr>
          <w:p w14:paraId="63E34FB7">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年运行时间（h）</w:t>
            </w:r>
          </w:p>
        </w:tc>
        <w:tc>
          <w:tcPr>
            <w:tcW w:w="684" w:type="pct"/>
            <w:noWrap w:val="0"/>
            <w:vAlign w:val="center"/>
          </w:tcPr>
          <w:p w14:paraId="64CA5637">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年排放量</w:t>
            </w:r>
          </w:p>
          <w:p w14:paraId="3CF6BA51">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(t)</w:t>
            </w:r>
          </w:p>
        </w:tc>
        <w:tc>
          <w:tcPr>
            <w:tcW w:w="757" w:type="pct"/>
            <w:noWrap w:val="0"/>
            <w:vAlign w:val="center"/>
          </w:tcPr>
          <w:p w14:paraId="0FF238B8">
            <w:pPr>
              <w:widowControl w:val="0"/>
              <w:bidi w:val="0"/>
              <w:spacing w:line="28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排放速率（kg/h）</w:t>
            </w:r>
          </w:p>
        </w:tc>
      </w:tr>
      <w:tr w14:paraId="42934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noWrap w:val="0"/>
            <w:vAlign w:val="center"/>
          </w:tcPr>
          <w:p w14:paraId="1F70C71F">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583" w:type="pct"/>
            <w:noWrap w:val="0"/>
            <w:vAlign w:val="center"/>
          </w:tcPr>
          <w:p w14:paraId="266CBE7F">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阀门</w:t>
            </w:r>
          </w:p>
        </w:tc>
        <w:tc>
          <w:tcPr>
            <w:tcW w:w="587" w:type="pct"/>
            <w:noWrap w:val="0"/>
            <w:vAlign w:val="center"/>
          </w:tcPr>
          <w:p w14:paraId="31AECD00">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27</w:t>
            </w:r>
          </w:p>
        </w:tc>
        <w:tc>
          <w:tcPr>
            <w:tcW w:w="1196" w:type="pct"/>
            <w:noWrap w:val="0"/>
            <w:vAlign w:val="center"/>
          </w:tcPr>
          <w:p w14:paraId="76BB757C">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0.064</w:t>
            </w:r>
          </w:p>
        </w:tc>
        <w:tc>
          <w:tcPr>
            <w:tcW w:w="855" w:type="pct"/>
            <w:noWrap w:val="0"/>
            <w:vAlign w:val="center"/>
          </w:tcPr>
          <w:p w14:paraId="41303275">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8760</w:t>
            </w:r>
          </w:p>
        </w:tc>
        <w:tc>
          <w:tcPr>
            <w:tcW w:w="684" w:type="pct"/>
            <w:noWrap w:val="0"/>
            <w:vAlign w:val="center"/>
          </w:tcPr>
          <w:p w14:paraId="2E2A5239">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0.045</w:t>
            </w:r>
          </w:p>
        </w:tc>
        <w:tc>
          <w:tcPr>
            <w:tcW w:w="757" w:type="pct"/>
            <w:noWrap w:val="0"/>
            <w:vAlign w:val="center"/>
          </w:tcPr>
          <w:p w14:paraId="05F075EF">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r>
      <w:tr w14:paraId="23D79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noWrap w:val="0"/>
            <w:vAlign w:val="center"/>
          </w:tcPr>
          <w:p w14:paraId="3C9F07DB">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583" w:type="pct"/>
            <w:noWrap w:val="0"/>
            <w:vAlign w:val="center"/>
          </w:tcPr>
          <w:p w14:paraId="22901248">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法兰</w:t>
            </w:r>
          </w:p>
        </w:tc>
        <w:tc>
          <w:tcPr>
            <w:tcW w:w="587" w:type="pct"/>
            <w:noWrap w:val="0"/>
            <w:vAlign w:val="center"/>
          </w:tcPr>
          <w:p w14:paraId="70012B56">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54</w:t>
            </w:r>
          </w:p>
        </w:tc>
        <w:tc>
          <w:tcPr>
            <w:tcW w:w="1196" w:type="pct"/>
            <w:noWrap w:val="0"/>
            <w:vAlign w:val="center"/>
          </w:tcPr>
          <w:p w14:paraId="177A7B0F">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0.085</w:t>
            </w:r>
          </w:p>
        </w:tc>
        <w:tc>
          <w:tcPr>
            <w:tcW w:w="855" w:type="pct"/>
            <w:noWrap w:val="0"/>
            <w:vAlign w:val="center"/>
          </w:tcPr>
          <w:p w14:paraId="1A22427D">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8760</w:t>
            </w:r>
          </w:p>
        </w:tc>
        <w:tc>
          <w:tcPr>
            <w:tcW w:w="684" w:type="pct"/>
            <w:noWrap w:val="0"/>
            <w:vAlign w:val="center"/>
          </w:tcPr>
          <w:p w14:paraId="79DD2DFC">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0.121</w:t>
            </w:r>
          </w:p>
        </w:tc>
        <w:tc>
          <w:tcPr>
            <w:tcW w:w="757" w:type="pct"/>
            <w:noWrap w:val="0"/>
            <w:vAlign w:val="center"/>
          </w:tcPr>
          <w:p w14:paraId="648912A8">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0.014</w:t>
            </w:r>
          </w:p>
        </w:tc>
      </w:tr>
      <w:tr w14:paraId="75AF9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noWrap w:val="0"/>
            <w:vAlign w:val="center"/>
          </w:tcPr>
          <w:p w14:paraId="3AD1C56C">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583" w:type="pct"/>
            <w:noWrap w:val="0"/>
            <w:vAlign w:val="center"/>
          </w:tcPr>
          <w:p w14:paraId="5CA0B7E5">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分离器、</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装车撬</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w:t>
            </w:r>
          </w:p>
        </w:tc>
        <w:tc>
          <w:tcPr>
            <w:tcW w:w="587" w:type="pct"/>
            <w:noWrap w:val="0"/>
            <w:vAlign w:val="center"/>
          </w:tcPr>
          <w:p w14:paraId="754FD4A3">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1196" w:type="pct"/>
            <w:noWrap w:val="0"/>
            <w:vAlign w:val="center"/>
          </w:tcPr>
          <w:p w14:paraId="79D2BF06">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0.073</w:t>
            </w:r>
          </w:p>
        </w:tc>
        <w:tc>
          <w:tcPr>
            <w:tcW w:w="855" w:type="pct"/>
            <w:noWrap w:val="0"/>
            <w:vAlign w:val="center"/>
          </w:tcPr>
          <w:p w14:paraId="38862611">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8760</w:t>
            </w:r>
          </w:p>
        </w:tc>
        <w:tc>
          <w:tcPr>
            <w:tcW w:w="684" w:type="pct"/>
            <w:noWrap w:val="0"/>
            <w:vAlign w:val="center"/>
          </w:tcPr>
          <w:p w14:paraId="4E79DC2A">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0.010</w:t>
            </w:r>
          </w:p>
        </w:tc>
        <w:tc>
          <w:tcPr>
            <w:tcW w:w="757" w:type="pct"/>
            <w:noWrap w:val="0"/>
            <w:vAlign w:val="center"/>
          </w:tcPr>
          <w:p w14:paraId="511FF0E0">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0.001</w:t>
            </w:r>
          </w:p>
        </w:tc>
      </w:tr>
      <w:tr w14:paraId="2EF98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58" w:type="pct"/>
            <w:gridSpan w:val="5"/>
            <w:noWrap w:val="0"/>
            <w:vAlign w:val="center"/>
          </w:tcPr>
          <w:p w14:paraId="63D733BE">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合计</w:t>
            </w:r>
          </w:p>
        </w:tc>
        <w:tc>
          <w:tcPr>
            <w:tcW w:w="684" w:type="pct"/>
            <w:noWrap w:val="0"/>
            <w:vAlign w:val="center"/>
          </w:tcPr>
          <w:p w14:paraId="70BF37C7">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0.176</w:t>
            </w:r>
          </w:p>
        </w:tc>
        <w:tc>
          <w:tcPr>
            <w:tcW w:w="757" w:type="pct"/>
            <w:noWrap w:val="0"/>
            <w:vAlign w:val="center"/>
          </w:tcPr>
          <w:p w14:paraId="1E3A7E31">
            <w:pPr>
              <w:widowControl w:val="0"/>
              <w:bidi w:val="0"/>
              <w:spacing w:line="28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0.020</w:t>
            </w:r>
          </w:p>
        </w:tc>
      </w:tr>
    </w:tbl>
    <w:p w14:paraId="47965B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经核算，</w:t>
      </w:r>
      <w:r>
        <w:rPr>
          <w:rFonts w:hint="eastAsia"/>
          <w:color w:val="000000" w:themeColor="text1"/>
          <w:highlight w:val="none"/>
          <w14:textFill>
            <w14:solidFill>
              <w14:schemeClr w14:val="tx1"/>
            </w14:solidFill>
          </w14:textFill>
        </w:rPr>
        <w:t>本工程</w:t>
      </w:r>
      <w:r>
        <w:rPr>
          <w:rFonts w:hint="eastAsia"/>
          <w:color w:val="000000" w:themeColor="text1"/>
          <w:highlight w:val="none"/>
          <w:lang w:eastAsia="zh-CN"/>
          <w14:textFill>
            <w14:solidFill>
              <w14:schemeClr w14:val="tx1"/>
            </w14:solidFill>
          </w14:textFill>
        </w:rPr>
        <w:t>设备动静密封点泄漏VOCs排放量</w:t>
      </w:r>
      <w:r>
        <w:rPr>
          <w:rFonts w:hint="eastAsia"/>
          <w:color w:val="000000" w:themeColor="text1"/>
          <w:highlight w:val="none"/>
          <w14:textFill>
            <w14:solidFill>
              <w14:schemeClr w14:val="tx1"/>
            </w14:solidFill>
          </w14:textFill>
        </w:rPr>
        <w:t>烃类挥发量为</w:t>
      </w:r>
      <w:bookmarkStart w:id="670" w:name="OLE_LINK373"/>
      <w:r>
        <w:rPr>
          <w:rFonts w:hint="eastAsia"/>
          <w:color w:val="000000" w:themeColor="text1"/>
          <w:highlight w:val="none"/>
          <w:lang w:val="en-US" w:eastAsia="zh-CN"/>
          <w14:textFill>
            <w14:solidFill>
              <w14:schemeClr w14:val="tx1"/>
            </w14:solidFill>
          </w14:textFill>
        </w:rPr>
        <w:t>0.176</w:t>
      </w:r>
      <w:r>
        <w:rPr>
          <w:color w:val="000000" w:themeColor="text1"/>
          <w:highlight w:val="none"/>
          <w14:textFill>
            <w14:solidFill>
              <w14:schemeClr w14:val="tx1"/>
            </w14:solidFill>
          </w14:textFill>
        </w:rPr>
        <w:t>t/a</w:t>
      </w:r>
      <w:bookmarkEnd w:id="670"/>
      <w:r>
        <w:rPr>
          <w:rFonts w:hint="default" w:ascii="Times New Roman" w:hAnsi="Times New Roman" w:cs="Times New Roman"/>
          <w:color w:val="000000" w:themeColor="text1"/>
          <w:szCs w:val="28"/>
          <w:highlight w:val="none"/>
          <w14:textFill>
            <w14:solidFill>
              <w14:schemeClr w14:val="tx1"/>
            </w14:solidFill>
          </w14:textFill>
        </w:rPr>
        <w:t>。</w:t>
      </w:r>
      <w:bookmarkEnd w:id="657"/>
    </w:p>
    <w:p w14:paraId="5AA8C668">
      <w:pPr>
        <w:pStyle w:val="10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instrText xml:space="preserve"> = 3 \* GB3 \* MERGEFORMAT </w:instrTex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③</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无组织H</w:t>
      </w:r>
      <w:r>
        <w:rPr>
          <w:rFonts w:hint="default" w:ascii="Times New Roman" w:hAnsi="Times New Roman" w:eastAsia="宋体" w:cs="Times New Roman"/>
          <w:b w:val="0"/>
          <w:bCs/>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S</w:t>
      </w:r>
    </w:p>
    <w:p w14:paraId="56465E2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井区内</w:t>
      </w:r>
      <w:bookmarkStart w:id="671" w:name="OLE_LINK39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硫化氢</w:t>
      </w:r>
      <w:bookmarkEnd w:id="671"/>
      <w:r>
        <w:rPr>
          <w:rFonts w:hint="eastAsia" w:cs="Times New Roman"/>
          <w:color w:val="000000" w:themeColor="text1"/>
          <w:sz w:val="24"/>
          <w:szCs w:val="24"/>
          <w:highlight w:val="none"/>
          <w:lang w:val="en-US" w:eastAsia="zh-CN"/>
          <w14:textFill>
            <w14:solidFill>
              <w14:schemeClr w14:val="tx1"/>
            </w14:solidFill>
          </w14:textFill>
        </w:rPr>
        <w:t>含量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Cs w:val="28"/>
          <w:highlight w:val="none"/>
          <w:lang w:val="en-US" w:eastAsia="zh-CN"/>
          <w14:textFill>
            <w14:solidFill>
              <w14:schemeClr w14:val="tx1"/>
            </w14:solidFill>
          </w14:textFill>
        </w:rPr>
        <w:t>10.9~21.9mg/m³</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。类比同类型低含硫</w:t>
      </w:r>
      <w:r>
        <w:rPr>
          <w:rFonts w:hint="eastAsia" w:cs="Times New Roman"/>
          <w:color w:val="000000" w:themeColor="text1"/>
          <w:sz w:val="24"/>
          <w:szCs w:val="24"/>
          <w:highlight w:val="none"/>
          <w:vertAlign w:val="baseline"/>
          <w:lang w:val="en-US" w:eastAsia="zh-CN"/>
          <w14:textFill>
            <w14:solidFill>
              <w14:schemeClr w14:val="tx1"/>
            </w14:solidFill>
          </w14:textFill>
        </w:rPr>
        <w:t>天然气</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井场，单座井场无组织硫化氢的排放量0.0018t/a（0.00</w:t>
      </w:r>
      <w:r>
        <w:rPr>
          <w:rFonts w:hint="eastAsia" w:cs="Times New Roman"/>
          <w:color w:val="000000" w:themeColor="text1"/>
          <w:sz w:val="24"/>
          <w:szCs w:val="24"/>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2kg/h），本工程三口井共用一个井场</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无组织硫化氢的排放量为：0.0</w:t>
      </w:r>
      <w:r>
        <w:rPr>
          <w:rFonts w:hint="eastAsia" w:cs="Times New Roman"/>
          <w:color w:val="000000" w:themeColor="text1"/>
          <w:sz w:val="24"/>
          <w:szCs w:val="24"/>
          <w:highlight w:val="none"/>
          <w:vertAlign w:val="baseline"/>
          <w:lang w:val="en-US" w:eastAsia="zh-CN"/>
          <w14:textFill>
            <w14:solidFill>
              <w14:schemeClr w14:val="tx1"/>
            </w14:solidFill>
          </w14:textFill>
        </w:rPr>
        <w:t>054</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t/a</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0.00</w:t>
      </w:r>
      <w:r>
        <w:rPr>
          <w:rFonts w:hint="eastAsia" w:cs="Times New Roman"/>
          <w:color w:val="000000" w:themeColor="text1"/>
          <w:sz w:val="24"/>
          <w:szCs w:val="24"/>
          <w:highlight w:val="none"/>
          <w:vertAlign w:val="baseline"/>
          <w:lang w:val="en-US" w:eastAsia="zh-CN"/>
          <w14:textFill>
            <w14:solidFill>
              <w14:schemeClr w14:val="tx1"/>
            </w14:solidFill>
          </w14:textFill>
        </w:rPr>
        <w:t>0</w:t>
      </w:r>
      <w:r>
        <w:rPr>
          <w:rFonts w:hint="eastAsia" w:eastAsia="宋体" w:cs="Times New Roman"/>
          <w:color w:val="000000" w:themeColor="text1"/>
          <w:sz w:val="24"/>
          <w:szCs w:val="24"/>
          <w:highlight w:val="none"/>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kg/h</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vertAlign w:val="baseline"/>
          <w:lang w:val="en-US" w:eastAsia="zh-CN"/>
          <w14:textFill>
            <w14:solidFill>
              <w14:schemeClr w14:val="tx1"/>
            </w14:solidFill>
          </w14:textFill>
        </w:rPr>
        <w:t>井场</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并设置腐蚀检测装置，防止H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S的泄漏。</w:t>
      </w:r>
    </w:p>
    <w:p w14:paraId="7A33E0E0">
      <w:pPr>
        <w:pStyle w:val="10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综上，</w:t>
      </w:r>
      <w:r>
        <w:rPr>
          <w:rFonts w:hint="default" w:ascii="Times New Roman" w:hAnsi="Times New Roman" w:eastAsia="宋体" w:cs="Times New Roman"/>
          <w:color w:val="000000" w:themeColor="text1"/>
          <w:sz w:val="24"/>
          <w:szCs w:val="24"/>
          <w:highlight w:val="none"/>
          <w14:textFill>
            <w14:solidFill>
              <w14:schemeClr w14:val="tx1"/>
            </w14:solidFill>
          </w14:textFill>
        </w:rPr>
        <w:t>本工程运营期无组织硫化氢的排放量</w:t>
      </w:r>
      <w:r>
        <w:rPr>
          <w:rFonts w:hint="eastAsia" w:cs="Times New Roman"/>
          <w:color w:val="000000" w:themeColor="text1"/>
          <w:sz w:val="24"/>
          <w:szCs w:val="24"/>
          <w:highlight w:val="none"/>
          <w:lang w:val="en-US" w:eastAsia="zh-CN"/>
          <w14:textFill>
            <w14:solidFill>
              <w14:schemeClr w14:val="tx1"/>
            </w14:solidFill>
          </w14:textFill>
        </w:rPr>
        <w:t>总计</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0.0</w:t>
      </w:r>
      <w:r>
        <w:rPr>
          <w:rFonts w:hint="eastAsia" w:cs="Times New Roman"/>
          <w:color w:val="000000" w:themeColor="text1"/>
          <w:sz w:val="24"/>
          <w:szCs w:val="24"/>
          <w:highlight w:val="none"/>
          <w:vertAlign w:val="baseline"/>
          <w:lang w:val="en-US" w:eastAsia="zh-CN"/>
          <w14:textFill>
            <w14:solidFill>
              <w14:schemeClr w14:val="tx1"/>
            </w14:solidFill>
          </w14:textFill>
        </w:rPr>
        <w:t>054</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14:paraId="4891C90C">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"3.2.4.4"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噪声源</w:t>
      </w:r>
    </w:p>
    <w:p w14:paraId="35B38B7B">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本工程井场产噪设备主要为</w:t>
      </w:r>
      <w:r>
        <w:rPr>
          <w:rFonts w:hint="eastAsia" w:ascii="Times New Roman" w:hAnsi="Times New Roman" w:cs="Times New Roman"/>
          <w:color w:val="000000" w:themeColor="text1"/>
          <w:highlight w:val="none"/>
          <w:lang w:val="en-US" w:eastAsia="zh-CN"/>
          <w14:textFill>
            <w14:solidFill>
              <w14:schemeClr w14:val="tx1"/>
            </w14:solidFill>
          </w14:textFill>
        </w:rPr>
        <w:t>泵撬</w:t>
      </w:r>
      <w:r>
        <w:rPr>
          <w:rFonts w:hint="default" w:ascii="Times New Roman" w:hAnsi="Times New Roman" w:cs="Times New Roman"/>
          <w:color w:val="000000" w:themeColor="text1"/>
          <w:highlight w:val="none"/>
          <w14:textFill>
            <w14:solidFill>
              <w14:schemeClr w14:val="tx1"/>
            </w14:solidFill>
          </w14:textFill>
        </w:rPr>
        <w:t>等设备运转噪声，噪声值为60～9</w:t>
      </w:r>
      <w:r>
        <w:rPr>
          <w:rFonts w:hint="eastAsia"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。采取基础减振降噪，控制噪声对周围环境的影响，降噪效果约10dB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spacing w:val="4"/>
          <w:kern w:val="24"/>
          <w:szCs w:val="24"/>
          <w:highlight w:val="none"/>
          <w14:textFill>
            <w14:solidFill>
              <w14:schemeClr w14:val="tx1"/>
            </w14:solidFill>
          </w14:textFill>
        </w:rPr>
        <w:t>在非正常工况下，启动火炬放空系统。火炬系统噪声源强约100~110dB</w:t>
      </w:r>
      <w:r>
        <w:rPr>
          <w:rFonts w:hint="default" w:ascii="Times New Roman" w:hAnsi="Times New Roman" w:cs="Times New Roman"/>
          <w:color w:val="000000" w:themeColor="text1"/>
          <w:spacing w:val="4"/>
          <w:kern w:val="24"/>
          <w:szCs w:val="24"/>
          <w:highlight w:val="none"/>
          <w:lang w:eastAsia="zh-CN"/>
          <w14:textFill>
            <w14:solidFill>
              <w14:schemeClr w14:val="tx1"/>
            </w14:solidFill>
          </w14:textFill>
        </w:rPr>
        <w:t>（</w:t>
      </w:r>
      <w:r>
        <w:rPr>
          <w:rFonts w:hint="default" w:ascii="Times New Roman" w:hAnsi="Times New Roman" w:cs="Times New Roman"/>
          <w:color w:val="000000" w:themeColor="text1"/>
          <w:spacing w:val="4"/>
          <w:kern w:val="24"/>
          <w:szCs w:val="24"/>
          <w:highlight w:val="none"/>
          <w14:textFill>
            <w14:solidFill>
              <w14:schemeClr w14:val="tx1"/>
            </w14:solidFill>
          </w14:textFill>
        </w:rPr>
        <w:t>A</w:t>
      </w:r>
      <w:r>
        <w:rPr>
          <w:rFonts w:hint="default" w:ascii="Times New Roman" w:hAnsi="Times New Roman" w:cs="Times New Roman"/>
          <w:color w:val="000000" w:themeColor="text1"/>
          <w:spacing w:val="4"/>
          <w:kern w:val="24"/>
          <w:szCs w:val="24"/>
          <w:highlight w:val="none"/>
          <w:lang w:eastAsia="zh-CN"/>
          <w14:textFill>
            <w14:solidFill>
              <w14:schemeClr w14:val="tx1"/>
            </w14:solidFill>
          </w14:textFill>
        </w:rPr>
        <w:t>）</w:t>
      </w:r>
      <w:r>
        <w:rPr>
          <w:rFonts w:hint="default" w:ascii="Times New Roman" w:hAnsi="Times New Roman" w:cs="Times New Roman"/>
          <w:color w:val="000000" w:themeColor="text1"/>
          <w:spacing w:val="4"/>
          <w:kern w:val="24"/>
          <w:szCs w:val="24"/>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各噪声污染源噪声强度及治理措施情况见表3.</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p>
    <w:p w14:paraId="6BE6D43B">
      <w:pPr>
        <w:pStyle w:val="60"/>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表3.</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-1</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 xml:space="preserve">1   </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噪声源设备</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（单座井场） 单位：dB（A）</w:t>
      </w:r>
    </w:p>
    <w:tbl>
      <w:tblPr>
        <w:tblStyle w:val="37"/>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80"/>
        <w:gridCol w:w="1296"/>
        <w:gridCol w:w="980"/>
        <w:gridCol w:w="1173"/>
        <w:gridCol w:w="1853"/>
        <w:gridCol w:w="1147"/>
        <w:gridCol w:w="726"/>
      </w:tblGrid>
      <w:tr w14:paraId="67BE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blHeader/>
        </w:trPr>
        <w:tc>
          <w:tcPr>
            <w:tcW w:w="255" w:type="pct"/>
            <w:noWrap/>
            <w:vAlign w:val="center"/>
          </w:tcPr>
          <w:p w14:paraId="31385738">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518" w:type="pct"/>
            <w:noWrap/>
            <w:vAlign w:val="center"/>
          </w:tcPr>
          <w:p w14:paraId="7E8EFBF4">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装置区名称</w:t>
            </w:r>
          </w:p>
        </w:tc>
        <w:tc>
          <w:tcPr>
            <w:tcW w:w="763" w:type="pct"/>
            <w:noWrap/>
            <w:vAlign w:val="center"/>
          </w:tcPr>
          <w:p w14:paraId="67F0A464">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噪声源</w:t>
            </w:r>
          </w:p>
        </w:tc>
        <w:tc>
          <w:tcPr>
            <w:tcW w:w="577" w:type="pct"/>
            <w:vAlign w:val="center"/>
          </w:tcPr>
          <w:p w14:paraId="6947C143">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hAnsi="宋体"/>
                <w:b/>
                <w:bCs/>
                <w:color w:val="000000" w:themeColor="text1"/>
                <w:spacing w:val="-10"/>
                <w:sz w:val="21"/>
                <w:szCs w:val="21"/>
                <w:highlight w:val="none"/>
                <w14:textFill>
                  <w14:solidFill>
                    <w14:schemeClr w14:val="tx1"/>
                  </w14:solidFill>
                </w14:textFill>
              </w:rPr>
            </w:pPr>
            <w:r>
              <w:rPr>
                <w:rFonts w:hint="eastAsia" w:hAnsi="宋体"/>
                <w:b/>
                <w:bCs/>
                <w:color w:val="000000" w:themeColor="text1"/>
                <w:spacing w:val="-10"/>
                <w:sz w:val="21"/>
                <w:szCs w:val="21"/>
                <w:highlight w:val="none"/>
                <w14:textFill>
                  <w14:solidFill>
                    <w14:schemeClr w14:val="tx1"/>
                  </w14:solidFill>
                </w14:textFill>
              </w:rPr>
              <w:t>数量</w:t>
            </w:r>
          </w:p>
          <w:p w14:paraId="75A20E6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b/>
                <w:bCs/>
                <w:color w:val="000000" w:themeColor="text1"/>
                <w:sz w:val="21"/>
                <w:szCs w:val="21"/>
                <w:highlight w:val="none"/>
                <w:lang w:eastAsia="zh-CN"/>
                <w14:textFill>
                  <w14:solidFill>
                    <w14:schemeClr w14:val="tx1"/>
                  </w14:solidFill>
                </w14:textFill>
              </w:rPr>
            </w:pPr>
            <w:r>
              <w:rPr>
                <w:rFonts w:hint="eastAsia" w:hAnsi="宋体"/>
                <w:b/>
                <w:bCs/>
                <w:color w:val="000000" w:themeColor="text1"/>
                <w:spacing w:val="-10"/>
                <w:sz w:val="21"/>
                <w:szCs w:val="21"/>
                <w:highlight w:val="none"/>
                <w:lang w:eastAsia="zh-CN"/>
                <w14:textFill>
                  <w14:solidFill>
                    <w14:schemeClr w14:val="tx1"/>
                  </w14:solidFill>
                </w14:textFill>
              </w:rPr>
              <w:t>（</w:t>
            </w:r>
            <w:r>
              <w:rPr>
                <w:rFonts w:hint="eastAsia" w:hAnsi="宋体"/>
                <w:b/>
                <w:bCs/>
                <w:color w:val="000000" w:themeColor="text1"/>
                <w:spacing w:val="-10"/>
                <w:sz w:val="21"/>
                <w:szCs w:val="21"/>
                <w:highlight w:val="none"/>
                <w14:textFill>
                  <w14:solidFill>
                    <w14:schemeClr w14:val="tx1"/>
                  </w14:solidFill>
                </w14:textFill>
              </w:rPr>
              <w:t>台/套</w:t>
            </w:r>
            <w:r>
              <w:rPr>
                <w:rFonts w:hint="eastAsia" w:hAnsi="宋体"/>
                <w:b/>
                <w:bCs/>
                <w:color w:val="000000" w:themeColor="text1"/>
                <w:spacing w:val="-10"/>
                <w:sz w:val="21"/>
                <w:szCs w:val="21"/>
                <w:highlight w:val="none"/>
                <w:lang w:eastAsia="zh-CN"/>
                <w14:textFill>
                  <w14:solidFill>
                    <w14:schemeClr w14:val="tx1"/>
                  </w14:solidFill>
                </w14:textFill>
              </w:rPr>
              <w:t>）</w:t>
            </w:r>
          </w:p>
        </w:tc>
        <w:tc>
          <w:tcPr>
            <w:tcW w:w="690" w:type="pct"/>
            <w:noWrap/>
            <w:vAlign w:val="center"/>
          </w:tcPr>
          <w:p w14:paraId="1A79517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b/>
                <w:bCs/>
                <w:color w:val="000000" w:themeColor="text1"/>
                <w:sz w:val="21"/>
                <w:szCs w:val="2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噪声强度</w:t>
            </w:r>
          </w:p>
        </w:tc>
        <w:tc>
          <w:tcPr>
            <w:tcW w:w="1091" w:type="pct"/>
            <w:noWrap/>
            <w:vAlign w:val="center"/>
          </w:tcPr>
          <w:p w14:paraId="772B5FF9">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声源控制措施</w:t>
            </w:r>
          </w:p>
        </w:tc>
        <w:tc>
          <w:tcPr>
            <w:tcW w:w="675" w:type="pct"/>
            <w:vAlign w:val="center"/>
          </w:tcPr>
          <w:p w14:paraId="66F25E88">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降噪效果</w:t>
            </w:r>
          </w:p>
        </w:tc>
        <w:tc>
          <w:tcPr>
            <w:tcW w:w="427" w:type="pct"/>
            <w:noWrap/>
            <w:vAlign w:val="center"/>
          </w:tcPr>
          <w:p w14:paraId="43199E3C">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运行时段</w:t>
            </w:r>
          </w:p>
        </w:tc>
      </w:tr>
      <w:tr w14:paraId="5D5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55" w:type="pct"/>
            <w:vAlign w:val="center"/>
          </w:tcPr>
          <w:p w14:paraId="5991722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518" w:type="pct"/>
            <w:vMerge w:val="restart"/>
            <w:vAlign w:val="center"/>
          </w:tcPr>
          <w:p w14:paraId="40062A7F">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井场</w:t>
            </w:r>
            <w:r>
              <w:rPr>
                <w:rFonts w:hint="eastAsia"/>
                <w:color w:val="000000" w:themeColor="text1"/>
                <w:sz w:val="21"/>
                <w:szCs w:val="21"/>
                <w:highlight w:val="none"/>
                <w14:textFill>
                  <w14:solidFill>
                    <w14:schemeClr w14:val="tx1"/>
                  </w14:solidFill>
                </w14:textFill>
              </w:rPr>
              <w:t>工艺装置区</w:t>
            </w:r>
          </w:p>
        </w:tc>
        <w:tc>
          <w:tcPr>
            <w:tcW w:w="763" w:type="pct"/>
            <w:shd w:val="clear" w:color="auto" w:fill="auto"/>
            <w:vAlign w:val="center"/>
          </w:tcPr>
          <w:p w14:paraId="13ECE51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装车</w:t>
            </w:r>
            <w:r>
              <w:rPr>
                <w:rFonts w:hint="eastAsia"/>
                <w:color w:val="000000" w:themeColor="text1"/>
                <w:sz w:val="21"/>
                <w:szCs w:val="21"/>
                <w:highlight w:val="none"/>
                <w14:textFill>
                  <w14:solidFill>
                    <w14:schemeClr w14:val="tx1"/>
                  </w14:solidFill>
                </w14:textFill>
              </w:rPr>
              <w:t>泵撬</w:t>
            </w:r>
          </w:p>
        </w:tc>
        <w:tc>
          <w:tcPr>
            <w:tcW w:w="577" w:type="pct"/>
            <w:shd w:val="clear" w:color="auto" w:fill="auto"/>
            <w:vAlign w:val="center"/>
          </w:tcPr>
          <w:p w14:paraId="35FCB62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690" w:type="pct"/>
            <w:shd w:val="clear" w:color="auto" w:fill="auto"/>
            <w:vAlign w:val="center"/>
          </w:tcPr>
          <w:p w14:paraId="7FAB4BD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60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90</w:t>
            </w:r>
          </w:p>
        </w:tc>
        <w:tc>
          <w:tcPr>
            <w:tcW w:w="1091" w:type="pct"/>
            <w:shd w:val="clear" w:color="auto" w:fill="auto"/>
            <w:vAlign w:val="center"/>
          </w:tcPr>
          <w:p w14:paraId="2D9505D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减振、隔声、消声</w:t>
            </w:r>
          </w:p>
        </w:tc>
        <w:tc>
          <w:tcPr>
            <w:tcW w:w="675" w:type="pct"/>
            <w:shd w:val="clear" w:color="auto" w:fill="auto"/>
            <w:vAlign w:val="center"/>
          </w:tcPr>
          <w:p w14:paraId="32284B6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427" w:type="pct"/>
            <w:shd w:val="clear" w:color="auto" w:fill="auto"/>
            <w:vAlign w:val="center"/>
          </w:tcPr>
          <w:p w14:paraId="546DDCD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昼夜</w:t>
            </w:r>
          </w:p>
        </w:tc>
      </w:tr>
      <w:tr w14:paraId="5CB2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55" w:type="pct"/>
            <w:vAlign w:val="center"/>
          </w:tcPr>
          <w:p w14:paraId="360E4CE0">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518" w:type="pct"/>
            <w:vMerge w:val="continue"/>
            <w:vAlign w:val="center"/>
          </w:tcPr>
          <w:p w14:paraId="05607A5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p>
        </w:tc>
        <w:tc>
          <w:tcPr>
            <w:tcW w:w="763" w:type="pct"/>
            <w:shd w:val="clear" w:color="auto" w:fill="auto"/>
            <w:vAlign w:val="center"/>
          </w:tcPr>
          <w:p w14:paraId="542FEAB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油气计量</w:t>
            </w:r>
            <w:r>
              <w:rPr>
                <w:rFonts w:hint="eastAsia"/>
                <w:color w:val="000000" w:themeColor="text1"/>
                <w:sz w:val="21"/>
                <w:szCs w:val="21"/>
                <w:highlight w:val="none"/>
                <w14:textFill>
                  <w14:solidFill>
                    <w14:schemeClr w14:val="tx1"/>
                  </w14:solidFill>
                </w14:textFill>
              </w:rPr>
              <w:t>分离器</w:t>
            </w:r>
          </w:p>
        </w:tc>
        <w:tc>
          <w:tcPr>
            <w:tcW w:w="577" w:type="pct"/>
            <w:shd w:val="clear" w:color="auto" w:fill="auto"/>
            <w:vAlign w:val="center"/>
          </w:tcPr>
          <w:p w14:paraId="64624E4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690" w:type="pct"/>
            <w:shd w:val="clear" w:color="auto" w:fill="auto"/>
            <w:vAlign w:val="center"/>
          </w:tcPr>
          <w:p w14:paraId="4B1CA0F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60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70</w:t>
            </w:r>
          </w:p>
        </w:tc>
        <w:tc>
          <w:tcPr>
            <w:tcW w:w="1091" w:type="pct"/>
            <w:shd w:val="clear" w:color="auto" w:fill="auto"/>
            <w:vAlign w:val="center"/>
          </w:tcPr>
          <w:p w14:paraId="295FF60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减振、隔声、消声</w:t>
            </w:r>
          </w:p>
        </w:tc>
        <w:tc>
          <w:tcPr>
            <w:tcW w:w="675" w:type="pct"/>
            <w:shd w:val="clear" w:color="auto" w:fill="auto"/>
            <w:vAlign w:val="center"/>
          </w:tcPr>
          <w:p w14:paraId="42FCF12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427" w:type="pct"/>
            <w:shd w:val="clear" w:color="auto" w:fill="auto"/>
            <w:vAlign w:val="center"/>
          </w:tcPr>
          <w:p w14:paraId="49F10D1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昼夜</w:t>
            </w:r>
          </w:p>
        </w:tc>
      </w:tr>
      <w:tr w14:paraId="6A90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55" w:type="pct"/>
            <w:vAlign w:val="center"/>
          </w:tcPr>
          <w:p w14:paraId="393E48EF">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518" w:type="pct"/>
            <w:vMerge w:val="continue"/>
            <w:vAlign w:val="center"/>
          </w:tcPr>
          <w:p w14:paraId="78CEF257">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000000" w:themeColor="text1"/>
                <w:sz w:val="21"/>
                <w:szCs w:val="21"/>
                <w:highlight w:val="none"/>
                <w14:textFill>
                  <w14:solidFill>
                    <w14:schemeClr w14:val="tx1"/>
                  </w14:solidFill>
                </w14:textFill>
              </w:rPr>
            </w:pPr>
          </w:p>
        </w:tc>
        <w:tc>
          <w:tcPr>
            <w:tcW w:w="763" w:type="pct"/>
            <w:shd w:val="clear" w:color="auto" w:fill="auto"/>
            <w:vAlign w:val="center"/>
          </w:tcPr>
          <w:p w14:paraId="59F3F5A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火炬</w:t>
            </w:r>
          </w:p>
        </w:tc>
        <w:tc>
          <w:tcPr>
            <w:tcW w:w="577" w:type="pct"/>
            <w:shd w:val="clear" w:color="auto" w:fill="auto"/>
            <w:vAlign w:val="center"/>
          </w:tcPr>
          <w:p w14:paraId="256202D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690" w:type="pct"/>
            <w:shd w:val="clear" w:color="auto" w:fill="auto"/>
            <w:vAlign w:val="center"/>
          </w:tcPr>
          <w:p w14:paraId="6FEF696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100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110</w:t>
            </w:r>
          </w:p>
        </w:tc>
        <w:tc>
          <w:tcPr>
            <w:tcW w:w="1091" w:type="pct"/>
            <w:shd w:val="clear" w:color="auto" w:fill="auto"/>
            <w:vAlign w:val="center"/>
          </w:tcPr>
          <w:p w14:paraId="481754C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675" w:type="pct"/>
            <w:shd w:val="clear" w:color="auto" w:fill="auto"/>
            <w:vAlign w:val="center"/>
          </w:tcPr>
          <w:p w14:paraId="08389B2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427" w:type="pct"/>
            <w:shd w:val="clear" w:color="auto" w:fill="auto"/>
            <w:vAlign w:val="center"/>
          </w:tcPr>
          <w:p w14:paraId="383B467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事故状态</w:t>
            </w:r>
          </w:p>
        </w:tc>
      </w:tr>
    </w:tbl>
    <w:p w14:paraId="5CF1BC8C">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"3.2.4.5"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运营期污染源汇总</w:t>
      </w:r>
    </w:p>
    <w:p w14:paraId="61FFF725">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黑体" w:cs="Times New Roman"/>
          <w:color w:val="000000" w:themeColor="text1"/>
          <w:spacing w:val="-2"/>
          <w:sz w:val="21"/>
          <w:szCs w:val="2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运营期三废排放状况见表3.</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t>。</w:t>
      </w:r>
    </w:p>
    <w:p w14:paraId="2907BCAE">
      <w:pPr>
        <w:pStyle w:val="84"/>
        <w:keepNext w:val="0"/>
        <w:keepLines w:val="0"/>
        <w:pageBreakBefore w:val="0"/>
        <w:kinsoku/>
        <w:wordWrap/>
        <w:topLinePunct w:val="0"/>
        <w:bidi w:val="0"/>
        <w:spacing w:line="240" w:lineRule="auto"/>
        <w:ind w:left="0" w:leftChars="0"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bookmarkStart w:id="672" w:name="_Toc4681"/>
      <w:bookmarkStart w:id="673" w:name="_Toc23654"/>
      <w:bookmarkStart w:id="674" w:name="_Toc28732"/>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表3.</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12</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 xml:space="preserve">   运营期污染物排放汇总</w:t>
      </w:r>
    </w:p>
    <w:tbl>
      <w:tblPr>
        <w:tblStyle w:val="37"/>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609"/>
        <w:gridCol w:w="1735"/>
        <w:gridCol w:w="1372"/>
        <w:gridCol w:w="1314"/>
        <w:gridCol w:w="2048"/>
      </w:tblGrid>
      <w:tr w14:paraId="165B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64" w:type="dxa"/>
            <w:vAlign w:val="center"/>
          </w:tcPr>
          <w:p w14:paraId="286E56C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工段</w:t>
            </w:r>
          </w:p>
        </w:tc>
        <w:tc>
          <w:tcPr>
            <w:tcW w:w="1609" w:type="dxa"/>
            <w:vAlign w:val="center"/>
          </w:tcPr>
          <w:p w14:paraId="4E238ED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污染源</w:t>
            </w:r>
          </w:p>
        </w:tc>
        <w:tc>
          <w:tcPr>
            <w:tcW w:w="1735" w:type="dxa"/>
            <w:vAlign w:val="center"/>
          </w:tcPr>
          <w:p w14:paraId="7C4DD60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主要污染物</w:t>
            </w:r>
          </w:p>
        </w:tc>
        <w:tc>
          <w:tcPr>
            <w:tcW w:w="1372" w:type="dxa"/>
            <w:vAlign w:val="center"/>
          </w:tcPr>
          <w:p w14:paraId="1D99CD6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产生量</w:t>
            </w:r>
          </w:p>
        </w:tc>
        <w:tc>
          <w:tcPr>
            <w:tcW w:w="1314" w:type="dxa"/>
            <w:vAlign w:val="center"/>
          </w:tcPr>
          <w:p w14:paraId="534B362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排放量</w:t>
            </w:r>
          </w:p>
        </w:tc>
        <w:tc>
          <w:tcPr>
            <w:tcW w:w="2048" w:type="dxa"/>
            <w:vAlign w:val="center"/>
          </w:tcPr>
          <w:p w14:paraId="30BA0B6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排放去向</w:t>
            </w:r>
          </w:p>
        </w:tc>
      </w:tr>
      <w:tr w14:paraId="546C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14:paraId="4304462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bookmarkStart w:id="675" w:name="OLE_LINK810" w:colFirst="3" w:colLast="3"/>
            <w:r>
              <w:rPr>
                <w:rFonts w:hint="default"/>
                <w:color w:val="000000" w:themeColor="text1"/>
                <w:sz w:val="21"/>
                <w:szCs w:val="21"/>
                <w:highlight w:val="none"/>
                <w14:textFill>
                  <w14:solidFill>
                    <w14:schemeClr w14:val="tx1"/>
                  </w14:solidFill>
                </w14:textFill>
              </w:rPr>
              <w:t>废气</w:t>
            </w:r>
          </w:p>
        </w:tc>
        <w:tc>
          <w:tcPr>
            <w:tcW w:w="1609" w:type="dxa"/>
            <w:vMerge w:val="restart"/>
            <w:vAlign w:val="center"/>
          </w:tcPr>
          <w:p w14:paraId="209BCFE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无组织排放</w:t>
            </w:r>
          </w:p>
        </w:tc>
        <w:tc>
          <w:tcPr>
            <w:tcW w:w="1735" w:type="dxa"/>
            <w:shd w:val="clear" w:color="auto" w:fill="auto"/>
            <w:vAlign w:val="center"/>
          </w:tcPr>
          <w:p w14:paraId="729C8B5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1372" w:type="dxa"/>
            <w:shd w:val="clear" w:color="auto" w:fill="auto"/>
            <w:vAlign w:val="center"/>
          </w:tcPr>
          <w:p w14:paraId="1CC6B35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0.467</w:t>
            </w:r>
            <w:r>
              <w:rPr>
                <w:rFonts w:hint="default"/>
                <w:color w:val="000000" w:themeColor="text1"/>
                <w:sz w:val="21"/>
                <w:szCs w:val="21"/>
                <w:highlight w:val="none"/>
                <w14:textFill>
                  <w14:solidFill>
                    <w14:schemeClr w14:val="tx1"/>
                  </w14:solidFill>
                </w14:textFill>
              </w:rPr>
              <w:t>t/a</w:t>
            </w:r>
          </w:p>
        </w:tc>
        <w:tc>
          <w:tcPr>
            <w:tcW w:w="1314" w:type="dxa"/>
            <w:shd w:val="clear" w:color="auto" w:fill="auto"/>
            <w:vAlign w:val="center"/>
          </w:tcPr>
          <w:p w14:paraId="1C17671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0.467</w:t>
            </w:r>
            <w:r>
              <w:rPr>
                <w:rFonts w:hint="default"/>
                <w:color w:val="000000" w:themeColor="text1"/>
                <w:sz w:val="21"/>
                <w:szCs w:val="21"/>
                <w:highlight w:val="none"/>
                <w14:textFill>
                  <w14:solidFill>
                    <w14:schemeClr w14:val="tx1"/>
                  </w14:solidFill>
                </w14:textFill>
              </w:rPr>
              <w:t>t/a</w:t>
            </w:r>
          </w:p>
        </w:tc>
        <w:tc>
          <w:tcPr>
            <w:tcW w:w="2048" w:type="dxa"/>
            <w:shd w:val="clear" w:color="auto" w:fill="auto"/>
            <w:vAlign w:val="center"/>
          </w:tcPr>
          <w:p w14:paraId="50110F9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大气</w:t>
            </w:r>
          </w:p>
        </w:tc>
      </w:tr>
      <w:tr w14:paraId="5231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5F11B5D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Merge w:val="continue"/>
            <w:vAlign w:val="center"/>
          </w:tcPr>
          <w:p w14:paraId="6A4AEA6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735" w:type="dxa"/>
            <w:shd w:val="clear" w:color="auto" w:fill="auto"/>
            <w:vAlign w:val="center"/>
          </w:tcPr>
          <w:p w14:paraId="5560033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硫化氢</w:t>
            </w:r>
          </w:p>
        </w:tc>
        <w:tc>
          <w:tcPr>
            <w:tcW w:w="1372" w:type="dxa"/>
            <w:shd w:val="clear" w:color="auto" w:fill="auto"/>
            <w:vAlign w:val="center"/>
          </w:tcPr>
          <w:p w14:paraId="659776E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0.0054</w:t>
            </w:r>
            <w:r>
              <w:rPr>
                <w:rFonts w:hint="default"/>
                <w:color w:val="000000" w:themeColor="text1"/>
                <w:sz w:val="21"/>
                <w:szCs w:val="21"/>
                <w:highlight w:val="none"/>
                <w14:textFill>
                  <w14:solidFill>
                    <w14:schemeClr w14:val="tx1"/>
                  </w14:solidFill>
                </w14:textFill>
              </w:rPr>
              <w:t>t/a</w:t>
            </w:r>
          </w:p>
        </w:tc>
        <w:tc>
          <w:tcPr>
            <w:tcW w:w="1314" w:type="dxa"/>
            <w:shd w:val="clear" w:color="auto" w:fill="auto"/>
            <w:vAlign w:val="center"/>
          </w:tcPr>
          <w:p w14:paraId="2C47D04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0.0054</w:t>
            </w:r>
            <w:r>
              <w:rPr>
                <w:rFonts w:hint="default"/>
                <w:color w:val="000000" w:themeColor="text1"/>
                <w:sz w:val="21"/>
                <w:szCs w:val="21"/>
                <w:highlight w:val="none"/>
                <w14:textFill>
                  <w14:solidFill>
                    <w14:schemeClr w14:val="tx1"/>
                  </w14:solidFill>
                </w14:textFill>
              </w:rPr>
              <w:t>t/a</w:t>
            </w:r>
          </w:p>
        </w:tc>
        <w:tc>
          <w:tcPr>
            <w:tcW w:w="2048" w:type="dxa"/>
            <w:shd w:val="clear" w:color="auto" w:fill="auto"/>
            <w:vAlign w:val="center"/>
          </w:tcPr>
          <w:p w14:paraId="6B2D852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大气</w:t>
            </w:r>
          </w:p>
        </w:tc>
      </w:tr>
      <w:bookmarkEnd w:id="675"/>
      <w:tr w14:paraId="1EA9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4" w:type="dxa"/>
            <w:vMerge w:val="restart"/>
            <w:vAlign w:val="center"/>
          </w:tcPr>
          <w:p w14:paraId="6E524F3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废水</w:t>
            </w:r>
          </w:p>
        </w:tc>
        <w:tc>
          <w:tcPr>
            <w:tcW w:w="1609" w:type="dxa"/>
            <w:vAlign w:val="center"/>
          </w:tcPr>
          <w:p w14:paraId="6E4B604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生产废水</w:t>
            </w:r>
          </w:p>
        </w:tc>
        <w:tc>
          <w:tcPr>
            <w:tcW w:w="1735" w:type="dxa"/>
            <w:vAlign w:val="center"/>
          </w:tcPr>
          <w:p w14:paraId="22C90AC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采出水</w:t>
            </w:r>
          </w:p>
        </w:tc>
        <w:tc>
          <w:tcPr>
            <w:tcW w:w="1372" w:type="dxa"/>
            <w:vAlign w:val="center"/>
          </w:tcPr>
          <w:p w14:paraId="41A8C75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开采初期不含水</w:t>
            </w:r>
          </w:p>
        </w:tc>
        <w:tc>
          <w:tcPr>
            <w:tcW w:w="1314" w:type="dxa"/>
            <w:vAlign w:val="center"/>
          </w:tcPr>
          <w:p w14:paraId="7687C30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6F38585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开采初期不含水，后期若产生采出水，随凝析油一同运至雅克拉集气处理站处理。</w:t>
            </w:r>
          </w:p>
        </w:tc>
      </w:tr>
      <w:tr w14:paraId="725C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4" w:type="dxa"/>
            <w:vMerge w:val="continue"/>
            <w:vAlign w:val="center"/>
          </w:tcPr>
          <w:p w14:paraId="674B393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4D6D5A7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井下作业废水</w:t>
            </w:r>
          </w:p>
        </w:tc>
        <w:tc>
          <w:tcPr>
            <w:tcW w:w="1735" w:type="dxa"/>
            <w:vAlign w:val="center"/>
          </w:tcPr>
          <w:p w14:paraId="5A62A3F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废洗井液</w:t>
            </w:r>
          </w:p>
        </w:tc>
        <w:tc>
          <w:tcPr>
            <w:tcW w:w="1372" w:type="dxa"/>
            <w:vAlign w:val="center"/>
          </w:tcPr>
          <w:p w14:paraId="6C8945C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151.935t/a</w:t>
            </w:r>
          </w:p>
        </w:tc>
        <w:tc>
          <w:tcPr>
            <w:tcW w:w="1314" w:type="dxa"/>
            <w:vAlign w:val="center"/>
          </w:tcPr>
          <w:p w14:paraId="3DCC7FD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1DBA461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井下作业废水自带回收罐回收井下作业废水，依托阿克苏塔河环保工程有限公司绿色环保工作站处理</w:t>
            </w:r>
            <w:r>
              <w:rPr>
                <w:rFonts w:hint="default"/>
                <w:color w:val="000000" w:themeColor="text1"/>
                <w:sz w:val="21"/>
                <w:szCs w:val="21"/>
                <w:highlight w:val="none"/>
                <w:lang w:eastAsia="zh-CN"/>
                <w14:textFill>
                  <w14:solidFill>
                    <w14:schemeClr w14:val="tx1"/>
                  </w14:solidFill>
                </w14:textFill>
              </w:rPr>
              <w:t>。</w:t>
            </w:r>
          </w:p>
        </w:tc>
      </w:tr>
      <w:tr w14:paraId="106A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vMerge w:val="restart"/>
            <w:vAlign w:val="center"/>
          </w:tcPr>
          <w:p w14:paraId="68C8C4E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固体废物</w:t>
            </w:r>
          </w:p>
        </w:tc>
        <w:tc>
          <w:tcPr>
            <w:tcW w:w="1609" w:type="dxa"/>
            <w:vAlign w:val="center"/>
          </w:tcPr>
          <w:p w14:paraId="35195A1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落地油</w:t>
            </w:r>
          </w:p>
        </w:tc>
        <w:tc>
          <w:tcPr>
            <w:tcW w:w="1735" w:type="dxa"/>
            <w:vAlign w:val="center"/>
          </w:tcPr>
          <w:p w14:paraId="43D876A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51EF215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3</w:t>
            </w:r>
            <w:r>
              <w:rPr>
                <w:rFonts w:hint="default"/>
                <w:color w:val="000000" w:themeColor="text1"/>
                <w:sz w:val="21"/>
                <w:szCs w:val="21"/>
                <w:highlight w:val="none"/>
                <w14:textFill>
                  <w14:solidFill>
                    <w14:schemeClr w14:val="tx1"/>
                  </w14:solidFill>
                </w14:textFill>
              </w:rPr>
              <w:t>t/a</w:t>
            </w:r>
          </w:p>
        </w:tc>
        <w:tc>
          <w:tcPr>
            <w:tcW w:w="1314" w:type="dxa"/>
            <w:vAlign w:val="center"/>
          </w:tcPr>
          <w:p w14:paraId="22FD835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0367BB2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落地油不在施工井场储存，直接在作业施工现场由施工人员回收至密闭的专用罐车内，统一由阿克苏塔河环保工程有限公司绿色环保工作站进行无害化处理。</w:t>
            </w:r>
          </w:p>
        </w:tc>
      </w:tr>
      <w:tr w14:paraId="417C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2F1979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56ECA02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废防渗材料</w:t>
            </w:r>
          </w:p>
        </w:tc>
        <w:tc>
          <w:tcPr>
            <w:tcW w:w="1735" w:type="dxa"/>
            <w:vAlign w:val="center"/>
          </w:tcPr>
          <w:p w14:paraId="5E41843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59B67DE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75</w:t>
            </w:r>
            <w:r>
              <w:rPr>
                <w:rFonts w:hint="default"/>
                <w:color w:val="000000" w:themeColor="text1"/>
                <w:sz w:val="21"/>
                <w:szCs w:val="21"/>
                <w:highlight w:val="none"/>
                <w:lang w:val="en-US" w:eastAsia="zh-CN"/>
                <w14:textFill>
                  <w14:solidFill>
                    <w14:schemeClr w14:val="tx1"/>
                  </w14:solidFill>
                </w14:textFill>
              </w:rPr>
              <w:t>t/a</w:t>
            </w:r>
          </w:p>
        </w:tc>
        <w:tc>
          <w:tcPr>
            <w:tcW w:w="1314" w:type="dxa"/>
            <w:vAlign w:val="center"/>
          </w:tcPr>
          <w:p w14:paraId="31BFEF9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111E9B9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施工单位将废弃的废防渗材料集中收集，不在井场贮存，委托持有危险废物经营许可证的单位利用处置</w:t>
            </w:r>
            <w:r>
              <w:rPr>
                <w:rFonts w:hint="eastAsia"/>
                <w:color w:val="000000" w:themeColor="text1"/>
                <w:sz w:val="21"/>
                <w:szCs w:val="21"/>
                <w:highlight w:val="none"/>
                <w:lang w:val="en-US" w:eastAsia="zh-CN"/>
                <w14:textFill>
                  <w14:solidFill>
                    <w14:schemeClr w14:val="tx1"/>
                  </w14:solidFill>
                </w14:textFill>
              </w:rPr>
              <w:t>。</w:t>
            </w:r>
          </w:p>
        </w:tc>
      </w:tr>
      <w:tr w14:paraId="224F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664" w:type="dxa"/>
            <w:vMerge w:val="continue"/>
            <w:vAlign w:val="center"/>
          </w:tcPr>
          <w:p w14:paraId="3419A34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0523B85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清罐底泥</w:t>
            </w:r>
          </w:p>
        </w:tc>
        <w:tc>
          <w:tcPr>
            <w:tcW w:w="1735" w:type="dxa"/>
            <w:vAlign w:val="center"/>
          </w:tcPr>
          <w:p w14:paraId="324AB74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2A45D53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0.1t/a</w:t>
            </w:r>
          </w:p>
        </w:tc>
        <w:tc>
          <w:tcPr>
            <w:tcW w:w="1314" w:type="dxa"/>
            <w:vAlign w:val="center"/>
          </w:tcPr>
          <w:p w14:paraId="028D09F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2C0AF4E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施工人员回收至密闭的专用罐车内，委托持有危险废物经营许可证的单位利用处置</w:t>
            </w:r>
            <w:r>
              <w:rPr>
                <w:rFonts w:hint="default"/>
                <w:color w:val="000000" w:themeColor="text1"/>
                <w:sz w:val="21"/>
                <w:szCs w:val="21"/>
                <w:highlight w:val="none"/>
                <w14:textFill>
                  <w14:solidFill>
                    <w14:schemeClr w14:val="tx1"/>
                  </w14:solidFill>
                </w14:textFill>
              </w:rPr>
              <w:t>。</w:t>
            </w:r>
          </w:p>
        </w:tc>
      </w:tr>
      <w:tr w14:paraId="707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080AE8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33D0532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废润滑油</w:t>
            </w:r>
          </w:p>
        </w:tc>
        <w:tc>
          <w:tcPr>
            <w:tcW w:w="1735" w:type="dxa"/>
            <w:vAlign w:val="center"/>
          </w:tcPr>
          <w:p w14:paraId="304FED4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0A07495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0.5t/a</w:t>
            </w:r>
          </w:p>
        </w:tc>
        <w:tc>
          <w:tcPr>
            <w:tcW w:w="1314" w:type="dxa"/>
            <w:vAlign w:val="center"/>
          </w:tcPr>
          <w:p w14:paraId="2352EA6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6099CD7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自行利用回注系统或委托持有危险废物经营许可证的单位利用处置</w:t>
            </w:r>
          </w:p>
        </w:tc>
      </w:tr>
      <w:bookmarkEnd w:id="672"/>
      <w:bookmarkEnd w:id="673"/>
      <w:bookmarkEnd w:id="674"/>
    </w:tbl>
    <w:p w14:paraId="726317C3">
      <w:pPr>
        <w:pStyle w:val="4"/>
        <w:keepNext/>
        <w:keepLines/>
        <w:pageBreakBefore w:val="0"/>
        <w:kinsoku/>
        <w:wordWrap/>
        <w:overflowPunct/>
        <w:topLinePunct w:val="0"/>
        <w:autoSpaceDE/>
        <w:autoSpaceDN/>
        <w:bidi w:val="0"/>
        <w:adjustRightInd w:val="0"/>
        <w:snapToGrid w:val="0"/>
        <w:spacing w:before="0" w:after="0" w:afterLines="0" w:line="360" w:lineRule="auto"/>
        <w:textAlignment w:val="auto"/>
        <w:rPr>
          <w:rFonts w:hint="default" w:ascii="Times New Roman" w:hAnsi="Times New Roman" w:cs="Times New Roman"/>
          <w:color w:val="000000" w:themeColor="text1"/>
          <w:sz w:val="28"/>
          <w:szCs w:val="28"/>
          <w:highlight w:val="none"/>
          <w14:textFill>
            <w14:solidFill>
              <w14:schemeClr w14:val="tx1"/>
            </w14:solidFill>
          </w14:textFill>
        </w:rPr>
      </w:pPr>
      <w:bookmarkStart w:id="676" w:name="_Toc9091"/>
      <w:bookmarkStart w:id="677" w:name="_Toc3567"/>
      <w:r>
        <w:rPr>
          <w:rFonts w:hint="default" w:ascii="Times New Roman" w:hAnsi="Times New Roman" w:cs="Times New Roman"/>
          <w:color w:val="000000" w:themeColor="text1"/>
          <w:sz w:val="28"/>
          <w:szCs w:val="28"/>
          <w:highlight w:val="none"/>
          <w14:textFill>
            <w14:solidFill>
              <w14:schemeClr w14:val="tx1"/>
            </w14:solidFill>
          </w14:textFill>
        </w:rPr>
        <w:t>3.</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cs="Times New Roman"/>
          <w:color w:val="000000" w:themeColor="text1"/>
          <w:sz w:val="28"/>
          <w:szCs w:val="28"/>
          <w:highlight w:val="none"/>
          <w14:textFill>
            <w14:solidFill>
              <w14:schemeClr w14:val="tx1"/>
            </w14:solidFill>
          </w14:textFill>
        </w:rPr>
        <w:t>.</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cs="Times New Roman"/>
          <w:color w:val="000000" w:themeColor="text1"/>
          <w:sz w:val="28"/>
          <w:szCs w:val="28"/>
          <w:highlight w:val="none"/>
          <w14:textFill>
            <w14:solidFill>
              <w14:schemeClr w14:val="tx1"/>
            </w14:solidFill>
          </w14:textFill>
        </w:rPr>
        <w:t>退役期环境影响因素分析</w:t>
      </w:r>
    </w:p>
    <w:p w14:paraId="4B16FC6B">
      <w:pPr>
        <w:keepNext/>
        <w:keepLines/>
        <w:pageBreakBefore w:val="0"/>
        <w:widowControl w:val="0"/>
        <w:kinsoku/>
        <w:wordWrap/>
        <w:overflowPunct/>
        <w:topLinePunct w:val="0"/>
        <w:autoSpaceDE/>
        <w:autoSpaceDN/>
        <w:bidi w:val="0"/>
        <w:adjustRightInd w:val="0"/>
        <w:snapToGrid w:val="0"/>
        <w:spacing w:beforeLines="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退役期的环境影响主要为井区停采后进行一系列的清理工作，包括地面设施的拆除、封井、井场清理等，将产生少量扬尘、地表废弃建筑、不可移动的废弃设施等固体废物。在闭井施工操作中应注意采取降尘措施，同时，将产生的建筑垃圾进行集中收集，</w:t>
      </w:r>
      <w:r>
        <w:rPr>
          <w:rFonts w:hint="eastAsia" w:cs="宋体"/>
          <w:b w:val="0"/>
          <w:snapToGrid/>
          <w:color w:val="000000" w:themeColor="text1"/>
          <w:kern w:val="0"/>
          <w:sz w:val="24"/>
          <w:szCs w:val="24"/>
          <w:highlight w:val="none"/>
          <w:lang w:val="en-US" w:eastAsia="zh-CN" w:bidi="ar-SA"/>
          <w14:textFill>
            <w14:solidFill>
              <w14:schemeClr w14:val="tx1"/>
            </w14:solidFill>
          </w14:textFill>
        </w:rPr>
        <w:t>委托有资质的单位</w:t>
      </w: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运至固废填埋场进行填埋处理。</w:t>
      </w:r>
    </w:p>
    <w:bookmarkEnd w:id="564"/>
    <w:p w14:paraId="602F9E33">
      <w:pPr>
        <w:pStyle w:val="4"/>
        <w:keepNext/>
        <w:keepLines/>
        <w:pageBreakBefore w:val="0"/>
        <w:kinsoku/>
        <w:wordWrap/>
        <w:overflowPunct/>
        <w:topLinePunct w:val="0"/>
        <w:autoSpaceDE/>
        <w:autoSpaceDN/>
        <w:bidi w:val="0"/>
        <w:adjustRightInd w:val="0"/>
        <w:snapToGrid w:val="0"/>
        <w:spacing w:before="0" w:after="0" w:afterLines="0" w:line="360" w:lineRule="auto"/>
        <w:textAlignment w:val="auto"/>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3.</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cs="Times New Roman"/>
          <w:color w:val="000000" w:themeColor="text1"/>
          <w:sz w:val="28"/>
          <w:szCs w:val="28"/>
          <w:highlight w:val="none"/>
          <w14:textFill>
            <w14:solidFill>
              <w14:schemeClr w14:val="tx1"/>
            </w14:solidFill>
          </w14:textFill>
        </w:rPr>
        <w:t>.</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cs="Times New Roman"/>
          <w:color w:val="000000" w:themeColor="text1"/>
          <w:sz w:val="28"/>
          <w:szCs w:val="28"/>
          <w:highlight w:val="none"/>
          <w14:textFill>
            <w14:solidFill>
              <w14:schemeClr w14:val="tx1"/>
            </w14:solidFill>
          </w14:textFill>
        </w:rPr>
        <w:t>非正常排放</w:t>
      </w:r>
    </w:p>
    <w:p w14:paraId="3F39F02A">
      <w:pPr>
        <w:pStyle w:val="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本项目油气开采过程中设置了先进的井控装置（井底安全阀），若压力过高，通过井底安全阀对采油设备进行关闭，防止和控制井喷事故发生。因此，本项目油气开采过程无事故工况污染物的排放。</w:t>
      </w:r>
    </w:p>
    <w:p w14:paraId="32945B1C">
      <w:pPr>
        <w:pStyle w:val="1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本工程在井场设置放空火炬</w:t>
      </w:r>
      <w:r>
        <w:rPr>
          <w:rFonts w:hint="eastAsia"/>
          <w:color w:val="000000" w:themeColor="text1"/>
          <w:highlight w:val="none"/>
          <w:lang w:val="en-US" w:eastAsia="zh-CN"/>
          <w14:textFill>
            <w14:solidFill>
              <w14:schemeClr w14:val="tx1"/>
            </w14:solidFill>
          </w14:textFill>
        </w:rPr>
        <w:t>区</w:t>
      </w:r>
      <w:r>
        <w:rPr>
          <w:rFonts w:hint="eastAsia"/>
          <w:color w:val="000000" w:themeColor="text1"/>
          <w:highlight w:val="none"/>
          <w14:textFill>
            <w14:solidFill>
              <w14:schemeClr w14:val="tx1"/>
            </w14:solidFill>
          </w14:textFill>
        </w:rPr>
        <w:t>，用于</w:t>
      </w:r>
      <w:r>
        <w:rPr>
          <w:rFonts w:hint="eastAsia"/>
          <w:color w:val="000000" w:themeColor="text1"/>
          <w:highlight w:val="none"/>
          <w:lang w:val="en-US" w:eastAsia="zh-CN"/>
          <w14:textFill>
            <w14:solidFill>
              <w14:schemeClr w14:val="tx1"/>
            </w14:solidFill>
          </w14:textFill>
        </w:rPr>
        <w:t>多功能储集器的闪蒸气经过管线进入火炬分液罐，在放空火炬分液罐中分离出携带的液滴后进入放空火炬焚烧。</w:t>
      </w:r>
    </w:p>
    <w:p w14:paraId="54661D0A">
      <w:pPr>
        <w:pStyle w:val="4"/>
        <w:keepNext/>
        <w:keepLines/>
        <w:pageBreakBefore w:val="0"/>
        <w:widowControl w:val="0"/>
        <w:kinsoku/>
        <w:wordWrap/>
        <w:overflowPunct/>
        <w:topLinePunct w:val="0"/>
        <w:autoSpaceDE/>
        <w:autoSpaceDN/>
        <w:bidi w:val="0"/>
        <w:adjustRightInd w:val="0"/>
        <w:snapToGrid w:val="0"/>
        <w:spacing w:beforeLines="0" w:after="0" w:line="360" w:lineRule="auto"/>
        <w:textAlignment w:val="auto"/>
        <w:outlineLvl w:val="2"/>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pPr>
      <w:bookmarkStart w:id="678" w:name="OLE_LINK260"/>
      <w:bookmarkStart w:id="679" w:name="OLE_LINK262"/>
      <w:r>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8"/>
          <w:highlight w:val="none"/>
          <w:lang w:val="en-US" w:eastAsia="zh-CN" w:bidi="ar-SA"/>
          <w14:textFill>
            <w14:solidFill>
              <w14:schemeClr w14:val="tx1"/>
            </w14:solidFill>
          </w14:textFill>
        </w:rPr>
        <w:t>3.</w:t>
      </w:r>
      <w:bookmarkEnd w:id="676"/>
      <w:bookmarkEnd w:id="678"/>
      <w:r>
        <w:rPr>
          <w:rFonts w:hint="eastAsia" w:ascii="Times New Roman" w:hAnsi="Times New Roman" w:eastAsia="宋体" w:cs="Times New Roman"/>
          <w:b/>
          <w:snapToGrid w:val="0"/>
          <w:color w:val="000000" w:themeColor="text1"/>
          <w:kern w:val="0"/>
          <w:sz w:val="28"/>
          <w:szCs w:val="28"/>
          <w:highlight w:val="none"/>
          <w:lang w:val="en-US" w:eastAsia="zh-CN" w:bidi="ar-SA"/>
          <w14:textFill>
            <w14:solidFill>
              <w14:schemeClr w14:val="tx1"/>
            </w14:solidFill>
          </w14:textFill>
        </w:rPr>
        <w:t>6</w:t>
      </w:r>
      <w:r>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t>清洁生产水平分析</w:t>
      </w:r>
    </w:p>
    <w:bookmarkEnd w:id="677"/>
    <w:bookmarkEnd w:id="679"/>
    <w:p w14:paraId="77F21BA0">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680" w:name="OLE_LINK261"/>
      <w:r>
        <w:rPr>
          <w:rFonts w:hint="default" w:ascii="Times New Roman" w:hAnsi="Times New Roman" w:eastAsia="宋体" w:cs="Times New Roman"/>
          <w:color w:val="000000" w:themeColor="text1"/>
          <w:highlight w:val="none"/>
          <w14:textFill>
            <w14:solidFill>
              <w14:schemeClr w14:val="tx1"/>
            </w14:solidFill>
          </w14:textFill>
        </w:rPr>
        <w:t>3.3.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6.1</w:t>
      </w:r>
      <w:bookmarkEnd w:id="680"/>
      <w:r>
        <w:rPr>
          <w:rFonts w:hint="default" w:ascii="Times New Roman" w:hAnsi="Times New Roman" w:eastAsia="宋体" w:cs="Times New Roman"/>
          <w:color w:val="000000" w:themeColor="text1"/>
          <w:highlight w:val="none"/>
          <w:lang w:val="en-US" w:eastAsia="en-US"/>
          <w14:textFill>
            <w14:solidFill>
              <w14:schemeClr w14:val="tx1"/>
            </w14:solidFill>
          </w14:textFill>
        </w:rPr>
        <w:t>油气处理清洁生产工艺</w:t>
      </w:r>
    </w:p>
    <w:p w14:paraId="58BC87B2">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bookmarkStart w:id="681" w:name="OLE_LINK258"/>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）采用自动系统对</w:t>
      </w:r>
      <w:bookmarkEnd w:id="681"/>
      <w:r>
        <w:rPr>
          <w:rFonts w:hint="eastAsia"/>
          <w:color w:val="000000" w:themeColor="text1"/>
          <w:sz w:val="24"/>
          <w:szCs w:val="24"/>
          <w:highlight w:val="none"/>
          <w14:textFill>
            <w14:solidFill>
              <w14:schemeClr w14:val="tx1"/>
            </w14:solidFill>
          </w14:textFill>
        </w:rPr>
        <w:t>主要采气和</w:t>
      </w:r>
      <w:r>
        <w:rPr>
          <w:rFonts w:hint="eastAsia"/>
          <w:color w:val="000000" w:themeColor="text1"/>
          <w:sz w:val="24"/>
          <w:szCs w:val="24"/>
          <w:highlight w:val="none"/>
          <w:lang w:val="en-US" w:eastAsia="zh-CN"/>
          <w14:textFill>
            <w14:solidFill>
              <w14:schemeClr w14:val="tx1"/>
            </w14:solidFill>
          </w14:textFill>
        </w:rPr>
        <w:t>拉运</w:t>
      </w:r>
      <w:r>
        <w:rPr>
          <w:rFonts w:hint="eastAsia"/>
          <w:color w:val="000000" w:themeColor="text1"/>
          <w:sz w:val="24"/>
          <w:szCs w:val="24"/>
          <w:highlight w:val="none"/>
          <w14:textFill>
            <w14:solidFill>
              <w14:schemeClr w14:val="tx1"/>
            </w14:solidFill>
          </w14:textFill>
        </w:rPr>
        <w:t>工艺参数进行控制，能够提高管理水平，尽量简化工艺过程，减少操作人员，同时使</w:t>
      </w:r>
      <w:r>
        <w:rPr>
          <w:rFonts w:hint="eastAsia"/>
          <w:color w:val="000000" w:themeColor="text1"/>
          <w:sz w:val="24"/>
          <w:szCs w:val="24"/>
          <w:highlight w:val="none"/>
          <w:lang w:val="en-US" w:eastAsia="zh-CN"/>
          <w14:textFill>
            <w14:solidFill>
              <w14:schemeClr w14:val="tx1"/>
            </w14:solidFill>
          </w14:textFill>
        </w:rPr>
        <w:t>拉运</w:t>
      </w:r>
      <w:r>
        <w:rPr>
          <w:rFonts w:hint="eastAsia"/>
          <w:color w:val="000000" w:themeColor="text1"/>
          <w:sz w:val="24"/>
          <w:szCs w:val="24"/>
          <w:highlight w:val="none"/>
          <w14:textFill>
            <w14:solidFill>
              <w14:schemeClr w14:val="tx1"/>
            </w14:solidFill>
          </w14:textFill>
        </w:rPr>
        <w:t>系统的安全性、可靠性得到保证。</w:t>
      </w:r>
    </w:p>
    <w:p w14:paraId="6EDF5B3F">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）本工程工艺流程为单井油气经油嘴后，经电磁加热器加热</w:t>
      </w:r>
      <w:r>
        <w:rPr>
          <w:rFonts w:hint="eastAsia"/>
          <w:color w:val="000000" w:themeColor="text1"/>
          <w:sz w:val="24"/>
          <w:szCs w:val="24"/>
          <w:highlight w:val="none"/>
          <w:lang w:val="en-US" w:eastAsia="zh-CN"/>
          <w14:textFill>
            <w14:solidFill>
              <w14:schemeClr w14:val="tx1"/>
            </w14:solidFill>
          </w14:textFill>
        </w:rPr>
        <w:t>后</w:t>
      </w:r>
      <w:r>
        <w:rPr>
          <w:rFonts w:hint="eastAsia"/>
          <w:color w:val="000000" w:themeColor="text1"/>
          <w:sz w:val="24"/>
          <w:szCs w:val="24"/>
          <w:highlight w:val="none"/>
          <w14:textFill>
            <w14:solidFill>
              <w14:schemeClr w14:val="tx1"/>
            </w14:solidFill>
          </w14:textFill>
        </w:rPr>
        <w:t>进油气计量分离器分离，经分离后凝析油进多功能储集器缓冲装车外运至雅克拉集气处理站处理，天然气经油气计量分离器分离后，湿气销售至第三方公司，由第三方公司处理后装车外销。</w:t>
      </w:r>
    </w:p>
    <w:p w14:paraId="32E7A9DD">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14:textFill>
            <w14:solidFill>
              <w14:schemeClr w14:val="tx1"/>
            </w14:solidFill>
          </w14:textFill>
        </w:rPr>
        <w:t>运营期井下作业清洁生产工艺</w:t>
      </w:r>
    </w:p>
    <w:p w14:paraId="08BFBA08">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（1）在井场加强井口的密闭，减少井口烃类的无组织挥发。</w:t>
      </w:r>
    </w:p>
    <w:p w14:paraId="5FD6CBBB">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（2）生产过程中起下油管时，安装自封式封井器，避免</w:t>
      </w:r>
      <w:r>
        <w:rPr>
          <w:rFonts w:hint="eastAsia" w:ascii="Times New Roman" w:hAnsi="Times New Roman" w:cs="Times New Roman"/>
          <w:color w:val="000000" w:themeColor="text1"/>
          <w:highlight w:val="none"/>
          <w:lang w:val="en-US" w:eastAsia="zh-CN"/>
          <w14:textFill>
            <w14:solidFill>
              <w14:schemeClr w14:val="tx1"/>
            </w14:solidFill>
          </w14:textFill>
        </w:rPr>
        <w:t>凝析油</w:t>
      </w:r>
      <w:r>
        <w:rPr>
          <w:rFonts w:hint="default" w:ascii="Times New Roman" w:hAnsi="Times New Roman" w:cs="Times New Roman"/>
          <w:color w:val="000000" w:themeColor="text1"/>
          <w:highlight w:val="none"/>
          <w14:textFill>
            <w14:solidFill>
              <w14:schemeClr w14:val="tx1"/>
            </w14:solidFill>
          </w14:textFill>
        </w:rPr>
        <w:t>、污水喷出；另外，对运输车辆采取防渗漏、溢流和散落的措施。</w:t>
      </w:r>
    </w:p>
    <w:p w14:paraId="7C963F0C">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（3）在井下作业过程中，作业单位自带回收罐回收井下作业废水，依托阿克苏塔河环保工程有限公司绿色环保工作站处理。</w:t>
      </w:r>
    </w:p>
    <w:p w14:paraId="1D9D0C16">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6.3</w:t>
      </w:r>
      <w:r>
        <w:rPr>
          <w:rFonts w:hint="default" w:ascii="Times New Roman" w:hAnsi="Times New Roman" w:eastAsia="宋体" w:cs="Times New Roman"/>
          <w:color w:val="000000" w:themeColor="text1"/>
          <w:highlight w:val="none"/>
          <w14:textFill>
            <w14:solidFill>
              <w14:schemeClr w14:val="tx1"/>
            </w14:solidFill>
          </w14:textFill>
        </w:rPr>
        <w:t>节能及其</w:t>
      </w:r>
      <w:r>
        <w:rPr>
          <w:rFonts w:hint="eastAsia" w:ascii="Times New Roman" w:hAnsi="Times New Roman" w:cs="Times New Roman"/>
          <w:color w:val="000000" w:themeColor="text1"/>
          <w:highlight w:val="none"/>
          <w:lang w:eastAsia="zh-CN"/>
          <w14:textFill>
            <w14:solidFill>
              <w14:schemeClr w14:val="tx1"/>
            </w14:solidFill>
          </w14:textFill>
        </w:rPr>
        <w:t>他</w:t>
      </w:r>
      <w:r>
        <w:rPr>
          <w:rFonts w:hint="default" w:ascii="Times New Roman" w:hAnsi="Times New Roman" w:eastAsia="宋体" w:cs="Times New Roman"/>
          <w:color w:val="000000" w:themeColor="text1"/>
          <w:highlight w:val="none"/>
          <w14:textFill>
            <w14:solidFill>
              <w14:schemeClr w14:val="tx1"/>
            </w14:solidFill>
          </w14:textFill>
        </w:rPr>
        <w:t>清洁生产措施分析</w:t>
      </w:r>
    </w:p>
    <w:p w14:paraId="06FFD5F1">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（1）优化</w:t>
      </w:r>
      <w:r>
        <w:rPr>
          <w:rFonts w:hint="eastAsia" w:ascii="Times New Roman" w:hAnsi="Times New Roman" w:cs="Times New Roman"/>
          <w:color w:val="000000" w:themeColor="text1"/>
          <w:highlight w:val="none"/>
          <w:lang w:val="en-US" w:eastAsia="zh-CN"/>
          <w14:textFill>
            <w14:solidFill>
              <w14:schemeClr w14:val="tx1"/>
            </w14:solidFill>
          </w14:textFill>
        </w:rPr>
        <w:t>凝析</w:t>
      </w:r>
      <w:r>
        <w:rPr>
          <w:rFonts w:hint="default" w:ascii="Times New Roman" w:hAnsi="Times New Roman" w:cs="Times New Roman"/>
          <w:color w:val="000000" w:themeColor="text1"/>
          <w:highlight w:val="none"/>
          <w14:textFill>
            <w14:solidFill>
              <w14:schemeClr w14:val="tx1"/>
            </w14:solidFill>
          </w14:textFill>
        </w:rPr>
        <w:t>油运输路线，降低生产运行及车辆运输时间。</w:t>
      </w:r>
    </w:p>
    <w:p w14:paraId="0AE0F921">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（2）选用节能型电气设备。站场的动力、供电等设备根据设计所确定的用电负荷，在保证安全要求的前提下，选择节能型的设备，防止造成大量能耗，从而降低生产成本。</w:t>
      </w:r>
    </w:p>
    <w:p w14:paraId="78726786">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（3）采油区采用自动化管理，提高管理水平。</w:t>
      </w:r>
    </w:p>
    <w:p w14:paraId="7EF7B947">
      <w:pPr>
        <w:pStyle w:val="11"/>
        <w:pageBreakBefore w:val="0"/>
        <w:widowControl w:val="0"/>
        <w:kinsoku/>
        <w:wordWrap/>
        <w:overflowPunct/>
        <w:topLinePunct w:val="0"/>
        <w:autoSpaceDE/>
        <w:autoSpaceDN/>
        <w:bidi w:val="0"/>
        <w:adjustRightInd w:val="0"/>
        <w:snapToGrid w:val="0"/>
        <w:textAlignment w:val="auto"/>
        <w:outlineLvl w:val="3"/>
        <w:rPr>
          <w:rFonts w:hint="default"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3.3.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6.4</w:t>
      </w:r>
      <w:r>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t>建立有效的环境管理制</w:t>
      </w:r>
      <w:r>
        <w:rPr>
          <w:rFonts w:hint="default"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度</w:t>
      </w:r>
    </w:p>
    <w:p w14:paraId="1F9975B3">
      <w:pPr>
        <w:pStyle w:val="1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本工程将环境管理和环境监测纳入</w:t>
      </w:r>
      <w:r>
        <w:rPr>
          <w:rFonts w:hint="eastAsia" w:ascii="Times New Roman" w:hAnsi="Times New Roman" w:cs="Times New Roman"/>
          <w:color w:val="000000" w:themeColor="text1"/>
          <w:highlight w:val="none"/>
          <w:lang w:val="en-US" w:eastAsia="zh-CN"/>
          <w14:textFill>
            <w14:solidFill>
              <w14:schemeClr w14:val="tx1"/>
            </w14:solidFill>
          </w14:textFill>
        </w:rPr>
        <w:t>西北油田分</w:t>
      </w:r>
      <w:r>
        <w:rPr>
          <w:rFonts w:hint="default" w:ascii="Times New Roman" w:hAnsi="Times New Roman" w:cs="Times New Roman"/>
          <w:color w:val="000000" w:themeColor="text1"/>
          <w:highlight w:val="none"/>
          <w:lang w:eastAsia="zh-CN"/>
          <w14:textFill>
            <w14:solidFill>
              <w14:schemeClr w14:val="tx1"/>
            </w14:solidFill>
          </w14:textFill>
        </w:rPr>
        <w:t>公司负责，采用HSE管理模式，注重对员工进行培训，使员工自觉遵守</w:t>
      </w:r>
      <w:bookmarkStart w:id="682" w:name="OLE_LINK1522"/>
      <w:r>
        <w:rPr>
          <w:rFonts w:hint="default" w:ascii="Times New Roman" w:hAnsi="Times New Roman" w:cs="Times New Roman"/>
          <w:color w:val="000000" w:themeColor="text1"/>
          <w:highlight w:val="none"/>
          <w:lang w:eastAsia="zh-CN"/>
          <w14:textFill>
            <w14:solidFill>
              <w14:schemeClr w14:val="tx1"/>
            </w14:solidFill>
          </w14:textFill>
        </w:rPr>
        <w:t>HSE</w:t>
      </w:r>
      <w:bookmarkEnd w:id="682"/>
      <w:r>
        <w:rPr>
          <w:rFonts w:hint="default" w:ascii="Times New Roman" w:hAnsi="Times New Roman" w:cs="Times New Roman"/>
          <w:color w:val="000000" w:themeColor="text1"/>
          <w:highlight w:val="none"/>
          <w:lang w:eastAsia="zh-CN"/>
          <w14:textFill>
            <w14:solidFill>
              <w14:schemeClr w14:val="tx1"/>
            </w14:solidFill>
          </w14:textFill>
        </w:rPr>
        <w:t>管理要求，保护自身的安全和健康。为减少和杜绝环境污染事故的发生，建立、健全管理规章制度，</w:t>
      </w:r>
      <w:r>
        <w:rPr>
          <w:rFonts w:hint="eastAsia" w:ascii="Times New Roman" w:hAnsi="Times New Roman" w:cs="Times New Roman"/>
          <w:color w:val="000000" w:themeColor="text1"/>
          <w:highlight w:val="none"/>
          <w:lang w:eastAsia="zh-CN"/>
          <w14:textFill>
            <w14:solidFill>
              <w14:schemeClr w14:val="tx1"/>
            </w14:solidFill>
          </w14:textFill>
        </w:rPr>
        <w:t>制定</w:t>
      </w:r>
      <w:r>
        <w:rPr>
          <w:rFonts w:hint="default" w:ascii="Times New Roman" w:hAnsi="Times New Roman" w:cs="Times New Roman"/>
          <w:color w:val="000000" w:themeColor="text1"/>
          <w:highlight w:val="none"/>
          <w:lang w:eastAsia="zh-CN"/>
          <w14:textFill>
            <w14:solidFill>
              <w14:schemeClr w14:val="tx1"/>
            </w14:solidFill>
          </w14:textFill>
        </w:rPr>
        <w:t>了详细的污染控制计划和实施方案，责任到人，指标到岗，实施监督；实行公平的奖惩制度，大力弘扬保护环境的行为</w:t>
      </w:r>
      <w:r>
        <w:rPr>
          <w:rFonts w:hint="default" w:ascii="Times New Roman" w:hAnsi="Times New Roman" w:cs="Times New Roman"/>
          <w:color w:val="000000" w:themeColor="text1"/>
          <w:highlight w:val="none"/>
          <w14:textFill>
            <w14:solidFill>
              <w14:schemeClr w14:val="tx1"/>
            </w14:solidFill>
          </w14:textFill>
        </w:rPr>
        <w:t>。</w:t>
      </w:r>
    </w:p>
    <w:p w14:paraId="51EFA42C">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6.5</w:t>
      </w:r>
      <w:r>
        <w:rPr>
          <w:rFonts w:hint="default"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清洁生产技术指标对比分析</w:t>
      </w:r>
    </w:p>
    <w:p w14:paraId="260D008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根据国家发展改革委、工业和信息化部 2009 年联合发布的《石油天然气开采行业清洁生产评价指标体系</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（试行）》</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和《陆上石油天然气开采业绿色矿山建设规范》（DZ/T0317-2018）对本工程的清洁生产水平进行评价。</w:t>
      </w:r>
    </w:p>
    <w:p w14:paraId="0A31AF6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（1）评价指标体系</w:t>
      </w:r>
    </w:p>
    <w:p w14:paraId="3708438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14:paraId="0AA6AE7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——定量评价指标</w:t>
      </w:r>
    </w:p>
    <w:p w14:paraId="1310095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14:paraId="149B833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——定性评价指标</w:t>
      </w:r>
    </w:p>
    <w:p w14:paraId="11619DA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根据国家有关推行清洁生产的产业发展和技术进步政策、资源环境保护政策规定以及行业发展规划选取，用于定性考核建设单位对有关政策、法规的符合性及清洁生产工作实施情况。</w:t>
      </w:r>
    </w:p>
    <w:p w14:paraId="29390FD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（2）评价依据</w:t>
      </w:r>
    </w:p>
    <w:p w14:paraId="5FA5E21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在定量评价指标体系中，各指标的评价基准值是衡量该项指标是否符合清洁生产基本要求的评价基准。本评价指标体系确定各定量评价指标的评价基准值的依据是：</w:t>
      </w:r>
    </w:p>
    <w:p w14:paraId="67F38CE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——凡国家或行业在有关政策、规划等文件中对该项指标已有明确要求的，执行国家要求的数值。</w:t>
      </w:r>
    </w:p>
    <w:p w14:paraId="177D72C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——凡国家或行业对该项指标尚无明确要求值的，则选用国内重点大中型油气勘探开发企业近年来清洁生产所实际达到的中上等以上水平的指标值。</w:t>
      </w:r>
    </w:p>
    <w:p w14:paraId="2EFE323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——定量评价指标体系的评价基准值代表行业清洁生产的平均先进水平。在定性评价指标体系中，衡量该项指标是否贯彻执行国家有关政策、法规的情况，按“是”或“否”两种选择来评定。</w:t>
      </w:r>
    </w:p>
    <w:p w14:paraId="0969C58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（3）权重分值</w:t>
      </w:r>
    </w:p>
    <w:p w14:paraId="3AA7D55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14:paraId="21BA312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（4）评价指标</w:t>
      </w:r>
    </w:p>
    <w:p w14:paraId="6F2B97C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石油天然气开采行业清洁生产评价指标体系》，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在行业评价指标项目、权重及基准值中未出现的指标，按照最高值进行确定，即清洁生产具有较高水平。</w:t>
      </w:r>
    </w:p>
    <w:p w14:paraId="3A026E59">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Cs w:val="24"/>
          <w:highlight w:val="none"/>
          <w:lang w:bidi="ar"/>
          <w14:textFill>
            <w14:solidFill>
              <w14:schemeClr w14:val="tx1"/>
            </w14:solidFill>
          </w14:textFill>
        </w:rPr>
      </w:pPr>
      <w:r>
        <w:rPr>
          <w:rFonts w:hint="default" w:ascii="Times New Roman" w:hAnsi="Times New Roman" w:eastAsia="宋体" w:cs="Times New Roman"/>
          <w:color w:val="000000" w:themeColor="text1"/>
          <w:szCs w:val="24"/>
          <w:highlight w:val="none"/>
          <w:lang w:bidi="ar"/>
          <w14:textFill>
            <w14:solidFill>
              <w14:schemeClr w14:val="tx1"/>
            </w14:solidFill>
          </w14:textFill>
        </w:rPr>
        <w:t>本项目涉及钻井作业、井下作业和采油气，定量和定性评价指标项目、权重及基准值见表3.</w:t>
      </w:r>
      <w:r>
        <w:rPr>
          <w:rFonts w:hint="eastAsia" w:ascii="Times New Roman" w:hAnsi="Times New Roman" w:eastAsia="宋体" w:cs="Times New Roman"/>
          <w:color w:val="000000" w:themeColor="text1"/>
          <w:szCs w:val="24"/>
          <w:highlight w:val="none"/>
          <w:lang w:val="en-US" w:eastAsia="zh-CN" w:bidi="ar"/>
          <w14:textFill>
            <w14:solidFill>
              <w14:schemeClr w14:val="tx1"/>
            </w14:solidFill>
          </w14:textFill>
        </w:rPr>
        <w:t>3-13</w:t>
      </w:r>
      <w:r>
        <w:rPr>
          <w:rFonts w:hint="default" w:ascii="Times New Roman" w:hAnsi="Times New Roman" w:eastAsia="宋体" w:cs="Times New Roman"/>
          <w:color w:val="000000" w:themeColor="text1"/>
          <w:szCs w:val="24"/>
          <w:highlight w:val="none"/>
          <w:lang w:bidi="ar"/>
          <w14:textFill>
            <w14:solidFill>
              <w14:schemeClr w14:val="tx1"/>
            </w14:solidFill>
          </w14:textFill>
        </w:rPr>
        <w:t>、表3</w:t>
      </w:r>
      <w:r>
        <w:rPr>
          <w:rFonts w:hint="eastAsia" w:ascii="Times New Roman" w:hAnsi="Times New Roman" w:eastAsia="宋体" w:cs="Times New Roman"/>
          <w:color w:val="000000" w:themeColor="text1"/>
          <w:szCs w:val="24"/>
          <w:highlight w:val="none"/>
          <w:lang w:val="en-US" w:eastAsia="zh-CN" w:bidi="ar"/>
          <w14:textFill>
            <w14:solidFill>
              <w14:schemeClr w14:val="tx1"/>
            </w14:solidFill>
          </w14:textFill>
        </w:rPr>
        <w:t>.3-14</w:t>
      </w:r>
      <w:r>
        <w:rPr>
          <w:rFonts w:hint="default" w:ascii="Times New Roman" w:hAnsi="Times New Roman" w:eastAsia="宋体" w:cs="Times New Roman"/>
          <w:color w:val="000000" w:themeColor="text1"/>
          <w:szCs w:val="24"/>
          <w:highlight w:val="none"/>
          <w:lang w:bidi="ar"/>
          <w14:textFill>
            <w14:solidFill>
              <w14:schemeClr w14:val="tx1"/>
            </w14:solidFill>
          </w14:textFill>
        </w:rPr>
        <w:t>、表</w:t>
      </w:r>
      <w:r>
        <w:rPr>
          <w:rFonts w:hint="eastAsia" w:ascii="Times New Roman" w:hAnsi="Times New Roman" w:eastAsia="宋体" w:cs="Times New Roman"/>
          <w:color w:val="000000" w:themeColor="text1"/>
          <w:szCs w:val="24"/>
          <w:highlight w:val="none"/>
          <w:lang w:val="en-US" w:eastAsia="zh-CN" w:bidi="ar"/>
          <w14:textFill>
            <w14:solidFill>
              <w14:schemeClr w14:val="tx1"/>
            </w14:solidFill>
          </w14:textFill>
        </w:rPr>
        <w:t>3.3-15</w:t>
      </w:r>
      <w:r>
        <w:rPr>
          <w:rFonts w:hint="default" w:ascii="Times New Roman" w:hAnsi="Times New Roman" w:eastAsia="宋体" w:cs="Times New Roman"/>
          <w:color w:val="000000" w:themeColor="text1"/>
          <w:szCs w:val="24"/>
          <w:highlight w:val="none"/>
          <w:lang w:bidi="ar"/>
          <w14:textFill>
            <w14:solidFill>
              <w14:schemeClr w14:val="tx1"/>
            </w14:solidFill>
          </w14:textFill>
        </w:rPr>
        <w:t>。</w:t>
      </w:r>
    </w:p>
    <w:p w14:paraId="0B7A4BC3">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3-13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钻井作业定量和定性评价指标项目、权重及基准值</w:t>
      </w:r>
    </w:p>
    <w:tbl>
      <w:tblPr>
        <w:tblStyle w:val="37"/>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48"/>
        <w:gridCol w:w="704"/>
        <w:gridCol w:w="841"/>
        <w:gridCol w:w="1225"/>
        <w:gridCol w:w="1587"/>
        <w:gridCol w:w="483"/>
        <w:gridCol w:w="1019"/>
        <w:gridCol w:w="682"/>
        <w:gridCol w:w="347"/>
      </w:tblGrid>
      <w:tr w14:paraId="43FA1323">
        <w:tblPrEx>
          <w:tblCellMar>
            <w:top w:w="0" w:type="dxa"/>
            <w:left w:w="28" w:type="dxa"/>
            <w:bottom w:w="0" w:type="dxa"/>
            <w:right w:w="28" w:type="dxa"/>
          </w:tblCellMar>
        </w:tblPrEx>
        <w:trPr>
          <w:trHeight w:val="283" w:hRule="atLeast"/>
          <w:jc w:val="center"/>
        </w:trPr>
        <w:tc>
          <w:tcPr>
            <w:tcW w:w="5000" w:type="pct"/>
            <w:gridSpan w:val="9"/>
            <w:vAlign w:val="center"/>
          </w:tcPr>
          <w:p w14:paraId="67F3A8FE">
            <w:pPr>
              <w:widowControl/>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定量指标</w:t>
            </w:r>
          </w:p>
        </w:tc>
      </w:tr>
      <w:tr w14:paraId="4326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Align w:val="center"/>
          </w:tcPr>
          <w:p w14:paraId="1528921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一级指标</w:t>
            </w:r>
          </w:p>
        </w:tc>
        <w:tc>
          <w:tcPr>
            <w:tcW w:w="412" w:type="pct"/>
            <w:vAlign w:val="center"/>
          </w:tcPr>
          <w:p w14:paraId="12CC5DF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权重值</w:t>
            </w:r>
          </w:p>
        </w:tc>
        <w:tc>
          <w:tcPr>
            <w:tcW w:w="1210" w:type="pct"/>
            <w:gridSpan w:val="2"/>
            <w:vAlign w:val="center"/>
          </w:tcPr>
          <w:p w14:paraId="4AF9023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二级指标</w:t>
            </w:r>
          </w:p>
        </w:tc>
        <w:tc>
          <w:tcPr>
            <w:tcW w:w="929" w:type="pct"/>
            <w:vAlign w:val="center"/>
          </w:tcPr>
          <w:p w14:paraId="105ED64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单位</w:t>
            </w:r>
          </w:p>
        </w:tc>
        <w:tc>
          <w:tcPr>
            <w:tcW w:w="283" w:type="pct"/>
            <w:vAlign w:val="center"/>
          </w:tcPr>
          <w:p w14:paraId="73A0287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权重分值</w:t>
            </w:r>
          </w:p>
        </w:tc>
        <w:tc>
          <w:tcPr>
            <w:tcW w:w="596" w:type="pct"/>
            <w:vAlign w:val="center"/>
          </w:tcPr>
          <w:p w14:paraId="0544B8C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评价基准值</w:t>
            </w:r>
          </w:p>
        </w:tc>
        <w:tc>
          <w:tcPr>
            <w:tcW w:w="399" w:type="pct"/>
            <w:vAlign w:val="center"/>
          </w:tcPr>
          <w:p w14:paraId="2292C52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估算值</w:t>
            </w:r>
          </w:p>
        </w:tc>
        <w:tc>
          <w:tcPr>
            <w:tcW w:w="203" w:type="pct"/>
            <w:vAlign w:val="center"/>
          </w:tcPr>
          <w:p w14:paraId="11B5977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得分</w:t>
            </w:r>
          </w:p>
        </w:tc>
      </w:tr>
      <w:tr w14:paraId="76D8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7E7771B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（1）资源和能源消耗指标</w:t>
            </w:r>
          </w:p>
        </w:tc>
        <w:tc>
          <w:tcPr>
            <w:tcW w:w="412" w:type="pct"/>
            <w:vMerge w:val="restart"/>
            <w:vAlign w:val="center"/>
          </w:tcPr>
          <w:p w14:paraId="7834C5F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20</w:t>
            </w:r>
          </w:p>
        </w:tc>
        <w:tc>
          <w:tcPr>
            <w:tcW w:w="1210" w:type="pct"/>
            <w:gridSpan w:val="2"/>
            <w:vAlign w:val="center"/>
          </w:tcPr>
          <w:p w14:paraId="4795902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占地面积</w:t>
            </w:r>
          </w:p>
        </w:tc>
        <w:tc>
          <w:tcPr>
            <w:tcW w:w="929" w:type="pct"/>
            <w:vAlign w:val="center"/>
          </w:tcPr>
          <w:p w14:paraId="4585536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hm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2</w:t>
            </w:r>
          </w:p>
        </w:tc>
        <w:tc>
          <w:tcPr>
            <w:tcW w:w="283" w:type="pct"/>
            <w:vAlign w:val="center"/>
          </w:tcPr>
          <w:p w14:paraId="2A2AB24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c>
          <w:tcPr>
            <w:tcW w:w="596" w:type="pct"/>
            <w:vAlign w:val="center"/>
          </w:tcPr>
          <w:p w14:paraId="6E99217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符合行业标准要求</w:t>
            </w:r>
          </w:p>
        </w:tc>
        <w:tc>
          <w:tcPr>
            <w:tcW w:w="399" w:type="pct"/>
            <w:vAlign w:val="center"/>
          </w:tcPr>
          <w:p w14:paraId="4C6FBCF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符合</w:t>
            </w:r>
          </w:p>
        </w:tc>
        <w:tc>
          <w:tcPr>
            <w:tcW w:w="203" w:type="pct"/>
            <w:vAlign w:val="center"/>
          </w:tcPr>
          <w:p w14:paraId="60C9147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r>
      <w:tr w14:paraId="637A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63F860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356B61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32F3392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新鲜水消耗</w:t>
            </w:r>
          </w:p>
        </w:tc>
        <w:tc>
          <w:tcPr>
            <w:tcW w:w="929" w:type="pct"/>
            <w:vAlign w:val="center"/>
          </w:tcPr>
          <w:p w14:paraId="6507F5A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t/100m标准进尺</w:t>
            </w:r>
          </w:p>
        </w:tc>
        <w:tc>
          <w:tcPr>
            <w:tcW w:w="283" w:type="pct"/>
            <w:vAlign w:val="center"/>
          </w:tcPr>
          <w:p w14:paraId="4AC8A9C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w:t>
            </w:r>
          </w:p>
        </w:tc>
        <w:tc>
          <w:tcPr>
            <w:tcW w:w="596" w:type="pct"/>
            <w:vAlign w:val="center"/>
          </w:tcPr>
          <w:p w14:paraId="13596F7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399" w:type="pct"/>
            <w:vAlign w:val="center"/>
          </w:tcPr>
          <w:p w14:paraId="504EB51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≤30</w:t>
            </w:r>
          </w:p>
        </w:tc>
        <w:tc>
          <w:tcPr>
            <w:tcW w:w="203" w:type="pct"/>
            <w:vAlign w:val="center"/>
          </w:tcPr>
          <w:p w14:paraId="7285430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w:t>
            </w:r>
          </w:p>
        </w:tc>
      </w:tr>
      <w:tr w14:paraId="2AB2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6AB1F8D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42D0167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62CD7DC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柴油消耗</w:t>
            </w:r>
          </w:p>
        </w:tc>
        <w:tc>
          <w:tcPr>
            <w:tcW w:w="929" w:type="pct"/>
            <w:vAlign w:val="center"/>
          </w:tcPr>
          <w:p w14:paraId="19CCB97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具有节油措施</w:t>
            </w:r>
          </w:p>
        </w:tc>
        <w:tc>
          <w:tcPr>
            <w:tcW w:w="283" w:type="pct"/>
            <w:vAlign w:val="center"/>
          </w:tcPr>
          <w:p w14:paraId="1FD547D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596" w:type="pct"/>
            <w:vAlign w:val="center"/>
          </w:tcPr>
          <w:p w14:paraId="67B4FE1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符合行业标准要求</w:t>
            </w:r>
          </w:p>
        </w:tc>
        <w:tc>
          <w:tcPr>
            <w:tcW w:w="399" w:type="pct"/>
            <w:vAlign w:val="center"/>
          </w:tcPr>
          <w:p w14:paraId="7BB2270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03" w:type="pct"/>
            <w:vAlign w:val="center"/>
          </w:tcPr>
          <w:p w14:paraId="1DEC769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6975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Align w:val="center"/>
          </w:tcPr>
          <w:p w14:paraId="1840722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（2）生产技术特征指标</w:t>
            </w:r>
          </w:p>
        </w:tc>
        <w:tc>
          <w:tcPr>
            <w:tcW w:w="412" w:type="pct"/>
            <w:vAlign w:val="center"/>
          </w:tcPr>
          <w:p w14:paraId="3083B7D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30</w:t>
            </w:r>
          </w:p>
        </w:tc>
        <w:tc>
          <w:tcPr>
            <w:tcW w:w="1210" w:type="pct"/>
            <w:gridSpan w:val="2"/>
            <w:vAlign w:val="center"/>
          </w:tcPr>
          <w:p w14:paraId="6ABC336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固井质量合格率</w:t>
            </w:r>
          </w:p>
        </w:tc>
        <w:tc>
          <w:tcPr>
            <w:tcW w:w="929" w:type="pct"/>
            <w:vAlign w:val="center"/>
          </w:tcPr>
          <w:p w14:paraId="4BC1974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83" w:type="pct"/>
            <w:vAlign w:val="center"/>
          </w:tcPr>
          <w:p w14:paraId="0231A4A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30</w:t>
            </w:r>
          </w:p>
        </w:tc>
        <w:tc>
          <w:tcPr>
            <w:tcW w:w="596" w:type="pct"/>
            <w:vAlign w:val="center"/>
          </w:tcPr>
          <w:p w14:paraId="0189698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≥95</w:t>
            </w:r>
          </w:p>
        </w:tc>
        <w:tc>
          <w:tcPr>
            <w:tcW w:w="399" w:type="pct"/>
            <w:vAlign w:val="center"/>
          </w:tcPr>
          <w:p w14:paraId="142C876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03" w:type="pct"/>
            <w:vAlign w:val="center"/>
          </w:tcPr>
          <w:p w14:paraId="12D0DD6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30</w:t>
            </w:r>
          </w:p>
        </w:tc>
      </w:tr>
      <w:tr w14:paraId="7EA6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3515E95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（3）资源综合利用指标</w:t>
            </w:r>
          </w:p>
        </w:tc>
        <w:tc>
          <w:tcPr>
            <w:tcW w:w="412" w:type="pct"/>
            <w:vMerge w:val="restart"/>
            <w:vAlign w:val="center"/>
          </w:tcPr>
          <w:p w14:paraId="05268C5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210" w:type="pct"/>
            <w:gridSpan w:val="2"/>
            <w:vAlign w:val="center"/>
          </w:tcPr>
          <w:p w14:paraId="519E9C0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钻井液循环率</w:t>
            </w:r>
          </w:p>
        </w:tc>
        <w:tc>
          <w:tcPr>
            <w:tcW w:w="929" w:type="pct"/>
            <w:vAlign w:val="center"/>
          </w:tcPr>
          <w:p w14:paraId="620527C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井深3000以上</w:t>
            </w:r>
          </w:p>
        </w:tc>
        <w:tc>
          <w:tcPr>
            <w:tcW w:w="283" w:type="pct"/>
            <w:vAlign w:val="center"/>
          </w:tcPr>
          <w:p w14:paraId="012F400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596" w:type="pct"/>
            <w:vAlign w:val="center"/>
          </w:tcPr>
          <w:p w14:paraId="750872C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≥75</w:t>
            </w:r>
            <w: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t>%</w:t>
            </w:r>
          </w:p>
        </w:tc>
        <w:tc>
          <w:tcPr>
            <w:tcW w:w="399" w:type="pct"/>
            <w:vAlign w:val="center"/>
          </w:tcPr>
          <w:p w14:paraId="4C2F26B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90%</w:t>
            </w:r>
          </w:p>
        </w:tc>
        <w:tc>
          <w:tcPr>
            <w:tcW w:w="203" w:type="pct"/>
            <w:vAlign w:val="center"/>
          </w:tcPr>
          <w:p w14:paraId="5463D4D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5CAE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61BA5AF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089B492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48DE103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柴油机效率</w:t>
            </w:r>
          </w:p>
        </w:tc>
        <w:tc>
          <w:tcPr>
            <w:tcW w:w="929" w:type="pct"/>
            <w:vAlign w:val="center"/>
          </w:tcPr>
          <w:p w14:paraId="2D17593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83" w:type="pct"/>
            <w:vAlign w:val="center"/>
          </w:tcPr>
          <w:p w14:paraId="134BFA6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596" w:type="pct"/>
            <w:vAlign w:val="center"/>
          </w:tcPr>
          <w:p w14:paraId="730C2E3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≥90</w:t>
            </w:r>
            <w: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t>%</w:t>
            </w:r>
          </w:p>
        </w:tc>
        <w:tc>
          <w:tcPr>
            <w:tcW w:w="399" w:type="pct"/>
            <w:vAlign w:val="center"/>
          </w:tcPr>
          <w:p w14:paraId="1B137A1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90%</w:t>
            </w:r>
          </w:p>
        </w:tc>
        <w:tc>
          <w:tcPr>
            <w:tcW w:w="203" w:type="pct"/>
            <w:vAlign w:val="center"/>
          </w:tcPr>
          <w:p w14:paraId="0293493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377E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4340FA8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865A49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41E1F17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污油回收率</w:t>
            </w:r>
          </w:p>
        </w:tc>
        <w:tc>
          <w:tcPr>
            <w:tcW w:w="929" w:type="pct"/>
            <w:vAlign w:val="center"/>
          </w:tcPr>
          <w:p w14:paraId="574742D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83" w:type="pct"/>
            <w:vAlign w:val="center"/>
          </w:tcPr>
          <w:p w14:paraId="70AC0D1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596" w:type="pct"/>
            <w:vAlign w:val="center"/>
          </w:tcPr>
          <w:p w14:paraId="1C977A5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≥90</w:t>
            </w:r>
            <w: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t>%</w:t>
            </w:r>
          </w:p>
        </w:tc>
        <w:tc>
          <w:tcPr>
            <w:tcW w:w="399" w:type="pct"/>
            <w:vAlign w:val="center"/>
          </w:tcPr>
          <w:p w14:paraId="2189F67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03" w:type="pct"/>
            <w:vAlign w:val="center"/>
          </w:tcPr>
          <w:p w14:paraId="460A648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7887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28A34EE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（4）污染物产生指标</w:t>
            </w:r>
          </w:p>
        </w:tc>
        <w:tc>
          <w:tcPr>
            <w:tcW w:w="412" w:type="pct"/>
            <w:vMerge w:val="restart"/>
            <w:vAlign w:val="center"/>
          </w:tcPr>
          <w:p w14:paraId="5C2B564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210" w:type="pct"/>
            <w:gridSpan w:val="2"/>
            <w:vAlign w:val="center"/>
          </w:tcPr>
          <w:p w14:paraId="1689D62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钻井废水产生量</w:t>
            </w:r>
          </w:p>
        </w:tc>
        <w:tc>
          <w:tcPr>
            <w:tcW w:w="929" w:type="pct"/>
            <w:vAlign w:val="center"/>
          </w:tcPr>
          <w:p w14:paraId="5AB846D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t/100m标准进尺</w:t>
            </w:r>
          </w:p>
        </w:tc>
        <w:tc>
          <w:tcPr>
            <w:tcW w:w="283" w:type="pct"/>
            <w:vAlign w:val="center"/>
          </w:tcPr>
          <w:p w14:paraId="41B32A5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596" w:type="pct"/>
            <w:vAlign w:val="center"/>
          </w:tcPr>
          <w:p w14:paraId="35644A8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甲类区：≤30；</w:t>
            </w:r>
          </w:p>
          <w:p w14:paraId="5C816BA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乙类区：≤35</w:t>
            </w:r>
          </w:p>
        </w:tc>
        <w:tc>
          <w:tcPr>
            <w:tcW w:w="399" w:type="pct"/>
            <w:vAlign w:val="center"/>
          </w:tcPr>
          <w:p w14:paraId="7123601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203" w:type="pct"/>
            <w:vAlign w:val="center"/>
          </w:tcPr>
          <w:p w14:paraId="603AB32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5E79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556304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5152C55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504D4B7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废弃钻井液产生量</w:t>
            </w:r>
          </w:p>
        </w:tc>
        <w:tc>
          <w:tcPr>
            <w:tcW w:w="929" w:type="pct"/>
            <w:vAlign w:val="center"/>
          </w:tcPr>
          <w:p w14:paraId="0881FFC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/100m标准进尺</w:t>
            </w:r>
          </w:p>
        </w:tc>
        <w:tc>
          <w:tcPr>
            <w:tcW w:w="283" w:type="pct"/>
            <w:vAlign w:val="center"/>
          </w:tcPr>
          <w:p w14:paraId="03C992B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596" w:type="pct"/>
            <w:vAlign w:val="center"/>
          </w:tcPr>
          <w:p w14:paraId="7B1BDFF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399" w:type="pct"/>
            <w:vAlign w:val="center"/>
          </w:tcPr>
          <w:p w14:paraId="052F540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w:t>
            </w:r>
          </w:p>
        </w:tc>
        <w:tc>
          <w:tcPr>
            <w:tcW w:w="203" w:type="pct"/>
            <w:vAlign w:val="center"/>
          </w:tcPr>
          <w:p w14:paraId="576D4DA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743B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79A495E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1DA2D68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60C4C2E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柴油机烟气排放</w:t>
            </w:r>
          </w:p>
          <w:p w14:paraId="44A87B0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浓度</w:t>
            </w:r>
          </w:p>
        </w:tc>
        <w:tc>
          <w:tcPr>
            <w:tcW w:w="929" w:type="pct"/>
            <w:vAlign w:val="center"/>
          </w:tcPr>
          <w:p w14:paraId="405BD02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83" w:type="pct"/>
            <w:vAlign w:val="center"/>
          </w:tcPr>
          <w:p w14:paraId="6453911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w:t>
            </w:r>
          </w:p>
        </w:tc>
        <w:tc>
          <w:tcPr>
            <w:tcW w:w="596" w:type="pct"/>
            <w:vAlign w:val="center"/>
          </w:tcPr>
          <w:p w14:paraId="2DE5628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符合排放标准要求</w:t>
            </w:r>
          </w:p>
        </w:tc>
        <w:tc>
          <w:tcPr>
            <w:tcW w:w="399" w:type="pct"/>
            <w:vAlign w:val="center"/>
          </w:tcPr>
          <w:p w14:paraId="0C744CF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03" w:type="pct"/>
            <w:vAlign w:val="center"/>
          </w:tcPr>
          <w:p w14:paraId="5AE900F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w:t>
            </w:r>
          </w:p>
        </w:tc>
      </w:tr>
      <w:tr w14:paraId="05DB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2E2E699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017B7D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210" w:type="pct"/>
            <w:gridSpan w:val="2"/>
            <w:vAlign w:val="center"/>
          </w:tcPr>
          <w:p w14:paraId="4A201AC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噪声</w:t>
            </w:r>
          </w:p>
        </w:tc>
        <w:tc>
          <w:tcPr>
            <w:tcW w:w="929" w:type="pct"/>
            <w:vAlign w:val="center"/>
          </w:tcPr>
          <w:p w14:paraId="34C5FA1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83" w:type="pct"/>
            <w:vAlign w:val="center"/>
          </w:tcPr>
          <w:p w14:paraId="1B866DC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w:t>
            </w:r>
          </w:p>
        </w:tc>
        <w:tc>
          <w:tcPr>
            <w:tcW w:w="596" w:type="pct"/>
            <w:vAlign w:val="center"/>
          </w:tcPr>
          <w:p w14:paraId="07003C7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符合排放标准要求</w:t>
            </w:r>
          </w:p>
        </w:tc>
        <w:tc>
          <w:tcPr>
            <w:tcW w:w="399" w:type="pct"/>
            <w:vAlign w:val="center"/>
          </w:tcPr>
          <w:p w14:paraId="0B9DE5F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03" w:type="pct"/>
            <w:vAlign w:val="center"/>
          </w:tcPr>
          <w:p w14:paraId="6096BA5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w:t>
            </w:r>
          </w:p>
        </w:tc>
      </w:tr>
      <w:tr w14:paraId="7BB5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517" w:type="pct"/>
            <w:gridSpan w:val="5"/>
            <w:vAlign w:val="center"/>
          </w:tcPr>
          <w:p w14:paraId="5B3E204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合计</w:t>
            </w:r>
          </w:p>
        </w:tc>
        <w:tc>
          <w:tcPr>
            <w:tcW w:w="283" w:type="pct"/>
            <w:vAlign w:val="center"/>
          </w:tcPr>
          <w:p w14:paraId="58681B3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596" w:type="pct"/>
            <w:vAlign w:val="center"/>
          </w:tcPr>
          <w:p w14:paraId="481F8FC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399" w:type="pct"/>
            <w:vAlign w:val="center"/>
          </w:tcPr>
          <w:p w14:paraId="1795402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03" w:type="pct"/>
            <w:vAlign w:val="center"/>
          </w:tcPr>
          <w:p w14:paraId="0477FE4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95</w:t>
            </w:r>
          </w:p>
        </w:tc>
      </w:tr>
      <w:tr w14:paraId="3AC9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00" w:type="pct"/>
            <w:gridSpan w:val="9"/>
            <w:vAlign w:val="center"/>
          </w:tcPr>
          <w:p w14:paraId="1A6A895E">
            <w:pPr>
              <w:widowControl/>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定性指标</w:t>
            </w:r>
          </w:p>
        </w:tc>
      </w:tr>
      <w:tr w14:paraId="526A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Align w:val="center"/>
          </w:tcPr>
          <w:p w14:paraId="7F0A4DB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一级指标</w:t>
            </w:r>
          </w:p>
        </w:tc>
        <w:tc>
          <w:tcPr>
            <w:tcW w:w="412" w:type="pct"/>
            <w:vAlign w:val="center"/>
          </w:tcPr>
          <w:p w14:paraId="46CEA20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权重值</w:t>
            </w:r>
          </w:p>
        </w:tc>
        <w:tc>
          <w:tcPr>
            <w:tcW w:w="2140" w:type="pct"/>
            <w:gridSpan w:val="3"/>
            <w:vAlign w:val="center"/>
          </w:tcPr>
          <w:p w14:paraId="7982221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二级指标</w:t>
            </w:r>
          </w:p>
        </w:tc>
        <w:tc>
          <w:tcPr>
            <w:tcW w:w="880" w:type="pct"/>
            <w:gridSpan w:val="2"/>
            <w:vAlign w:val="center"/>
          </w:tcPr>
          <w:p w14:paraId="35795E0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指标分值</w:t>
            </w:r>
          </w:p>
        </w:tc>
        <w:tc>
          <w:tcPr>
            <w:tcW w:w="602" w:type="pct"/>
            <w:gridSpan w:val="2"/>
            <w:vAlign w:val="center"/>
          </w:tcPr>
          <w:p w14:paraId="0F29F1F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w:t>
            </w:r>
          </w:p>
        </w:tc>
      </w:tr>
      <w:tr w14:paraId="78AE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Align w:val="center"/>
          </w:tcPr>
          <w:p w14:paraId="5BEE005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（1）原辅材料</w:t>
            </w:r>
          </w:p>
        </w:tc>
        <w:tc>
          <w:tcPr>
            <w:tcW w:w="412" w:type="pct"/>
            <w:vAlign w:val="center"/>
          </w:tcPr>
          <w:p w14:paraId="4A97711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492" w:type="pct"/>
            <w:vAlign w:val="center"/>
          </w:tcPr>
          <w:p w14:paraId="2419E69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钻井液毒性</w:t>
            </w:r>
          </w:p>
        </w:tc>
        <w:tc>
          <w:tcPr>
            <w:tcW w:w="1647" w:type="pct"/>
            <w:gridSpan w:val="2"/>
            <w:vAlign w:val="center"/>
          </w:tcPr>
          <w:p w14:paraId="2165469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可生物降解或无毒钻井液</w:t>
            </w:r>
          </w:p>
        </w:tc>
        <w:tc>
          <w:tcPr>
            <w:tcW w:w="880" w:type="pct"/>
            <w:gridSpan w:val="2"/>
            <w:vAlign w:val="center"/>
          </w:tcPr>
          <w:p w14:paraId="3531C92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602" w:type="pct"/>
            <w:gridSpan w:val="2"/>
            <w:vAlign w:val="center"/>
          </w:tcPr>
          <w:p w14:paraId="200E154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r>
      <w:tr w14:paraId="08E9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30126FA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（2）生产工艺及设备要求</w:t>
            </w:r>
          </w:p>
        </w:tc>
        <w:tc>
          <w:tcPr>
            <w:tcW w:w="412" w:type="pct"/>
            <w:vMerge w:val="restart"/>
            <w:vAlign w:val="center"/>
          </w:tcPr>
          <w:p w14:paraId="1F4F013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40</w:t>
            </w:r>
          </w:p>
        </w:tc>
        <w:tc>
          <w:tcPr>
            <w:tcW w:w="492" w:type="pct"/>
            <w:vAlign w:val="center"/>
          </w:tcPr>
          <w:p w14:paraId="4F730BB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钻井设备</w:t>
            </w:r>
          </w:p>
        </w:tc>
        <w:tc>
          <w:tcPr>
            <w:tcW w:w="1647" w:type="pct"/>
            <w:gridSpan w:val="2"/>
            <w:vAlign w:val="center"/>
          </w:tcPr>
          <w:p w14:paraId="5AC2CF8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国内领先</w:t>
            </w:r>
          </w:p>
        </w:tc>
        <w:tc>
          <w:tcPr>
            <w:tcW w:w="880" w:type="pct"/>
            <w:gridSpan w:val="2"/>
            <w:vAlign w:val="center"/>
          </w:tcPr>
          <w:p w14:paraId="5E2707E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c>
          <w:tcPr>
            <w:tcW w:w="602" w:type="pct"/>
            <w:gridSpan w:val="2"/>
            <w:vAlign w:val="center"/>
          </w:tcPr>
          <w:p w14:paraId="5BA3F67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r>
      <w:tr w14:paraId="16AC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7D062B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20D13C0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4C2FA1F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压力平衡技术</w:t>
            </w:r>
          </w:p>
        </w:tc>
        <w:tc>
          <w:tcPr>
            <w:tcW w:w="1647" w:type="pct"/>
            <w:gridSpan w:val="2"/>
            <w:vAlign w:val="center"/>
          </w:tcPr>
          <w:p w14:paraId="7008594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具备欠平衡技术</w:t>
            </w:r>
          </w:p>
        </w:tc>
        <w:tc>
          <w:tcPr>
            <w:tcW w:w="880" w:type="pct"/>
            <w:gridSpan w:val="2"/>
            <w:vAlign w:val="center"/>
          </w:tcPr>
          <w:p w14:paraId="2B2BD70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748E846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031B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7AD8E99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763944F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1A2C499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钻井液收集设施</w:t>
            </w:r>
          </w:p>
        </w:tc>
        <w:tc>
          <w:tcPr>
            <w:tcW w:w="1647" w:type="pct"/>
            <w:gridSpan w:val="2"/>
            <w:vAlign w:val="center"/>
          </w:tcPr>
          <w:p w14:paraId="3090472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配有收集设施，且使钻井液</w:t>
            </w:r>
          </w:p>
          <w:p w14:paraId="26345C7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不落地</w:t>
            </w:r>
          </w:p>
        </w:tc>
        <w:tc>
          <w:tcPr>
            <w:tcW w:w="880" w:type="pct"/>
            <w:gridSpan w:val="2"/>
            <w:vAlign w:val="center"/>
          </w:tcPr>
          <w:p w14:paraId="3B012BE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59FA234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25CC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D47310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03D6B3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079E80C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固控设备</w:t>
            </w:r>
          </w:p>
        </w:tc>
        <w:tc>
          <w:tcPr>
            <w:tcW w:w="1647" w:type="pct"/>
            <w:gridSpan w:val="2"/>
            <w:vAlign w:val="center"/>
          </w:tcPr>
          <w:p w14:paraId="798E8B5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配备振动筛、除气器、除泥器、除砂器、离心机等固控设备</w:t>
            </w:r>
          </w:p>
        </w:tc>
        <w:tc>
          <w:tcPr>
            <w:tcW w:w="880" w:type="pct"/>
            <w:gridSpan w:val="2"/>
            <w:vAlign w:val="center"/>
          </w:tcPr>
          <w:p w14:paraId="2316DF4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08559A8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084A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D8AB21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59E4DCA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74464FC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固井质量</w:t>
            </w:r>
          </w:p>
        </w:tc>
        <w:tc>
          <w:tcPr>
            <w:tcW w:w="1647" w:type="pct"/>
            <w:gridSpan w:val="2"/>
            <w:vAlign w:val="center"/>
          </w:tcPr>
          <w:p w14:paraId="0B0EBD14">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固井质量合格</w:t>
            </w:r>
          </w:p>
        </w:tc>
        <w:tc>
          <w:tcPr>
            <w:tcW w:w="880" w:type="pct"/>
            <w:gridSpan w:val="2"/>
            <w:vAlign w:val="center"/>
          </w:tcPr>
          <w:p w14:paraId="6E07651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23041E6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3ED3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099A695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233D527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1D05F1C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钻井效率</w:t>
            </w:r>
          </w:p>
        </w:tc>
        <w:tc>
          <w:tcPr>
            <w:tcW w:w="1647" w:type="pct"/>
            <w:gridSpan w:val="2"/>
            <w:vAlign w:val="center"/>
          </w:tcPr>
          <w:p w14:paraId="10D238B3">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高</w:t>
            </w:r>
          </w:p>
        </w:tc>
        <w:tc>
          <w:tcPr>
            <w:tcW w:w="880" w:type="pct"/>
            <w:gridSpan w:val="2"/>
            <w:vAlign w:val="center"/>
          </w:tcPr>
          <w:p w14:paraId="6F018A2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w:t>
            </w:r>
          </w:p>
        </w:tc>
        <w:tc>
          <w:tcPr>
            <w:tcW w:w="602" w:type="pct"/>
            <w:gridSpan w:val="2"/>
            <w:vAlign w:val="center"/>
          </w:tcPr>
          <w:p w14:paraId="1CDB8D3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w:t>
            </w:r>
          </w:p>
        </w:tc>
      </w:tr>
      <w:tr w14:paraId="5752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7C5E98D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1BEBBD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92" w:type="pct"/>
            <w:vAlign w:val="center"/>
          </w:tcPr>
          <w:p w14:paraId="4A7EA29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井控措施有效性</w:t>
            </w:r>
          </w:p>
        </w:tc>
        <w:tc>
          <w:tcPr>
            <w:tcW w:w="1647" w:type="pct"/>
            <w:gridSpan w:val="2"/>
            <w:vAlign w:val="center"/>
          </w:tcPr>
          <w:p w14:paraId="7B713909">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井控措施有效</w:t>
            </w:r>
          </w:p>
        </w:tc>
        <w:tc>
          <w:tcPr>
            <w:tcW w:w="880" w:type="pct"/>
            <w:gridSpan w:val="2"/>
            <w:vAlign w:val="center"/>
          </w:tcPr>
          <w:p w14:paraId="3F5439D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18F8614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59EA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Align w:val="center"/>
          </w:tcPr>
          <w:p w14:paraId="38458A9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（3）符合国家政策的生产规模</w:t>
            </w:r>
          </w:p>
        </w:tc>
        <w:tc>
          <w:tcPr>
            <w:tcW w:w="412" w:type="pct"/>
            <w:vAlign w:val="center"/>
          </w:tcPr>
          <w:p w14:paraId="10A4613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2140" w:type="pct"/>
            <w:gridSpan w:val="3"/>
            <w:vAlign w:val="center"/>
          </w:tcPr>
          <w:p w14:paraId="68C6D075">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现行政策暂无生产规模限制要求</w:t>
            </w:r>
          </w:p>
        </w:tc>
        <w:tc>
          <w:tcPr>
            <w:tcW w:w="880" w:type="pct"/>
            <w:gridSpan w:val="2"/>
            <w:vAlign w:val="center"/>
          </w:tcPr>
          <w:p w14:paraId="5E042B73">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602" w:type="pct"/>
            <w:gridSpan w:val="2"/>
            <w:vAlign w:val="center"/>
          </w:tcPr>
          <w:p w14:paraId="78EBE501">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1EE6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6C0387C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（4）管理体系建设及清洁生产审核</w:t>
            </w:r>
          </w:p>
        </w:tc>
        <w:tc>
          <w:tcPr>
            <w:tcW w:w="412" w:type="pct"/>
            <w:vMerge w:val="restart"/>
            <w:vAlign w:val="center"/>
          </w:tcPr>
          <w:p w14:paraId="5C5A597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20</w:t>
            </w:r>
          </w:p>
        </w:tc>
        <w:tc>
          <w:tcPr>
            <w:tcW w:w="2140" w:type="pct"/>
            <w:gridSpan w:val="3"/>
            <w:vAlign w:val="center"/>
          </w:tcPr>
          <w:p w14:paraId="0B2AFD9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建立HSE管理体系并通过认证</w:t>
            </w:r>
          </w:p>
        </w:tc>
        <w:tc>
          <w:tcPr>
            <w:tcW w:w="880" w:type="pct"/>
            <w:gridSpan w:val="2"/>
            <w:vAlign w:val="center"/>
          </w:tcPr>
          <w:p w14:paraId="7B9CFE6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602" w:type="pct"/>
            <w:gridSpan w:val="2"/>
            <w:vAlign w:val="center"/>
          </w:tcPr>
          <w:p w14:paraId="51FB4BF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60D2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2E068D0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3B7D444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140" w:type="pct"/>
            <w:gridSpan w:val="3"/>
            <w:vAlign w:val="center"/>
          </w:tcPr>
          <w:p w14:paraId="4F7CD0C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开展清洁生产审核，并通过验收</w:t>
            </w:r>
          </w:p>
        </w:tc>
        <w:tc>
          <w:tcPr>
            <w:tcW w:w="880" w:type="pct"/>
            <w:gridSpan w:val="2"/>
            <w:vAlign w:val="center"/>
          </w:tcPr>
          <w:p w14:paraId="1B31412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602" w:type="pct"/>
            <w:gridSpan w:val="2"/>
            <w:vAlign w:val="center"/>
          </w:tcPr>
          <w:p w14:paraId="02B956F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45E9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restart"/>
            <w:vAlign w:val="center"/>
          </w:tcPr>
          <w:p w14:paraId="5D5B195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（5）贯彻执行环境保护法规符合性</w:t>
            </w:r>
          </w:p>
        </w:tc>
        <w:tc>
          <w:tcPr>
            <w:tcW w:w="412" w:type="pct"/>
            <w:vMerge w:val="restart"/>
            <w:vAlign w:val="center"/>
          </w:tcPr>
          <w:p w14:paraId="54429CB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2140" w:type="pct"/>
            <w:gridSpan w:val="3"/>
            <w:vAlign w:val="center"/>
          </w:tcPr>
          <w:p w14:paraId="5C65DF5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建设项目环保“三同时”执行情况</w:t>
            </w:r>
          </w:p>
        </w:tc>
        <w:tc>
          <w:tcPr>
            <w:tcW w:w="880" w:type="pct"/>
            <w:gridSpan w:val="2"/>
            <w:vAlign w:val="center"/>
          </w:tcPr>
          <w:p w14:paraId="07927BC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0D9169D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6E84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765BD3C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65A65D2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140" w:type="pct"/>
            <w:gridSpan w:val="3"/>
            <w:vAlign w:val="center"/>
          </w:tcPr>
          <w:p w14:paraId="639B26A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建设项目环境影响评价制度执行情况</w:t>
            </w:r>
          </w:p>
        </w:tc>
        <w:tc>
          <w:tcPr>
            <w:tcW w:w="880" w:type="pct"/>
            <w:gridSpan w:val="2"/>
            <w:vAlign w:val="center"/>
          </w:tcPr>
          <w:p w14:paraId="2D235B3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1375F4E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51FD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65" w:type="pct"/>
            <w:vMerge w:val="continue"/>
            <w:vAlign w:val="center"/>
          </w:tcPr>
          <w:p w14:paraId="22F3EA5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2" w:type="pct"/>
            <w:vMerge w:val="continue"/>
            <w:vAlign w:val="center"/>
          </w:tcPr>
          <w:p w14:paraId="08CB192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140" w:type="pct"/>
            <w:gridSpan w:val="3"/>
            <w:vAlign w:val="center"/>
          </w:tcPr>
          <w:p w14:paraId="4EEFB17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污染物排放总量控制与减排措施情况</w:t>
            </w:r>
          </w:p>
        </w:tc>
        <w:tc>
          <w:tcPr>
            <w:tcW w:w="880" w:type="pct"/>
            <w:gridSpan w:val="2"/>
            <w:vAlign w:val="center"/>
          </w:tcPr>
          <w:p w14:paraId="6A448D1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602" w:type="pct"/>
            <w:gridSpan w:val="2"/>
            <w:vAlign w:val="center"/>
          </w:tcPr>
          <w:p w14:paraId="449E54B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2551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517" w:type="pct"/>
            <w:gridSpan w:val="5"/>
            <w:vAlign w:val="center"/>
          </w:tcPr>
          <w:p w14:paraId="5AFBCA2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合计</w:t>
            </w:r>
          </w:p>
        </w:tc>
        <w:tc>
          <w:tcPr>
            <w:tcW w:w="880" w:type="pct"/>
            <w:gridSpan w:val="2"/>
            <w:vAlign w:val="center"/>
          </w:tcPr>
          <w:p w14:paraId="0A45FE4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602" w:type="pct"/>
            <w:gridSpan w:val="2"/>
            <w:vAlign w:val="center"/>
          </w:tcPr>
          <w:p w14:paraId="040169B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r>
    </w:tbl>
    <w:p w14:paraId="10B351D3">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3-14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井下作业定量和定性评价指标项目、权重及基准值</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74"/>
        <w:gridCol w:w="699"/>
        <w:gridCol w:w="1935"/>
        <w:gridCol w:w="823"/>
        <w:gridCol w:w="909"/>
        <w:gridCol w:w="1266"/>
        <w:gridCol w:w="819"/>
        <w:gridCol w:w="438"/>
      </w:tblGrid>
      <w:tr w14:paraId="36BD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4257" w:type="pct"/>
            <w:gridSpan w:val="6"/>
            <w:vAlign w:val="center"/>
          </w:tcPr>
          <w:p w14:paraId="5FEC23DD">
            <w:pPr>
              <w:widowControl/>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定量指标</w:t>
            </w:r>
          </w:p>
        </w:tc>
        <w:tc>
          <w:tcPr>
            <w:tcW w:w="742" w:type="pct"/>
            <w:gridSpan w:val="2"/>
            <w:vAlign w:val="center"/>
          </w:tcPr>
          <w:p w14:paraId="719651DF">
            <w:pPr>
              <w:widowControl/>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本项目</w:t>
            </w:r>
          </w:p>
        </w:tc>
      </w:tr>
      <w:tr w14:paraId="3E34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75F1328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一级指标</w:t>
            </w:r>
          </w:p>
        </w:tc>
        <w:tc>
          <w:tcPr>
            <w:tcW w:w="413" w:type="pct"/>
            <w:vAlign w:val="center"/>
          </w:tcPr>
          <w:p w14:paraId="7401815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权重值</w:t>
            </w:r>
          </w:p>
        </w:tc>
        <w:tc>
          <w:tcPr>
            <w:tcW w:w="1143" w:type="pct"/>
            <w:vAlign w:val="center"/>
          </w:tcPr>
          <w:p w14:paraId="54C9619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二级指标</w:t>
            </w:r>
          </w:p>
        </w:tc>
        <w:tc>
          <w:tcPr>
            <w:tcW w:w="484" w:type="pct"/>
            <w:vAlign w:val="center"/>
          </w:tcPr>
          <w:p w14:paraId="37FEFCB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单位</w:t>
            </w:r>
          </w:p>
        </w:tc>
        <w:tc>
          <w:tcPr>
            <w:tcW w:w="537" w:type="pct"/>
            <w:vAlign w:val="center"/>
          </w:tcPr>
          <w:p w14:paraId="6FC4DB6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权重分值</w:t>
            </w:r>
          </w:p>
        </w:tc>
        <w:tc>
          <w:tcPr>
            <w:tcW w:w="748" w:type="pct"/>
            <w:vAlign w:val="center"/>
          </w:tcPr>
          <w:p w14:paraId="46BC2E9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评价基准值</w:t>
            </w:r>
          </w:p>
        </w:tc>
        <w:tc>
          <w:tcPr>
            <w:tcW w:w="484" w:type="pct"/>
            <w:vAlign w:val="center"/>
          </w:tcPr>
          <w:p w14:paraId="4A640E0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估算值</w:t>
            </w:r>
          </w:p>
        </w:tc>
        <w:tc>
          <w:tcPr>
            <w:tcW w:w="257" w:type="pct"/>
            <w:vAlign w:val="center"/>
          </w:tcPr>
          <w:p w14:paraId="194D757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得分</w:t>
            </w:r>
          </w:p>
        </w:tc>
      </w:tr>
      <w:tr w14:paraId="12C5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restart"/>
            <w:vAlign w:val="center"/>
          </w:tcPr>
          <w:p w14:paraId="2DA2024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（1）资源和能源消耗指标</w:t>
            </w:r>
          </w:p>
        </w:tc>
        <w:tc>
          <w:tcPr>
            <w:tcW w:w="413" w:type="pct"/>
            <w:vMerge w:val="restart"/>
            <w:vAlign w:val="center"/>
          </w:tcPr>
          <w:p w14:paraId="3AE5B6B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143" w:type="pct"/>
            <w:vAlign w:val="center"/>
          </w:tcPr>
          <w:p w14:paraId="346EC6F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占地面积</w:t>
            </w:r>
          </w:p>
        </w:tc>
        <w:tc>
          <w:tcPr>
            <w:tcW w:w="484" w:type="pct"/>
            <w:vAlign w:val="center"/>
          </w:tcPr>
          <w:p w14:paraId="1F45EE8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537" w:type="pct"/>
            <w:vAlign w:val="center"/>
          </w:tcPr>
          <w:p w14:paraId="5D9A4B9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33B808A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符合行业标准要求</w:t>
            </w:r>
          </w:p>
        </w:tc>
        <w:tc>
          <w:tcPr>
            <w:tcW w:w="484" w:type="pct"/>
            <w:vAlign w:val="center"/>
          </w:tcPr>
          <w:p w14:paraId="6D6CA0B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57" w:type="pct"/>
            <w:vAlign w:val="center"/>
          </w:tcPr>
          <w:p w14:paraId="3B7841A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1167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9927B9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057589E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1393989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洗井液消耗</w:t>
            </w:r>
          </w:p>
        </w:tc>
        <w:tc>
          <w:tcPr>
            <w:tcW w:w="484" w:type="pct"/>
            <w:vAlign w:val="center"/>
          </w:tcPr>
          <w:p w14:paraId="5E6CFD5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/井次</w:t>
            </w:r>
          </w:p>
        </w:tc>
        <w:tc>
          <w:tcPr>
            <w:tcW w:w="537" w:type="pct"/>
            <w:vAlign w:val="center"/>
          </w:tcPr>
          <w:p w14:paraId="4096E0C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748" w:type="pct"/>
            <w:vAlign w:val="center"/>
          </w:tcPr>
          <w:p w14:paraId="7F332575">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行业基本水平</w:t>
            </w:r>
          </w:p>
        </w:tc>
        <w:tc>
          <w:tcPr>
            <w:tcW w:w="484" w:type="pct"/>
            <w:vAlign w:val="center"/>
          </w:tcPr>
          <w:p w14:paraId="055F549D">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57" w:type="pct"/>
            <w:vAlign w:val="center"/>
          </w:tcPr>
          <w:p w14:paraId="0D5B021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56F5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60B18F2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23E6DC3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67470EA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新鲜水消耗</w:t>
            </w:r>
          </w:p>
        </w:tc>
        <w:tc>
          <w:tcPr>
            <w:tcW w:w="484" w:type="pct"/>
            <w:vAlign w:val="center"/>
          </w:tcPr>
          <w:p w14:paraId="26BA248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/井次</w:t>
            </w:r>
          </w:p>
        </w:tc>
        <w:tc>
          <w:tcPr>
            <w:tcW w:w="537" w:type="pct"/>
            <w:vAlign w:val="center"/>
          </w:tcPr>
          <w:p w14:paraId="7DC72FE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748" w:type="pct"/>
            <w:vAlign w:val="center"/>
          </w:tcPr>
          <w:p w14:paraId="58BF1CAD">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行业基本水平</w:t>
            </w:r>
          </w:p>
        </w:tc>
        <w:tc>
          <w:tcPr>
            <w:tcW w:w="484" w:type="pct"/>
            <w:vAlign w:val="center"/>
          </w:tcPr>
          <w:p w14:paraId="37E16D27">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57" w:type="pct"/>
            <w:vAlign w:val="center"/>
          </w:tcPr>
          <w:p w14:paraId="580995A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1311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0A0A736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（2）生产技术特征指标</w:t>
            </w:r>
          </w:p>
        </w:tc>
        <w:tc>
          <w:tcPr>
            <w:tcW w:w="413" w:type="pct"/>
            <w:vAlign w:val="center"/>
          </w:tcPr>
          <w:p w14:paraId="7310D39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143" w:type="pct"/>
            <w:vAlign w:val="center"/>
          </w:tcPr>
          <w:p w14:paraId="27B8E2F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压裂放喷返排入罐率</w:t>
            </w:r>
          </w:p>
        </w:tc>
        <w:tc>
          <w:tcPr>
            <w:tcW w:w="484" w:type="pct"/>
            <w:vAlign w:val="center"/>
          </w:tcPr>
          <w:p w14:paraId="63CC8C9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537" w:type="pct"/>
            <w:vAlign w:val="center"/>
          </w:tcPr>
          <w:p w14:paraId="59D25F2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748" w:type="pct"/>
            <w:vAlign w:val="center"/>
          </w:tcPr>
          <w:p w14:paraId="2F58BA5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484" w:type="pct"/>
            <w:vAlign w:val="center"/>
          </w:tcPr>
          <w:p w14:paraId="2CE470E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57" w:type="pct"/>
            <w:vAlign w:val="center"/>
          </w:tcPr>
          <w:p w14:paraId="3748C79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r>
      <w:tr w14:paraId="2FC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restart"/>
            <w:vAlign w:val="center"/>
          </w:tcPr>
          <w:p w14:paraId="1F84D0A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（3）资源综合利用指标</w:t>
            </w:r>
          </w:p>
        </w:tc>
        <w:tc>
          <w:tcPr>
            <w:tcW w:w="413" w:type="pct"/>
            <w:vMerge w:val="restart"/>
            <w:vAlign w:val="center"/>
          </w:tcPr>
          <w:p w14:paraId="6762B8F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143" w:type="pct"/>
            <w:vAlign w:val="center"/>
          </w:tcPr>
          <w:p w14:paraId="192EB5C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落地原油回收利用率</w:t>
            </w:r>
          </w:p>
        </w:tc>
        <w:tc>
          <w:tcPr>
            <w:tcW w:w="484" w:type="pct"/>
            <w:vAlign w:val="center"/>
          </w:tcPr>
          <w:p w14:paraId="3B48463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537" w:type="pct"/>
            <w:vAlign w:val="center"/>
          </w:tcPr>
          <w:p w14:paraId="38CC86E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c>
          <w:tcPr>
            <w:tcW w:w="748" w:type="pct"/>
            <w:vAlign w:val="center"/>
          </w:tcPr>
          <w:p w14:paraId="383C3BA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484" w:type="pct"/>
            <w:vAlign w:val="center"/>
          </w:tcPr>
          <w:p w14:paraId="505A80C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57" w:type="pct"/>
            <w:vAlign w:val="center"/>
          </w:tcPr>
          <w:p w14:paraId="32EC050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r>
      <w:tr w14:paraId="6B87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29E16D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5AD981D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1DFC268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生产过程排出物利用率</w:t>
            </w:r>
          </w:p>
        </w:tc>
        <w:tc>
          <w:tcPr>
            <w:tcW w:w="484" w:type="pct"/>
            <w:vAlign w:val="center"/>
          </w:tcPr>
          <w:p w14:paraId="27ED13E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537" w:type="pct"/>
            <w:vAlign w:val="center"/>
          </w:tcPr>
          <w:p w14:paraId="0088093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w:t>
            </w:r>
          </w:p>
        </w:tc>
        <w:tc>
          <w:tcPr>
            <w:tcW w:w="748" w:type="pct"/>
            <w:vAlign w:val="center"/>
          </w:tcPr>
          <w:p w14:paraId="0E6F8E6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484" w:type="pct"/>
            <w:vAlign w:val="center"/>
          </w:tcPr>
          <w:p w14:paraId="3D08082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57" w:type="pct"/>
            <w:vAlign w:val="center"/>
          </w:tcPr>
          <w:p w14:paraId="4385DAA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w:t>
            </w:r>
          </w:p>
        </w:tc>
      </w:tr>
      <w:tr w14:paraId="6CAB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7D753D8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3C220E2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6974C1F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剩余作业液回收率</w:t>
            </w:r>
          </w:p>
        </w:tc>
        <w:tc>
          <w:tcPr>
            <w:tcW w:w="484" w:type="pct"/>
            <w:vAlign w:val="center"/>
          </w:tcPr>
          <w:p w14:paraId="4ED39A1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537" w:type="pct"/>
            <w:vAlign w:val="center"/>
          </w:tcPr>
          <w:p w14:paraId="03E30C3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c>
          <w:tcPr>
            <w:tcW w:w="748" w:type="pct"/>
            <w:vAlign w:val="center"/>
          </w:tcPr>
          <w:p w14:paraId="42BDFF6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484" w:type="pct"/>
            <w:vAlign w:val="center"/>
          </w:tcPr>
          <w:p w14:paraId="0ED1F7F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257" w:type="pct"/>
            <w:vAlign w:val="center"/>
          </w:tcPr>
          <w:p w14:paraId="7A7DB6F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r>
      <w:tr w14:paraId="6631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restart"/>
            <w:vAlign w:val="center"/>
          </w:tcPr>
          <w:p w14:paraId="6205D07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（4）污染物产生指标</w:t>
            </w:r>
          </w:p>
        </w:tc>
        <w:tc>
          <w:tcPr>
            <w:tcW w:w="413" w:type="pct"/>
            <w:vMerge w:val="restart"/>
            <w:vAlign w:val="center"/>
          </w:tcPr>
          <w:p w14:paraId="129E775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25</w:t>
            </w:r>
          </w:p>
        </w:tc>
        <w:tc>
          <w:tcPr>
            <w:tcW w:w="1143" w:type="pct"/>
            <w:vAlign w:val="center"/>
          </w:tcPr>
          <w:p w14:paraId="2F3E39B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废弃洗井液</w:t>
            </w:r>
          </w:p>
        </w:tc>
        <w:tc>
          <w:tcPr>
            <w:tcW w:w="484" w:type="pct"/>
            <w:vAlign w:val="center"/>
          </w:tcPr>
          <w:p w14:paraId="468B398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/井次</w:t>
            </w:r>
          </w:p>
        </w:tc>
        <w:tc>
          <w:tcPr>
            <w:tcW w:w="537" w:type="pct"/>
            <w:vAlign w:val="center"/>
          </w:tcPr>
          <w:p w14:paraId="58553BF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55C8885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484" w:type="pct"/>
            <w:vAlign w:val="center"/>
          </w:tcPr>
          <w:p w14:paraId="4039E16C">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正常</w:t>
            </w:r>
          </w:p>
          <w:p w14:paraId="4D2F496C">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水平</w:t>
            </w:r>
          </w:p>
        </w:tc>
        <w:tc>
          <w:tcPr>
            <w:tcW w:w="257" w:type="pct"/>
            <w:vAlign w:val="center"/>
          </w:tcPr>
          <w:p w14:paraId="7793775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12CD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382C59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5F81868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7563197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修井废水</w:t>
            </w:r>
          </w:p>
        </w:tc>
        <w:tc>
          <w:tcPr>
            <w:tcW w:w="484" w:type="pct"/>
            <w:vAlign w:val="center"/>
          </w:tcPr>
          <w:p w14:paraId="6045713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/井次</w:t>
            </w:r>
          </w:p>
        </w:tc>
        <w:tc>
          <w:tcPr>
            <w:tcW w:w="537" w:type="pct"/>
            <w:vAlign w:val="center"/>
          </w:tcPr>
          <w:p w14:paraId="516D198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45CAA7B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484" w:type="pct"/>
            <w:vAlign w:val="center"/>
          </w:tcPr>
          <w:p w14:paraId="59113AA5">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正常</w:t>
            </w:r>
          </w:p>
          <w:p w14:paraId="2B0D2CFE">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水平</w:t>
            </w:r>
          </w:p>
        </w:tc>
        <w:tc>
          <w:tcPr>
            <w:tcW w:w="257" w:type="pct"/>
            <w:vAlign w:val="center"/>
          </w:tcPr>
          <w:p w14:paraId="23D1329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4479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24553F6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044478B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55B0A9F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废气</w:t>
            </w:r>
          </w:p>
        </w:tc>
        <w:tc>
          <w:tcPr>
            <w:tcW w:w="484" w:type="pct"/>
            <w:vAlign w:val="center"/>
          </w:tcPr>
          <w:p w14:paraId="318198F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/井次</w:t>
            </w:r>
          </w:p>
        </w:tc>
        <w:tc>
          <w:tcPr>
            <w:tcW w:w="537" w:type="pct"/>
            <w:vAlign w:val="center"/>
          </w:tcPr>
          <w:p w14:paraId="67FE5C9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1DBD394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484" w:type="pct"/>
            <w:vAlign w:val="center"/>
          </w:tcPr>
          <w:p w14:paraId="1F24C817">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正常</w:t>
            </w:r>
          </w:p>
          <w:p w14:paraId="3069D3FA">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水平</w:t>
            </w:r>
          </w:p>
        </w:tc>
        <w:tc>
          <w:tcPr>
            <w:tcW w:w="257" w:type="pct"/>
            <w:vAlign w:val="center"/>
          </w:tcPr>
          <w:p w14:paraId="10E24BE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7158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AF23BA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038D715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21F4C7B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油泥</w:t>
            </w:r>
          </w:p>
        </w:tc>
        <w:tc>
          <w:tcPr>
            <w:tcW w:w="484" w:type="pct"/>
            <w:vAlign w:val="center"/>
          </w:tcPr>
          <w:p w14:paraId="74DE5AD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kg/井次</w:t>
            </w:r>
          </w:p>
        </w:tc>
        <w:tc>
          <w:tcPr>
            <w:tcW w:w="537" w:type="pct"/>
            <w:vAlign w:val="center"/>
          </w:tcPr>
          <w:p w14:paraId="1CF2CFA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4F0D936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甲类区：≤50；</w:t>
            </w:r>
          </w:p>
          <w:p w14:paraId="4BC5420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乙类区：≤70</w:t>
            </w:r>
          </w:p>
        </w:tc>
        <w:tc>
          <w:tcPr>
            <w:tcW w:w="484" w:type="pct"/>
            <w:vAlign w:val="center"/>
          </w:tcPr>
          <w:p w14:paraId="50CF8090">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≤50</w:t>
            </w:r>
          </w:p>
        </w:tc>
        <w:tc>
          <w:tcPr>
            <w:tcW w:w="257" w:type="pct"/>
            <w:vAlign w:val="center"/>
          </w:tcPr>
          <w:p w14:paraId="1DFC636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03D3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29EB422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622E11F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7B1CF4D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一般固体废物</w:t>
            </w:r>
          </w:p>
        </w:tc>
        <w:tc>
          <w:tcPr>
            <w:tcW w:w="484" w:type="pct"/>
            <w:vAlign w:val="center"/>
          </w:tcPr>
          <w:p w14:paraId="2F2797C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kg/井次</w:t>
            </w:r>
          </w:p>
        </w:tc>
        <w:tc>
          <w:tcPr>
            <w:tcW w:w="537" w:type="pct"/>
            <w:vAlign w:val="center"/>
          </w:tcPr>
          <w:p w14:paraId="05C4F84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8" w:type="pct"/>
            <w:vAlign w:val="center"/>
          </w:tcPr>
          <w:p w14:paraId="435146C9">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符合环保要求</w:t>
            </w:r>
          </w:p>
        </w:tc>
        <w:tc>
          <w:tcPr>
            <w:tcW w:w="484" w:type="pct"/>
            <w:vAlign w:val="center"/>
          </w:tcPr>
          <w:p w14:paraId="742A629E">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c>
          <w:tcPr>
            <w:tcW w:w="257" w:type="pct"/>
            <w:vAlign w:val="center"/>
          </w:tcPr>
          <w:p w14:paraId="2A592F7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298B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972" w:type="pct"/>
            <w:gridSpan w:val="4"/>
            <w:vAlign w:val="center"/>
          </w:tcPr>
          <w:p w14:paraId="450E947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合计</w:t>
            </w:r>
          </w:p>
        </w:tc>
        <w:tc>
          <w:tcPr>
            <w:tcW w:w="537" w:type="pct"/>
            <w:vAlign w:val="center"/>
          </w:tcPr>
          <w:p w14:paraId="0B7BCF2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748" w:type="pct"/>
            <w:vAlign w:val="center"/>
          </w:tcPr>
          <w:p w14:paraId="65F95BA0">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484" w:type="pct"/>
            <w:vAlign w:val="center"/>
          </w:tcPr>
          <w:p w14:paraId="2446814A">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p>
        </w:tc>
        <w:tc>
          <w:tcPr>
            <w:tcW w:w="257" w:type="pct"/>
            <w:vAlign w:val="center"/>
          </w:tcPr>
          <w:p w14:paraId="3BE07DB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r>
      <w:tr w14:paraId="4C85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00" w:type="pct"/>
            <w:gridSpan w:val="8"/>
            <w:vAlign w:val="center"/>
          </w:tcPr>
          <w:p w14:paraId="7181FDFE">
            <w:pPr>
              <w:widowControl/>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定性指标</w:t>
            </w:r>
          </w:p>
        </w:tc>
      </w:tr>
      <w:tr w14:paraId="73D5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41EABA9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一级指标</w:t>
            </w:r>
          </w:p>
        </w:tc>
        <w:tc>
          <w:tcPr>
            <w:tcW w:w="413" w:type="pct"/>
            <w:vAlign w:val="center"/>
          </w:tcPr>
          <w:p w14:paraId="3F2C146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权重值</w:t>
            </w:r>
          </w:p>
        </w:tc>
        <w:tc>
          <w:tcPr>
            <w:tcW w:w="2165" w:type="pct"/>
            <w:gridSpan w:val="3"/>
            <w:vAlign w:val="center"/>
          </w:tcPr>
          <w:p w14:paraId="2AA5DF5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二级指标</w:t>
            </w:r>
          </w:p>
        </w:tc>
        <w:tc>
          <w:tcPr>
            <w:tcW w:w="748" w:type="pct"/>
            <w:vAlign w:val="center"/>
          </w:tcPr>
          <w:p w14:paraId="6F88CB2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指标分值</w:t>
            </w:r>
          </w:p>
        </w:tc>
        <w:tc>
          <w:tcPr>
            <w:tcW w:w="742" w:type="pct"/>
            <w:gridSpan w:val="2"/>
            <w:vAlign w:val="center"/>
          </w:tcPr>
          <w:p w14:paraId="01CFB70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本项目</w:t>
            </w:r>
          </w:p>
        </w:tc>
      </w:tr>
      <w:tr w14:paraId="65B3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26AE290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 xml:space="preserve">（1）原辅材料 </w:t>
            </w:r>
          </w:p>
        </w:tc>
        <w:tc>
          <w:tcPr>
            <w:tcW w:w="413" w:type="pct"/>
            <w:vAlign w:val="center"/>
          </w:tcPr>
          <w:p w14:paraId="42B2F9F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1143" w:type="pct"/>
            <w:vAlign w:val="center"/>
          </w:tcPr>
          <w:p w14:paraId="08243E2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洗井液的毒性</w:t>
            </w:r>
          </w:p>
        </w:tc>
        <w:tc>
          <w:tcPr>
            <w:tcW w:w="1021" w:type="pct"/>
            <w:gridSpan w:val="2"/>
            <w:vAlign w:val="center"/>
          </w:tcPr>
          <w:p w14:paraId="11C6B967">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无毒</w:t>
            </w:r>
          </w:p>
        </w:tc>
        <w:tc>
          <w:tcPr>
            <w:tcW w:w="748" w:type="pct"/>
            <w:vAlign w:val="center"/>
          </w:tcPr>
          <w:p w14:paraId="374B46E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742" w:type="pct"/>
            <w:gridSpan w:val="2"/>
            <w:vAlign w:val="center"/>
          </w:tcPr>
          <w:p w14:paraId="7E9A78C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r>
      <w:tr w14:paraId="1E88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restart"/>
            <w:vAlign w:val="center"/>
          </w:tcPr>
          <w:p w14:paraId="7DD6D34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（2）生产工艺及设备要求</w:t>
            </w:r>
          </w:p>
        </w:tc>
        <w:tc>
          <w:tcPr>
            <w:tcW w:w="413" w:type="pct"/>
            <w:vMerge w:val="restart"/>
            <w:vAlign w:val="center"/>
          </w:tcPr>
          <w:p w14:paraId="4A77FF0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40</w:t>
            </w:r>
          </w:p>
        </w:tc>
        <w:tc>
          <w:tcPr>
            <w:tcW w:w="1143" w:type="pct"/>
            <w:vAlign w:val="center"/>
          </w:tcPr>
          <w:p w14:paraId="1E50F4A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防喷措施</w:t>
            </w:r>
          </w:p>
        </w:tc>
        <w:tc>
          <w:tcPr>
            <w:tcW w:w="1021" w:type="pct"/>
            <w:gridSpan w:val="2"/>
            <w:vAlign w:val="center"/>
          </w:tcPr>
          <w:p w14:paraId="2277198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具备</w:t>
            </w:r>
          </w:p>
        </w:tc>
        <w:tc>
          <w:tcPr>
            <w:tcW w:w="748" w:type="pct"/>
            <w:vAlign w:val="center"/>
          </w:tcPr>
          <w:p w14:paraId="3AE1443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w:t>
            </w:r>
          </w:p>
        </w:tc>
        <w:tc>
          <w:tcPr>
            <w:tcW w:w="742" w:type="pct"/>
            <w:gridSpan w:val="2"/>
            <w:vAlign w:val="center"/>
          </w:tcPr>
          <w:p w14:paraId="3287886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7</w:t>
            </w:r>
          </w:p>
        </w:tc>
      </w:tr>
      <w:tr w14:paraId="01DF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353D019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7DDE11D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07655291">
            <w:pPr>
              <w:widowControl/>
              <w:spacing w:line="240" w:lineRule="auto"/>
              <w:ind w:firstLine="0" w:firstLineChars="0"/>
              <w:jc w:val="cente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t>地面管线防刺防漏措施</w:t>
            </w:r>
          </w:p>
        </w:tc>
        <w:tc>
          <w:tcPr>
            <w:tcW w:w="1021" w:type="pct"/>
            <w:gridSpan w:val="2"/>
            <w:vAlign w:val="center"/>
          </w:tcPr>
          <w:p w14:paraId="2430FBE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按标准试压</w:t>
            </w:r>
          </w:p>
        </w:tc>
        <w:tc>
          <w:tcPr>
            <w:tcW w:w="748" w:type="pct"/>
            <w:vAlign w:val="center"/>
          </w:tcPr>
          <w:p w14:paraId="407AC37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c>
          <w:tcPr>
            <w:tcW w:w="742" w:type="pct"/>
            <w:gridSpan w:val="2"/>
            <w:vAlign w:val="center"/>
          </w:tcPr>
          <w:p w14:paraId="3BB924A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r>
      <w:tr w14:paraId="4B6E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5B99F3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4C85C4E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33778D91">
            <w:pPr>
              <w:widowControl/>
              <w:spacing w:line="240" w:lineRule="auto"/>
              <w:ind w:firstLine="0" w:firstLineChars="0"/>
              <w:jc w:val="cente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t>防溢设备（防溢池设置）</w:t>
            </w:r>
          </w:p>
        </w:tc>
        <w:tc>
          <w:tcPr>
            <w:tcW w:w="1021" w:type="pct"/>
            <w:gridSpan w:val="2"/>
            <w:vAlign w:val="center"/>
          </w:tcPr>
          <w:p w14:paraId="2E27429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具备</w:t>
            </w:r>
          </w:p>
        </w:tc>
        <w:tc>
          <w:tcPr>
            <w:tcW w:w="748" w:type="pct"/>
            <w:vAlign w:val="center"/>
          </w:tcPr>
          <w:p w14:paraId="75CF81E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c>
          <w:tcPr>
            <w:tcW w:w="742" w:type="pct"/>
            <w:gridSpan w:val="2"/>
            <w:vAlign w:val="center"/>
          </w:tcPr>
          <w:p w14:paraId="3B882F8A">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w:t>
            </w:r>
          </w:p>
        </w:tc>
      </w:tr>
      <w:tr w14:paraId="39B0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34E752C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4D4D88F6">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3DCE1FF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防渗范围</w:t>
            </w:r>
          </w:p>
        </w:tc>
        <w:tc>
          <w:tcPr>
            <w:tcW w:w="1021" w:type="pct"/>
            <w:gridSpan w:val="2"/>
            <w:vAlign w:val="center"/>
          </w:tcPr>
          <w:p w14:paraId="4962DCC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废水、使用液、原油等可能落地处</w:t>
            </w:r>
          </w:p>
        </w:tc>
        <w:tc>
          <w:tcPr>
            <w:tcW w:w="748" w:type="pct"/>
            <w:vAlign w:val="center"/>
          </w:tcPr>
          <w:p w14:paraId="63554B3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2" w:type="pct"/>
            <w:gridSpan w:val="2"/>
            <w:vAlign w:val="center"/>
          </w:tcPr>
          <w:p w14:paraId="670D651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4993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0D91B16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02CC48D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39CB4EC1">
            <w:pPr>
              <w:widowControl/>
              <w:spacing w:line="240" w:lineRule="auto"/>
              <w:ind w:firstLine="0" w:firstLineChars="0"/>
              <w:jc w:val="cente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t>作业废液污染控制措施</w:t>
            </w:r>
          </w:p>
        </w:tc>
        <w:tc>
          <w:tcPr>
            <w:tcW w:w="1021" w:type="pct"/>
            <w:gridSpan w:val="2"/>
            <w:vAlign w:val="center"/>
          </w:tcPr>
          <w:p w14:paraId="728B322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集中回收处理</w:t>
            </w:r>
          </w:p>
        </w:tc>
        <w:tc>
          <w:tcPr>
            <w:tcW w:w="748" w:type="pct"/>
            <w:vAlign w:val="center"/>
          </w:tcPr>
          <w:p w14:paraId="67A8CA2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c>
          <w:tcPr>
            <w:tcW w:w="742" w:type="pct"/>
            <w:gridSpan w:val="2"/>
            <w:vAlign w:val="center"/>
          </w:tcPr>
          <w:p w14:paraId="1E34F92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r>
      <w:tr w14:paraId="3B27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7906290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563688E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43" w:type="pct"/>
            <w:vAlign w:val="center"/>
          </w:tcPr>
          <w:p w14:paraId="6649C159">
            <w:pPr>
              <w:widowControl/>
              <w:spacing w:line="240" w:lineRule="auto"/>
              <w:ind w:firstLine="0" w:firstLineChars="0"/>
              <w:jc w:val="cente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0"/>
                <w:sz w:val="21"/>
                <w:szCs w:val="21"/>
                <w:highlight w:val="none"/>
                <w14:textFill>
                  <w14:solidFill>
                    <w14:schemeClr w14:val="tx1"/>
                  </w14:solidFill>
                </w14:textFill>
              </w:rPr>
              <w:t>防止落地原油产生措施</w:t>
            </w:r>
          </w:p>
        </w:tc>
        <w:tc>
          <w:tcPr>
            <w:tcW w:w="1021" w:type="pct"/>
            <w:gridSpan w:val="2"/>
            <w:vAlign w:val="center"/>
          </w:tcPr>
          <w:p w14:paraId="4BA56730">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具备原油回收设施</w:t>
            </w:r>
          </w:p>
        </w:tc>
        <w:tc>
          <w:tcPr>
            <w:tcW w:w="748" w:type="pct"/>
            <w:vAlign w:val="center"/>
          </w:tcPr>
          <w:p w14:paraId="26107F49">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c>
          <w:tcPr>
            <w:tcW w:w="742" w:type="pct"/>
            <w:gridSpan w:val="2"/>
            <w:vAlign w:val="center"/>
          </w:tcPr>
          <w:p w14:paraId="1FBB134F">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w:t>
            </w:r>
          </w:p>
        </w:tc>
      </w:tr>
      <w:tr w14:paraId="7C20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2910101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 符合国家政策的生产规模</w:t>
            </w:r>
          </w:p>
        </w:tc>
        <w:tc>
          <w:tcPr>
            <w:tcW w:w="413" w:type="pct"/>
            <w:vAlign w:val="center"/>
          </w:tcPr>
          <w:p w14:paraId="5223D3D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2165" w:type="pct"/>
            <w:gridSpan w:val="3"/>
            <w:vAlign w:val="center"/>
          </w:tcPr>
          <w:p w14:paraId="6601DBEC">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废液、落地油处理符合现行国家政策法规</w:t>
            </w:r>
          </w:p>
        </w:tc>
        <w:tc>
          <w:tcPr>
            <w:tcW w:w="748" w:type="pct"/>
            <w:vAlign w:val="center"/>
          </w:tcPr>
          <w:p w14:paraId="46125D05">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742" w:type="pct"/>
            <w:gridSpan w:val="2"/>
            <w:vAlign w:val="center"/>
          </w:tcPr>
          <w:p w14:paraId="63BFF7C1">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1CCD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restart"/>
            <w:vAlign w:val="center"/>
          </w:tcPr>
          <w:p w14:paraId="0FD16CD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 环境管理体系建设及清洁生产审核</w:t>
            </w:r>
          </w:p>
        </w:tc>
        <w:tc>
          <w:tcPr>
            <w:tcW w:w="413" w:type="pct"/>
            <w:vMerge w:val="restart"/>
            <w:vAlign w:val="center"/>
          </w:tcPr>
          <w:p w14:paraId="1E4E46CD">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20</w:t>
            </w:r>
          </w:p>
        </w:tc>
        <w:tc>
          <w:tcPr>
            <w:tcW w:w="2165" w:type="pct"/>
            <w:gridSpan w:val="3"/>
            <w:vAlign w:val="center"/>
          </w:tcPr>
          <w:p w14:paraId="08AEE57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建立HSE管理体系并通过认证</w:t>
            </w:r>
          </w:p>
        </w:tc>
        <w:tc>
          <w:tcPr>
            <w:tcW w:w="748" w:type="pct"/>
            <w:vAlign w:val="center"/>
          </w:tcPr>
          <w:p w14:paraId="401D61C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742" w:type="pct"/>
            <w:gridSpan w:val="2"/>
            <w:vAlign w:val="center"/>
          </w:tcPr>
          <w:p w14:paraId="3B03685C">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r>
      <w:tr w14:paraId="54A6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Merge w:val="continue"/>
            <w:vAlign w:val="center"/>
          </w:tcPr>
          <w:p w14:paraId="3FDA5915">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13" w:type="pct"/>
            <w:vMerge w:val="continue"/>
            <w:vAlign w:val="center"/>
          </w:tcPr>
          <w:p w14:paraId="441E67FB">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2165" w:type="pct"/>
            <w:gridSpan w:val="3"/>
            <w:vAlign w:val="center"/>
          </w:tcPr>
          <w:p w14:paraId="073B6958">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开展清洁生产审核</w:t>
            </w:r>
          </w:p>
        </w:tc>
        <w:tc>
          <w:tcPr>
            <w:tcW w:w="748" w:type="pct"/>
            <w:vAlign w:val="center"/>
          </w:tcPr>
          <w:p w14:paraId="680A2F84">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c>
          <w:tcPr>
            <w:tcW w:w="742" w:type="pct"/>
            <w:gridSpan w:val="2"/>
            <w:vAlign w:val="center"/>
          </w:tcPr>
          <w:p w14:paraId="278E5C13">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w:t>
            </w:r>
          </w:p>
        </w:tc>
      </w:tr>
      <w:tr w14:paraId="4A5F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30" w:type="pct"/>
            <w:vAlign w:val="center"/>
          </w:tcPr>
          <w:p w14:paraId="2A7132E2">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 贯彻执行环境保护法规的符合性</w:t>
            </w:r>
          </w:p>
        </w:tc>
        <w:tc>
          <w:tcPr>
            <w:tcW w:w="413" w:type="pct"/>
            <w:vAlign w:val="center"/>
          </w:tcPr>
          <w:p w14:paraId="3076E2FE">
            <w:pPr>
              <w:widowControl/>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2165" w:type="pct"/>
            <w:gridSpan w:val="3"/>
            <w:vAlign w:val="center"/>
          </w:tcPr>
          <w:p w14:paraId="160B1940">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污染物排放总量控制与减排措施情况</w:t>
            </w:r>
          </w:p>
        </w:tc>
        <w:tc>
          <w:tcPr>
            <w:tcW w:w="748" w:type="pct"/>
            <w:vAlign w:val="center"/>
          </w:tcPr>
          <w:p w14:paraId="4210078D">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c>
          <w:tcPr>
            <w:tcW w:w="742" w:type="pct"/>
            <w:gridSpan w:val="2"/>
            <w:vAlign w:val="center"/>
          </w:tcPr>
          <w:p w14:paraId="3F960770">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15</w:t>
            </w:r>
          </w:p>
        </w:tc>
      </w:tr>
      <w:tr w14:paraId="699B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509" w:type="pct"/>
            <w:gridSpan w:val="5"/>
            <w:vAlign w:val="center"/>
          </w:tcPr>
          <w:p w14:paraId="3B13CABA">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合计</w:t>
            </w:r>
          </w:p>
        </w:tc>
        <w:tc>
          <w:tcPr>
            <w:tcW w:w="748" w:type="pct"/>
            <w:vAlign w:val="center"/>
          </w:tcPr>
          <w:p w14:paraId="57B5D9AA">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c>
          <w:tcPr>
            <w:tcW w:w="742" w:type="pct"/>
            <w:gridSpan w:val="2"/>
            <w:vAlign w:val="center"/>
          </w:tcPr>
          <w:p w14:paraId="3DB13945">
            <w:pPr>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r>
    </w:tbl>
    <w:p w14:paraId="31DB4A5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表3.</w:t>
      </w:r>
      <w:r>
        <w:rPr>
          <w:rFonts w:hint="eastAsia"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t>3-15</w:t>
      </w: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 xml:space="preserve">   采油（气）定量和定性评价指标项目</w:t>
      </w: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、权重及基准值</w:t>
      </w:r>
    </w:p>
    <w:p w14:paraId="3D8A38F9">
      <w:pPr>
        <w:spacing w:line="27" w:lineRule="exact"/>
        <w:ind w:firstLine="480"/>
        <w:rPr>
          <w:rFonts w:hint="default" w:ascii="Times New Roman" w:hAnsi="Times New Roman" w:eastAsia="宋体" w:cs="Times New Roman"/>
          <w:color w:val="000000" w:themeColor="text1"/>
          <w:highlight w:val="none"/>
          <w14:textFill>
            <w14:solidFill>
              <w14:schemeClr w14:val="tx1"/>
            </w14:solidFill>
          </w14:textFill>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629"/>
        <w:gridCol w:w="426"/>
        <w:gridCol w:w="1301"/>
        <w:gridCol w:w="536"/>
        <w:gridCol w:w="426"/>
        <w:gridCol w:w="793"/>
        <w:gridCol w:w="1632"/>
        <w:gridCol w:w="619"/>
        <w:gridCol w:w="38"/>
        <w:gridCol w:w="642"/>
      </w:tblGrid>
      <w:tr w14:paraId="7E8E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shd w:val="clear" w:color="auto" w:fill="auto"/>
            <w:vAlign w:val="center"/>
          </w:tcPr>
          <w:p w14:paraId="40833F0F">
            <w:pPr>
              <w:widowControl/>
              <w:spacing w:line="240" w:lineRule="auto"/>
              <w:ind w:firstLine="0" w:firstLineChars="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定量指标</w:t>
            </w:r>
          </w:p>
        </w:tc>
      </w:tr>
      <w:tr w14:paraId="65F2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67FB21D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一级指标</w:t>
            </w:r>
          </w:p>
        </w:tc>
        <w:tc>
          <w:tcPr>
            <w:tcW w:w="386" w:type="pct"/>
            <w:vMerge w:val="restart"/>
            <w:shd w:val="clear" w:color="auto" w:fill="auto"/>
            <w:vAlign w:val="center"/>
          </w:tcPr>
          <w:p w14:paraId="6F7DDA3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权重值</w:t>
            </w:r>
          </w:p>
        </w:tc>
        <w:tc>
          <w:tcPr>
            <w:tcW w:w="914" w:type="pct"/>
            <w:gridSpan w:val="2"/>
            <w:vMerge w:val="restart"/>
            <w:shd w:val="clear" w:color="auto" w:fill="auto"/>
            <w:vAlign w:val="center"/>
          </w:tcPr>
          <w:p w14:paraId="2C589F5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二级指标</w:t>
            </w:r>
          </w:p>
        </w:tc>
        <w:tc>
          <w:tcPr>
            <w:tcW w:w="497" w:type="pct"/>
            <w:gridSpan w:val="2"/>
            <w:vMerge w:val="restart"/>
            <w:shd w:val="clear" w:color="auto" w:fill="auto"/>
            <w:vAlign w:val="center"/>
          </w:tcPr>
          <w:p w14:paraId="3CBC0C3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单位</w:t>
            </w:r>
          </w:p>
        </w:tc>
        <w:tc>
          <w:tcPr>
            <w:tcW w:w="481" w:type="pct"/>
            <w:vMerge w:val="restart"/>
            <w:shd w:val="clear" w:color="auto" w:fill="auto"/>
            <w:vAlign w:val="center"/>
          </w:tcPr>
          <w:p w14:paraId="3B2F9F8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权重值</w:t>
            </w:r>
          </w:p>
        </w:tc>
        <w:tc>
          <w:tcPr>
            <w:tcW w:w="966" w:type="pct"/>
            <w:vMerge w:val="restart"/>
            <w:shd w:val="clear" w:color="auto" w:fill="auto"/>
            <w:vAlign w:val="center"/>
          </w:tcPr>
          <w:p w14:paraId="0F78175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评价基准值</w:t>
            </w:r>
          </w:p>
        </w:tc>
        <w:tc>
          <w:tcPr>
            <w:tcW w:w="815" w:type="pct"/>
            <w:gridSpan w:val="3"/>
            <w:shd w:val="clear" w:color="auto" w:fill="auto"/>
            <w:vAlign w:val="center"/>
          </w:tcPr>
          <w:p w14:paraId="246D0FB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tc>
      </w:tr>
      <w:tr w14:paraId="2D72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01B2C8C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0695C9E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vMerge w:val="continue"/>
            <w:shd w:val="clear" w:color="auto" w:fill="auto"/>
            <w:vAlign w:val="center"/>
          </w:tcPr>
          <w:p w14:paraId="1D13CFC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7" w:type="pct"/>
            <w:gridSpan w:val="2"/>
            <w:vMerge w:val="continue"/>
            <w:shd w:val="clear" w:color="auto" w:fill="auto"/>
            <w:vAlign w:val="center"/>
          </w:tcPr>
          <w:p w14:paraId="126FCCC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vMerge w:val="continue"/>
            <w:shd w:val="clear" w:color="auto" w:fill="auto"/>
            <w:vAlign w:val="center"/>
          </w:tcPr>
          <w:p w14:paraId="274C566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66" w:type="pct"/>
            <w:vMerge w:val="continue"/>
            <w:shd w:val="clear" w:color="auto" w:fill="auto"/>
            <w:vAlign w:val="center"/>
          </w:tcPr>
          <w:p w14:paraId="7F3723A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4" w:type="pct"/>
            <w:gridSpan w:val="2"/>
            <w:shd w:val="clear" w:color="auto" w:fill="auto"/>
            <w:vAlign w:val="center"/>
          </w:tcPr>
          <w:p w14:paraId="63C3458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实际值</w:t>
            </w:r>
          </w:p>
        </w:tc>
        <w:tc>
          <w:tcPr>
            <w:tcW w:w="411" w:type="pct"/>
            <w:shd w:val="clear" w:color="auto" w:fill="auto"/>
            <w:vAlign w:val="center"/>
          </w:tcPr>
          <w:p w14:paraId="3BFB49F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得分</w:t>
            </w:r>
          </w:p>
        </w:tc>
      </w:tr>
      <w:tr w14:paraId="7DE0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shd w:val="clear" w:color="auto" w:fill="auto"/>
            <w:vAlign w:val="center"/>
          </w:tcPr>
          <w:p w14:paraId="1AC2086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683" w:name="_Hlk500928256"/>
            <w:r>
              <w:rPr>
                <w:rFonts w:hint="default" w:ascii="Times New Roman" w:hAnsi="Times New Roman" w:eastAsia="宋体" w:cs="Times New Roman"/>
                <w:color w:val="000000" w:themeColor="text1"/>
                <w:sz w:val="21"/>
                <w:szCs w:val="21"/>
                <w:highlight w:val="none"/>
                <w14:textFill>
                  <w14:solidFill>
                    <w14:schemeClr w14:val="tx1"/>
                  </w14:solidFill>
                </w14:textFill>
              </w:rPr>
              <w:t>（1）资源和能源消耗指标</w:t>
            </w:r>
          </w:p>
        </w:tc>
        <w:tc>
          <w:tcPr>
            <w:tcW w:w="386" w:type="pct"/>
            <w:shd w:val="clear" w:color="auto" w:fill="auto"/>
            <w:vAlign w:val="center"/>
          </w:tcPr>
          <w:p w14:paraId="17047CC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914" w:type="pct"/>
            <w:gridSpan w:val="2"/>
            <w:shd w:val="clear" w:color="auto" w:fill="auto"/>
            <w:vAlign w:val="center"/>
          </w:tcPr>
          <w:p w14:paraId="1C77769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吨采出液综合能耗</w:t>
            </w:r>
          </w:p>
        </w:tc>
        <w:tc>
          <w:tcPr>
            <w:tcW w:w="497" w:type="pct"/>
            <w:gridSpan w:val="2"/>
            <w:shd w:val="clear" w:color="auto" w:fill="auto"/>
            <w:vAlign w:val="center"/>
          </w:tcPr>
          <w:p w14:paraId="6B906D1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kg标煤/t采出液</w:t>
            </w:r>
          </w:p>
        </w:tc>
        <w:tc>
          <w:tcPr>
            <w:tcW w:w="481" w:type="pct"/>
            <w:shd w:val="clear" w:color="auto" w:fill="auto"/>
            <w:vAlign w:val="center"/>
          </w:tcPr>
          <w:p w14:paraId="28FAEC6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966" w:type="pct"/>
            <w:shd w:val="clear" w:color="auto" w:fill="auto"/>
            <w:vAlign w:val="center"/>
          </w:tcPr>
          <w:p w14:paraId="594100B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稀油：≤65 </w:t>
            </w:r>
          </w:p>
          <w:p w14:paraId="2B52A17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稠油：≤160</w:t>
            </w:r>
          </w:p>
        </w:tc>
        <w:tc>
          <w:tcPr>
            <w:tcW w:w="404" w:type="pct"/>
            <w:gridSpan w:val="2"/>
            <w:shd w:val="clear" w:color="auto" w:fill="auto"/>
            <w:vAlign w:val="center"/>
          </w:tcPr>
          <w:p w14:paraId="7E890B5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稠油：≤160</w:t>
            </w:r>
          </w:p>
        </w:tc>
        <w:tc>
          <w:tcPr>
            <w:tcW w:w="411" w:type="pct"/>
            <w:shd w:val="clear" w:color="auto" w:fill="auto"/>
            <w:vAlign w:val="center"/>
          </w:tcPr>
          <w:p w14:paraId="32351B0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r>
      <w:tr w14:paraId="3E0D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0889C93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（2）资源综合利用指标</w:t>
            </w:r>
          </w:p>
        </w:tc>
        <w:tc>
          <w:tcPr>
            <w:tcW w:w="386" w:type="pct"/>
            <w:vMerge w:val="restart"/>
            <w:shd w:val="clear" w:color="auto" w:fill="auto"/>
            <w:vAlign w:val="center"/>
          </w:tcPr>
          <w:p w14:paraId="4C2DE2F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914" w:type="pct"/>
            <w:gridSpan w:val="2"/>
            <w:shd w:val="clear" w:color="auto" w:fill="auto"/>
            <w:vAlign w:val="center"/>
          </w:tcPr>
          <w:p w14:paraId="33A0CC4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余热余能利用率</w:t>
            </w:r>
          </w:p>
        </w:tc>
        <w:tc>
          <w:tcPr>
            <w:tcW w:w="497" w:type="pct"/>
            <w:gridSpan w:val="2"/>
            <w:shd w:val="clear" w:color="auto" w:fill="auto"/>
            <w:vAlign w:val="center"/>
          </w:tcPr>
          <w:p w14:paraId="628D2EB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309D161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4C12718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404" w:type="pct"/>
            <w:gridSpan w:val="2"/>
            <w:shd w:val="clear" w:color="auto" w:fill="auto"/>
            <w:vAlign w:val="center"/>
          </w:tcPr>
          <w:p w14:paraId="39FE1FC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411" w:type="pct"/>
            <w:shd w:val="clear" w:color="auto" w:fill="auto"/>
            <w:vAlign w:val="center"/>
          </w:tcPr>
          <w:p w14:paraId="6D577F7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14:paraId="0369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3B43316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76FD129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shd w:val="clear" w:color="auto" w:fill="auto"/>
            <w:vAlign w:val="center"/>
          </w:tcPr>
          <w:p w14:paraId="2CE7238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油井伴生气回收利用率</w:t>
            </w:r>
          </w:p>
        </w:tc>
        <w:tc>
          <w:tcPr>
            <w:tcW w:w="497" w:type="pct"/>
            <w:gridSpan w:val="2"/>
            <w:shd w:val="clear" w:color="auto" w:fill="auto"/>
            <w:vAlign w:val="center"/>
          </w:tcPr>
          <w:p w14:paraId="04570A2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06F3A3A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35BF104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404" w:type="pct"/>
            <w:gridSpan w:val="2"/>
            <w:shd w:val="clear" w:color="auto" w:fill="auto"/>
            <w:vAlign w:val="center"/>
          </w:tcPr>
          <w:p w14:paraId="093D2627">
            <w:pPr>
              <w:widowControl/>
              <w:spacing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1" w:type="pct"/>
            <w:shd w:val="clear" w:color="auto" w:fill="auto"/>
            <w:vAlign w:val="center"/>
          </w:tcPr>
          <w:p w14:paraId="5A47B4D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5434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57EF745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09009E5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shd w:val="clear" w:color="auto" w:fill="auto"/>
            <w:vAlign w:val="center"/>
          </w:tcPr>
          <w:p w14:paraId="044F0E9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含油污泥资源化利用率</w:t>
            </w:r>
          </w:p>
        </w:tc>
        <w:tc>
          <w:tcPr>
            <w:tcW w:w="497" w:type="pct"/>
            <w:gridSpan w:val="2"/>
            <w:shd w:val="clear" w:color="auto" w:fill="auto"/>
            <w:vAlign w:val="center"/>
          </w:tcPr>
          <w:p w14:paraId="6D08BED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7B8ACAC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06C6A4C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c>
          <w:tcPr>
            <w:tcW w:w="404" w:type="pct"/>
            <w:gridSpan w:val="2"/>
            <w:shd w:val="clear" w:color="auto" w:fill="auto"/>
            <w:vAlign w:val="center"/>
          </w:tcPr>
          <w:p w14:paraId="12E0689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11" w:type="pct"/>
            <w:shd w:val="clear" w:color="auto" w:fill="auto"/>
            <w:vAlign w:val="center"/>
          </w:tcPr>
          <w:p w14:paraId="476849E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7F13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06F78FA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（3）污染物产生指标</w:t>
            </w:r>
          </w:p>
        </w:tc>
        <w:tc>
          <w:tcPr>
            <w:tcW w:w="386" w:type="pct"/>
            <w:vMerge w:val="restart"/>
            <w:shd w:val="clear" w:color="auto" w:fill="auto"/>
            <w:vAlign w:val="center"/>
          </w:tcPr>
          <w:p w14:paraId="1581E3A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14" w:type="pct"/>
            <w:gridSpan w:val="2"/>
            <w:shd w:val="clear" w:color="auto" w:fill="auto"/>
            <w:vAlign w:val="center"/>
          </w:tcPr>
          <w:p w14:paraId="2A7373C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落地原油回收率</w:t>
            </w:r>
          </w:p>
        </w:tc>
        <w:tc>
          <w:tcPr>
            <w:tcW w:w="497" w:type="pct"/>
            <w:gridSpan w:val="2"/>
            <w:shd w:val="clear" w:color="auto" w:fill="auto"/>
            <w:vAlign w:val="center"/>
          </w:tcPr>
          <w:p w14:paraId="2CC8700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765B18E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6022651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04" w:type="pct"/>
            <w:gridSpan w:val="2"/>
            <w:shd w:val="clear" w:color="auto" w:fill="auto"/>
            <w:vAlign w:val="center"/>
          </w:tcPr>
          <w:p w14:paraId="23C92DB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11" w:type="pct"/>
            <w:shd w:val="clear" w:color="auto" w:fill="auto"/>
            <w:vAlign w:val="center"/>
          </w:tcPr>
          <w:p w14:paraId="460FC24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4E92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77522CB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7B99356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shd w:val="clear" w:color="auto" w:fill="auto"/>
            <w:vAlign w:val="center"/>
          </w:tcPr>
          <w:p w14:paraId="6684F0E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采油废水回用率</w:t>
            </w:r>
          </w:p>
        </w:tc>
        <w:tc>
          <w:tcPr>
            <w:tcW w:w="497" w:type="pct"/>
            <w:gridSpan w:val="2"/>
            <w:shd w:val="clear" w:color="auto" w:fill="auto"/>
            <w:vAlign w:val="center"/>
          </w:tcPr>
          <w:p w14:paraId="5ADB645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76FC6F9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40C1E45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404" w:type="pct"/>
            <w:gridSpan w:val="2"/>
            <w:shd w:val="clear" w:color="auto" w:fill="auto"/>
            <w:vAlign w:val="center"/>
          </w:tcPr>
          <w:p w14:paraId="5D3842D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11" w:type="pct"/>
            <w:shd w:val="clear" w:color="auto" w:fill="auto"/>
            <w:vAlign w:val="center"/>
          </w:tcPr>
          <w:p w14:paraId="535E142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6CCA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4A9CE88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74BDD6C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shd w:val="clear" w:color="auto" w:fill="auto"/>
            <w:vAlign w:val="center"/>
          </w:tcPr>
          <w:p w14:paraId="0C84E49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油井伴生气外排率</w:t>
            </w:r>
          </w:p>
        </w:tc>
        <w:tc>
          <w:tcPr>
            <w:tcW w:w="497" w:type="pct"/>
            <w:gridSpan w:val="2"/>
            <w:shd w:val="clear" w:color="auto" w:fill="auto"/>
            <w:vAlign w:val="center"/>
          </w:tcPr>
          <w:p w14:paraId="03642ED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4F09C84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536B382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404" w:type="pct"/>
            <w:gridSpan w:val="2"/>
            <w:shd w:val="clear" w:color="auto" w:fill="auto"/>
            <w:vAlign w:val="center"/>
          </w:tcPr>
          <w:p w14:paraId="3D6CECC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411" w:type="pct"/>
            <w:shd w:val="clear" w:color="auto" w:fill="auto"/>
            <w:vAlign w:val="center"/>
          </w:tcPr>
          <w:p w14:paraId="42F410E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2D37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08317ED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6A98E21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4" w:type="pct"/>
            <w:gridSpan w:val="2"/>
            <w:shd w:val="clear" w:color="auto" w:fill="auto"/>
            <w:vAlign w:val="center"/>
          </w:tcPr>
          <w:p w14:paraId="5C9D060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采出废水达标排放率</w:t>
            </w:r>
          </w:p>
        </w:tc>
        <w:tc>
          <w:tcPr>
            <w:tcW w:w="497" w:type="pct"/>
            <w:gridSpan w:val="2"/>
            <w:shd w:val="clear" w:color="auto" w:fill="auto"/>
            <w:vAlign w:val="center"/>
          </w:tcPr>
          <w:p w14:paraId="52178CC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1" w:type="pct"/>
            <w:shd w:val="clear" w:color="auto" w:fill="auto"/>
            <w:vAlign w:val="center"/>
          </w:tcPr>
          <w:p w14:paraId="3E1CEE4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966" w:type="pct"/>
            <w:shd w:val="clear" w:color="auto" w:fill="auto"/>
            <w:vAlign w:val="center"/>
          </w:tcPr>
          <w:p w14:paraId="68BFDFF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404" w:type="pct"/>
            <w:gridSpan w:val="2"/>
            <w:shd w:val="clear" w:color="auto" w:fill="auto"/>
            <w:vAlign w:val="center"/>
          </w:tcPr>
          <w:p w14:paraId="30ACBCF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11" w:type="pct"/>
            <w:shd w:val="clear" w:color="auto" w:fill="auto"/>
            <w:vAlign w:val="center"/>
          </w:tcPr>
          <w:p w14:paraId="1323A47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05C6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36" w:type="pct"/>
            <w:gridSpan w:val="6"/>
            <w:shd w:val="clear" w:color="auto" w:fill="auto"/>
            <w:vAlign w:val="center"/>
          </w:tcPr>
          <w:p w14:paraId="3871BAA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481" w:type="pct"/>
            <w:shd w:val="clear" w:color="auto" w:fill="auto"/>
            <w:vAlign w:val="center"/>
          </w:tcPr>
          <w:p w14:paraId="76CE2AC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966" w:type="pct"/>
            <w:shd w:val="clear" w:color="auto" w:fill="auto"/>
            <w:vAlign w:val="center"/>
          </w:tcPr>
          <w:p w14:paraId="732EFDD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4" w:type="pct"/>
            <w:gridSpan w:val="2"/>
            <w:shd w:val="clear" w:color="auto" w:fill="auto"/>
            <w:vAlign w:val="center"/>
          </w:tcPr>
          <w:p w14:paraId="634CD15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11" w:type="pct"/>
            <w:shd w:val="clear" w:color="auto" w:fill="auto"/>
            <w:vAlign w:val="center"/>
          </w:tcPr>
          <w:p w14:paraId="284D2B8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r>
      <w:bookmarkEnd w:id="683"/>
      <w:tr w14:paraId="69F0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shd w:val="clear" w:color="auto" w:fill="auto"/>
            <w:vAlign w:val="center"/>
          </w:tcPr>
          <w:p w14:paraId="0687C61B">
            <w:pPr>
              <w:widowControl/>
              <w:spacing w:line="240" w:lineRule="auto"/>
              <w:ind w:firstLine="0" w:firstLineChars="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定性指标</w:t>
            </w:r>
          </w:p>
        </w:tc>
      </w:tr>
      <w:tr w14:paraId="04C1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3902BAA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一级指标</w:t>
            </w:r>
          </w:p>
        </w:tc>
        <w:tc>
          <w:tcPr>
            <w:tcW w:w="386" w:type="pct"/>
            <w:vMerge w:val="restart"/>
            <w:shd w:val="clear" w:color="auto" w:fill="auto"/>
            <w:vAlign w:val="center"/>
          </w:tcPr>
          <w:p w14:paraId="2A1B59B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指标</w:t>
            </w:r>
          </w:p>
          <w:p w14:paraId="5376ED7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分值</w:t>
            </w:r>
          </w:p>
        </w:tc>
        <w:tc>
          <w:tcPr>
            <w:tcW w:w="2859" w:type="pct"/>
            <w:gridSpan w:val="6"/>
            <w:vMerge w:val="restart"/>
            <w:shd w:val="clear" w:color="auto" w:fill="auto"/>
            <w:vAlign w:val="center"/>
          </w:tcPr>
          <w:p w14:paraId="11B9D6A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二级指标</w:t>
            </w:r>
          </w:p>
        </w:tc>
        <w:tc>
          <w:tcPr>
            <w:tcW w:w="380" w:type="pct"/>
            <w:vMerge w:val="restart"/>
            <w:shd w:val="clear" w:color="auto" w:fill="auto"/>
            <w:vAlign w:val="center"/>
          </w:tcPr>
          <w:p w14:paraId="15BE5D9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指标</w:t>
            </w:r>
          </w:p>
          <w:p w14:paraId="0247780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分值</w:t>
            </w:r>
          </w:p>
        </w:tc>
        <w:tc>
          <w:tcPr>
            <w:tcW w:w="435" w:type="pct"/>
            <w:gridSpan w:val="2"/>
            <w:shd w:val="clear" w:color="auto" w:fill="auto"/>
            <w:vAlign w:val="center"/>
          </w:tcPr>
          <w:p w14:paraId="2349529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tc>
      </w:tr>
      <w:tr w14:paraId="4738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1D26F81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106EA4D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59" w:type="pct"/>
            <w:gridSpan w:val="6"/>
            <w:vMerge w:val="continue"/>
            <w:shd w:val="clear" w:color="auto" w:fill="auto"/>
            <w:vAlign w:val="center"/>
          </w:tcPr>
          <w:p w14:paraId="6882DEE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0" w:type="pct"/>
            <w:vMerge w:val="continue"/>
            <w:shd w:val="clear" w:color="auto" w:fill="auto"/>
            <w:vAlign w:val="center"/>
          </w:tcPr>
          <w:p w14:paraId="59FBBD5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gridSpan w:val="2"/>
            <w:shd w:val="clear" w:color="auto" w:fill="auto"/>
            <w:vAlign w:val="center"/>
          </w:tcPr>
          <w:p w14:paraId="6402594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得分</w:t>
            </w:r>
          </w:p>
        </w:tc>
      </w:tr>
      <w:tr w14:paraId="6559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shd w:val="clear" w:color="auto" w:fill="auto"/>
            <w:vAlign w:val="center"/>
          </w:tcPr>
          <w:p w14:paraId="72B29A9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（1）原辅材料 </w:t>
            </w:r>
          </w:p>
        </w:tc>
        <w:tc>
          <w:tcPr>
            <w:tcW w:w="386" w:type="pct"/>
            <w:shd w:val="clear" w:color="auto" w:fill="auto"/>
            <w:vAlign w:val="center"/>
          </w:tcPr>
          <w:p w14:paraId="2BD22CD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412" w:type="pct"/>
            <w:gridSpan w:val="4"/>
            <w:shd w:val="clear" w:color="auto" w:fill="auto"/>
            <w:vAlign w:val="center"/>
          </w:tcPr>
          <w:p w14:paraId="2329B85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注水水质 </w:t>
            </w:r>
          </w:p>
        </w:tc>
        <w:tc>
          <w:tcPr>
            <w:tcW w:w="1447" w:type="pct"/>
            <w:gridSpan w:val="2"/>
            <w:shd w:val="clear" w:color="auto" w:fill="auto"/>
            <w:vAlign w:val="center"/>
          </w:tcPr>
          <w:p w14:paraId="7C83419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本项目不涉及注水井</w:t>
            </w:r>
          </w:p>
        </w:tc>
        <w:tc>
          <w:tcPr>
            <w:tcW w:w="380" w:type="pct"/>
            <w:shd w:val="clear" w:color="auto" w:fill="auto"/>
            <w:vAlign w:val="center"/>
          </w:tcPr>
          <w:p w14:paraId="6331C34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000A640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4C95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3CC7EC8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（2）生产工艺及设备要求</w:t>
            </w:r>
          </w:p>
        </w:tc>
        <w:tc>
          <w:tcPr>
            <w:tcW w:w="386" w:type="pct"/>
            <w:vMerge w:val="restart"/>
            <w:shd w:val="clear" w:color="auto" w:fill="auto"/>
            <w:vAlign w:val="center"/>
          </w:tcPr>
          <w:p w14:paraId="38C73F3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1412" w:type="pct"/>
            <w:gridSpan w:val="4"/>
            <w:shd w:val="clear" w:color="auto" w:fill="auto"/>
            <w:vAlign w:val="center"/>
          </w:tcPr>
          <w:p w14:paraId="462F2EB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井筒质量</w:t>
            </w:r>
          </w:p>
        </w:tc>
        <w:tc>
          <w:tcPr>
            <w:tcW w:w="1447" w:type="pct"/>
            <w:gridSpan w:val="2"/>
            <w:shd w:val="clear" w:color="auto" w:fill="auto"/>
            <w:vAlign w:val="center"/>
          </w:tcPr>
          <w:p w14:paraId="566BA69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井筒设施完好</w:t>
            </w:r>
          </w:p>
        </w:tc>
        <w:tc>
          <w:tcPr>
            <w:tcW w:w="380" w:type="pct"/>
            <w:shd w:val="clear" w:color="auto" w:fill="auto"/>
            <w:vAlign w:val="center"/>
          </w:tcPr>
          <w:p w14:paraId="6E53114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385259E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11EA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49318FB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1C95394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8" w:type="pct"/>
            <w:vMerge w:val="restart"/>
            <w:shd w:val="clear" w:color="auto" w:fill="auto"/>
            <w:vAlign w:val="center"/>
          </w:tcPr>
          <w:p w14:paraId="232CA2C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采气</w:t>
            </w:r>
          </w:p>
        </w:tc>
        <w:tc>
          <w:tcPr>
            <w:tcW w:w="1108" w:type="pct"/>
            <w:gridSpan w:val="2"/>
            <w:shd w:val="clear" w:color="auto" w:fill="auto"/>
            <w:vAlign w:val="center"/>
          </w:tcPr>
          <w:p w14:paraId="1A07CEB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采气过程醇回收设施</w:t>
            </w:r>
          </w:p>
        </w:tc>
        <w:tc>
          <w:tcPr>
            <w:tcW w:w="165" w:type="pct"/>
            <w:vMerge w:val="restart"/>
            <w:shd w:val="clear" w:color="auto" w:fill="auto"/>
            <w:vAlign w:val="center"/>
          </w:tcPr>
          <w:p w14:paraId="66173FF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采油</w:t>
            </w:r>
          </w:p>
        </w:tc>
        <w:tc>
          <w:tcPr>
            <w:tcW w:w="1447" w:type="pct"/>
            <w:gridSpan w:val="2"/>
            <w:shd w:val="clear" w:color="auto" w:fill="auto"/>
            <w:vAlign w:val="center"/>
          </w:tcPr>
          <w:p w14:paraId="41A373D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套管气回收装置</w:t>
            </w:r>
          </w:p>
        </w:tc>
        <w:tc>
          <w:tcPr>
            <w:tcW w:w="380" w:type="pct"/>
            <w:shd w:val="clear" w:color="auto" w:fill="auto"/>
            <w:vAlign w:val="center"/>
          </w:tcPr>
          <w:p w14:paraId="1FEA599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712" w:type="dxa"/>
            <w:gridSpan w:val="2"/>
            <w:shd w:val="clear" w:color="auto" w:fill="auto"/>
            <w:vAlign w:val="center"/>
          </w:tcPr>
          <w:p w14:paraId="6332726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576E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016007B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7F10229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8" w:type="pct"/>
            <w:vMerge w:val="continue"/>
            <w:shd w:val="clear" w:color="auto" w:fill="auto"/>
            <w:vAlign w:val="center"/>
          </w:tcPr>
          <w:p w14:paraId="038E53F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8" w:type="pct"/>
            <w:gridSpan w:val="2"/>
            <w:shd w:val="clear" w:color="auto" w:fill="auto"/>
            <w:vAlign w:val="center"/>
          </w:tcPr>
          <w:p w14:paraId="03716B6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天然气净化设施先进、净化效率高</w:t>
            </w:r>
          </w:p>
        </w:tc>
        <w:tc>
          <w:tcPr>
            <w:tcW w:w="165" w:type="pct"/>
            <w:vMerge w:val="continue"/>
            <w:shd w:val="clear" w:color="auto" w:fill="auto"/>
            <w:vAlign w:val="center"/>
          </w:tcPr>
          <w:p w14:paraId="029E74B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47" w:type="pct"/>
            <w:gridSpan w:val="2"/>
            <w:shd w:val="clear" w:color="auto" w:fill="auto"/>
            <w:vAlign w:val="center"/>
          </w:tcPr>
          <w:p w14:paraId="5D420A9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防止落地原油产生措施</w:t>
            </w:r>
          </w:p>
        </w:tc>
        <w:tc>
          <w:tcPr>
            <w:tcW w:w="380" w:type="pct"/>
            <w:shd w:val="clear" w:color="auto" w:fill="auto"/>
            <w:vAlign w:val="center"/>
          </w:tcPr>
          <w:p w14:paraId="18B9B40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712" w:type="dxa"/>
            <w:gridSpan w:val="2"/>
            <w:shd w:val="clear" w:color="auto" w:fill="auto"/>
            <w:vAlign w:val="center"/>
          </w:tcPr>
          <w:p w14:paraId="5B85323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56FF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68FDAEC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19BD4AB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12" w:type="pct"/>
            <w:gridSpan w:val="4"/>
            <w:shd w:val="clear" w:color="auto" w:fill="auto"/>
            <w:vAlign w:val="center"/>
          </w:tcPr>
          <w:p w14:paraId="2742E12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采油方式</w:t>
            </w:r>
          </w:p>
        </w:tc>
        <w:tc>
          <w:tcPr>
            <w:tcW w:w="1447" w:type="pct"/>
            <w:gridSpan w:val="2"/>
            <w:shd w:val="clear" w:color="auto" w:fill="auto"/>
            <w:vAlign w:val="center"/>
          </w:tcPr>
          <w:p w14:paraId="6671542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采油方式经过综合评价确定</w:t>
            </w:r>
          </w:p>
        </w:tc>
        <w:tc>
          <w:tcPr>
            <w:tcW w:w="380" w:type="pct"/>
            <w:shd w:val="clear" w:color="auto" w:fill="auto"/>
            <w:vAlign w:val="center"/>
          </w:tcPr>
          <w:p w14:paraId="48A66FC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435" w:type="pct"/>
            <w:gridSpan w:val="2"/>
            <w:shd w:val="clear" w:color="auto" w:fill="auto"/>
            <w:vAlign w:val="center"/>
          </w:tcPr>
          <w:p w14:paraId="0AB2CEC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3458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765D7C2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1787959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12" w:type="pct"/>
            <w:gridSpan w:val="4"/>
            <w:shd w:val="clear" w:color="auto" w:fill="auto"/>
            <w:vAlign w:val="center"/>
          </w:tcPr>
          <w:p w14:paraId="7B11E3C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集输流程</w:t>
            </w:r>
          </w:p>
        </w:tc>
        <w:tc>
          <w:tcPr>
            <w:tcW w:w="1447" w:type="pct"/>
            <w:gridSpan w:val="2"/>
            <w:shd w:val="clear" w:color="auto" w:fill="auto"/>
            <w:vAlign w:val="center"/>
          </w:tcPr>
          <w:p w14:paraId="0522E0D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全密闭流程，并具有轻烃回收装置</w:t>
            </w:r>
          </w:p>
        </w:tc>
        <w:tc>
          <w:tcPr>
            <w:tcW w:w="380" w:type="pct"/>
            <w:shd w:val="clear" w:color="auto" w:fill="auto"/>
            <w:vAlign w:val="center"/>
          </w:tcPr>
          <w:p w14:paraId="7F0120B2">
            <w:pPr>
              <w:widowControl/>
              <w:spacing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35" w:type="pct"/>
            <w:gridSpan w:val="2"/>
            <w:shd w:val="clear" w:color="auto" w:fill="auto"/>
            <w:vAlign w:val="center"/>
          </w:tcPr>
          <w:p w14:paraId="3F31E0F0">
            <w:pPr>
              <w:widowControl/>
              <w:spacing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4900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shd w:val="clear" w:color="auto" w:fill="auto"/>
            <w:vAlign w:val="center"/>
          </w:tcPr>
          <w:p w14:paraId="14ABB6D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（3）符合国家政策的生产规模</w:t>
            </w:r>
          </w:p>
        </w:tc>
        <w:tc>
          <w:tcPr>
            <w:tcW w:w="386" w:type="pct"/>
            <w:shd w:val="clear" w:color="auto" w:fill="auto"/>
            <w:vAlign w:val="center"/>
          </w:tcPr>
          <w:p w14:paraId="516E31A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2859" w:type="pct"/>
            <w:gridSpan w:val="6"/>
            <w:shd w:val="clear" w:color="auto" w:fill="auto"/>
            <w:vAlign w:val="center"/>
          </w:tcPr>
          <w:p w14:paraId="5D4C5513">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废液、落地油处理符合现行国家政策法规</w:t>
            </w:r>
          </w:p>
        </w:tc>
        <w:tc>
          <w:tcPr>
            <w:tcW w:w="380" w:type="pct"/>
            <w:shd w:val="clear" w:color="auto" w:fill="auto"/>
            <w:vAlign w:val="center"/>
          </w:tcPr>
          <w:p w14:paraId="358F9D4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c>
          <w:tcPr>
            <w:tcW w:w="435" w:type="pct"/>
            <w:gridSpan w:val="2"/>
            <w:shd w:val="clear" w:color="auto" w:fill="auto"/>
            <w:vAlign w:val="center"/>
          </w:tcPr>
          <w:p w14:paraId="419CFEEA">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w:t>
            </w:r>
          </w:p>
        </w:tc>
      </w:tr>
      <w:tr w14:paraId="4595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77D99B4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（4）环境管理体系建设及清洁生产审核</w:t>
            </w:r>
          </w:p>
        </w:tc>
        <w:tc>
          <w:tcPr>
            <w:tcW w:w="386" w:type="pct"/>
            <w:vMerge w:val="restart"/>
            <w:shd w:val="clear" w:color="auto" w:fill="auto"/>
            <w:vAlign w:val="center"/>
          </w:tcPr>
          <w:p w14:paraId="5E1025C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2859" w:type="pct"/>
            <w:gridSpan w:val="6"/>
            <w:shd w:val="clear" w:color="auto" w:fill="auto"/>
            <w:vAlign w:val="center"/>
          </w:tcPr>
          <w:p w14:paraId="10C2EA3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建立HSE管理体系并通过认证</w:t>
            </w:r>
          </w:p>
        </w:tc>
        <w:tc>
          <w:tcPr>
            <w:tcW w:w="380" w:type="pct"/>
            <w:shd w:val="clear" w:color="auto" w:fill="auto"/>
            <w:vAlign w:val="center"/>
          </w:tcPr>
          <w:p w14:paraId="4B6B034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435" w:type="pct"/>
            <w:gridSpan w:val="2"/>
            <w:shd w:val="clear" w:color="auto" w:fill="auto"/>
            <w:vAlign w:val="center"/>
          </w:tcPr>
          <w:p w14:paraId="529C220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0BE4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271A2D10">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48B0E79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59" w:type="pct"/>
            <w:gridSpan w:val="6"/>
            <w:shd w:val="clear" w:color="auto" w:fill="auto"/>
            <w:vAlign w:val="center"/>
          </w:tcPr>
          <w:p w14:paraId="78C8E1B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开展清洁生产审核，并通过验收</w:t>
            </w:r>
          </w:p>
        </w:tc>
        <w:tc>
          <w:tcPr>
            <w:tcW w:w="380" w:type="pct"/>
            <w:shd w:val="clear" w:color="auto" w:fill="auto"/>
            <w:vAlign w:val="center"/>
          </w:tcPr>
          <w:p w14:paraId="31025CC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435" w:type="pct"/>
            <w:gridSpan w:val="2"/>
            <w:shd w:val="clear" w:color="auto" w:fill="auto"/>
            <w:vAlign w:val="center"/>
          </w:tcPr>
          <w:p w14:paraId="02285273">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15DB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restart"/>
            <w:shd w:val="clear" w:color="auto" w:fill="auto"/>
            <w:vAlign w:val="center"/>
          </w:tcPr>
          <w:p w14:paraId="7BC7A4E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（5）贯彻执行环境保护政策法规的执行情况</w:t>
            </w:r>
          </w:p>
        </w:tc>
        <w:tc>
          <w:tcPr>
            <w:tcW w:w="386" w:type="pct"/>
            <w:vMerge w:val="restart"/>
            <w:shd w:val="clear" w:color="auto" w:fill="auto"/>
            <w:vAlign w:val="center"/>
          </w:tcPr>
          <w:p w14:paraId="12C403D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2859" w:type="pct"/>
            <w:gridSpan w:val="6"/>
            <w:shd w:val="clear" w:color="auto" w:fill="auto"/>
            <w:vAlign w:val="center"/>
          </w:tcPr>
          <w:p w14:paraId="5A7B1D79">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建设项目环保“三同时”制度执行情况</w:t>
            </w:r>
          </w:p>
        </w:tc>
        <w:tc>
          <w:tcPr>
            <w:tcW w:w="380" w:type="pct"/>
            <w:shd w:val="clear" w:color="auto" w:fill="auto"/>
            <w:vAlign w:val="center"/>
          </w:tcPr>
          <w:p w14:paraId="590CB17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0D9E61AE">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0E44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4EEBC621">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43C62E7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59" w:type="pct"/>
            <w:gridSpan w:val="6"/>
            <w:shd w:val="clear" w:color="auto" w:fill="auto"/>
            <w:vAlign w:val="center"/>
          </w:tcPr>
          <w:p w14:paraId="3978968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建设项目环境影响评价制度执行情况</w:t>
            </w:r>
          </w:p>
        </w:tc>
        <w:tc>
          <w:tcPr>
            <w:tcW w:w="380" w:type="pct"/>
            <w:shd w:val="clear" w:color="auto" w:fill="auto"/>
            <w:vAlign w:val="center"/>
          </w:tcPr>
          <w:p w14:paraId="0654D7F7">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1B6E8A16">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2D54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1B10D08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1A3E594F">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59" w:type="pct"/>
            <w:gridSpan w:val="6"/>
            <w:shd w:val="clear" w:color="auto" w:fill="auto"/>
            <w:vAlign w:val="center"/>
          </w:tcPr>
          <w:p w14:paraId="4D48ABC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老污染源限期治理项目完成情况</w:t>
            </w:r>
          </w:p>
        </w:tc>
        <w:tc>
          <w:tcPr>
            <w:tcW w:w="380" w:type="pct"/>
            <w:shd w:val="clear" w:color="auto" w:fill="auto"/>
            <w:vAlign w:val="center"/>
          </w:tcPr>
          <w:p w14:paraId="1D8DEAC8">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128A336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1489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8" w:type="pct"/>
            <w:vMerge w:val="continue"/>
            <w:shd w:val="clear" w:color="auto" w:fill="auto"/>
            <w:vAlign w:val="center"/>
          </w:tcPr>
          <w:p w14:paraId="4CDAC42A">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6" w:type="pct"/>
            <w:vMerge w:val="continue"/>
            <w:shd w:val="clear" w:color="auto" w:fill="auto"/>
            <w:vAlign w:val="center"/>
          </w:tcPr>
          <w:p w14:paraId="4B5FBCE5">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59" w:type="pct"/>
            <w:gridSpan w:val="6"/>
            <w:shd w:val="clear" w:color="auto" w:fill="auto"/>
            <w:vAlign w:val="center"/>
          </w:tcPr>
          <w:p w14:paraId="3DF5D4E2">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污染物排放总量控制与减排指标完成情况</w:t>
            </w:r>
          </w:p>
        </w:tc>
        <w:tc>
          <w:tcPr>
            <w:tcW w:w="380" w:type="pct"/>
            <w:shd w:val="clear" w:color="auto" w:fill="auto"/>
            <w:vAlign w:val="center"/>
          </w:tcPr>
          <w:p w14:paraId="472782BD">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435" w:type="pct"/>
            <w:gridSpan w:val="2"/>
            <w:shd w:val="clear" w:color="auto" w:fill="auto"/>
            <w:vAlign w:val="center"/>
          </w:tcPr>
          <w:p w14:paraId="40E30AD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2C91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84" w:type="pct"/>
            <w:gridSpan w:val="8"/>
            <w:shd w:val="clear" w:color="auto" w:fill="auto"/>
            <w:vAlign w:val="center"/>
          </w:tcPr>
          <w:p w14:paraId="38042484">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380" w:type="pct"/>
            <w:shd w:val="clear" w:color="auto" w:fill="auto"/>
            <w:vAlign w:val="center"/>
          </w:tcPr>
          <w:p w14:paraId="34056DAC">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435" w:type="pct"/>
            <w:gridSpan w:val="2"/>
            <w:shd w:val="clear" w:color="auto" w:fill="auto"/>
            <w:vAlign w:val="center"/>
          </w:tcPr>
          <w:p w14:paraId="7D58496B">
            <w:pPr>
              <w:widowControl/>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bl>
    <w:p w14:paraId="74AB464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（5）评价指标考核评分计算 </w:t>
      </w:r>
    </w:p>
    <w:p w14:paraId="34C80F4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1）定量评价考核总分值计算 </w:t>
      </w:r>
    </w:p>
    <w:p w14:paraId="41F14B34">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①单项评价指数计算 </w:t>
      </w:r>
    </w:p>
    <w:p w14:paraId="5F2E2675">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对指标数值越高（大）越符合清洁生产要求的指标，其计算公式为： </w:t>
      </w:r>
    </w:p>
    <w:p w14:paraId="36AA98DB">
      <w:pPr>
        <w:keepNext w:val="0"/>
        <w:keepLines w:val="0"/>
        <w:pageBreakBefore w:val="0"/>
        <w:widowControl/>
        <w:kinsoku/>
        <w:wordWrap/>
        <w:overflowPunct/>
        <w:topLinePunct w:val="0"/>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Si=Sxi/Soi</w:t>
      </w:r>
    </w:p>
    <w:p w14:paraId="2011E197">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对指标数值越低（小）越符合清洁生产要求的指标，其计算公式为： </w:t>
      </w:r>
    </w:p>
    <w:p w14:paraId="4433421E">
      <w:pPr>
        <w:keepNext w:val="0"/>
        <w:keepLines w:val="0"/>
        <w:pageBreakBefore w:val="0"/>
        <w:widowControl/>
        <w:kinsoku/>
        <w:wordWrap/>
        <w:overflowPunct/>
        <w:topLinePunct w:val="0"/>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Si=Soi/Sxi</w:t>
      </w:r>
    </w:p>
    <w:p w14:paraId="334F22B5">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式中：Si—第 i 项评价指标的单项评价指数。 </w:t>
      </w:r>
    </w:p>
    <w:p w14:paraId="36A30C6F">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Sxi—第 i 项评价指标的实际值 </w:t>
      </w:r>
    </w:p>
    <w:p w14:paraId="10D21B77">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Soi—第 i 项评价指标的评价基准值 </w:t>
      </w:r>
    </w:p>
    <w:p w14:paraId="674DD8B9">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评价指标体系各二级指标的单项评价指数的正常值一般在1.0左右，但当实际数值远小于（或远大于）评价基准值时，计算得出的Si值就会越大，计算结果就会偏离实际，对其他评价指标的单项评价指数产生较大干扰。为了消除这种不合理影响，应对此进行修正处理。修正的方法是：当Si＞k/m时（其中k为该类一级指标的权重值，m为该类一级指标中实际参与考核的二级指标的项目数），取Si值为 k/m。</w:t>
      </w:r>
    </w:p>
    <w:p w14:paraId="6D276FCD">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②定量评价考核总分值计算 </w:t>
      </w:r>
    </w:p>
    <w:p w14:paraId="2A198B0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定量评价考核总分值计算的计算公式为：</w:t>
      </w:r>
    </w:p>
    <w:p w14:paraId="1A28FD3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2095500" cy="781050"/>
            <wp:effectExtent l="0" t="0" r="7620" b="11430"/>
            <wp:docPr id="7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pic:cNvPicPr>
                      <a:picLocks noChangeAspect="1"/>
                    </pic:cNvPicPr>
                  </pic:nvPicPr>
                  <pic:blipFill>
                    <a:blip r:embed="rId20"/>
                    <a:stretch>
                      <a:fillRect/>
                    </a:stretch>
                  </pic:blipFill>
                  <pic:spPr>
                    <a:xfrm>
                      <a:off x="0" y="0"/>
                      <a:ext cx="2095500" cy="781050"/>
                    </a:xfrm>
                    <a:prstGeom prst="rect">
                      <a:avLst/>
                    </a:prstGeom>
                    <a:noFill/>
                    <a:ln>
                      <a:noFill/>
                    </a:ln>
                  </pic:spPr>
                </pic:pic>
              </a:graphicData>
            </a:graphic>
          </wp:inline>
        </w:drawing>
      </w:r>
    </w:p>
    <w:p w14:paraId="4F5BC74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式中：P1—定量评价考核总分值； </w:t>
      </w:r>
    </w:p>
    <w:p w14:paraId="221BD604">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n—参与定量评价考核的二级指标项目总数； </w:t>
      </w:r>
    </w:p>
    <w:p w14:paraId="20EDEAA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Si—第 i 项评价指标的单项评价指数； </w:t>
      </w:r>
    </w:p>
    <w:p w14:paraId="5220619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Ki—第 i 项评价指标的权重值。 </w:t>
      </w:r>
    </w:p>
    <w:p w14:paraId="08B74C5A">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2）定性评级指标的考核评分计算 </w:t>
      </w:r>
    </w:p>
    <w:p w14:paraId="3DD06F0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定性评级指标的考核总分值的计算公式为：</w:t>
      </w:r>
    </w:p>
    <w:p w14:paraId="2E45A03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1333500" cy="657225"/>
            <wp:effectExtent l="0" t="0" r="7620" b="13335"/>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21"/>
                    <a:stretch>
                      <a:fillRect/>
                    </a:stretch>
                  </pic:blipFill>
                  <pic:spPr>
                    <a:xfrm>
                      <a:off x="0" y="0"/>
                      <a:ext cx="1333500" cy="657225"/>
                    </a:xfrm>
                    <a:prstGeom prst="rect">
                      <a:avLst/>
                    </a:prstGeom>
                    <a:noFill/>
                    <a:ln>
                      <a:noFill/>
                    </a:ln>
                  </pic:spPr>
                </pic:pic>
              </a:graphicData>
            </a:graphic>
          </wp:inline>
        </w:drawing>
      </w:r>
    </w:p>
    <w:p w14:paraId="4304E3D3">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式中：P2—定性评价二级指标考核总分值； </w:t>
      </w:r>
    </w:p>
    <w:p w14:paraId="28F8A03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Fi—定性评价指标体系中第 i 项二级指标的得分值； </w:t>
      </w:r>
    </w:p>
    <w:p w14:paraId="29CDF44A">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n—参与考核的定性评价二级指标的项目总数。 </w:t>
      </w:r>
    </w:p>
    <w:p w14:paraId="0C036825">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3）综合评价指数考核评分计算 </w:t>
      </w:r>
    </w:p>
    <w:p w14:paraId="5C33AE2E">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综合评价指数考核总分值的计算公式为： </w:t>
      </w:r>
    </w:p>
    <w:p w14:paraId="08D34ED4">
      <w:pPr>
        <w:keepNext w:val="0"/>
        <w:keepLines w:val="0"/>
        <w:pageBreakBefore w:val="0"/>
        <w:widowControl/>
        <w:kinsoku/>
        <w:wordWrap/>
        <w:overflowPunct/>
        <w:topLinePunct w:val="0"/>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P=0.6P1+0.4P2</w:t>
      </w:r>
    </w:p>
    <w:p w14:paraId="61D5DDFE">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式中：P—清洁生产综合评价指数 </w:t>
      </w:r>
    </w:p>
    <w:p w14:paraId="6C2F27E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P1—定量评价考核总分值； </w:t>
      </w:r>
    </w:p>
    <w:p w14:paraId="6F08A1D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P2—定性评价二级指标考核总分值。 </w:t>
      </w:r>
    </w:p>
    <w:p w14:paraId="68A8193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根据目前我国石油和天然气开采行业的实际情况，不同等级的清洁生产企业的综合评价指标见表</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3.3-16</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w:t>
      </w:r>
    </w:p>
    <w:p w14:paraId="17B7DBB1">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3.3-16</w:t>
      </w: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 xml:space="preserve">    石油和天然气开采行业不同等级清洁生产企业综合评价指数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1BF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261" w:type="dxa"/>
            <w:vAlign w:val="center"/>
          </w:tcPr>
          <w:p w14:paraId="5E8F0328">
            <w:pPr>
              <w:widowControl/>
              <w:autoSpaceDE w:val="0"/>
              <w:autoSpaceDN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清洁生产企业等级</w:t>
            </w:r>
          </w:p>
        </w:tc>
        <w:tc>
          <w:tcPr>
            <w:tcW w:w="4261" w:type="dxa"/>
            <w:vAlign w:val="center"/>
          </w:tcPr>
          <w:p w14:paraId="09F2F70F">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清洁生产综合评价指数</w:t>
            </w:r>
          </w:p>
        </w:tc>
      </w:tr>
      <w:tr w14:paraId="579E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14:paraId="3DD6939A">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清洁生产先进企业</w:t>
            </w:r>
          </w:p>
        </w:tc>
        <w:tc>
          <w:tcPr>
            <w:tcW w:w="4261" w:type="dxa"/>
            <w:vAlign w:val="center"/>
          </w:tcPr>
          <w:p w14:paraId="058CA501">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P≥90</w:t>
            </w:r>
          </w:p>
        </w:tc>
      </w:tr>
      <w:tr w14:paraId="5E3E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14:paraId="1FCACAAF">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清洁生产企业</w:t>
            </w:r>
          </w:p>
        </w:tc>
        <w:tc>
          <w:tcPr>
            <w:tcW w:w="4261" w:type="dxa"/>
            <w:vAlign w:val="center"/>
          </w:tcPr>
          <w:p w14:paraId="38381F54">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75≤P&lt;90</w:t>
            </w:r>
          </w:p>
        </w:tc>
      </w:tr>
    </w:tbl>
    <w:p w14:paraId="576307A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由</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上表</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计算得出本项目钻井作业定量指标得分95分，定性指标得分100分，综合评价指数得分97分；井下作业定量指标得分100分，定性指标得分100分，综合评价指数得分100分；采</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气</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作业定量指标得分90分，定性指标得分</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85</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分，综合评价指数得分</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88</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分，达到75≤P&lt;90，属于清洁生产企业。</w:t>
      </w:r>
    </w:p>
    <w:p w14:paraId="6D0B14C2">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6.6</w:t>
      </w:r>
      <w:r>
        <w:rPr>
          <w:rFonts w:hint="default"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清洁生产</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水平结论</w:t>
      </w:r>
    </w:p>
    <w:p w14:paraId="47120CC5">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（1）结论</w:t>
      </w:r>
    </w:p>
    <w:p w14:paraId="7D5FB403">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根据综合评价指数得分判定，本工程清洁生产企业等级为：清洁生产企业。 </w:t>
      </w:r>
    </w:p>
    <w:p w14:paraId="70929A63">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工程采用的清洁生产技术遵循“减量化、再利用、资源化”的原则。集约节约利用土地资源，土地利用符合用地指标政策。合理确定占地规模；使用油气开发效率高的先进工艺技术与设备；制定了合理有效的废物管理方案，采用源削减技术，减少了废物、废水、废气等污染物的产生量，实现了废物的循环利用与资源化利用。</w:t>
      </w:r>
    </w:p>
    <w:p w14:paraId="281D8A6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清洁生产的主体是企业自身，是提高企业形象、提高市场竞争力的有效手段，是推动企业技术进步，实现资源综合利用，达到“节能、降耗、减污、增效”目标的有力措施。通过实施环境保护目标责任制、建立HSE管理体系、推行清洁生产，全面实现环境保护“增产减污”的发展目标。</w:t>
      </w:r>
    </w:p>
    <w:p w14:paraId="7D104C6F">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（2）建议</w:t>
      </w:r>
    </w:p>
    <w:p w14:paraId="1C65DD5C">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①建议优化生产设备参数，提高设备运行效率，节约能源。 </w:t>
      </w:r>
    </w:p>
    <w:p w14:paraId="35C9DBDD">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②做好节能宣传工作，培养员工节能节水意识，努力开展节能技术教育；建立健全节能激励机制；加强节能管理，完善节能统计工作。 </w:t>
      </w:r>
    </w:p>
    <w:p w14:paraId="37B6A47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③需进一步提高清洁生产审核的参与度。 </w:t>
      </w:r>
    </w:p>
    <w:p w14:paraId="2BC224C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④对已实施的清洁生产方案落实，同时在生产过程中产生新的清洁生产方案，可立即组织清洁生产审核小组人员进行讨论，最终进行分析、确定，并付诸实施。 </w:t>
      </w:r>
    </w:p>
    <w:p w14:paraId="1779181A">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 xml:space="preserve">因此在今后的生产过程中，企业还需要持续做好清洁生产的各项工作。将清洁生产真正纳入自身管理制度当中，只有这样才可以真正达到“节能、降耗、减污、增效”的目的，走可持续发展的道路。 </w:t>
      </w:r>
    </w:p>
    <w:p w14:paraId="159A18E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000000" w:themeColor="text1"/>
          <w:kern w:val="0"/>
          <w:sz w:val="24"/>
          <w:szCs w:val="24"/>
          <w:highlight w:val="none"/>
          <w:lang w:val="zh-CN"/>
          <w14:textFill>
            <w14:solidFill>
              <w14:schemeClr w14:val="tx1"/>
            </w14:solidFill>
          </w14:textFill>
        </w:rPr>
      </w:pPr>
    </w:p>
    <w:p w14:paraId="09D0AB30">
      <w:pPr>
        <w:keepNext w:val="0"/>
        <w:keepLines w:val="0"/>
        <w:pageBreakBefore w:val="0"/>
        <w:widowControl/>
        <w:kinsoku/>
        <w:wordWrap/>
        <w:overflowPunct/>
        <w:autoSpaceDN/>
        <w:bidi w:val="0"/>
        <w:adjustRightInd w:val="0"/>
        <w:snapToGrid w:val="0"/>
        <w:spacing w:line="360" w:lineRule="auto"/>
        <w:jc w:val="left"/>
        <w:rPr>
          <w:rFonts w:hint="default" w:ascii="Times New Roman" w:hAnsi="Times New Roman" w:cs="Times New Roman"/>
          <w:bCs/>
          <w:color w:val="000000" w:themeColor="text1"/>
          <w:kern w:val="0"/>
          <w:sz w:val="24"/>
          <w:szCs w:val="24"/>
          <w:highlight w:val="none"/>
          <w:lang w:val="zh-CN"/>
          <w14:textFill>
            <w14:solidFill>
              <w14:schemeClr w14:val="tx1"/>
            </w14:solidFill>
          </w14:textFill>
        </w:rPr>
        <w:sectPr>
          <w:headerReference r:id="rId6" w:type="default"/>
          <w:footerReference r:id="rId7" w:type="default"/>
          <w:pgSz w:w="11905" w:h="16838"/>
          <w:pgMar w:top="1389" w:right="1729" w:bottom="1202" w:left="1769" w:header="935" w:footer="1134" w:gutter="0"/>
          <w:pgBorders>
            <w:top w:val="none" w:sz="0" w:space="0"/>
            <w:left w:val="none" w:sz="0" w:space="0"/>
            <w:bottom w:val="none" w:sz="0" w:space="0"/>
            <w:right w:val="none" w:sz="0" w:space="0"/>
          </w:pgBorders>
          <w:pgNumType w:fmt="decimal"/>
          <w:cols w:space="0" w:num="1"/>
          <w:rtlGutter w:val="0"/>
          <w:docGrid w:linePitch="312" w:charSpace="0"/>
        </w:sectPr>
      </w:pPr>
    </w:p>
    <w:p w14:paraId="40924444">
      <w:pPr>
        <w:pStyle w:val="4"/>
        <w:keepNext/>
        <w:keepLines/>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pPr>
      <w:bookmarkStart w:id="684" w:name="bookmark20"/>
      <w:bookmarkEnd w:id="684"/>
      <w:bookmarkStart w:id="685" w:name="_Toc11968"/>
      <w:r>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t>3.</w:t>
      </w:r>
      <w:bookmarkEnd w:id="685"/>
      <w:r>
        <w:rPr>
          <w:rFonts w:hint="eastAsia" w:ascii="Times New Roman" w:hAnsi="Times New Roman" w:eastAsia="宋体" w:cs="Times New Roman"/>
          <w:b/>
          <w:snapToGrid w:val="0"/>
          <w:color w:val="000000" w:themeColor="text1"/>
          <w:kern w:val="0"/>
          <w:sz w:val="28"/>
          <w:szCs w:val="28"/>
          <w:highlight w:val="none"/>
          <w:lang w:val="en-US" w:eastAsia="zh-CN" w:bidi="ar-SA"/>
          <w14:textFill>
            <w14:solidFill>
              <w14:schemeClr w14:val="tx1"/>
            </w14:solidFill>
          </w14:textFill>
        </w:rPr>
        <w:t>3.</w:t>
      </w:r>
      <w:r>
        <w:rPr>
          <w:rFonts w:hint="eastAsia" w:ascii="Times New Roman" w:hAnsi="Times New Roman" w:cs="Times New Roman"/>
          <w:b/>
          <w:snapToGrid w:val="0"/>
          <w:color w:val="000000" w:themeColor="text1"/>
          <w:kern w:val="0"/>
          <w:sz w:val="28"/>
          <w:szCs w:val="28"/>
          <w:highlight w:val="none"/>
          <w:lang w:val="en-US" w:eastAsia="zh-CN" w:bidi="ar-SA"/>
          <w14:textFill>
            <w14:solidFill>
              <w14:schemeClr w14:val="tx1"/>
            </w14:solidFill>
          </w14:textFill>
        </w:rPr>
        <w:t>7</w:t>
      </w:r>
      <w:r>
        <w:rPr>
          <w:rFonts w:hint="default" w:ascii="Times New Roman" w:hAnsi="Times New Roman" w:eastAsia="宋体" w:cs="Times New Roman"/>
          <w:b/>
          <w:snapToGrid w:val="0"/>
          <w:color w:val="000000" w:themeColor="text1"/>
          <w:kern w:val="0"/>
          <w:sz w:val="28"/>
          <w:szCs w:val="28"/>
          <w:highlight w:val="none"/>
          <w:lang w:val="en-US" w:eastAsia="en-US" w:bidi="ar-SA"/>
          <w14:textFill>
            <w14:solidFill>
              <w14:schemeClr w14:val="tx1"/>
            </w14:solidFill>
          </w14:textFill>
        </w:rPr>
        <w:t>污染物总量控制分析</w:t>
      </w:r>
    </w:p>
    <w:p w14:paraId="502696F4">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pPr>
      <w:bookmarkStart w:id="686" w:name="_Toc14728"/>
      <w:bookmarkStart w:id="687" w:name="_Toc22022"/>
      <w:bookmarkStart w:id="688" w:name="_Toc3640"/>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3.</w:t>
      </w:r>
      <w:r>
        <w:rPr>
          <w:rFonts w:hint="eastAsia" w:ascii="Times New Roman" w:hAnsi="Times New Roman" w:cs="Times New Roman"/>
          <w:b/>
          <w:snapToGrid w:val="0"/>
          <w:color w:val="000000" w:themeColor="text1"/>
          <w:kern w:val="0"/>
          <w:sz w:val="24"/>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.1</w:t>
      </w:r>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总量控制原则</w:t>
      </w:r>
      <w:bookmarkEnd w:id="686"/>
      <w:bookmarkEnd w:id="687"/>
      <w:bookmarkEnd w:id="688"/>
    </w:p>
    <w:p w14:paraId="5D3C41EB">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bookmarkStart w:id="689" w:name="OLE_LINK263"/>
      <w:r>
        <w:rPr>
          <w:rFonts w:hint="default" w:ascii="Times New Roman" w:hAnsi="Times New Roman" w:cs="Times New Roman"/>
          <w:color w:val="000000" w:themeColor="text1"/>
          <w:highlight w:val="none"/>
          <w14:textFill>
            <w14:solidFill>
              <w14:schemeClr w14:val="tx1"/>
            </w14:solidFill>
          </w14:textFill>
        </w:rPr>
        <w:t>对污</w:t>
      </w:r>
      <w:bookmarkEnd w:id="689"/>
      <w:r>
        <w:rPr>
          <w:rFonts w:hint="default" w:ascii="Times New Roman" w:hAnsi="Times New Roman" w:cs="Times New Roman"/>
          <w:color w:val="000000" w:themeColor="text1"/>
          <w:highlight w:val="none"/>
          <w14:textFill>
            <w14:solidFill>
              <w14:schemeClr w14:val="tx1"/>
            </w14:solidFill>
          </w14:textFill>
        </w:rPr>
        <w:t>染物排放总量进行控制的原则是： 将给定区域内污染源的污染物排放负 荷控制在一定数量之内， 使环境质量可以达到规定的环境目标。污染物总量控制 方案的确定，在考虑污染物种类、污染源影响范围、区域环境质量、环境功能以及环境管理要求等因素的基础上， 结合项目实际条件和控制措施的经济技术可行</w:t>
      </w:r>
    </w:p>
    <w:p w14:paraId="118A97D4">
      <w:pPr>
        <w:pStyle w:val="11"/>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性进行。</w:t>
      </w:r>
    </w:p>
    <w:p w14:paraId="7222E38B">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pPr>
      <w:bookmarkStart w:id="690" w:name="_Toc27685"/>
      <w:bookmarkStart w:id="691" w:name="_Toc17395"/>
      <w:bookmarkStart w:id="692" w:name="_Toc15211"/>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3.</w:t>
      </w:r>
      <w:bookmarkEnd w:id="690"/>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3.</w:t>
      </w:r>
      <w:r>
        <w:rPr>
          <w:rFonts w:hint="eastAsia" w:ascii="Times New Roman" w:hAnsi="Times New Roman" w:cs="Times New Roman"/>
          <w:b/>
          <w:snapToGrid w:val="0"/>
          <w:color w:val="000000" w:themeColor="text1"/>
          <w:kern w:val="0"/>
          <w:sz w:val="24"/>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污染物总量控制因子</w:t>
      </w:r>
      <w:bookmarkEnd w:id="691"/>
      <w:bookmarkEnd w:id="692"/>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 xml:space="preserve"> </w:t>
      </w:r>
    </w:p>
    <w:p w14:paraId="04257871">
      <w:pPr>
        <w:pStyle w:val="65"/>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snapToGrid/>
          <w:color w:val="000000" w:themeColor="text1"/>
          <w:highlight w:val="none"/>
          <w14:textFill>
            <w14:solidFill>
              <w14:schemeClr w14:val="tx1"/>
            </w14:solidFill>
          </w14:textFill>
        </w:rPr>
      </w:pPr>
      <w:bookmarkStart w:id="693" w:name="_Hlk57195809"/>
      <w:bookmarkStart w:id="694" w:name="_Hlk57195659"/>
      <w:r>
        <w:rPr>
          <w:rFonts w:hint="default" w:ascii="Times New Roman" w:hAnsi="Times New Roman" w:cs="Times New Roman"/>
          <w:snapToGrid/>
          <w:color w:val="000000" w:themeColor="text1"/>
          <w:highlight w:val="none"/>
          <w14:textFill>
            <w14:solidFill>
              <w14:schemeClr w14:val="tx1"/>
            </w14:solidFill>
          </w14:textFill>
        </w:rPr>
        <w:t>根据国家</w:t>
      </w:r>
      <w:r>
        <w:rPr>
          <w:rFonts w:hint="eastAsia" w:cs="Times New Roman"/>
          <w:snapToGrid/>
          <w:color w:val="000000" w:themeColor="text1"/>
          <w:highlight w:val="none"/>
          <w:lang w:eastAsia="zh-CN"/>
          <w14:textFill>
            <w14:solidFill>
              <w14:schemeClr w14:val="tx1"/>
            </w14:solidFill>
          </w14:textFill>
        </w:rPr>
        <w:t>“</w:t>
      </w:r>
      <w:r>
        <w:rPr>
          <w:rFonts w:hint="default" w:ascii="Times New Roman" w:hAnsi="Times New Roman" w:cs="Times New Roman"/>
          <w:snapToGrid/>
          <w:color w:val="000000" w:themeColor="text1"/>
          <w:highlight w:val="none"/>
          <w14:textFill>
            <w14:solidFill>
              <w14:schemeClr w14:val="tx1"/>
            </w14:solidFill>
          </w14:textFill>
        </w:rPr>
        <w:t>十四五</w:t>
      </w:r>
      <w:r>
        <w:rPr>
          <w:rFonts w:hint="eastAsia" w:cs="Times New Roman"/>
          <w:snapToGrid/>
          <w:color w:val="000000" w:themeColor="text1"/>
          <w:highlight w:val="none"/>
          <w:lang w:eastAsia="zh-CN"/>
          <w14:textFill>
            <w14:solidFill>
              <w14:schemeClr w14:val="tx1"/>
            </w14:solidFill>
          </w14:textFill>
        </w:rPr>
        <w:t>”</w:t>
      </w:r>
      <w:r>
        <w:rPr>
          <w:rFonts w:hint="default" w:ascii="Times New Roman" w:hAnsi="Times New Roman" w:cs="Times New Roman"/>
          <w:snapToGrid/>
          <w:color w:val="000000" w:themeColor="text1"/>
          <w:highlight w:val="none"/>
          <w14:textFill>
            <w14:solidFill>
              <w14:schemeClr w14:val="tx1"/>
            </w14:solidFill>
          </w14:textFill>
        </w:rPr>
        <w:t>污染物排放总量控制要求，污染物排放总量控制因子如下：</w:t>
      </w:r>
    </w:p>
    <w:p w14:paraId="11DF1D23">
      <w:pPr>
        <w:pStyle w:val="65"/>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snapToGrid/>
          <w:color w:val="000000" w:themeColor="text1"/>
          <w:highlight w:val="none"/>
          <w14:textFill>
            <w14:solidFill>
              <w14:schemeClr w14:val="tx1"/>
            </w14:solidFill>
          </w14:textFill>
        </w:rPr>
      </w:pPr>
      <w:r>
        <w:rPr>
          <w:rFonts w:hint="default" w:ascii="Times New Roman" w:hAnsi="Times New Roman" w:cs="Times New Roman"/>
          <w:snapToGrid/>
          <w:color w:val="000000" w:themeColor="text1"/>
          <w:highlight w:val="none"/>
          <w14:textFill>
            <w14:solidFill>
              <w14:schemeClr w14:val="tx1"/>
            </w14:solidFill>
          </w14:textFill>
        </w:rPr>
        <w:t>废气污染物：NO</w:t>
      </w:r>
      <w:r>
        <w:rPr>
          <w:rFonts w:hint="default" w:ascii="Times New Roman" w:hAnsi="Times New Roman" w:cs="Times New Roman"/>
          <w:snapToGrid/>
          <w:color w:val="000000" w:themeColor="text1"/>
          <w:highlight w:val="none"/>
          <w:vertAlign w:val="subscript"/>
          <w14:textFill>
            <w14:solidFill>
              <w14:schemeClr w14:val="tx1"/>
            </w14:solidFill>
          </w14:textFill>
        </w:rPr>
        <w:t>X</w:t>
      </w:r>
      <w:r>
        <w:rPr>
          <w:rFonts w:hint="default" w:ascii="Times New Roman" w:hAnsi="Times New Roman" w:cs="Times New Roman"/>
          <w:snapToGrid/>
          <w:color w:val="000000" w:themeColor="text1"/>
          <w:highlight w:val="none"/>
          <w:vertAlign w:val="baseline"/>
          <w:lang w:eastAsia="zh-CN"/>
          <w14:textFill>
            <w14:solidFill>
              <w14:schemeClr w14:val="tx1"/>
            </w14:solidFill>
          </w14:textFill>
        </w:rPr>
        <w:t>、</w:t>
      </w:r>
      <w:r>
        <w:rPr>
          <w:rFonts w:hint="default" w:ascii="Times New Roman" w:hAnsi="Times New Roman" w:cs="Times New Roman"/>
          <w:snapToGrid/>
          <w:color w:val="000000" w:themeColor="text1"/>
          <w:highlight w:val="none"/>
          <w:vertAlign w:val="baseline"/>
          <w:lang w:val="en-US" w:eastAsia="zh-CN"/>
          <w14:textFill>
            <w14:solidFill>
              <w14:schemeClr w14:val="tx1"/>
            </w14:solidFill>
          </w14:textFill>
        </w:rPr>
        <w:t>VOCs</w:t>
      </w:r>
      <w:r>
        <w:rPr>
          <w:rFonts w:hint="default" w:ascii="Times New Roman" w:hAnsi="Times New Roman" w:cs="Times New Roman"/>
          <w:snapToGrid/>
          <w:color w:val="000000" w:themeColor="text1"/>
          <w:highlight w:val="none"/>
          <w14:textFill>
            <w14:solidFill>
              <w14:schemeClr w14:val="tx1"/>
            </w14:solidFill>
          </w14:textFill>
        </w:rPr>
        <w:t>。</w:t>
      </w:r>
    </w:p>
    <w:p w14:paraId="5A18D442">
      <w:pPr>
        <w:pStyle w:val="65"/>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snapToGrid/>
          <w:color w:val="000000" w:themeColor="text1"/>
          <w:highlight w:val="none"/>
          <w14:textFill>
            <w14:solidFill>
              <w14:schemeClr w14:val="tx1"/>
            </w14:solidFill>
          </w14:textFill>
        </w:rPr>
      </w:pPr>
      <w:r>
        <w:rPr>
          <w:rFonts w:hint="default" w:ascii="Times New Roman" w:hAnsi="Times New Roman" w:cs="Times New Roman"/>
          <w:snapToGrid/>
          <w:color w:val="000000" w:themeColor="text1"/>
          <w:highlight w:val="none"/>
          <w14:textFill>
            <w14:solidFill>
              <w14:schemeClr w14:val="tx1"/>
            </w14:solidFill>
          </w14:textFill>
        </w:rPr>
        <w:t>废水污染物：COD、NH</w:t>
      </w:r>
      <w:r>
        <w:rPr>
          <w:rFonts w:hint="default" w:ascii="Times New Roman" w:hAnsi="Times New Roman" w:cs="Times New Roman"/>
          <w:snapToGrid/>
          <w:color w:val="000000" w:themeColor="text1"/>
          <w:highlight w:val="none"/>
          <w:vertAlign w:val="subscript"/>
          <w14:textFill>
            <w14:solidFill>
              <w14:schemeClr w14:val="tx1"/>
            </w14:solidFill>
          </w14:textFill>
        </w:rPr>
        <w:t>3</w:t>
      </w:r>
      <w:r>
        <w:rPr>
          <w:rFonts w:hint="default" w:ascii="Times New Roman" w:hAnsi="Times New Roman" w:cs="Times New Roman"/>
          <w:snapToGrid/>
          <w:color w:val="000000" w:themeColor="text1"/>
          <w:highlight w:val="none"/>
          <w14:textFill>
            <w14:solidFill>
              <w14:schemeClr w14:val="tx1"/>
            </w14:solidFill>
          </w14:textFill>
        </w:rPr>
        <w:t>-N。</w:t>
      </w:r>
    </w:p>
    <w:bookmarkEnd w:id="693"/>
    <w:bookmarkEnd w:id="694"/>
    <w:p w14:paraId="2F5678CB">
      <w:pPr>
        <w:pageBreakBefore w:val="0"/>
        <w:widowControl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3.</w:t>
      </w:r>
      <w:r>
        <w:rPr>
          <w:rFonts w:hint="eastAsia" w:cs="Times New Roman"/>
          <w:b/>
          <w:snapToGrid w:val="0"/>
          <w:color w:val="000000" w:themeColor="text1"/>
          <w:kern w:val="0"/>
          <w:sz w:val="24"/>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.3</w:t>
      </w:r>
      <w:r>
        <w:rPr>
          <w:rFonts w:hint="default" w:ascii="Times New Roman" w:hAnsi="Times New Roman" w:eastAsia="宋体" w:cs="Times New Roman"/>
          <w:b/>
          <w:snapToGrid w:val="0"/>
          <w:color w:val="000000" w:themeColor="text1"/>
          <w:kern w:val="0"/>
          <w:sz w:val="24"/>
          <w:szCs w:val="21"/>
          <w:highlight w:val="none"/>
          <w:lang w:val="en-US" w:eastAsia="en-US" w:bidi="ar-SA"/>
          <w14:textFill>
            <w14:solidFill>
              <w14:schemeClr w14:val="tx1"/>
            </w14:solidFill>
          </w14:textFill>
        </w:rPr>
        <w:t xml:space="preserve">总量控制建议指标 </w:t>
      </w:r>
      <w:bookmarkStart w:id="695" w:name="_Toc4529"/>
    </w:p>
    <w:p w14:paraId="483C064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t>根据《“十四五”污染减排综合工作方案编制技术指南》，大气污染物减排因子为NOx、VOCs。水污染物减排因子为COD和氨氮。</w:t>
      </w:r>
    </w:p>
    <w:p w14:paraId="0C3536C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t>（1）施工期</w:t>
      </w:r>
    </w:p>
    <w:p w14:paraId="46335AF8">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t>由于施工期的地面工程集中于较短时间内，地面工程期间排放的污染物将随地面工程的结束而消亡，故不考虑对施工期间产生的污染物进行总量控制。</w:t>
      </w:r>
    </w:p>
    <w:p w14:paraId="686B67E1">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snapToGrid/>
          <w:color w:val="000000" w:themeColor="text1"/>
          <w:sz w:val="24"/>
          <w:szCs w:val="24"/>
          <w:highlight w:val="none"/>
          <w:lang w:val="en-US" w:eastAsia="zh-CN" w:bidi="ar-SA"/>
          <w14:textFill>
            <w14:solidFill>
              <w14:schemeClr w14:val="tx1"/>
            </w14:solidFill>
          </w14:textFill>
        </w:rPr>
        <w:t>（2）</w:t>
      </w:r>
      <w:bookmarkStart w:id="696" w:name="OLE_LINK806"/>
      <w:r>
        <w:rPr>
          <w:rFonts w:hint="default" w:ascii="Times New Roman" w:hAnsi="Times New Roman" w:cs="Times New Roman"/>
          <w:b w:val="0"/>
          <w:bCs/>
          <w:snapToGrid/>
          <w:color w:val="000000" w:themeColor="text1"/>
          <w:sz w:val="24"/>
          <w:szCs w:val="24"/>
          <w:highlight w:val="none"/>
          <w:lang w:eastAsia="zh-CN"/>
          <w14:textFill>
            <w14:solidFill>
              <w14:schemeClr w14:val="tx1"/>
            </w14:solidFill>
          </w14:textFill>
        </w:rPr>
        <w:t>运营期</w:t>
      </w:r>
      <w:bookmarkEnd w:id="696"/>
    </w:p>
    <w:p w14:paraId="486DE1E5">
      <w:pPr>
        <w:pStyle w:val="65"/>
        <w:jc w:val="both"/>
        <w:rPr>
          <w:rFonts w:hint="default" w:ascii="Times New Roman" w:hAnsi="Times New Roman" w:cs="Times New Roman"/>
          <w:snapToGrid/>
          <w:color w:val="000000" w:themeColor="text1"/>
          <w:highlight w:val="none"/>
          <w:lang w:eastAsia="zh-CN"/>
          <w14:textFill>
            <w14:solidFill>
              <w14:schemeClr w14:val="tx1"/>
            </w14:solidFill>
          </w14:textFill>
        </w:rPr>
      </w:pPr>
      <w:r>
        <w:rPr>
          <w:rFonts w:hint="default" w:ascii="Times New Roman" w:hAnsi="Times New Roman" w:cs="Times New Roman"/>
          <w:snapToGrid/>
          <w:color w:val="000000" w:themeColor="text1"/>
          <w:highlight w:val="none"/>
          <w:lang w:eastAsia="zh-CN"/>
          <w14:textFill>
            <w14:solidFill>
              <w14:schemeClr w14:val="tx1"/>
            </w14:solidFill>
          </w14:textFill>
        </w:rPr>
        <w:t>本</w:t>
      </w:r>
      <w:r>
        <w:rPr>
          <w:rFonts w:hint="eastAsia" w:cs="Times New Roman"/>
          <w:snapToGrid/>
          <w:color w:val="000000" w:themeColor="text1"/>
          <w:highlight w:val="none"/>
          <w:lang w:val="en-US" w:eastAsia="zh-CN"/>
          <w14:textFill>
            <w14:solidFill>
              <w14:schemeClr w14:val="tx1"/>
            </w14:solidFill>
          </w14:textFill>
        </w:rPr>
        <w:t>工程天然气</w:t>
      </w:r>
      <w:r>
        <w:rPr>
          <w:rFonts w:hint="default" w:ascii="Times New Roman" w:hAnsi="Times New Roman" w:cs="Times New Roman"/>
          <w:snapToGrid/>
          <w:color w:val="000000" w:themeColor="text1"/>
          <w:highlight w:val="none"/>
          <w14:textFill>
            <w14:solidFill>
              <w14:schemeClr w14:val="tx1"/>
            </w14:solidFill>
          </w14:textFill>
        </w:rPr>
        <w:t>处理采用</w:t>
      </w:r>
      <w:r>
        <w:rPr>
          <w:rFonts w:hint="eastAsia" w:cs="Times New Roman"/>
          <w:snapToGrid/>
          <w:color w:val="000000" w:themeColor="text1"/>
          <w:highlight w:val="none"/>
          <w:lang w:val="en-US" w:eastAsia="zh-CN"/>
          <w14:textFill>
            <w14:solidFill>
              <w14:schemeClr w14:val="tx1"/>
            </w14:solidFill>
          </w14:textFill>
        </w:rPr>
        <w:t>拉运</w:t>
      </w:r>
      <w:r>
        <w:rPr>
          <w:rFonts w:hint="default" w:ascii="Times New Roman" w:hAnsi="Times New Roman" w:cs="Times New Roman"/>
          <w:snapToGrid/>
          <w:color w:val="000000" w:themeColor="text1"/>
          <w:highlight w:val="none"/>
          <w14:textFill>
            <w14:solidFill>
              <w14:schemeClr w14:val="tx1"/>
            </w14:solidFill>
          </w14:textFill>
        </w:rPr>
        <w:t>工艺，</w:t>
      </w:r>
      <w:r>
        <w:rPr>
          <w:rFonts w:hint="eastAsia" w:cs="Times New Roman"/>
          <w:color w:val="000000" w:themeColor="text1"/>
          <w:kern w:val="0"/>
          <w:sz w:val="24"/>
          <w:szCs w:val="24"/>
          <w:highlight w:val="none"/>
          <w:lang w:val="en-US" w:eastAsia="zh-CN"/>
          <w14:textFill>
            <w14:solidFill>
              <w14:schemeClr w14:val="tx1"/>
            </w14:solidFill>
          </w14:textFill>
        </w:rPr>
        <w:t>凝析油采用罐车拉运</w:t>
      </w:r>
      <w:r>
        <w:rPr>
          <w:rFonts w:hint="default" w:ascii="Times New Roman" w:hAnsi="Times New Roman" w:cs="Times New Roman"/>
          <w:color w:val="000000" w:themeColor="text1"/>
          <w:kern w:val="0"/>
          <w:sz w:val="24"/>
          <w:szCs w:val="24"/>
          <w:highlight w:val="none"/>
          <w14:textFill>
            <w14:solidFill>
              <w14:schemeClr w14:val="tx1"/>
            </w14:solidFill>
          </w14:textFill>
        </w:rPr>
        <w:t>，主要废气污染物为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井场</w:t>
      </w:r>
      <w:r>
        <w:rPr>
          <w:rFonts w:hint="default" w:ascii="Times New Roman" w:hAnsi="Times New Roman" w:cs="Times New Roman"/>
          <w:color w:val="000000" w:themeColor="text1"/>
          <w:kern w:val="0"/>
          <w:sz w:val="24"/>
          <w:szCs w:val="24"/>
          <w:highlight w:val="none"/>
          <w14:textFill>
            <w14:solidFill>
              <w14:schemeClr w14:val="tx1"/>
            </w14:solidFill>
          </w14:textFill>
        </w:rPr>
        <w:t>无组织</w:t>
      </w:r>
      <w:bookmarkStart w:id="697" w:name="OLE_LINK436"/>
      <w:r>
        <w:rPr>
          <w:rFonts w:hint="default" w:ascii="Times New Roman" w:hAnsi="Times New Roman" w:cs="Times New Roman"/>
          <w:color w:val="000000" w:themeColor="text1"/>
          <w:kern w:val="0"/>
          <w:sz w:val="24"/>
          <w:szCs w:val="24"/>
          <w:highlight w:val="none"/>
          <w14:textFill>
            <w14:solidFill>
              <w14:schemeClr w14:val="tx1"/>
            </w14:solidFill>
          </w14:textFill>
        </w:rPr>
        <w:t>烃类气体</w:t>
      </w:r>
      <w:bookmarkEnd w:id="697"/>
      <w:r>
        <w:rPr>
          <w:rFonts w:hint="default" w:ascii="Times New Roman" w:hAnsi="Times New Roman" w:cs="Times New Roman"/>
          <w:color w:val="000000" w:themeColor="text1"/>
          <w:kern w:val="0"/>
          <w:sz w:val="24"/>
          <w:szCs w:val="24"/>
          <w:highlight w:val="none"/>
          <w14:textFill>
            <w14:solidFill>
              <w14:schemeClr w14:val="tx1"/>
            </w14:solidFill>
          </w14:textFill>
        </w:rPr>
        <w:t>的挥发</w:t>
      </w:r>
      <w:r>
        <w:rPr>
          <w:rFonts w:hint="default" w:ascii="Times New Roman" w:hAnsi="Times New Roman" w:cs="Times New Roman"/>
          <w:snapToGrid/>
          <w:color w:val="000000" w:themeColor="text1"/>
          <w:highlight w:val="none"/>
          <w14:textFill>
            <w14:solidFill>
              <w14:schemeClr w14:val="tx1"/>
            </w14:solidFill>
          </w14:textFill>
        </w:rPr>
        <w:t>。运营期产生的生产废水由罐车拉运至阿克苏塔河环保工程有限公司绿色环保工作站处理</w:t>
      </w:r>
      <w:r>
        <w:rPr>
          <w:rFonts w:hint="default" w:ascii="Times New Roman" w:hAnsi="Times New Roman" w:cs="Times New Roman"/>
          <w:snapToGrid/>
          <w:color w:val="000000" w:themeColor="text1"/>
          <w:highlight w:val="none"/>
          <w:lang w:eastAsia="zh-CN"/>
          <w14:textFill>
            <w14:solidFill>
              <w14:schemeClr w14:val="tx1"/>
            </w14:solidFill>
          </w14:textFill>
        </w:rPr>
        <w:t>。井下作业废水自带回收罐回收井下作业废水，依托阿克苏塔河环保工程有限公司绿色环保工作站处理</w:t>
      </w:r>
      <w:r>
        <w:rPr>
          <w:rFonts w:hint="eastAsia" w:cs="Times New Roman"/>
          <w:snapToGrid/>
          <w:color w:val="000000" w:themeColor="text1"/>
          <w:highlight w:val="none"/>
          <w:lang w:eastAsia="zh-CN"/>
          <w14:textFill>
            <w14:solidFill>
              <w14:schemeClr w14:val="tx1"/>
            </w14:solidFill>
          </w14:textFill>
        </w:rPr>
        <w:t>。</w:t>
      </w:r>
    </w:p>
    <w:p w14:paraId="72931205">
      <w:pPr>
        <w:widowControl/>
        <w:spacing w:line="360" w:lineRule="auto"/>
        <w:ind w:firstLine="480" w:firstLineChars="200"/>
        <w:jc w:val="both"/>
        <w:rPr>
          <w:rFonts w:ascii="Times New Roman" w:hAnsi="Times New Roman" w:eastAsia="宋体" w:cs="Times New Roman"/>
          <w:bCs/>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经核算，</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无组织排放的VOC</w:t>
      </w:r>
      <w:r>
        <w:rPr>
          <w:rFonts w:hint="default" w:ascii="Times New Roman" w:hAnsi="Times New Roman" w:cs="Times New Roman"/>
          <w:color w:val="000000" w:themeColor="text1"/>
          <w:highlight w:val="none"/>
          <w:vertAlign w:val="subscript"/>
          <w14:textFill>
            <w14:solidFill>
              <w14:schemeClr w14:val="tx1"/>
            </w14:solidFill>
          </w14:textFill>
        </w:rPr>
        <w:t>S</w:t>
      </w:r>
      <w:r>
        <w:rPr>
          <w:rFonts w:hint="default" w:ascii="Times New Roman" w:hAnsi="Times New Roman" w:cs="Times New Roman"/>
          <w:color w:val="000000" w:themeColor="text1"/>
          <w:highlight w:val="none"/>
          <w14:textFill>
            <w14:solidFill>
              <w14:schemeClr w14:val="tx1"/>
            </w14:solidFill>
          </w14:textFill>
        </w:rPr>
        <w:t>为</w:t>
      </w:r>
      <w:bookmarkStart w:id="698" w:name="OLE_LINK439"/>
      <w:r>
        <w:rPr>
          <w:rFonts w:hint="eastAsia" w:cs="Times New Roman"/>
          <w:color w:val="000000" w:themeColor="text1"/>
          <w:szCs w:val="28"/>
          <w:highlight w:val="none"/>
          <w:lang w:val="en-US" w:eastAsia="zh-CN"/>
          <w14:textFill>
            <w14:solidFill>
              <w14:schemeClr w14:val="tx1"/>
            </w14:solidFill>
          </w14:textFill>
        </w:rPr>
        <w:t>0.467</w:t>
      </w:r>
      <w:r>
        <w:rPr>
          <w:rFonts w:hint="default" w:ascii="Times New Roman" w:hAnsi="Times New Roman" w:cs="Times New Roman"/>
          <w:color w:val="000000" w:themeColor="text1"/>
          <w:szCs w:val="28"/>
          <w:highlight w:val="none"/>
          <w14:textFill>
            <w14:solidFill>
              <w14:schemeClr w14:val="tx1"/>
            </w14:solidFill>
          </w14:textFill>
        </w:rPr>
        <w:t>t/a</w:t>
      </w:r>
      <w:bookmarkEnd w:id="698"/>
      <w:r>
        <w:rPr>
          <w:rFonts w:hint="default" w:ascii="Times New Roman" w:hAnsi="Times New Roman" w:cs="Times New Roman"/>
          <w:color w:val="000000" w:themeColor="text1"/>
          <w:szCs w:val="28"/>
          <w:highlight w:val="none"/>
          <w14:textFill>
            <w14:solidFill>
              <w14:schemeClr w14:val="tx1"/>
            </w14:solidFill>
          </w14:textFill>
        </w:rPr>
        <w:t>，不排放</w:t>
      </w:r>
      <w:r>
        <w:rPr>
          <w:rFonts w:hint="default" w:ascii="Times New Roman" w:hAnsi="Times New Roman" w:cs="Times New Roman"/>
          <w:color w:val="000000" w:themeColor="text1"/>
          <w:highlight w:val="none"/>
          <w14:textFill>
            <w14:solidFill>
              <w14:schemeClr w14:val="tx1"/>
            </w14:solidFill>
          </w14:textFill>
        </w:rPr>
        <w:t>废水污染物</w:t>
      </w:r>
      <w:r>
        <w:rPr>
          <w:rFonts w:hint="default" w:ascii="Times New Roman" w:hAnsi="Times New Roman" w:cs="Times New Roman"/>
          <w:snapToGrid/>
          <w:color w:val="000000" w:themeColor="text1"/>
          <w:highlight w:val="none"/>
          <w:lang w:eastAsia="zh-CN"/>
          <w14:textFill>
            <w14:solidFill>
              <w14:schemeClr w14:val="tx1"/>
            </w14:solidFill>
          </w14:textFill>
        </w:rPr>
        <w:t>。</w:t>
      </w:r>
    </w:p>
    <w:p w14:paraId="6E584133">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000000" w:themeColor="text1"/>
          <w:sz w:val="24"/>
          <w:szCs w:val="24"/>
          <w:highlight w:val="none"/>
          <w14:textFill>
            <w14:solidFill>
              <w14:schemeClr w14:val="tx1"/>
            </w14:solidFill>
          </w14:textFill>
        </w:rPr>
      </w:pPr>
    </w:p>
    <w:bookmarkEnd w:id="695"/>
    <w:p w14:paraId="64D3E2C0">
      <w:pPr>
        <w:pStyle w:val="3"/>
        <w:pageBreakBefore w:val="0"/>
        <w:widowControl w:val="0"/>
        <w:kinsoku/>
        <w:wordWrap/>
        <w:overflowPunct/>
        <w:topLinePunct w:val="0"/>
        <w:autoSpaceDE/>
        <w:autoSpaceDN/>
        <w:bidi w:val="0"/>
        <w:adjustRightInd w:val="0"/>
        <w:snapToGrid w:val="0"/>
        <w:spacing w:beforeLines="0" w:after="0" w:line="360" w:lineRule="auto"/>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699" w:name="bookmark21"/>
      <w:bookmarkEnd w:id="699"/>
      <w:bookmarkStart w:id="700" w:name="_Toc4094"/>
      <w:bookmarkStart w:id="701" w:name="_Toc18441"/>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4</w:t>
      </w:r>
      <w:bookmarkEnd w:id="700"/>
      <w:r>
        <w:rPr>
          <w:rFonts w:hint="default" w:ascii="Times New Roman" w:hAnsi="Times New Roman" w:cs="Times New Roman"/>
          <w:color w:val="000000" w:themeColor="text1"/>
          <w:highlight w:val="none"/>
          <w14:textFill>
            <w14:solidFill>
              <w14:schemeClr w14:val="tx1"/>
            </w14:solidFill>
          </w14:textFill>
        </w:rPr>
        <w:t>相关政策法规、规划符合性分析</w:t>
      </w:r>
      <w:bookmarkEnd w:id="701"/>
    </w:p>
    <w:p w14:paraId="4CEA28A0">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02" w:name="_Toc1857"/>
      <w:bookmarkStart w:id="703" w:name="_Toc9534"/>
      <w:bookmarkStart w:id="704" w:name="_Toc188"/>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.1</w:t>
      </w:r>
      <w:bookmarkEnd w:id="702"/>
      <w:bookmarkEnd w:id="703"/>
      <w:bookmarkEnd w:id="704"/>
      <w:r>
        <w:rPr>
          <w:rFonts w:hint="default" w:ascii="Times New Roman" w:hAnsi="Times New Roman" w:cs="Times New Roman"/>
          <w:color w:val="000000" w:themeColor="text1"/>
          <w:highlight w:val="none"/>
          <w14:textFill>
            <w14:solidFill>
              <w14:schemeClr w14:val="tx1"/>
            </w14:solidFill>
          </w14:textFill>
        </w:rPr>
        <w:t>产业政策符合性分析</w:t>
      </w:r>
    </w:p>
    <w:p w14:paraId="0081B220">
      <w:pPr>
        <w:pStyle w:val="11"/>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1"/>
          <w:highlight w:val="none"/>
          <w14:textFill>
            <w14:solidFill>
              <w14:schemeClr w14:val="tx1"/>
            </w14:solidFill>
          </w14:textFill>
        </w:rPr>
      </w:pPr>
      <w:bookmarkStart w:id="705" w:name="OLE_LINK444"/>
      <w:r>
        <w:rPr>
          <w:rFonts w:hint="default" w:ascii="Times New Roman" w:hAnsi="Times New Roman" w:cs="Times New Roman"/>
          <w:color w:val="000000" w:themeColor="text1"/>
          <w:kern w:val="24"/>
          <w:sz w:val="24"/>
          <w:szCs w:val="24"/>
          <w:highlight w:val="none"/>
          <w14:textFill>
            <w14:solidFill>
              <w14:schemeClr w14:val="tx1"/>
            </w14:solidFill>
          </w14:textFill>
        </w:rPr>
        <w:t>石油天然气开采业</w:t>
      </w:r>
      <w:bookmarkEnd w:id="705"/>
      <w:r>
        <w:rPr>
          <w:rFonts w:hint="default" w:ascii="Times New Roman" w:hAnsi="Times New Roman" w:cs="Times New Roman"/>
          <w:color w:val="000000" w:themeColor="text1"/>
          <w:kern w:val="24"/>
          <w:sz w:val="24"/>
          <w:szCs w:val="24"/>
          <w:highlight w:val="none"/>
          <w14:textFill>
            <w14:solidFill>
              <w14:schemeClr w14:val="tx1"/>
            </w14:solidFill>
          </w14:textFill>
        </w:rPr>
        <w:t>是当前国民经济的重要基础产业和支柱产业，根据《</w:t>
      </w:r>
      <w:bookmarkStart w:id="706" w:name="OLE_LINK445"/>
      <w:r>
        <w:rPr>
          <w:rFonts w:hint="default" w:ascii="Times New Roman" w:hAnsi="Times New Roman" w:cs="Times New Roman"/>
          <w:color w:val="000000" w:themeColor="text1"/>
          <w:kern w:val="24"/>
          <w:sz w:val="24"/>
          <w:szCs w:val="24"/>
          <w:highlight w:val="none"/>
          <w14:textFill>
            <w14:solidFill>
              <w14:schemeClr w14:val="tx1"/>
            </w14:solidFill>
          </w14:textFill>
        </w:rPr>
        <w:t>产业结构调整指导目录（2024年本）</w:t>
      </w:r>
      <w:bookmarkEnd w:id="706"/>
      <w:r>
        <w:rPr>
          <w:rFonts w:hint="default" w:ascii="Times New Roman" w:hAnsi="Times New Roman" w:cs="Times New Roman"/>
          <w:color w:val="000000" w:themeColor="text1"/>
          <w:kern w:val="24"/>
          <w:sz w:val="24"/>
          <w:szCs w:val="24"/>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属于</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第一类 鼓励类</w:t>
      </w:r>
      <w:r>
        <w:rPr>
          <w:rFonts w:hint="eastAsia" w:cs="Times New Roman"/>
          <w:color w:val="000000" w:themeColor="text1"/>
          <w:highlight w:val="none"/>
          <w:lang w:val="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七、石油天然气</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中的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1.石油天然气开采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zh-CN"/>
          <w14:textFill>
            <w14:solidFill>
              <w14:schemeClr w14:val="tx1"/>
            </w14:solidFill>
          </w14:textFill>
        </w:rPr>
        <w:t>常规石油、天然气勘探与开采</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kern w:val="24"/>
          <w:sz w:val="24"/>
          <w:szCs w:val="24"/>
          <w:highlight w:val="none"/>
          <w14:textFill>
            <w14:solidFill>
              <w14:schemeClr w14:val="tx1"/>
            </w14:solidFill>
          </w14:textFill>
        </w:rPr>
        <w:t>，本工程建设符合国家产业政策。</w:t>
      </w:r>
      <w:r>
        <w:rPr>
          <w:rFonts w:hint="default" w:ascii="Times New Roman" w:hAnsi="Times New Roman" w:cs="Times New Roman"/>
          <w:color w:val="000000" w:themeColor="text1"/>
          <w:kern w:val="0"/>
          <w:sz w:val="24"/>
          <w:szCs w:val="24"/>
          <w:highlight w:val="none"/>
          <w14:textFill>
            <w14:solidFill>
              <w14:schemeClr w14:val="tx1"/>
            </w14:solidFill>
          </w14:textFill>
        </w:rPr>
        <w:t>本工程的实施，对于保障国家能源安全，促进国民经济健康快速发展具有极其重要的战略意义</w:t>
      </w:r>
      <w:r>
        <w:rPr>
          <w:rFonts w:hint="default" w:ascii="Times New Roman" w:hAnsi="Times New Roman" w:cs="Times New Roman"/>
          <w:color w:val="000000" w:themeColor="text1"/>
          <w:highlight w:val="none"/>
          <w14:textFill>
            <w14:solidFill>
              <w14:schemeClr w14:val="tx1"/>
            </w14:solidFill>
          </w14:textFill>
        </w:rPr>
        <w:t>。</w:t>
      </w:r>
    </w:p>
    <w:p w14:paraId="3FFE147B">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07" w:name="_Toc15055"/>
      <w:bookmarkStart w:id="708" w:name="_Toc8468"/>
      <w:bookmarkStart w:id="709" w:name="_Toc11148"/>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.2</w:t>
      </w:r>
      <w:bookmarkEnd w:id="707"/>
      <w:bookmarkEnd w:id="708"/>
      <w:bookmarkEnd w:id="709"/>
      <w:r>
        <w:rPr>
          <w:rFonts w:hint="default" w:ascii="Times New Roman" w:hAnsi="Times New Roman" w:cs="Times New Roman"/>
          <w:color w:val="000000" w:themeColor="text1"/>
          <w:highlight w:val="none"/>
          <w14:textFill>
            <w14:solidFill>
              <w14:schemeClr w14:val="tx1"/>
            </w14:solidFill>
          </w14:textFill>
        </w:rPr>
        <w:t>相关法规、政策、规范、规划符合性分析</w:t>
      </w:r>
    </w:p>
    <w:p w14:paraId="0F1A978D">
      <w:pPr>
        <w:pStyle w:val="1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kern w:val="24"/>
          <w:sz w:val="24"/>
          <w:szCs w:val="24"/>
          <w:highlight w:val="none"/>
          <w:lang w:val="zh-CN"/>
          <w14:textFill>
            <w14:solidFill>
              <w14:schemeClr w14:val="tx1"/>
            </w14:solidFill>
          </w14:textFill>
        </w:rPr>
      </w:pPr>
      <w:r>
        <w:rPr>
          <w:rFonts w:hint="eastAsia" w:ascii="Times New Roman" w:hAnsi="Times New Roman" w:cs="Times New Roman"/>
          <w:color w:val="000000" w:themeColor="text1"/>
          <w:kern w:val="24"/>
          <w:sz w:val="24"/>
          <w:szCs w:val="24"/>
          <w:highlight w:val="none"/>
          <w:lang w:val="zh-CN"/>
          <w14:textFill>
            <w14:solidFill>
              <w14:schemeClr w14:val="tx1"/>
            </w14:solidFill>
          </w14:textFill>
        </w:rPr>
        <w:t>（</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kern w:val="24"/>
          <w:sz w:val="24"/>
          <w:szCs w:val="24"/>
          <w:highlight w:val="none"/>
          <w:lang w:val="zh-CN"/>
          <w14:textFill>
            <w14:solidFill>
              <w14:schemeClr w14:val="tx1"/>
            </w14:solidFill>
          </w14:textFill>
        </w:rPr>
        <w:t>）与相关政策、法规符合性分析</w:t>
      </w:r>
    </w:p>
    <w:p w14:paraId="50FFC56D">
      <w:pPr>
        <w:pStyle w:val="1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24"/>
          <w:sz w:val="24"/>
          <w:szCs w:val="24"/>
          <w:highlight w:val="none"/>
          <w:lang w:val="zh-CN"/>
          <w14:textFill>
            <w14:solidFill>
              <w14:schemeClr w14:val="tx1"/>
            </w14:solidFill>
          </w14:textFill>
        </w:rPr>
        <w:t>本</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24"/>
          <w:sz w:val="24"/>
          <w:szCs w:val="24"/>
          <w:highlight w:val="none"/>
          <w:lang w:val="zh-CN"/>
          <w14:textFill>
            <w14:solidFill>
              <w14:schemeClr w14:val="tx1"/>
            </w14:solidFill>
          </w14:textFill>
        </w:rPr>
        <w:t>属于</w:t>
      </w:r>
      <w:r>
        <w:rPr>
          <w:rFonts w:hint="default" w:ascii="Times New Roman" w:hAnsi="Times New Roman" w:eastAsia="宋体" w:cs="Times New Roman"/>
          <w:color w:val="000000" w:themeColor="text1"/>
          <w:highlight w:val="none"/>
          <w14:textFill>
            <w14:solidFill>
              <w14:schemeClr w14:val="tx1"/>
            </w14:solidFill>
          </w14:textFill>
        </w:rPr>
        <w:t>西北油田分公司</w:t>
      </w:r>
      <w:r>
        <w:rPr>
          <w:rFonts w:hint="default" w:ascii="Times New Roman" w:hAnsi="Times New Roman" w:eastAsia="宋体" w:cs="Times New Roman"/>
          <w:color w:val="000000" w:themeColor="text1"/>
          <w:highlight w:val="none"/>
          <w:lang w:val="zh-CN"/>
          <w14:textFill>
            <w14:solidFill>
              <w14:schemeClr w14:val="tx1"/>
            </w14:solidFill>
          </w14:textFill>
        </w:rPr>
        <w:t>石油天然气</w:t>
      </w:r>
      <w:r>
        <w:rPr>
          <w:rFonts w:hint="default" w:ascii="Times New Roman" w:hAnsi="Times New Roman" w:eastAsia="宋体" w:cs="Times New Roman"/>
          <w:b w:val="0"/>
          <w:bCs w:val="0"/>
          <w:color w:val="000000" w:themeColor="text1"/>
          <w:highlight w:val="none"/>
          <w:lang w:val="zh-CN"/>
          <w14:textFill>
            <w14:solidFill>
              <w14:schemeClr w14:val="tx1"/>
            </w14:solidFill>
          </w14:textFill>
        </w:rPr>
        <w:t>开发项目</w:t>
      </w:r>
      <w:r>
        <w:rPr>
          <w:rFonts w:hint="default" w:ascii="Times New Roman" w:hAnsi="Times New Roman" w:eastAsia="宋体" w:cs="Times New Roman"/>
          <w:color w:val="000000" w:themeColor="text1"/>
          <w:kern w:val="24"/>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相关的政策、法规有：</w:t>
      </w:r>
      <w:bookmarkStart w:id="710" w:name="OLE_LINK471"/>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bookmarkStart w:id="711" w:name="OLE_LINK446"/>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石油天然气开采业污染防治技术政策</w:t>
      </w:r>
      <w:bookmarkEnd w:id="711"/>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新疆维吾尔自治区大气污染防治条例</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关于进一步加强石油天然气行业环境影响评价管理的通知</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环办环评函〔2019〕910号</w:t>
      </w:r>
      <w:r>
        <w:rPr>
          <w:rFonts w:hint="default" w:ascii="Times New Roman" w:hAnsi="Times New Roman" w:cs="Times New Roman"/>
          <w:color w:val="000000" w:themeColor="text1"/>
          <w:kern w:val="24"/>
          <w:sz w:val="24"/>
          <w:szCs w:val="24"/>
          <w:highlight w:val="none"/>
          <w:lang w:eastAsia="zh-CN"/>
          <w14:textFill>
            <w14:solidFill>
              <w14:schemeClr w14:val="tx1"/>
            </w14:solidFill>
          </w14:textFill>
        </w:rPr>
        <w:t>）</w:t>
      </w:r>
      <w:bookmarkEnd w:id="710"/>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等，符合性见表3.</w:t>
      </w:r>
      <w:r>
        <w:rPr>
          <w:rFonts w:hint="eastAsia" w:ascii="Times New Roman" w:hAnsi="Times New Roman" w:cs="Times New Roman"/>
          <w:color w:val="000000" w:themeColor="text1"/>
          <w:kern w:val="24"/>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-1。</w:t>
      </w:r>
    </w:p>
    <w:p w14:paraId="20831ACB">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4"/>
          <w:sz w:val="22"/>
          <w:szCs w:val="22"/>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w:t>
      </w: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相关的政策、法规符合性分析</w:t>
      </w:r>
    </w:p>
    <w:tbl>
      <w:tblPr>
        <w:tblStyle w:val="37"/>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3"/>
        <w:gridCol w:w="3733"/>
        <w:gridCol w:w="3156"/>
        <w:gridCol w:w="745"/>
      </w:tblGrid>
      <w:tr w14:paraId="003C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Align w:val="center"/>
          </w:tcPr>
          <w:p w14:paraId="243F2A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文件名称</w:t>
            </w:r>
          </w:p>
        </w:tc>
        <w:tc>
          <w:tcPr>
            <w:tcW w:w="3733" w:type="dxa"/>
            <w:vAlign w:val="center"/>
          </w:tcPr>
          <w:p w14:paraId="0C285B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文件要求</w:t>
            </w:r>
          </w:p>
        </w:tc>
        <w:tc>
          <w:tcPr>
            <w:tcW w:w="3156" w:type="dxa"/>
            <w:vAlign w:val="center"/>
          </w:tcPr>
          <w:p w14:paraId="42AA1E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实际建设情况</w:t>
            </w:r>
          </w:p>
        </w:tc>
        <w:tc>
          <w:tcPr>
            <w:tcW w:w="745" w:type="dxa"/>
            <w:vAlign w:val="center"/>
          </w:tcPr>
          <w:p w14:paraId="598CA0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14:paraId="6AA1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963" w:type="dxa"/>
            <w:vAlign w:val="center"/>
          </w:tcPr>
          <w:p w14:paraId="373B3F9C">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bookmarkStart w:id="712" w:name="OLE_LINK1243"/>
            <w:r>
              <w:rPr>
                <w:rFonts w:hint="default" w:ascii="Times New Roman" w:hAnsi="Times New Roman" w:cs="Times New Roman"/>
                <w:color w:val="000000" w:themeColor="text1"/>
                <w:sz w:val="21"/>
                <w:szCs w:val="21"/>
                <w:highlight w:val="none"/>
                <w14:textFill>
                  <w14:solidFill>
                    <w14:schemeClr w14:val="tx1"/>
                  </w14:solidFill>
                </w14:textFill>
              </w:rPr>
              <w:t>石油天然气开采业污染防治技术政策</w:t>
            </w:r>
            <w:bookmarkEnd w:id="712"/>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（环境部公告2012年第18号）</w:t>
            </w:r>
          </w:p>
        </w:tc>
        <w:tc>
          <w:tcPr>
            <w:tcW w:w="3733" w:type="dxa"/>
            <w:vAlign w:val="center"/>
          </w:tcPr>
          <w:p w14:paraId="3DAB46D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到2015年末，行业新、改、扩建项目均采用清洁生产工艺和技术，工业废水回用率达到90%以上，工业固体废物资源化及无害化处理处置率达到100%；落地原油应及时回收，落地原油回收率应达到100%；油气田建设宜布置丛式井组，采用多分支井、水平井、小孔钻井、空气钻井等钻井技术，以减少废物产生和占地；在开发过程中，伴生气应回收利用，减少温室气体排放，不具备回收利用条件的，应充分燃烧，伴生气回收利用率应达到80%以上；站场放空天然气应充分燃烧</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156" w:type="dxa"/>
            <w:vAlign w:val="center"/>
          </w:tcPr>
          <w:p w14:paraId="31B1DFD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lang w:eastAsia="zh-CN"/>
                <w14:textFill>
                  <w14:solidFill>
                    <w14:schemeClr w14:val="tx1"/>
                  </w14:solidFill>
                </w14:textFill>
              </w:rPr>
              <w:t>天然气计量后销售给地方企业</w:t>
            </w:r>
            <w:r>
              <w:rPr>
                <w:rFonts w:hint="eastAsia" w:cs="Times New Roman"/>
                <w:color w:val="000000" w:themeColor="text1"/>
                <w:sz w:val="21"/>
                <w:szCs w:val="21"/>
                <w:highlight w:val="none"/>
                <w:lang w:val="en-US" w:eastAsia="zh-CN"/>
                <w14:textFill>
                  <w14:solidFill>
                    <w14:schemeClr w14:val="tx1"/>
                  </w14:solidFill>
                </w14:textFill>
              </w:rPr>
              <w:t>处理外销</w:t>
            </w:r>
            <w:r>
              <w:rPr>
                <w:rFonts w:hint="default" w:ascii="Times New Roman" w:hAnsi="Times New Roman" w:cs="Times New Roman"/>
                <w:color w:val="000000" w:themeColor="text1"/>
                <w:sz w:val="21"/>
                <w:szCs w:val="21"/>
                <w:highlight w:val="none"/>
                <w:lang w:eastAsia="zh-CN"/>
                <w14:textFill>
                  <w14:solidFill>
                    <w14:schemeClr w14:val="tx1"/>
                  </w14:solidFill>
                </w14:textFill>
              </w:rPr>
              <w:t>；井下作业时带罐作业，落地油100%回收，回收至密闭的专用罐车内，统一由阿克苏塔河环保工程有限公司绿色环保工作站进行无害化处理。</w:t>
            </w:r>
          </w:p>
        </w:tc>
        <w:tc>
          <w:tcPr>
            <w:tcW w:w="745" w:type="dxa"/>
            <w:vAlign w:val="center"/>
          </w:tcPr>
          <w:p w14:paraId="10609D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BA0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restart"/>
            <w:vAlign w:val="center"/>
          </w:tcPr>
          <w:p w14:paraId="76EFEFE2">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bookmarkStart w:id="713" w:name="OLE_LINK1244"/>
            <w:r>
              <w:rPr>
                <w:rFonts w:hint="default" w:ascii="Times New Roman" w:hAnsi="Times New Roman" w:cs="Times New Roman"/>
                <w:color w:val="000000" w:themeColor="text1"/>
                <w:sz w:val="21"/>
                <w:szCs w:val="21"/>
                <w:highlight w:val="none"/>
                <w14:textFill>
                  <w14:solidFill>
                    <w14:schemeClr w14:val="tx1"/>
                  </w14:solidFill>
                </w14:textFill>
              </w:rPr>
              <w:t>新疆维吾尔自治区</w:t>
            </w:r>
            <w:bookmarkStart w:id="714" w:name="OLE_LINK447"/>
            <w:bookmarkStart w:id="715" w:name="OLE_LINK235"/>
            <w:r>
              <w:rPr>
                <w:rFonts w:hint="default" w:ascii="Times New Roman" w:hAnsi="Times New Roman" w:cs="Times New Roman"/>
                <w:color w:val="000000" w:themeColor="text1"/>
                <w:sz w:val="21"/>
                <w:szCs w:val="21"/>
                <w:highlight w:val="none"/>
                <w14:textFill>
                  <w14:solidFill>
                    <w14:schemeClr w14:val="tx1"/>
                  </w14:solidFill>
                </w14:textFill>
              </w:rPr>
              <w:t>大气污染防治</w:t>
            </w:r>
            <w:bookmarkEnd w:id="714"/>
            <w:r>
              <w:rPr>
                <w:rFonts w:hint="default" w:ascii="Times New Roman" w:hAnsi="Times New Roman" w:cs="Times New Roman"/>
                <w:color w:val="000000" w:themeColor="text1"/>
                <w:sz w:val="21"/>
                <w:szCs w:val="21"/>
                <w:highlight w:val="none"/>
                <w14:textFill>
                  <w14:solidFill>
                    <w14:schemeClr w14:val="tx1"/>
                  </w14:solidFill>
                </w14:textFill>
              </w:rPr>
              <w:t>条例</w:t>
            </w:r>
            <w:bookmarkEnd w:id="713"/>
            <w:bookmarkEnd w:id="715"/>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（第</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13届人大第7次会议</w:t>
            </w:r>
            <w:r>
              <w:rPr>
                <w:rFonts w:hint="eastAsia" w:cs="Times New Roman"/>
                <w:color w:val="000000" w:themeColor="text1"/>
                <w:sz w:val="21"/>
                <w:szCs w:val="21"/>
                <w:highlight w:val="none"/>
                <w:lang w:eastAsia="zh-CN"/>
                <w14:textFill>
                  <w14:solidFill>
                    <w14:schemeClr w14:val="tx1"/>
                  </w14:solidFill>
                </w14:textFill>
              </w:rPr>
              <w:t>）</w:t>
            </w:r>
          </w:p>
        </w:tc>
        <w:tc>
          <w:tcPr>
            <w:tcW w:w="3733" w:type="dxa"/>
            <w:vAlign w:val="center"/>
          </w:tcPr>
          <w:p w14:paraId="089B086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第三十七条规定：各级人民政府应当加强对建设施工、矿产资源开采、物料运输的扬尘和沙尘污染的治理，保持道路清洁、控制料堆和渣土堆放，科学合理扩大绿地、水面、湿地、地面铺装和防风固沙绿化面积，防治扬尘污染。</w:t>
            </w:r>
          </w:p>
        </w:tc>
        <w:tc>
          <w:tcPr>
            <w:tcW w:w="3156" w:type="dxa"/>
            <w:vAlign w:val="center"/>
          </w:tcPr>
          <w:p w14:paraId="6B3CA2E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本工程施工土方全部用于场地平整</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施工废料应首先考虑回收利用，不可回收利用部分拉运至</w:t>
            </w:r>
            <w:r>
              <w:rPr>
                <w:rFonts w:hint="eastAsia" w:cs="Times New Roman"/>
                <w:color w:val="000000" w:themeColor="text1"/>
                <w:sz w:val="21"/>
                <w:szCs w:val="21"/>
                <w:highlight w:val="none"/>
                <w:lang w:val="en-US" w:eastAsia="zh-CN"/>
                <w14:textFill>
                  <w14:solidFill>
                    <w14:schemeClr w14:val="tx1"/>
                  </w14:solidFill>
                </w14:textFill>
              </w:rPr>
              <w:t>当地</w:t>
            </w:r>
            <w:r>
              <w:rPr>
                <w:rFonts w:hint="default" w:ascii="Times New Roman" w:hAnsi="Times New Roman" w:cs="Times New Roman"/>
                <w:color w:val="000000" w:themeColor="text1"/>
                <w:sz w:val="21"/>
                <w:szCs w:val="21"/>
                <w:highlight w:val="none"/>
                <w:lang w:eastAsia="zh-CN"/>
                <w14:textFill>
                  <w14:solidFill>
                    <w14:schemeClr w14:val="tx1"/>
                  </w14:solidFill>
                </w14:textFill>
              </w:rPr>
              <w:t>工业固废填埋场合规处置。</w:t>
            </w:r>
          </w:p>
        </w:tc>
        <w:tc>
          <w:tcPr>
            <w:tcW w:w="745" w:type="dxa"/>
            <w:vAlign w:val="center"/>
          </w:tcPr>
          <w:p w14:paraId="26F8E2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4022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3EBE3C13">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733" w:type="dxa"/>
            <w:vAlign w:val="center"/>
          </w:tcPr>
          <w:p w14:paraId="7817242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第四十四条　矿山开采产生的废石、废渣、泥土等应当堆放到专门存放地，并采取围挡、设置防尘网或者防尘布等防尘措施；施工便道应当硬化。</w:t>
            </w:r>
          </w:p>
        </w:tc>
        <w:tc>
          <w:tcPr>
            <w:tcW w:w="3156" w:type="dxa"/>
            <w:vAlign w:val="center"/>
          </w:tcPr>
          <w:p w14:paraId="54A2177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工程井场施工周期较短，且采取洒水抑尘措施，运输车辆采取减速慢行和苫盖措施，可有效降低扬尘</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745" w:type="dxa"/>
            <w:vAlign w:val="center"/>
          </w:tcPr>
          <w:p w14:paraId="215717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6BB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963" w:type="dxa"/>
            <w:vAlign w:val="center"/>
          </w:tcPr>
          <w:p w14:paraId="6316AD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关于进一步加强石</w:t>
            </w:r>
            <w:bookmarkStart w:id="716" w:name="OLE_LINK1453"/>
            <w:r>
              <w:rPr>
                <w:rFonts w:hint="default" w:ascii="Times New Roman" w:hAnsi="Times New Roman" w:cs="Times New Roman"/>
                <w:color w:val="000000" w:themeColor="text1"/>
                <w:sz w:val="21"/>
                <w:szCs w:val="21"/>
                <w:highlight w:val="none"/>
                <w14:textFill>
                  <w14:solidFill>
                    <w14:schemeClr w14:val="tx1"/>
                  </w14:solidFill>
                </w14:textFill>
              </w:rPr>
              <w:t>油天然气行业环境影响评价</w:t>
            </w:r>
            <w:bookmarkEnd w:id="716"/>
            <w:r>
              <w:rPr>
                <w:rFonts w:hint="default" w:ascii="Times New Roman" w:hAnsi="Times New Roman" w:cs="Times New Roman"/>
                <w:color w:val="000000" w:themeColor="text1"/>
                <w:sz w:val="21"/>
                <w:szCs w:val="21"/>
                <w:highlight w:val="none"/>
                <w14:textFill>
                  <w14:solidFill>
                    <w14:schemeClr w14:val="tx1"/>
                  </w14:solidFill>
                </w14:textFill>
              </w:rPr>
              <w:t>的通知</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环办环评函</w:t>
            </w:r>
            <w:bookmarkStart w:id="717" w:name="OLE_LINK1178"/>
            <w:r>
              <w:rPr>
                <w:rFonts w:hint="default" w:ascii="Times New Roman" w:hAnsi="Times New Roman" w:cs="Times New Roman"/>
                <w:color w:val="000000" w:themeColor="text1"/>
                <w:sz w:val="21"/>
                <w:szCs w:val="21"/>
                <w:highlight w:val="none"/>
                <w14:textFill>
                  <w14:solidFill>
                    <w14:schemeClr w14:val="tx1"/>
                  </w14:solidFill>
                </w14:textFill>
              </w:rPr>
              <w:t>〔</w:t>
            </w:r>
            <w:bookmarkEnd w:id="717"/>
            <w:r>
              <w:rPr>
                <w:rFonts w:hint="default" w:ascii="Times New Roman" w:hAnsi="Times New Roman" w:cs="Times New Roman"/>
                <w:color w:val="000000" w:themeColor="text1"/>
                <w:sz w:val="21"/>
                <w:szCs w:val="21"/>
                <w:highlight w:val="none"/>
                <w14:textFill>
                  <w14:solidFill>
                    <w14:schemeClr w14:val="tx1"/>
                  </w14:solidFill>
                </w14:textFill>
              </w:rPr>
              <w:t>2019〕</w:t>
            </w:r>
          </w:p>
          <w:p w14:paraId="219419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910号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733" w:type="dxa"/>
            <w:vAlign w:val="center"/>
          </w:tcPr>
          <w:p w14:paraId="459EA98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在相关行业污染控制标准发布前，回注的开采废水应当经处理并符合SY/T5329等相关标准要求后回注，同步采取切实可行措施防治污染；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油气田回注采出水，应当采取有效措施减少废水处理站和回注井场硫化氢的无组织排放。井场加热炉等排放大气污染物的设备，应当优先使用清洁燃料，废气排放应当满足国家和地方大气污染物排放标准要求；建设单位或生产经营单位按规定开展建设项目竣工环境保护验收，并录入全国建设项目竣工环境保护验收信息平台。</w:t>
            </w:r>
          </w:p>
        </w:tc>
        <w:tc>
          <w:tcPr>
            <w:tcW w:w="3156" w:type="dxa"/>
            <w:vAlign w:val="center"/>
          </w:tcPr>
          <w:p w14:paraId="73973F4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14:textFill>
                  <w14:solidFill>
                    <w14:schemeClr w14:val="tx1"/>
                  </w14:solidFill>
                </w14:textFill>
              </w:rPr>
              <w:t>采用</w:t>
            </w:r>
            <w:bookmarkStart w:id="718" w:name="OLE_LINK1455"/>
            <w:r>
              <w:rPr>
                <w:rFonts w:hint="eastAsia" w:cs="Times New Roman"/>
                <w:color w:val="000000" w:themeColor="text1"/>
                <w:sz w:val="21"/>
                <w:szCs w:val="21"/>
                <w:highlight w:val="none"/>
                <w:lang w:val="en-US" w:eastAsia="zh-CN"/>
                <w14:textFill>
                  <w14:solidFill>
                    <w14:schemeClr w14:val="tx1"/>
                  </w14:solidFill>
                </w14:textFill>
              </w:rPr>
              <w:t>凝析</w:t>
            </w:r>
            <w:r>
              <w:rPr>
                <w:rFonts w:hint="default" w:ascii="Times New Roman" w:hAnsi="Times New Roman" w:cs="Times New Roman"/>
                <w:color w:val="000000" w:themeColor="text1"/>
                <w:sz w:val="21"/>
                <w:szCs w:val="21"/>
                <w:highlight w:val="none"/>
                <w14:textFill>
                  <w14:solidFill>
                    <w14:schemeClr w14:val="tx1"/>
                  </w14:solidFill>
                </w14:textFill>
              </w:rPr>
              <w:t>油</w:t>
            </w:r>
            <w:bookmarkEnd w:id="718"/>
            <w:r>
              <w:rPr>
                <w:rFonts w:hint="default" w:ascii="Times New Roman" w:hAnsi="Times New Roman" w:cs="Times New Roman"/>
                <w:color w:val="000000" w:themeColor="text1"/>
                <w:sz w:val="21"/>
                <w:szCs w:val="21"/>
                <w:highlight w:val="none"/>
                <w14:textFill>
                  <w14:solidFill>
                    <w14:schemeClr w14:val="tx1"/>
                  </w14:solidFill>
                </w14:textFill>
              </w:rPr>
              <w:t>稳定工艺，</w:t>
            </w:r>
            <w:r>
              <w:rPr>
                <w:rFonts w:hint="eastAsia" w:cs="Times New Roman"/>
                <w:color w:val="000000" w:themeColor="text1"/>
                <w:sz w:val="21"/>
                <w:szCs w:val="21"/>
                <w:highlight w:val="none"/>
                <w:lang w:val="en-US" w:eastAsia="zh-CN"/>
                <w14:textFill>
                  <w14:solidFill>
                    <w14:schemeClr w14:val="tx1"/>
                  </w14:solidFill>
                </w14:textFill>
              </w:rPr>
              <w:t>储</w:t>
            </w:r>
            <w:r>
              <w:rPr>
                <w:rFonts w:hint="default" w:ascii="Times New Roman" w:hAnsi="Times New Roman" w:cs="Times New Roman"/>
                <w:color w:val="000000" w:themeColor="text1"/>
                <w:sz w:val="21"/>
                <w:szCs w:val="21"/>
                <w:highlight w:val="none"/>
                <w14:textFill>
                  <w14:solidFill>
                    <w14:schemeClr w14:val="tx1"/>
                  </w14:solidFill>
                </w14:textFill>
              </w:rPr>
              <w:t>罐临时存储等措施控制无组织排放，</w:t>
            </w:r>
            <w:r>
              <w:rPr>
                <w:rFonts w:hint="eastAsia" w:cs="Times New Roman"/>
                <w:color w:val="000000" w:themeColor="text1"/>
                <w:sz w:val="21"/>
                <w:szCs w:val="21"/>
                <w:highlight w:val="none"/>
                <w:lang w:val="en-US" w:eastAsia="zh-CN"/>
                <w14:textFill>
                  <w14:solidFill>
                    <w14:schemeClr w14:val="tx1"/>
                  </w14:solidFill>
                </w14:textFill>
              </w:rPr>
              <w:t>雅克拉采气</w:t>
            </w:r>
            <w:r>
              <w:rPr>
                <w:rFonts w:hint="default" w:ascii="Times New Roman" w:hAnsi="Times New Roman" w:cs="Times New Roman"/>
                <w:color w:val="000000" w:themeColor="text1"/>
                <w:sz w:val="21"/>
                <w:szCs w:val="21"/>
                <w:highlight w:val="none"/>
                <w14:textFill>
                  <w14:solidFill>
                    <w14:schemeClr w14:val="tx1"/>
                  </w14:solidFill>
                </w14:textFill>
              </w:rPr>
              <w:t>厂针对油田在施工期和运营期可能发生的各种环境风险事故，制定了详细的风险事故应急预案，当事件一旦发生时可迅速加以控制，使危害和损失降低到尽可能低的程度。</w:t>
            </w:r>
          </w:p>
        </w:tc>
        <w:tc>
          <w:tcPr>
            <w:tcW w:w="745" w:type="dxa"/>
            <w:vAlign w:val="center"/>
          </w:tcPr>
          <w:p w14:paraId="224CF3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2012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restart"/>
            <w:vAlign w:val="center"/>
          </w:tcPr>
          <w:p w14:paraId="649657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转发</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关于进一步加强石油天然气行业环境影响评价管理的通知</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的通知〔新环评价发2020〕142号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733" w:type="dxa"/>
            <w:vAlign w:val="center"/>
          </w:tcPr>
          <w:p w14:paraId="74F4363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请各有关单位加快推进油气发展</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开发</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相关规划编制，并依法开展规划环境影响评价工作。对已经批准的油气发展</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开发</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规划在实施范围、适用期限、规模、结构和布局等方面进行重大调整或修订的，应当依法重新或补充进行环境影响评价。油气开发规划实施满5年的应当及时开展规划环境影响跟踪评价。</w:t>
            </w:r>
          </w:p>
        </w:tc>
        <w:tc>
          <w:tcPr>
            <w:tcW w:w="3156" w:type="dxa"/>
            <w:vAlign w:val="center"/>
          </w:tcPr>
          <w:p w14:paraId="06E94371">
            <w:pPr>
              <w:pStyle w:val="23"/>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西北</w:t>
            </w:r>
            <w:r>
              <w:rPr>
                <w:rFonts w:hint="default" w:ascii="Times New Roman" w:hAnsi="Times New Roman" w:eastAsia="宋体" w:cs="Times New Roman"/>
                <w:color w:val="000000" w:themeColor="text1"/>
                <w:sz w:val="21"/>
                <w:szCs w:val="21"/>
                <w:highlight w:val="none"/>
                <w14:textFill>
                  <w14:solidFill>
                    <w14:schemeClr w14:val="tx1"/>
                  </w14:solidFill>
                </w14:textFill>
              </w:rPr>
              <w:t>油田分公司已编制</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西北油田分公司</w:t>
            </w:r>
            <w:r>
              <w:rPr>
                <w:rFonts w:hint="eastAsia"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十四五</w:t>
            </w:r>
            <w:r>
              <w:rPr>
                <w:rFonts w:hint="eastAsia"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规划</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并委托</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河北省众联能源环保科技有限</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-16510</wp:posOffset>
                      </wp:positionH>
                      <wp:positionV relativeFrom="paragraph">
                        <wp:posOffset>-26035</wp:posOffset>
                      </wp:positionV>
                      <wp:extent cx="5713730" cy="0"/>
                      <wp:effectExtent l="0" t="0" r="0" b="0"/>
                      <wp:wrapNone/>
                      <wp:docPr id="88" name="直接连接符 88"/>
                      <wp:cNvGraphicFramePr/>
                      <a:graphic xmlns:a="http://schemas.openxmlformats.org/drawingml/2006/main">
                        <a:graphicData uri="http://schemas.microsoft.com/office/word/2010/wordprocessingShape">
                          <wps:wsp>
                            <wps:cNvCnPr/>
                            <wps:spPr>
                              <a:xfrm>
                                <a:off x="0" y="0"/>
                                <a:ext cx="5713730" cy="0"/>
                              </a:xfrm>
                              <a:prstGeom prst="line">
                                <a:avLst/>
                              </a:prstGeom>
                              <a:ln w="12700" cap="flat" cmpd="sng">
                                <a:no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3pt;margin-top:-2.05pt;height:0pt;width:449.9pt;z-index:251680768;mso-width-relative:page;mso-height-relative:page;" filled="f" stroked="f" coordsize="21600,21600" o:gfxdata="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N&#10;/JzXAAAACAEAAA8AAAAAAAAAAQAgAAAAIgAAAGRycy9kb3ducmV2LnhtbFBLAQIUABQAAAAIAIdO&#10;4kBb+FOu6wEAAMwDAAAOAAAAAAAAAAEAIAAAACYBAABkcnMvZTJvRG9jLnhtbFBLBQYAAAAABgAG&#10;AFkBAACDBQAAAAA=&#10;">
                      <v:fill on="f" focussize="0,0"/>
                      <v:stroke on="f" weight="1pt"/>
                      <v:imagedata o:title=""/>
                      <o:lock v:ext="edit" aspectratio="f"/>
                    </v:line>
                  </w:pict>
                </mc:Fallback>
              </mc:AlternateConten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公司</w:t>
            </w:r>
            <w:r>
              <w:rPr>
                <w:rFonts w:hint="default" w:ascii="Times New Roman" w:hAnsi="Times New Roman" w:eastAsia="宋体" w:cs="Times New Roman"/>
                <w:color w:val="000000" w:themeColor="text1"/>
                <w:spacing w:val="-5"/>
                <w:sz w:val="21"/>
                <w:szCs w:val="21"/>
                <w:highlight w:val="none"/>
                <w:lang w:val="en-US" w:eastAsia="zh-CN"/>
                <w14:textFill>
                  <w14:solidFill>
                    <w14:schemeClr w14:val="tx1"/>
                  </w14:solidFill>
                </w14:textFill>
              </w:rPr>
              <w:t>编制完成</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中国石油化工股份有限公司西北油田分公司“十四五”规划环境影响报告书</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，并于2022年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日取得审查意见</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新环审</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2022</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147</w:t>
            </w:r>
            <w:r>
              <w:rPr>
                <w:rFonts w:hint="default" w:ascii="Times New Roman" w:hAnsi="Times New Roman" w:eastAsia="宋体" w:cs="Times New Roman"/>
                <w:color w:val="000000" w:themeColor="text1"/>
                <w:sz w:val="21"/>
                <w:szCs w:val="21"/>
                <w:highlight w:val="none"/>
                <w14:textFill>
                  <w14:solidFill>
                    <w14:schemeClr w14:val="tx1"/>
                  </w14:solidFill>
                </w14:textFill>
              </w:rPr>
              <w:t>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45" w:type="dxa"/>
            <w:vAlign w:val="center"/>
          </w:tcPr>
          <w:p w14:paraId="04A791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0D0F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244232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733" w:type="dxa"/>
            <w:vAlign w:val="center"/>
          </w:tcPr>
          <w:p w14:paraId="492A692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油气开采项目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含新开发和滚动开发项目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原则上应当以区块为单位开展环评</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以下简称区块环评</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。未确定产能建设规模的陆地油气开采新区块，建设勘探井应当依法编制环境影响报告表。确定产能建设规模后，原则上不得以勘探名义继续开展单井环评。勘探井转为生产井的，可以纳入区块环评。</w:t>
            </w:r>
          </w:p>
          <w:p w14:paraId="2BCC21F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2021年1月1日起，原则上不以单井形式开展环评。过渡期间，项目建设单位可以根据实际情况，报批区块环评或单井环评。</w:t>
            </w:r>
          </w:p>
        </w:tc>
        <w:tc>
          <w:tcPr>
            <w:tcW w:w="3156" w:type="dxa"/>
            <w:vAlign w:val="center"/>
          </w:tcPr>
          <w:p w14:paraId="14EE01E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14:textFill>
                  <w14:solidFill>
                    <w14:schemeClr w14:val="tx1"/>
                  </w14:solidFill>
                </w14:textFill>
              </w:rPr>
              <w:t>以区块为单位开展环评，在报告中对</w:t>
            </w:r>
            <w:r>
              <w:rPr>
                <w:rFonts w:hint="eastAsia" w:cs="Times New Roman"/>
                <w:color w:val="000000" w:themeColor="text1"/>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施工期、</w:t>
            </w:r>
            <w:r>
              <w:rPr>
                <w:rFonts w:hint="default" w:ascii="Times New Roman" w:hAnsi="Times New Roman" w:cs="Times New Roman"/>
                <w:color w:val="000000" w:themeColor="text1"/>
                <w:sz w:val="21"/>
                <w:szCs w:val="21"/>
                <w:highlight w:val="none"/>
                <w:lang w:eastAsia="zh-CN"/>
                <w14:textFill>
                  <w14:solidFill>
                    <w14:schemeClr w14:val="tx1"/>
                  </w14:solidFill>
                </w14:textFill>
              </w:rPr>
              <w:t>运营期</w:t>
            </w:r>
            <w:r>
              <w:rPr>
                <w:rFonts w:hint="default" w:ascii="Times New Roman" w:hAnsi="Times New Roman" w:cs="Times New Roman"/>
                <w:color w:val="000000" w:themeColor="text1"/>
                <w:sz w:val="21"/>
                <w:szCs w:val="21"/>
                <w:highlight w:val="none"/>
                <w14:textFill>
                  <w14:solidFill>
                    <w14:schemeClr w14:val="tx1"/>
                  </w14:solidFill>
                </w14:textFill>
              </w:rPr>
              <w:t>环境影响和环境风险进行了分析，并提出有效的环境保护措施、污染防治措施和环境风险防范措施，并分析了依托工程</w:t>
            </w:r>
            <w:r>
              <w:rPr>
                <w:rFonts w:hint="eastAsia" w:cs="Times New Roman"/>
                <w:color w:val="000000" w:themeColor="text1"/>
                <w:sz w:val="2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 w:val="21"/>
                <w:szCs w:val="21"/>
                <w:highlight w:val="none"/>
                <w14:textFill>
                  <w14:solidFill>
                    <w14:schemeClr w14:val="tx1"/>
                  </w14:solidFill>
                </w14:textFill>
              </w:rPr>
              <w:t>可行性和有效性；同时对现有</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14:textFill>
                  <w14:solidFill>
                    <w14:schemeClr w14:val="tx1"/>
                  </w14:solidFill>
                </w14:textFill>
              </w:rPr>
              <w:t>也进行了回顾性评价，对相关生态环境问题提出有效防治措施。</w:t>
            </w:r>
          </w:p>
        </w:tc>
        <w:tc>
          <w:tcPr>
            <w:tcW w:w="745" w:type="dxa"/>
            <w:vAlign w:val="center"/>
          </w:tcPr>
          <w:p w14:paraId="27A71F6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761C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restart"/>
            <w:vAlign w:val="center"/>
          </w:tcPr>
          <w:p w14:paraId="0A4010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《陆上石油天然气开采业绿色矿山建设规范》（DZ/T0317-2018）</w:t>
            </w:r>
          </w:p>
        </w:tc>
        <w:tc>
          <w:tcPr>
            <w:tcW w:w="3733" w:type="dxa"/>
            <w:vAlign w:val="center"/>
          </w:tcPr>
          <w:p w14:paraId="7193BC8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因矿制宜选择开采工艺和装备，符合清洁生产要求。应贯彻“边开采，边治理，边恢复”的原则，及时治理恢复矿区地质环境，复垦矿区压占和损毁土地</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156" w:type="dxa"/>
            <w:vAlign w:val="center"/>
          </w:tcPr>
          <w:p w14:paraId="7E7C215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提出施工期结束后，恢复井场周边占地</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745" w:type="dxa"/>
            <w:vAlign w:val="center"/>
          </w:tcPr>
          <w:p w14:paraId="225DEC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723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328B84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zh-CN"/>
                <w14:textFill>
                  <w14:solidFill>
                    <w14:schemeClr w14:val="tx1"/>
                  </w14:solidFill>
                </w14:textFill>
              </w:rPr>
            </w:pPr>
          </w:p>
        </w:tc>
        <w:tc>
          <w:tcPr>
            <w:tcW w:w="3733" w:type="dxa"/>
            <w:vAlign w:val="center"/>
          </w:tcPr>
          <w:p w14:paraId="71CDE24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156" w:type="dxa"/>
            <w:vAlign w:val="center"/>
          </w:tcPr>
          <w:p w14:paraId="655B49C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14:textFill>
                  <w14:solidFill>
                    <w14:schemeClr w14:val="tx1"/>
                  </w14:solidFill>
                </w14:textFill>
              </w:rPr>
              <w:t>开发方案设计考虑了</w:t>
            </w:r>
            <w:r>
              <w:rPr>
                <w:rFonts w:hint="eastAsia" w:cs="Times New Roman"/>
                <w:color w:val="000000" w:themeColor="text1"/>
                <w:sz w:val="21"/>
                <w:szCs w:val="21"/>
                <w:highlight w:val="none"/>
                <w:lang w:val="en-US" w:eastAsia="zh-CN"/>
                <w14:textFill>
                  <w14:solidFill>
                    <w14:schemeClr w14:val="tx1"/>
                  </w14:solidFill>
                </w14:textFill>
              </w:rPr>
              <w:t>星火7井区</w:t>
            </w:r>
            <w:r>
              <w:rPr>
                <w:rFonts w:hint="default" w:ascii="Times New Roman" w:hAnsi="Times New Roman" w:cs="Times New Roman"/>
                <w:color w:val="000000" w:themeColor="text1"/>
                <w:sz w:val="21"/>
                <w:szCs w:val="21"/>
                <w:highlight w:val="none"/>
                <w14:textFill>
                  <w14:solidFill>
                    <w14:schemeClr w14:val="tx1"/>
                  </w14:solidFill>
                </w14:textFill>
              </w:rPr>
              <w:t>油气资源赋存状况、生态环境特征等条件，所选用的技术和工艺均成熟、先进</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745" w:type="dxa"/>
            <w:vAlign w:val="center"/>
          </w:tcPr>
          <w:p w14:paraId="3EF59D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530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769C82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zh-CN"/>
                <w14:textFill>
                  <w14:solidFill>
                    <w14:schemeClr w14:val="tx1"/>
                  </w14:solidFill>
                </w14:textFill>
              </w:rPr>
            </w:pPr>
          </w:p>
        </w:tc>
        <w:tc>
          <w:tcPr>
            <w:tcW w:w="3733" w:type="dxa"/>
            <w:vAlign w:val="center"/>
          </w:tcPr>
          <w:p w14:paraId="0CE19B6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集约节约利用土地资源，土地利用符合用地指标政策。合理确定站址、场址、管网、路网建设占地规模</w:t>
            </w:r>
          </w:p>
        </w:tc>
        <w:tc>
          <w:tcPr>
            <w:tcW w:w="3156" w:type="dxa"/>
            <w:vAlign w:val="center"/>
          </w:tcPr>
          <w:p w14:paraId="04BBAAA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井场永久占地规模均从土地资源节约方面考虑，尽可能缩小占地面积</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745" w:type="dxa"/>
            <w:vAlign w:val="center"/>
          </w:tcPr>
          <w:p w14:paraId="2170B4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4728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Align w:val="center"/>
          </w:tcPr>
          <w:p w14:paraId="1776A853">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bookmarkStart w:id="719" w:name="OLE_LINK1245"/>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关于加强沙区建设项目环境影响评价工作的通知</w:t>
            </w:r>
            <w:bookmarkEnd w:id="719"/>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新环环评发〔2020〕138号</w:t>
            </w: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733" w:type="dxa"/>
            <w:vAlign w:val="center"/>
          </w:tcPr>
          <w:p w14:paraId="13BA0BC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对于受理的涉及沙区的建设项目环评文件，严格按照</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环境影响评价技术导则 生态影响</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HJ19要求，强化建设项目的环境可行性、环境影响分析预测评估的可靠性和防沙治沙生态环境保护措施的可行性、有效性评估。</w:t>
            </w:r>
          </w:p>
        </w:tc>
        <w:tc>
          <w:tcPr>
            <w:tcW w:w="3156" w:type="dxa"/>
            <w:vAlign w:val="center"/>
          </w:tcPr>
          <w:p w14:paraId="0F35DC5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同步制定并落实生态保护和修复方案；综合考虑了防沙治沙等相关要求；</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已提出一系列生态环境保护措施</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745" w:type="dxa"/>
            <w:vAlign w:val="center"/>
          </w:tcPr>
          <w:p w14:paraId="011F6696">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138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Align w:val="center"/>
          </w:tcPr>
          <w:p w14:paraId="01AE5CA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关于规范临时用地管理的通知</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自然资规〔2021〕2号</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3733" w:type="dxa"/>
            <w:vAlign w:val="center"/>
          </w:tcPr>
          <w:p w14:paraId="716B1F5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县</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市</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自然资源主管部门负责临时用地审批，其中涉及占用耕地和永久基本农田的，由市级或者市级以上自然资源主管部门负责审批。不得下放临时用地审批权或者委托相关部门行使审批权。城镇开发边界内使用临时用地的，可以一并申请临时建设用地规划许可和临时用地审批，具备条件的还可以同时申请临时建设工程规划许可，一并出具相关批准文件。油气资源探采合一开发涉及的钻井及配套设施建设用地，可先以临时用地方式批准使用，勘探结束转入生产使用的，办理建设用地审批手续；不转入生产的，油气企业应当完成土地复垦，按期归还。</w:t>
            </w:r>
          </w:p>
        </w:tc>
        <w:tc>
          <w:tcPr>
            <w:tcW w:w="3156" w:type="dxa"/>
            <w:vAlign w:val="center"/>
          </w:tcPr>
          <w:p w14:paraId="57562C0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施工过程中严格控制施工占地，井场建设完成后，采取措施及时恢复占地，尽可能减少对区域生态环境的影响。</w:t>
            </w:r>
          </w:p>
        </w:tc>
        <w:tc>
          <w:tcPr>
            <w:tcW w:w="745" w:type="dxa"/>
            <w:vAlign w:val="center"/>
          </w:tcPr>
          <w:p w14:paraId="70AD07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1CFE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87" w:hRule="atLeast"/>
          <w:jc w:val="center"/>
        </w:trPr>
        <w:tc>
          <w:tcPr>
            <w:tcW w:w="963" w:type="dxa"/>
            <w:vAlign w:val="center"/>
          </w:tcPr>
          <w:p w14:paraId="2A2C53DA">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bookmarkStart w:id="720" w:name="_Toc17312"/>
            <w:bookmarkStart w:id="721" w:name="_Toc17567"/>
            <w:bookmarkStart w:id="722" w:name="_Toc6831"/>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bookmarkStart w:id="723" w:name="OLE_LINK1249"/>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新疆维吾尔自治区环境保护条例</w:t>
            </w:r>
            <w:bookmarkEnd w:id="723"/>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bookmarkStart w:id="724" w:name="OLE_LINK1326"/>
            <w:r>
              <w:rPr>
                <w:rFonts w:hint="eastAsia" w:cs="Times New Roman"/>
                <w:color w:val="000000" w:themeColor="text1"/>
                <w:kern w:val="2"/>
                <w:sz w:val="21"/>
                <w:szCs w:val="21"/>
                <w:highlight w:val="none"/>
                <w:lang w:val="en-US" w:eastAsia="zh-CN" w:bidi="ar-SA"/>
                <w14:textFill>
                  <w14:solidFill>
                    <w14:schemeClr w14:val="tx1"/>
                  </w14:solidFill>
                </w14:textFill>
              </w:rPr>
              <w:t>（第</w:t>
            </w:r>
            <w:bookmarkEnd w:id="724"/>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13届人大第6次会议</w:t>
            </w: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733" w:type="dxa"/>
            <w:vAlign w:val="center"/>
          </w:tcPr>
          <w:p w14:paraId="6E8CF21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设单位对水利、交通、电力、化工、冶金、轻工、核与辐射和矿产资源开发等施工周期长、生态环境影响大的建设项目，以及环境影响评价批复文件要求开展环境监理的建设项目，应当自行或者委托具备相应技术条件的机构依法实施环境监理。</w:t>
            </w:r>
          </w:p>
        </w:tc>
        <w:tc>
          <w:tcPr>
            <w:tcW w:w="3156" w:type="dxa"/>
            <w:vAlign w:val="center"/>
          </w:tcPr>
          <w:p w14:paraId="29F24A0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本</w:t>
            </w:r>
            <w:r>
              <w:rPr>
                <w:rFonts w:hint="eastAsia" w:cs="Times New Roman"/>
                <w:color w:val="000000" w:themeColor="text1"/>
                <w:kern w:val="2"/>
                <w:sz w:val="21"/>
                <w:szCs w:val="21"/>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为油气开发项目，为了全面控制和减缓</w:t>
            </w:r>
            <w:r>
              <w:rPr>
                <w:rFonts w:hint="eastAsia" w:cs="Times New Roman"/>
                <w:color w:val="000000" w:themeColor="text1"/>
                <w:kern w:val="2"/>
                <w:sz w:val="21"/>
                <w:szCs w:val="21"/>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造成的环境影响，在建设过程中应在实施工程监理的同时开展环境监理。</w:t>
            </w:r>
          </w:p>
        </w:tc>
        <w:tc>
          <w:tcPr>
            <w:tcW w:w="745" w:type="dxa"/>
            <w:vAlign w:val="center"/>
          </w:tcPr>
          <w:p w14:paraId="7FCF1B00">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u w:val="none"/>
                <w:lang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7627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restart"/>
            <w:vAlign w:val="center"/>
          </w:tcPr>
          <w:p w14:paraId="697750E5">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《新疆维吾尔自治区重点行业生态环境准入条件（2024年）》</w:t>
            </w:r>
            <w:bookmarkStart w:id="725" w:name="OLE_LINK1250"/>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新环</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环评发</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93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号</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bookmarkEnd w:id="725"/>
          </w:p>
        </w:tc>
        <w:tc>
          <w:tcPr>
            <w:tcW w:w="3733" w:type="dxa"/>
            <w:vAlign w:val="center"/>
          </w:tcPr>
          <w:p w14:paraId="2BAD276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石油、天然气开发项目的选址与布局应符合自治区或油气企业相关油气开发专项规划及规划环评要求，原则上应当以区块为单位开展环境影响评价工作。</w:t>
            </w:r>
          </w:p>
        </w:tc>
        <w:tc>
          <w:tcPr>
            <w:tcW w:w="3156" w:type="dxa"/>
            <w:vAlign w:val="center"/>
          </w:tcPr>
          <w:p w14:paraId="69FB923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本</w:t>
            </w:r>
            <w:r>
              <w:rPr>
                <w:rFonts w:hint="eastAsia" w:cs="Times New Roman"/>
                <w:color w:val="000000" w:themeColor="text1"/>
                <w:kern w:val="2"/>
                <w:sz w:val="21"/>
                <w:szCs w:val="21"/>
                <w:highlight w:val="none"/>
                <w:lang w:val="en-US" w:eastAsia="zh-CN" w:bidi="ar-SA"/>
                <w14:textFill>
                  <w14:solidFill>
                    <w14:schemeClr w14:val="tx1"/>
                  </w14:solidFill>
                </w14:textFill>
              </w:rPr>
              <w:t>工程</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以区块为单位开展环评，在报告中对</w:t>
            </w:r>
            <w:r>
              <w:rPr>
                <w:rFonts w:hint="eastAsia" w:cs="Times New Roman"/>
                <w:color w:val="000000" w:themeColor="text1"/>
                <w:kern w:val="2"/>
                <w:sz w:val="21"/>
                <w:szCs w:val="21"/>
                <w:highlight w:val="none"/>
                <w:lang w:val="en-US" w:eastAsia="zh-CN" w:bidi="ar-SA"/>
                <w14:textFill>
                  <w14:solidFill>
                    <w14:schemeClr w14:val="tx1"/>
                  </w14:solidFill>
                </w14:textFill>
              </w:rPr>
              <w:t>本工程</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施工期、运营期环境影响和环境风险进行了分析，并提出有效的环境保护措施、污染防治措施和环境风险防范措施，并分析了依托工程</w:t>
            </w:r>
            <w:r>
              <w:rPr>
                <w:rFonts w:hint="eastAsia" w:cs="Times New Roman"/>
                <w:color w:val="000000" w:themeColor="text1"/>
                <w:kern w:val="2"/>
                <w:sz w:val="21"/>
                <w:szCs w:val="21"/>
                <w:highlight w:val="none"/>
                <w:lang w:val="en-US" w:eastAsia="zh-CN" w:bidi="ar-SA"/>
                <w14:textFill>
                  <w14:solidFill>
                    <w14:schemeClr w14:val="tx1"/>
                  </w14:solidFill>
                </w14:textFill>
              </w:rPr>
              <w:t>的</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可行性和有效性；同时对现有</w:t>
            </w:r>
            <w:r>
              <w:rPr>
                <w:rFonts w:hint="eastAsia" w:cs="Times New Roman"/>
                <w:color w:val="000000" w:themeColor="text1"/>
                <w:kern w:val="2"/>
                <w:sz w:val="21"/>
                <w:szCs w:val="21"/>
                <w:highlight w:val="none"/>
                <w:lang w:val="en-US" w:eastAsia="zh-CN" w:bidi="ar-SA"/>
                <w14:textFill>
                  <w14:solidFill>
                    <w14:schemeClr w14:val="tx1"/>
                  </w14:solidFill>
                </w14:textFill>
              </w:rPr>
              <w:t>工程</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也进行了回顾性评价，对相关生态环境问题提出有效防治措施。</w:t>
            </w:r>
          </w:p>
        </w:tc>
        <w:tc>
          <w:tcPr>
            <w:tcW w:w="745" w:type="dxa"/>
            <w:vAlign w:val="center"/>
          </w:tcPr>
          <w:p w14:paraId="334E82BF">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符合</w:t>
            </w:r>
          </w:p>
        </w:tc>
      </w:tr>
      <w:tr w14:paraId="620C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75AFACF2">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3733" w:type="dxa"/>
            <w:vAlign w:val="center"/>
          </w:tcPr>
          <w:p w14:paraId="4566194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施工期应当尽量减少施工占地、严格控制施工作业面积、缩短施工时间、合理施工方式、落实环境敏感区管控要求以及其他生态环境保护措施，有效降低生态环境影响。</w:t>
            </w:r>
          </w:p>
        </w:tc>
        <w:tc>
          <w:tcPr>
            <w:tcW w:w="3156" w:type="dxa"/>
            <w:vAlign w:val="center"/>
          </w:tcPr>
          <w:p w14:paraId="5360E1C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14:textFill>
                  <w14:solidFill>
                    <w14:schemeClr w14:val="tx1"/>
                  </w14:solidFill>
                </w14:textFill>
              </w:rPr>
              <w:t>井场永久占地规模均尽可能缩小占地面积</w:t>
            </w:r>
            <w:r>
              <w:rPr>
                <w:rFonts w:hint="default" w:ascii="Times New Roman" w:hAnsi="Times New Roman" w:cs="Times New Roman"/>
                <w:color w:val="000000" w:themeColor="text1"/>
                <w:sz w:val="21"/>
                <w:szCs w:val="21"/>
                <w:highlight w:val="none"/>
                <w:lang w:eastAsia="zh-CN"/>
                <w14:textFill>
                  <w14:solidFill>
                    <w14:schemeClr w14:val="tx1"/>
                  </w14:solidFill>
                </w14:textFill>
              </w:rPr>
              <w:t>，最大程度减少生态损失。</w:t>
            </w:r>
          </w:p>
        </w:tc>
        <w:tc>
          <w:tcPr>
            <w:tcW w:w="745" w:type="dxa"/>
            <w:vAlign w:val="center"/>
          </w:tcPr>
          <w:p w14:paraId="4266872E">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符合</w:t>
            </w:r>
          </w:p>
        </w:tc>
      </w:tr>
      <w:tr w14:paraId="6B2F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0E2D9A17">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3733" w:type="dxa"/>
            <w:vAlign w:val="center"/>
          </w:tcPr>
          <w:p w14:paraId="2C7401F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工艺过程控制措施、废气收集处理措施以及站场边界非甲烷总烃排放浓度应满足《陆上石油天然气开采工业大气污染物排放标准》 （GB39728） 要求。锅炉、加热炉、压缩机等装置应优先使用清洁燃料或能源，燃煤燃气锅炉、加热炉废气排放应达到《锅炉大气污染物排放标准》（GB13271） 要求，有地方标准的按 地方标准执行。</w:t>
            </w:r>
          </w:p>
        </w:tc>
        <w:tc>
          <w:tcPr>
            <w:tcW w:w="3156" w:type="dxa"/>
            <w:vAlign w:val="center"/>
          </w:tcPr>
          <w:p w14:paraId="75B73D4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井场</w:t>
            </w:r>
            <w:r>
              <w:rPr>
                <w:rFonts w:hint="default" w:ascii="Times New Roman" w:hAnsi="Times New Roman" w:cs="Times New Roman"/>
                <w:color w:val="000000" w:themeColor="text1"/>
                <w:sz w:val="21"/>
                <w:szCs w:val="21"/>
                <w:highlight w:val="none"/>
                <w14:textFill>
                  <w14:solidFill>
                    <w14:schemeClr w14:val="tx1"/>
                  </w14:solidFill>
                </w14:textFill>
              </w:rPr>
              <w:t>油气开采过程中井场</w:t>
            </w:r>
            <w:r>
              <w:rPr>
                <w:rFonts w:hint="eastAsia" w:ascii="宋体" w:hAnsi="宋体" w:eastAsia="宋体" w:cs="宋体"/>
                <w:color w:val="000000" w:themeColor="text1"/>
                <w:sz w:val="21"/>
                <w:szCs w:val="21"/>
                <w:highlight w:val="none"/>
                <w:lang w:val="en-US" w:eastAsia="zh-CN"/>
                <w14:textFill>
                  <w14:solidFill>
                    <w14:schemeClr w14:val="tx1"/>
                  </w14:solidFill>
                </w14:textFill>
              </w:rPr>
              <w:t>厂界内</w:t>
            </w:r>
            <w:r>
              <w:rPr>
                <w:rFonts w:hint="default" w:ascii="Times New Roman" w:hAnsi="Times New Roman" w:cs="Times New Roman"/>
                <w:color w:val="000000" w:themeColor="text1"/>
                <w:sz w:val="21"/>
                <w:szCs w:val="21"/>
                <w:highlight w:val="none"/>
                <w14:textFill>
                  <w14:solidFill>
                    <w14:schemeClr w14:val="tx1"/>
                  </w14:solidFill>
                </w14:textFill>
              </w:rPr>
              <w:t>无组织排放的非甲烷总烃</w:t>
            </w:r>
            <w:r>
              <w:rPr>
                <w:rFonts w:hint="eastAsia" w:cs="Times New Roman"/>
                <w:color w:val="000000" w:themeColor="text1"/>
                <w:sz w:val="21"/>
                <w:szCs w:val="21"/>
                <w:highlight w:val="none"/>
                <w:lang w:val="en-US" w:eastAsia="zh-CN"/>
                <w14:textFill>
                  <w14:solidFill>
                    <w14:schemeClr w14:val="tx1"/>
                  </w14:solidFill>
                </w14:textFill>
              </w:rPr>
              <w:t>执行</w:t>
            </w:r>
            <w:r>
              <w:rPr>
                <w:rFonts w:hint="default" w:ascii="Times New Roman" w:hAnsi="Times New Roman" w:cs="Times New Roman"/>
                <w:color w:val="000000" w:themeColor="text1"/>
                <w:sz w:val="21"/>
                <w:szCs w:val="21"/>
                <w:highlight w:val="none"/>
                <w14:textFill>
                  <w14:solidFill>
                    <w14:schemeClr w14:val="tx1"/>
                  </w14:solidFill>
                </w14:textFill>
              </w:rPr>
              <w:t>《挥发性有机物无组织排放控制标准》（GB37822-2019）表A.1厂区内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cs="Times New Roman"/>
                <w:color w:val="000000" w:themeColor="text1"/>
                <w:sz w:val="21"/>
                <w:szCs w:val="21"/>
                <w:highlight w:val="none"/>
                <w14:textFill>
                  <w14:solidFill>
                    <w14:schemeClr w14:val="tx1"/>
                  </w14:solidFill>
                </w14:textFill>
              </w:rPr>
              <w:t>无组织排放限值；井场</w:t>
            </w:r>
            <w:r>
              <w:rPr>
                <w:rFonts w:hint="eastAsia" w:ascii="宋体" w:hAnsi="宋体" w:eastAsia="宋体" w:cs="宋体"/>
                <w:color w:val="000000" w:themeColor="text1"/>
                <w:sz w:val="21"/>
                <w:szCs w:val="21"/>
                <w:highlight w:val="none"/>
                <w:lang w:val="en-US" w:eastAsia="zh-CN"/>
                <w14:textFill>
                  <w14:solidFill>
                    <w14:schemeClr w14:val="tx1"/>
                  </w14:solidFill>
                </w14:textFill>
              </w:rPr>
              <w:t>厂界外</w:t>
            </w:r>
            <w:r>
              <w:rPr>
                <w:rFonts w:hint="default" w:ascii="Times New Roman" w:hAnsi="Times New Roman" w:cs="Times New Roman"/>
                <w:color w:val="000000" w:themeColor="text1"/>
                <w:sz w:val="21"/>
                <w:szCs w:val="21"/>
                <w:highlight w:val="none"/>
                <w14:textFill>
                  <w14:solidFill>
                    <w14:schemeClr w14:val="tx1"/>
                  </w14:solidFill>
                </w14:textFill>
              </w:rPr>
              <w:t>无组织排放的非甲烷总烃</w:t>
            </w:r>
            <w:r>
              <w:rPr>
                <w:rFonts w:hint="eastAsia" w:cs="Times New Roman"/>
                <w:color w:val="000000" w:themeColor="text1"/>
                <w:sz w:val="21"/>
                <w:szCs w:val="21"/>
                <w:highlight w:val="none"/>
                <w:lang w:val="en-US" w:eastAsia="zh-CN"/>
                <w14:textFill>
                  <w14:solidFill>
                    <w14:schemeClr w14:val="tx1"/>
                  </w14:solidFill>
                </w14:textFill>
              </w:rPr>
              <w:t>执行</w:t>
            </w:r>
            <w:r>
              <w:rPr>
                <w:rFonts w:hint="default" w:ascii="Times New Roman" w:hAnsi="Times New Roman" w:cs="Times New Roman"/>
                <w:color w:val="000000" w:themeColor="text1"/>
                <w:sz w:val="21"/>
                <w:szCs w:val="21"/>
                <w:highlight w:val="none"/>
                <w:lang w:eastAsia="zh-CN"/>
                <w14:textFill>
                  <w14:solidFill>
                    <w14:schemeClr w14:val="tx1"/>
                  </w14:solidFill>
                </w14:textFill>
              </w:rPr>
              <w:t>《陆上石油天然气开采工业大气污染物排放标准》（GB39728-2020）</w:t>
            </w:r>
            <w:r>
              <w:rPr>
                <w:rFonts w:hint="default" w:ascii="Times New Roman" w:hAnsi="Times New Roman" w:cs="Times New Roman"/>
                <w:color w:val="000000" w:themeColor="text1"/>
                <w:sz w:val="21"/>
                <w:szCs w:val="21"/>
                <w:highlight w:val="none"/>
                <w14:textFill>
                  <w14:solidFill>
                    <w14:schemeClr w14:val="tx1"/>
                  </w14:solidFill>
                </w14:textFill>
              </w:rPr>
              <w:t>企业边界污染物控制要求</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无组织排放</w:t>
            </w:r>
            <w:r>
              <w:rPr>
                <w:rFonts w:hint="eastAsia" w:cs="Times New Roman"/>
                <w:color w:val="000000" w:themeColor="text1"/>
                <w:sz w:val="21"/>
                <w:szCs w:val="21"/>
                <w:highlight w:val="none"/>
                <w:lang w:val="en-US" w:eastAsia="zh-CN"/>
                <w14:textFill>
                  <w14:solidFill>
                    <w14:schemeClr w14:val="tx1"/>
                  </w14:solidFill>
                </w14:textFill>
              </w:rPr>
              <w:t>的硫化氢</w:t>
            </w:r>
            <w:r>
              <w:rPr>
                <w:rFonts w:hint="default" w:ascii="Times New Roman" w:hAnsi="Times New Roman" w:cs="Times New Roman"/>
                <w:color w:val="000000" w:themeColor="text1"/>
                <w:sz w:val="21"/>
                <w:szCs w:val="21"/>
                <w:highlight w:val="none"/>
                <w14:textFill>
                  <w14:solidFill>
                    <w14:schemeClr w14:val="tx1"/>
                  </w14:solidFill>
                </w14:textFill>
              </w:rPr>
              <w:t>执行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恶臭污染物排放标准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GB14554-93</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表1</w:t>
            </w:r>
            <w:r>
              <w:rPr>
                <w:rFonts w:hint="default" w:ascii="Times New Roman" w:hAnsi="Times New Roman" w:cs="Times New Roman"/>
                <w:color w:val="000000" w:themeColor="text1"/>
                <w:sz w:val="21"/>
                <w:szCs w:val="21"/>
                <w:highlight w:val="none"/>
                <w14:textFill>
                  <w14:solidFill>
                    <w14:schemeClr w14:val="tx1"/>
                  </w14:solidFill>
                </w14:textFill>
              </w:rPr>
              <w:t>新</w:t>
            </w:r>
            <w:r>
              <w:rPr>
                <w:rFonts w:hint="eastAsia" w:cs="Times New Roman"/>
                <w:color w:val="000000" w:themeColor="text1"/>
                <w:sz w:val="21"/>
                <w:szCs w:val="21"/>
                <w:highlight w:val="none"/>
                <w:lang w:val="en-US" w:eastAsia="zh-CN"/>
                <w14:textFill>
                  <w14:solidFill>
                    <w14:schemeClr w14:val="tx1"/>
                  </w14:solidFill>
                </w14:textFill>
              </w:rPr>
              <w:t>扩改</w:t>
            </w:r>
            <w:r>
              <w:rPr>
                <w:rFonts w:hint="default" w:ascii="Times New Roman" w:hAnsi="Times New Roman" w:cs="Times New Roman"/>
                <w:color w:val="000000" w:themeColor="text1"/>
                <w:sz w:val="21"/>
                <w:szCs w:val="21"/>
                <w:highlight w:val="none"/>
                <w14:textFill>
                  <w14:solidFill>
                    <w14:schemeClr w14:val="tx1"/>
                  </w14:solidFill>
                </w14:textFill>
              </w:rPr>
              <w:t>建</w:t>
            </w:r>
            <w:r>
              <w:rPr>
                <w:rFonts w:hint="eastAsia"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cs="Times New Roman"/>
                <w:color w:val="000000" w:themeColor="text1"/>
                <w:sz w:val="21"/>
                <w:szCs w:val="21"/>
                <w:highlight w:val="none"/>
                <w14:textFill>
                  <w14:solidFill>
                    <w14:schemeClr w14:val="tx1"/>
                  </w14:solidFill>
                </w14:textFill>
              </w:rPr>
              <w:t>二级标准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45" w:type="dxa"/>
            <w:vAlign w:val="center"/>
          </w:tcPr>
          <w:p w14:paraId="042B17EE">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符合</w:t>
            </w:r>
          </w:p>
        </w:tc>
      </w:tr>
      <w:tr w14:paraId="0E10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Merge w:val="continue"/>
            <w:vAlign w:val="center"/>
          </w:tcPr>
          <w:p w14:paraId="480BB9F4">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3733" w:type="dxa"/>
            <w:vAlign w:val="center"/>
          </w:tcPr>
          <w:p w14:paraId="1F1C285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噪声排放应达到《工业企业厂界环境噪声排放标准》（GB12348）要求。</w:t>
            </w:r>
          </w:p>
        </w:tc>
        <w:tc>
          <w:tcPr>
            <w:tcW w:w="3156" w:type="dxa"/>
            <w:vAlign w:val="center"/>
          </w:tcPr>
          <w:p w14:paraId="0365FD7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执行</w:t>
            </w:r>
            <w:r>
              <w:rPr>
                <w:rFonts w:hint="default" w:ascii="Times New Roman" w:hAnsi="Times New Roman" w:cs="Times New Roman"/>
                <w:color w:val="000000" w:themeColor="text1"/>
                <w:sz w:val="21"/>
                <w:szCs w:val="21"/>
                <w:highlight w:val="none"/>
                <w14:textFill>
                  <w14:solidFill>
                    <w14:schemeClr w14:val="tx1"/>
                  </w14:solidFill>
                </w14:textFill>
              </w:rPr>
              <w:t>《工业企业厂界环境噪声排放标准》（GB12348-2008）</w:t>
            </w:r>
            <w:r>
              <w:rPr>
                <w:rFonts w:hint="eastAsia" w:cs="Times New Roman"/>
                <w:color w:val="000000" w:themeColor="text1"/>
                <w:sz w:val="21"/>
                <w:szCs w:val="21"/>
                <w:highlight w:val="none"/>
                <w:lang w:val="en-US" w:eastAsia="zh-CN"/>
                <w14:textFill>
                  <w14:solidFill>
                    <w14:schemeClr w14:val="tx1"/>
                  </w14:solidFill>
                </w14:textFill>
              </w:rPr>
              <w:t>表1工业企业厂界环境噪声排放限值</w:t>
            </w:r>
            <w:r>
              <w:rPr>
                <w:rFonts w:hint="default" w:ascii="Times New Roman" w:hAnsi="Times New Roman" w:cs="Times New Roman"/>
                <w:color w:val="000000" w:themeColor="text1"/>
                <w:sz w:val="21"/>
                <w:szCs w:val="21"/>
                <w:highlight w:val="none"/>
                <w14:textFill>
                  <w14:solidFill>
                    <w14:schemeClr w14:val="tx1"/>
                  </w14:solidFill>
                </w14:textFill>
              </w:rPr>
              <w:t>2类标准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45" w:type="dxa"/>
            <w:vAlign w:val="center"/>
          </w:tcPr>
          <w:p w14:paraId="2E065488">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符合</w:t>
            </w:r>
          </w:p>
        </w:tc>
      </w:tr>
      <w:tr w14:paraId="3B9A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63" w:type="dxa"/>
            <w:vAlign w:val="center"/>
          </w:tcPr>
          <w:p w14:paraId="5C39B5D2">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bookmarkStart w:id="726" w:name="OLE_LINK1179"/>
            <w:r>
              <w:rPr>
                <w:rFonts w:hint="eastAsia" w:cs="Times New Roman"/>
                <w:color w:val="000000" w:themeColor="text1"/>
                <w:kern w:val="2"/>
                <w:sz w:val="21"/>
                <w:szCs w:val="21"/>
                <w:highlight w:val="none"/>
                <w:lang w:val="en-US" w:eastAsia="zh-CN" w:bidi="ar-SA"/>
                <w14:textFill>
                  <w14:solidFill>
                    <w14:schemeClr w14:val="tx1"/>
                  </w14:solidFill>
                </w14:textFill>
              </w:rPr>
              <w:t>关于印发〈</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空气质量持续改善行动计划</w:t>
            </w:r>
            <w:bookmarkEnd w:id="726"/>
            <w:r>
              <w:rPr>
                <w:rFonts w:hint="eastAsia" w:cs="Times New Roman"/>
                <w:color w:val="000000" w:themeColor="text1"/>
                <w:kern w:val="2"/>
                <w:sz w:val="21"/>
                <w:szCs w:val="21"/>
                <w:highlight w:val="none"/>
                <w:lang w:val="en-US" w:eastAsia="zh-CN" w:bidi="ar-SA"/>
                <w14:textFill>
                  <w14:solidFill>
                    <w14:schemeClr w14:val="tx1"/>
                  </w14:solidFill>
                </w14:textFill>
              </w:rPr>
              <w:t>〉的通知</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国</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发</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w:t>
            </w:r>
            <w:r>
              <w:rPr>
                <w:rFonts w:hint="eastAsia" w:cs="Times New Roman"/>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号</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3733" w:type="dxa"/>
            <w:vAlign w:val="center"/>
          </w:tcPr>
          <w:p w14:paraId="24BDCC9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3156" w:type="dxa"/>
            <w:vAlign w:val="center"/>
          </w:tcPr>
          <w:p w14:paraId="0370C46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采用</w:t>
            </w:r>
            <w:r>
              <w:rPr>
                <w:rFonts w:hint="eastAsia" w:cs="Times New Roman"/>
                <w:color w:val="000000" w:themeColor="text1"/>
                <w:sz w:val="21"/>
                <w:szCs w:val="21"/>
                <w:highlight w:val="none"/>
                <w:lang w:val="en-US" w:eastAsia="zh-CN"/>
                <w14:textFill>
                  <w14:solidFill>
                    <w14:schemeClr w14:val="tx1"/>
                  </w14:solidFill>
                </w14:textFill>
              </w:rPr>
              <w:t>凝析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油稳定工艺。</w:t>
            </w:r>
          </w:p>
        </w:tc>
        <w:tc>
          <w:tcPr>
            <w:tcW w:w="745" w:type="dxa"/>
            <w:vAlign w:val="center"/>
          </w:tcPr>
          <w:p w14:paraId="7822021F">
            <w:pPr>
              <w:pStyle w:val="47"/>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符合</w:t>
            </w:r>
          </w:p>
        </w:tc>
      </w:tr>
      <w:bookmarkEnd w:id="720"/>
      <w:bookmarkEnd w:id="721"/>
      <w:bookmarkEnd w:id="722"/>
    </w:tbl>
    <w:p w14:paraId="2463C2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由表3.</w:t>
      </w:r>
      <w:r>
        <w:rPr>
          <w:rFonts w:hint="eastAsia" w:ascii="Times New Roman" w:hAnsi="Times New Roman" w:cs="Times New Roman"/>
          <w:color w:val="000000" w:themeColor="text1"/>
          <w:kern w:val="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highlight w:val="none"/>
          <w14:textFill>
            <w14:solidFill>
              <w14:schemeClr w14:val="tx1"/>
            </w14:solidFill>
          </w14:textFill>
        </w:rPr>
        <w:t>-1</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分析</w:t>
      </w:r>
      <w:r>
        <w:rPr>
          <w:rFonts w:hint="default" w:ascii="Times New Roman" w:hAnsi="Times New Roman" w:eastAsia="宋体" w:cs="Times New Roman"/>
          <w:color w:val="000000" w:themeColor="text1"/>
          <w:kern w:val="2"/>
          <w:highlight w:val="none"/>
          <w14:textFill>
            <w14:solidFill>
              <w14:schemeClr w14:val="tx1"/>
            </w14:solidFill>
          </w14:textFill>
        </w:rPr>
        <w:t>可知，工程建设符合</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上述油气开采政策法规</w:t>
      </w:r>
      <w:r>
        <w:rPr>
          <w:rFonts w:hint="default" w:ascii="Times New Roman" w:hAnsi="Times New Roman" w:eastAsia="宋体" w:cs="Times New Roman"/>
          <w:color w:val="000000" w:themeColor="text1"/>
          <w:kern w:val="2"/>
          <w:highlight w:val="none"/>
          <w14:textFill>
            <w14:solidFill>
              <w14:schemeClr w14:val="tx1"/>
            </w14:solidFill>
          </w14:textFill>
        </w:rPr>
        <w:t>的相关规定。</w:t>
      </w:r>
    </w:p>
    <w:p w14:paraId="606509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）与相关规划符合性分析</w:t>
      </w:r>
    </w:p>
    <w:p w14:paraId="196A3D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根据评价区块的地理位置，</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区位于</w:t>
      </w:r>
      <w:r>
        <w:rPr>
          <w:rFonts w:hint="eastAsia" w:cs="Times New Roman"/>
          <w:color w:val="000000" w:themeColor="text1"/>
          <w:highlight w:val="none"/>
          <w:lang w:val="en-US" w:eastAsia="zh-CN"/>
          <w14:textFill>
            <w14:solidFill>
              <w14:schemeClr w14:val="tx1"/>
            </w14:solidFill>
          </w14:textFill>
        </w:rPr>
        <w:t>新和</w:t>
      </w:r>
      <w:r>
        <w:rPr>
          <w:rFonts w:hint="default" w:ascii="Times New Roman" w:hAnsi="Times New Roman" w:cs="Times New Roman"/>
          <w:color w:val="000000" w:themeColor="text1"/>
          <w:highlight w:val="none"/>
          <w14:textFill>
            <w14:solidFill>
              <w14:schemeClr w14:val="tx1"/>
            </w14:solidFill>
          </w14:textFill>
        </w:rPr>
        <w:t>县，所在地涉及的相关地方规划包括：</w:t>
      </w:r>
      <w:bookmarkStart w:id="727" w:name="OLE_LINK170"/>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新疆维吾尔自治区主体功能区规划</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新疆生态功能区划</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新疆生态环境保护</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十四五</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规划</w:t>
      </w:r>
      <w:r>
        <w:rPr>
          <w:rFonts w:hint="default" w:ascii="Times New Roman" w:hAnsi="Times New Roman" w:cs="Times New Roman"/>
          <w:color w:val="000000" w:themeColor="text1"/>
          <w:highlight w:val="none"/>
          <w:lang w:eastAsia="zh-CN"/>
          <w14:textFill>
            <w14:solidFill>
              <w14:schemeClr w14:val="tx1"/>
            </w14:solidFill>
          </w14:textFill>
        </w:rPr>
        <w:t>》</w:t>
      </w:r>
      <w:bookmarkEnd w:id="727"/>
      <w:r>
        <w:rPr>
          <w:rFonts w:hint="default" w:ascii="Times New Roman" w:hAnsi="Times New Roman" w:cs="Times New Roman"/>
          <w:color w:val="000000" w:themeColor="text1"/>
          <w:highlight w:val="none"/>
          <w14:textFill>
            <w14:solidFill>
              <w14:schemeClr w14:val="tx1"/>
            </w14:solidFill>
          </w14:textFill>
        </w:rPr>
        <w:t>等。</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与上述相关规划的协调性分析结果参见表3.</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-2。</w:t>
      </w:r>
    </w:p>
    <w:p w14:paraId="4AE361DB">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   本</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与相关规划的协调性分析</w:t>
      </w:r>
    </w:p>
    <w:tbl>
      <w:tblPr>
        <w:tblStyle w:val="37"/>
        <w:tblW w:w="8563"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
        <w:gridCol w:w="1902"/>
        <w:gridCol w:w="3663"/>
        <w:gridCol w:w="2096"/>
        <w:gridCol w:w="889"/>
      </w:tblGrid>
      <w:tr w14:paraId="5FF3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3" w:type="dxa"/>
          <w:trHeight w:val="285" w:hRule="atLeast"/>
        </w:trPr>
        <w:tc>
          <w:tcPr>
            <w:tcW w:w="1902" w:type="dxa"/>
            <w:shd w:val="clear" w:color="auto" w:fill="auto"/>
            <w:vAlign w:val="center"/>
          </w:tcPr>
          <w:p w14:paraId="17AA38D8">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规划名称</w:t>
            </w:r>
          </w:p>
        </w:tc>
        <w:tc>
          <w:tcPr>
            <w:tcW w:w="3663" w:type="dxa"/>
            <w:shd w:val="clear" w:color="auto" w:fill="auto"/>
            <w:vAlign w:val="center"/>
          </w:tcPr>
          <w:p w14:paraId="03C8C2D8">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规划要求</w:t>
            </w:r>
          </w:p>
        </w:tc>
        <w:tc>
          <w:tcPr>
            <w:tcW w:w="2096" w:type="dxa"/>
            <w:shd w:val="clear" w:color="auto" w:fill="auto"/>
            <w:vAlign w:val="center"/>
          </w:tcPr>
          <w:p w14:paraId="69F73F23">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w:t>
            </w:r>
          </w:p>
        </w:tc>
        <w:tc>
          <w:tcPr>
            <w:tcW w:w="889" w:type="dxa"/>
            <w:shd w:val="clear" w:color="auto" w:fill="auto"/>
            <w:vAlign w:val="center"/>
          </w:tcPr>
          <w:p w14:paraId="45DAB9CD">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协调性</w:t>
            </w:r>
          </w:p>
        </w:tc>
      </w:tr>
      <w:tr w14:paraId="573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3" w:type="dxa"/>
          <w:trHeight w:val="107" w:hRule="atLeast"/>
        </w:trPr>
        <w:tc>
          <w:tcPr>
            <w:tcW w:w="1902" w:type="dxa"/>
            <w:shd w:val="clear" w:color="auto" w:fill="auto"/>
            <w:vAlign w:val="center"/>
          </w:tcPr>
          <w:p w14:paraId="4ACE45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新疆维吾尔自治区国民经济和社会发展第十四个五年规划和2035年远景目标纲要</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663" w:type="dxa"/>
            <w:shd w:val="clear" w:color="auto" w:fill="auto"/>
            <w:vAlign w:val="center"/>
          </w:tcPr>
          <w:p w14:paraId="21E30AF5">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建设国家大型油气生产加工和储备基地。加大准噶尔、吐哈、塔里木三大盆地油气勘探开发力度，提高新疆在油气资源开发利用转化过程中的参与度。</w:t>
            </w:r>
          </w:p>
        </w:tc>
        <w:tc>
          <w:tcPr>
            <w:tcW w:w="2096" w:type="dxa"/>
            <w:shd w:val="clear" w:color="auto" w:fill="auto"/>
            <w:vAlign w:val="center"/>
          </w:tcPr>
          <w:p w14:paraId="7D66047C">
            <w:pPr>
              <w:keepNext w:val="0"/>
              <w:keepLines w:val="0"/>
              <w:pageBreakBefore w:val="0"/>
              <w:widowControl/>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属于塔里木盆地能源资源勘查开发区。</w:t>
            </w:r>
          </w:p>
        </w:tc>
        <w:tc>
          <w:tcPr>
            <w:tcW w:w="889" w:type="dxa"/>
            <w:shd w:val="clear" w:color="auto" w:fill="auto"/>
            <w:vAlign w:val="center"/>
          </w:tcPr>
          <w:p w14:paraId="6015E3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1B87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3" w:type="dxa"/>
          <w:trHeight w:val="990" w:hRule="atLeast"/>
        </w:trPr>
        <w:tc>
          <w:tcPr>
            <w:tcW w:w="1902" w:type="dxa"/>
            <w:shd w:val="clear" w:color="auto" w:fill="auto"/>
            <w:vAlign w:val="center"/>
          </w:tcPr>
          <w:p w14:paraId="4A79707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bookmarkStart w:id="728" w:name="OLE_LINK454"/>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新疆维吾尔自治区主体功能区规划</w:t>
            </w:r>
            <w:bookmarkEnd w:id="728"/>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663" w:type="dxa"/>
            <w:shd w:val="clear" w:color="auto" w:fill="auto"/>
            <w:vAlign w:val="center"/>
          </w:tcPr>
          <w:p w14:paraId="6229542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bookmarkStart w:id="729" w:name="OLE_LINK456"/>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新疆维吾尔自治区主体功能区规划</w:t>
            </w:r>
            <w:bookmarkEnd w:id="729"/>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59个县市。限制开发区域是指关系国家农产品供给安全和生态安全，不应该或不适宜进行大规模、高强度工业化城镇化开发的农产品主产区和重点生态功能区。其中农产品主产区分布在天山南北坡23个县市，重点生态功能区涉及53个县市。禁止开发区域是指依法设立的各级各类自然文化资源保护区域，以及其他禁止进行工业化城镇化开发、需要特殊保护的重点生态功能区，国家和自治区层面禁止开发区域共107处。</w:t>
            </w:r>
          </w:p>
        </w:tc>
        <w:tc>
          <w:tcPr>
            <w:tcW w:w="2096" w:type="dxa"/>
            <w:shd w:val="clear" w:color="auto" w:fill="auto"/>
            <w:vAlign w:val="center"/>
          </w:tcPr>
          <w:p w14:paraId="768478BE">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行政区隶属</w:t>
            </w:r>
            <w:bookmarkStart w:id="730" w:name="OLE_LINK457"/>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新疆维吾尔自治区阿克苏地区新和县</w:t>
            </w:r>
            <w:bookmarkEnd w:id="730"/>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管辖</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所在区域</w:t>
            </w:r>
            <w:bookmarkStart w:id="731" w:name="OLE_LINK455"/>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属于重点开发区域</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本工程</w:t>
            </w:r>
            <w:bookmarkEnd w:id="731"/>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评价范围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涉及农田</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。本工程不占用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自然保护区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以及</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重要水源地等需要特殊保护的区域</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所进行的石油天然气勘探活动符合“全国重要的能源基地”定位。本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建设符合《新疆维吾尔自治区主体功能区规划》。</w:t>
            </w:r>
          </w:p>
        </w:tc>
        <w:tc>
          <w:tcPr>
            <w:tcW w:w="889" w:type="dxa"/>
            <w:shd w:val="clear" w:color="auto" w:fill="auto"/>
            <w:vAlign w:val="center"/>
          </w:tcPr>
          <w:p w14:paraId="2C830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6465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3" w:type="dxa"/>
          <w:trHeight w:val="90" w:hRule="atLeast"/>
        </w:trPr>
        <w:tc>
          <w:tcPr>
            <w:tcW w:w="1902" w:type="dxa"/>
            <w:shd w:val="clear" w:color="auto" w:fill="auto"/>
            <w:vAlign w:val="center"/>
          </w:tcPr>
          <w:p w14:paraId="1CC529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新疆生态环境保护“十四五”规划</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663" w:type="dxa"/>
            <w:shd w:val="clear" w:color="auto" w:fill="auto"/>
            <w:vAlign w:val="center"/>
          </w:tcPr>
          <w:p w14:paraId="713A3A8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2096" w:type="dxa"/>
            <w:shd w:val="clear" w:color="auto" w:fill="auto"/>
            <w:vAlign w:val="center"/>
          </w:tcPr>
          <w:p w14:paraId="26250C2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位于</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新疆维吾尔自治区阿克苏地区新和县</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，不属于“两高”项目以及不符合产业准入标准和政策的落后项目，符合阿克苏地区生态环境分区管控要求。</w:t>
            </w:r>
          </w:p>
        </w:tc>
        <w:tc>
          <w:tcPr>
            <w:tcW w:w="889" w:type="dxa"/>
            <w:shd w:val="clear" w:color="auto" w:fill="auto"/>
            <w:vAlign w:val="center"/>
          </w:tcPr>
          <w:p w14:paraId="0F027D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0013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3" w:type="dxa"/>
          <w:trHeight w:val="3129" w:hRule="atLeast"/>
        </w:trPr>
        <w:tc>
          <w:tcPr>
            <w:tcW w:w="1902" w:type="dxa"/>
            <w:vMerge w:val="restart"/>
            <w:shd w:val="clear" w:color="auto" w:fill="auto"/>
            <w:vAlign w:val="center"/>
          </w:tcPr>
          <w:p w14:paraId="590CCB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阿克苏地区生态环境保护“十四五”规划</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663" w:type="dxa"/>
            <w:shd w:val="clear" w:color="auto" w:fill="auto"/>
            <w:vAlign w:val="center"/>
          </w:tcPr>
          <w:p w14:paraId="017221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以石化、化工等行业为重点，加快实施VOCs治理工程建设。石化、化工行业全面推进储罐改造，使用高效、低泄漏的浮盘和呼吸阀，推进低泄漏设备和管线组件的更换，中石化塔河炼化有限责任公司对火车装卸设施开展改造，新建油气回收装置和VOCs在线监控设施；中石油、中石化、中曼石油等针对储罐、装载、污水集输储存处置和生产工艺过程等环节建设适宜高效的VOCs治理设施，对采油作业区采出水罐、工艺池、卸油台、晾晒池等开展VOCs治理，加快更换装载方式。</w:t>
            </w:r>
          </w:p>
        </w:tc>
        <w:tc>
          <w:tcPr>
            <w:tcW w:w="2096" w:type="dxa"/>
            <w:shd w:val="clear" w:color="auto" w:fill="auto"/>
            <w:vAlign w:val="center"/>
          </w:tcPr>
          <w:p w14:paraId="050FBD2C">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运营期采取的废气污染防治措施可有效减少无组织非甲烷总烃和H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S的排放，减轻对大气环境的影响。</w:t>
            </w:r>
          </w:p>
        </w:tc>
        <w:tc>
          <w:tcPr>
            <w:tcW w:w="889" w:type="dxa"/>
            <w:shd w:val="clear" w:color="auto" w:fill="auto"/>
            <w:vAlign w:val="center"/>
          </w:tcPr>
          <w:p w14:paraId="624019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328F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3" w:type="dxa"/>
          <w:trHeight w:val="112" w:hRule="atLeast"/>
        </w:trPr>
        <w:tc>
          <w:tcPr>
            <w:tcW w:w="1902" w:type="dxa"/>
            <w:vMerge w:val="continue"/>
            <w:shd w:val="clear" w:color="auto" w:fill="auto"/>
            <w:vAlign w:val="center"/>
          </w:tcPr>
          <w:p w14:paraId="39F70A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663" w:type="dxa"/>
            <w:shd w:val="clear" w:color="auto" w:fill="auto"/>
            <w:vAlign w:val="center"/>
          </w:tcPr>
          <w:p w14:paraId="4653A6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持续开展地下水环境状况调查评估，以傍河型地下水饮用水水源为重点，防范受污染河段对地下水造成污染。统筹区域地表水、地下水生态环境监管。加强化学品生产企业、工业聚集区、矿山开采区等污染源地表、地下协同防治与环境风险管控。划定地下水型饮用水水源补给区并强化保护措施，开展地下水污染防治重点区划定及污染风险管控。健全分级分类的地下水环境监测评价体系。实施水土环境风险协同防控。在地表水、地下水交互密切的典型地区开展污染综合防治试点。杜绝污水直接</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排入</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雨水管网，推进城镇污水管网全覆盖，落实土壤污染和地下水污染的协同防治，切实保障地下水生态环境安全。</w:t>
            </w:r>
          </w:p>
        </w:tc>
        <w:tc>
          <w:tcPr>
            <w:tcW w:w="2096" w:type="dxa"/>
            <w:shd w:val="clear" w:color="auto" w:fill="auto"/>
            <w:vAlign w:val="center"/>
          </w:tcPr>
          <w:p w14:paraId="27F4FA1A">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highlight w:val="none"/>
                <w:u w:val="none"/>
                <w:lang w:val="en-US" w:eastAsia="zh-CN" w:bidi="ar"/>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运营期</w:t>
            </w:r>
            <w:r>
              <w:rPr>
                <w:rFonts w:hint="eastAsia" w:cs="Times New Roman"/>
                <w:color w:val="000000" w:themeColor="text1"/>
                <w:sz w:val="21"/>
                <w:szCs w:val="21"/>
                <w:highlight w:val="none"/>
                <w:u w:val="none"/>
                <w:lang w:eastAsia="zh-CN" w:bidi="ar"/>
                <w14:textFill>
                  <w14:solidFill>
                    <w14:schemeClr w14:val="tx1"/>
                  </w14:solidFill>
                </w14:textFill>
              </w:rPr>
              <w:t>井下作业废水</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依托阿克苏塔河环保工程有限公司绿色环保工作站处理</w:t>
            </w:r>
            <w:r>
              <w:rPr>
                <w:rFonts w:hint="eastAsia" w:cs="Times New Roman"/>
                <w:color w:val="000000" w:themeColor="text1"/>
                <w:sz w:val="21"/>
                <w:szCs w:val="21"/>
                <w:highlight w:val="none"/>
                <w:u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废水均不向外环境排放；严格执行</w:t>
            </w:r>
            <w:r>
              <w:rPr>
                <w:rFonts w:hint="default" w:ascii="Times New Roman" w:hAnsi="Times New Roman" w:eastAsia="宋体" w:cs="Times New Roman"/>
                <w:color w:val="000000" w:themeColor="text1"/>
                <w:sz w:val="21"/>
                <w:szCs w:val="21"/>
                <w:highlight w:val="none"/>
                <w:u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环境影响评价技术导则 地下水环境</w:t>
            </w:r>
            <w:r>
              <w:rPr>
                <w:rFonts w:hint="default" w:ascii="Times New Roman" w:hAnsi="Times New Roman" w:eastAsia="宋体" w:cs="Times New Roman"/>
                <w:color w:val="000000" w:themeColor="text1"/>
                <w:sz w:val="21"/>
                <w:szCs w:val="21"/>
                <w:highlight w:val="none"/>
                <w:u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HJ610</w:t>
            </w:r>
            <w:r>
              <w:rPr>
                <w:rFonts w:hint="eastAsia" w:cs="Times New Roman"/>
                <w:color w:val="000000" w:themeColor="text1"/>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2016</w:t>
            </w:r>
            <w:r>
              <w:rPr>
                <w:rFonts w:hint="default" w:ascii="Times New Roman" w:hAnsi="Times New Roman" w:eastAsia="宋体" w:cs="Times New Roman"/>
                <w:color w:val="000000" w:themeColor="text1"/>
                <w:sz w:val="21"/>
                <w:szCs w:val="21"/>
                <w:highlight w:val="none"/>
                <w:u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“11.2.2 分区防控措施”相关要求进行分区防渗；制定完善的地下水监测计划；切实保障地下水生态环境安全</w:t>
            </w:r>
            <w:r>
              <w:rPr>
                <w:rFonts w:hint="eastAsia" w:cs="Times New Roman"/>
                <w:color w:val="000000" w:themeColor="text1"/>
                <w:sz w:val="21"/>
                <w:szCs w:val="21"/>
                <w:highlight w:val="none"/>
                <w:u w:val="none"/>
                <w:lang w:eastAsia="zh-CN" w:bidi="ar"/>
                <w14:textFill>
                  <w14:solidFill>
                    <w14:schemeClr w14:val="tx1"/>
                  </w14:solidFill>
                </w14:textFill>
              </w:rPr>
              <w:t>。</w:t>
            </w:r>
          </w:p>
        </w:tc>
        <w:tc>
          <w:tcPr>
            <w:tcW w:w="889" w:type="dxa"/>
            <w:shd w:val="clear" w:color="auto" w:fill="auto"/>
            <w:vAlign w:val="center"/>
          </w:tcPr>
          <w:p w14:paraId="65048B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158C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3" w:type="dxa"/>
          <w:trHeight w:val="2953" w:hRule="atLeast"/>
        </w:trPr>
        <w:tc>
          <w:tcPr>
            <w:tcW w:w="1902" w:type="dxa"/>
            <w:vMerge w:val="continue"/>
            <w:shd w:val="clear" w:color="auto" w:fill="auto"/>
            <w:vAlign w:val="center"/>
          </w:tcPr>
          <w:p w14:paraId="12158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663" w:type="dxa"/>
            <w:shd w:val="clear" w:color="auto" w:fill="auto"/>
            <w:vAlign w:val="center"/>
          </w:tcPr>
          <w:p w14:paraId="61B0F889">
            <w:pPr>
              <w:widowControl/>
              <w:spacing w:line="240" w:lineRule="auto"/>
              <w:jc w:val="both"/>
              <w:textAlignment w:val="center"/>
              <w:rPr>
                <w:rFonts w:hint="default" w:ascii="Times New Roman" w:hAnsi="Times New Roman" w:eastAsia="宋体" w:cs="Times New Roman"/>
                <w:color w:val="000000" w:themeColor="text1"/>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bidi="ar"/>
                <w14:textFill>
                  <w14:solidFill>
                    <w14:schemeClr w14:val="tx1"/>
                  </w14:solidFill>
                </w14:textFill>
              </w:rPr>
              <w:t>加强油气资源开发集中区域土壤环境风险管控。以塔里木油田、塔河油田等油气资源开发强度较大地区为重点，开展油气资源开发区土壤环境质量专项调查，建立油气资源开发区域土壤污染清单，对列入土壤污染清单中的区域，编制风险管控方案。加强油气田废弃物的无害化处理和资源化利用，开展油气资源开发区历史遗留污染场地治理，对历史遗留油泥坑进行专项排查，建立整治清单、制定治理与修复计划。</w:t>
            </w:r>
          </w:p>
        </w:tc>
        <w:tc>
          <w:tcPr>
            <w:tcW w:w="2096" w:type="dxa"/>
            <w:shd w:val="clear" w:color="auto" w:fill="auto"/>
            <w:vAlign w:val="center"/>
          </w:tcPr>
          <w:p w14:paraId="6CC3CBE9">
            <w:pPr>
              <w:widowControl/>
              <w:spacing w:line="240" w:lineRule="auto"/>
              <w:jc w:val="both"/>
              <w:textAlignment w:val="cente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pPr>
            <w:r>
              <w:rPr>
                <w:rFonts w:hint="eastAsia" w:cs="Times New Roman"/>
                <w:color w:val="000000" w:themeColor="text1"/>
                <w:sz w:val="21"/>
                <w:szCs w:val="21"/>
                <w:highlight w:val="none"/>
                <w:u w:val="none"/>
                <w:lang w:val="en-US" w:eastAsia="zh-CN" w:bidi="ar"/>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营运期固体废物主要为落地油</w:t>
            </w:r>
            <w:r>
              <w:rPr>
                <w:rFonts w:hint="eastAsia" w:cs="Times New Roman"/>
                <w:color w:val="000000" w:themeColor="text1"/>
                <w:sz w:val="21"/>
                <w:szCs w:val="21"/>
                <w:highlight w:val="none"/>
                <w:u w:val="none"/>
                <w:lang w:eastAsia="zh-CN" w:bidi="ar"/>
                <w14:textFill>
                  <w14:solidFill>
                    <w14:schemeClr w14:val="tx1"/>
                  </w14:solidFill>
                </w14:textFill>
              </w:rPr>
              <w:t>、</w:t>
            </w:r>
            <w:bookmarkStart w:id="732" w:name="OLE_LINK458"/>
            <w:r>
              <w:rPr>
                <w:rFonts w:hint="eastAsia" w:cs="Times New Roman"/>
                <w:color w:val="000000" w:themeColor="text1"/>
                <w:sz w:val="21"/>
                <w:szCs w:val="21"/>
                <w:highlight w:val="none"/>
                <w:u w:val="none"/>
                <w:lang w:eastAsia="zh-CN" w:bidi="ar"/>
                <w14:textFill>
                  <w14:solidFill>
                    <w14:schemeClr w14:val="tx1"/>
                  </w14:solidFill>
                </w14:textFill>
              </w:rPr>
              <w:t>废防渗材料、清罐底泥、废润滑油</w:t>
            </w:r>
            <w:bookmarkEnd w:id="732"/>
            <w:r>
              <w:rPr>
                <w:rFonts w:hint="eastAsia" w:cs="Times New Roman"/>
                <w:color w:val="000000" w:themeColor="text1"/>
                <w:sz w:val="21"/>
                <w:szCs w:val="21"/>
                <w:highlight w:val="none"/>
                <w:u w:val="none"/>
                <w:lang w:eastAsia="zh-CN" w:bidi="ar"/>
                <w14:textFill>
                  <w14:solidFill>
                    <w14:schemeClr w14:val="tx1"/>
                  </w14:solidFill>
                </w14:textFill>
              </w:rPr>
              <w:t>，</w:t>
            </w:r>
            <w:r>
              <w:rPr>
                <w:rFonts w:hint="eastAsia" w:cs="Times New Roman"/>
                <w:color w:val="000000" w:themeColor="text1"/>
                <w:sz w:val="21"/>
                <w:szCs w:val="21"/>
                <w:highlight w:val="none"/>
                <w:u w:val="none"/>
                <w:lang w:val="en-US" w:eastAsia="zh-CN" w:bidi="ar"/>
                <w14:textFill>
                  <w14:solidFill>
                    <w14:schemeClr w14:val="tx1"/>
                  </w14:solidFill>
                </w14:textFill>
              </w:rPr>
              <w:t>均</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属于危险废物</w:t>
            </w:r>
            <w:r>
              <w:rPr>
                <w:rFonts w:hint="eastAsia" w:cs="Times New Roman"/>
                <w:color w:val="000000" w:themeColor="text1"/>
                <w:sz w:val="21"/>
                <w:szCs w:val="21"/>
                <w:highlight w:val="none"/>
                <w:u w:val="none"/>
                <w:lang w:eastAsia="zh-CN" w:bidi="ar"/>
                <w14:textFill>
                  <w14:solidFill>
                    <w14:schemeClr w14:val="tx1"/>
                  </w14:solidFill>
                </w14:textFill>
              </w:rPr>
              <w:t>。落地油由阿克苏塔河环保工程有限公司绿色环保工作站处理。废防渗材料、清罐底泥、废润滑油</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委托</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持有危险废物经营许可证的单位</w:t>
            </w:r>
            <w:r>
              <w:rPr>
                <w:rFonts w:hint="eastAsia" w:cs="Times New Roman"/>
                <w:color w:val="000000" w:themeColor="text1"/>
                <w:sz w:val="21"/>
                <w:szCs w:val="21"/>
                <w:highlight w:val="none"/>
                <w:lang w:eastAsia="zh-CN"/>
                <w14:textFill>
                  <w14:solidFill>
                    <w14:schemeClr w14:val="tx1"/>
                  </w14:solidFill>
                </w14:textFill>
              </w:rPr>
              <w:t>利用处置</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w:t>
            </w:r>
          </w:p>
        </w:tc>
        <w:tc>
          <w:tcPr>
            <w:tcW w:w="889" w:type="dxa"/>
            <w:shd w:val="clear" w:color="auto" w:fill="auto"/>
            <w:vAlign w:val="center"/>
          </w:tcPr>
          <w:p w14:paraId="323D6FD3">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r w14:paraId="3947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15" w:type="dxa"/>
            <w:gridSpan w:val="2"/>
            <w:shd w:val="clear" w:color="auto" w:fill="auto"/>
            <w:vAlign w:val="center"/>
          </w:tcPr>
          <w:p w14:paraId="57937B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中国石油化工股份有限公司西北油田分公司“十四五”规划</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3663" w:type="dxa"/>
            <w:shd w:val="clear" w:color="auto" w:fill="auto"/>
            <w:vAlign w:val="center"/>
          </w:tcPr>
          <w:p w14:paraId="3236CF4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塔河油田持续开展技改增效、系统配套、节能和隐患治理工作。</w:t>
            </w:r>
          </w:p>
        </w:tc>
        <w:tc>
          <w:tcPr>
            <w:tcW w:w="2096" w:type="dxa"/>
            <w:shd w:val="clear" w:color="auto" w:fill="auto"/>
            <w:vAlign w:val="center"/>
          </w:tcPr>
          <w:p w14:paraId="137344F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实施后，可有效增加开采效率，保证区域开采系统稳定运行</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889" w:type="dxa"/>
            <w:shd w:val="clear" w:color="auto" w:fill="auto"/>
            <w:vAlign w:val="center"/>
          </w:tcPr>
          <w:p w14:paraId="78F144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0AF2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1915" w:type="dxa"/>
            <w:gridSpan w:val="2"/>
            <w:vMerge w:val="restart"/>
            <w:shd w:val="clear" w:color="auto" w:fill="auto"/>
            <w:vAlign w:val="center"/>
          </w:tcPr>
          <w:p w14:paraId="34C72D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中国石油化工股份有限公司西北油田分公司“十四五”规划环境影响报告书</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及审查意见</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 w:val="21"/>
                <w:szCs w:val="21"/>
                <w:highlight w:val="none"/>
                <w:lang w:val="en-US" w:eastAsia="zh-CN" w:bidi="ar-SA"/>
                <w14:textFill>
                  <w14:solidFill>
                    <w14:schemeClr w14:val="tx1"/>
                  </w14:solidFill>
                </w14:textFill>
              </w:rPr>
              <w:t>新环审</w:t>
            </w:r>
            <w:r>
              <w:rPr>
                <w:rFonts w:hint="default" w:ascii="Times New Roman" w:hAnsi="Times New Roman" w:cs="Times New Roman"/>
                <w:color w:val="000000" w:themeColor="text1"/>
                <w:spacing w:val="4"/>
                <w:kern w:val="24"/>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1"/>
                <w:szCs w:val="21"/>
                <w:highlight w:val="none"/>
                <w:lang w:val="en-US" w:eastAsia="zh-CN" w:bidi="ar-SA"/>
                <w14:textFill>
                  <w14:solidFill>
                    <w14:schemeClr w14:val="tx1"/>
                  </w14:solidFill>
                </w14:textFill>
              </w:rPr>
              <w:t>2022</w:t>
            </w:r>
            <w:r>
              <w:rPr>
                <w:rFonts w:hint="default" w:ascii="Times New Roman" w:hAnsi="Times New Roman" w:cs="Times New Roman"/>
                <w:color w:val="000000" w:themeColor="text1"/>
                <w:spacing w:val="4"/>
                <w:kern w:val="24"/>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1"/>
                <w:szCs w:val="21"/>
                <w:highlight w:val="none"/>
                <w:lang w:val="en-US" w:eastAsia="zh-CN" w:bidi="ar-SA"/>
                <w14:textFill>
                  <w14:solidFill>
                    <w14:schemeClr w14:val="tx1"/>
                  </w14:solidFill>
                </w14:textFill>
              </w:rPr>
              <w:t>147号</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3663" w:type="dxa"/>
            <w:shd w:val="clear" w:color="auto" w:fill="auto"/>
            <w:vAlign w:val="center"/>
          </w:tcPr>
          <w:p w14:paraId="3A3DA6F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一</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w:t>
            </w:r>
          </w:p>
        </w:tc>
        <w:tc>
          <w:tcPr>
            <w:tcW w:w="2096" w:type="dxa"/>
            <w:shd w:val="clear" w:color="auto" w:fill="auto"/>
            <w:vAlign w:val="center"/>
          </w:tcPr>
          <w:p w14:paraId="63EA7D2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不在生态保护红线范围内；</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符合</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新疆维吾尔自治区“三线一单”生态环境分区管控方案</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新疆维吾尔自治区七大片区“三线一单”生态环境分区管控要求</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阿克苏地区“三线一单”生态环境分区管控方案</w:t>
            </w:r>
            <w:r>
              <w:rPr>
                <w:rFonts w:hint="eastAsia" w:cs="Times New Roman"/>
                <w:color w:val="000000" w:themeColor="text1"/>
                <w:spacing w:val="0"/>
                <w:sz w:val="21"/>
                <w:szCs w:val="21"/>
                <w:highlight w:val="none"/>
                <w:lang w:eastAsia="zh-CN"/>
                <w14:textFill>
                  <w14:solidFill>
                    <w14:schemeClr w14:val="tx1"/>
                  </w14:solidFill>
                </w14:textFill>
              </w:rPr>
              <w:t>》等</w:t>
            </w:r>
            <w:r>
              <w:rPr>
                <w:rFonts w:hint="default" w:ascii="Times New Roman" w:hAnsi="Times New Roman" w:cs="Times New Roman"/>
                <w:color w:val="000000" w:themeColor="text1"/>
                <w:spacing w:val="0"/>
                <w:sz w:val="21"/>
                <w:szCs w:val="21"/>
                <w:highlight w:val="none"/>
                <w14:textFill>
                  <w14:solidFill>
                    <w14:schemeClr w14:val="tx1"/>
                  </w14:solidFill>
                </w14:textFill>
              </w:rPr>
              <w:t>相关要求；</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严格落实生态保护措施要求，与生态环境保护相协调，切实维护了区域生态系统的完整性和稳定性</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889" w:type="dxa"/>
            <w:shd w:val="clear" w:color="auto" w:fill="auto"/>
            <w:vAlign w:val="center"/>
          </w:tcPr>
          <w:p w14:paraId="073397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72A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15" w:type="dxa"/>
            <w:gridSpan w:val="2"/>
            <w:vMerge w:val="continue"/>
            <w:shd w:val="clear" w:color="auto" w:fill="auto"/>
          </w:tcPr>
          <w:p w14:paraId="3D8B182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663" w:type="dxa"/>
            <w:shd w:val="clear" w:color="auto" w:fill="auto"/>
            <w:vAlign w:val="center"/>
          </w:tcPr>
          <w:p w14:paraId="5C08C20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二</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合理确定开发方案，优化开发布局。根据区域主体功能定位，结合区域资源环境特征、生态保护红线等相关管控要求，依据生态环境影响评价结果，进一步优化石油天然气开采规模、开发布局和建设时序。总结石油天然气开发过程对生态环境影响和保护经验，及时进行优化调整。</w:t>
            </w:r>
          </w:p>
        </w:tc>
        <w:tc>
          <w:tcPr>
            <w:tcW w:w="2096" w:type="dxa"/>
            <w:shd w:val="clear" w:color="auto" w:fill="auto"/>
            <w:vAlign w:val="center"/>
          </w:tcPr>
          <w:p w14:paraId="785D0F7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符合西北油田分公司整体开发方案布局，</w:t>
            </w:r>
            <w:r>
              <w:rPr>
                <w:rFonts w:hint="eastAsia" w:cs="Times New Roman"/>
                <w:color w:val="000000" w:themeColor="text1"/>
                <w:spacing w:val="0"/>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pacing w:val="0"/>
                <w:sz w:val="21"/>
                <w:szCs w:val="21"/>
                <w:highlight w:val="none"/>
                <w14:textFill>
                  <w14:solidFill>
                    <w14:schemeClr w14:val="tx1"/>
                  </w14:solidFill>
                </w14:textFill>
              </w:rPr>
              <w:t>建设进一步优化了石油天然气开采规模、开发布局和建设时序，及时对生态环境保护措施进行了优化调整</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889" w:type="dxa"/>
            <w:shd w:val="clear" w:color="auto" w:fill="auto"/>
            <w:vAlign w:val="center"/>
          </w:tcPr>
          <w:p w14:paraId="22E5D8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4B50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1915" w:type="dxa"/>
            <w:gridSpan w:val="2"/>
            <w:vMerge w:val="continue"/>
            <w:shd w:val="clear" w:color="auto" w:fill="auto"/>
            <w:vAlign w:val="center"/>
          </w:tcPr>
          <w:p w14:paraId="56A117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3663" w:type="dxa"/>
            <w:shd w:val="clear" w:color="auto" w:fill="auto"/>
            <w:vAlign w:val="center"/>
          </w:tcPr>
          <w:p w14:paraId="19CAD69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三</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严格生态环境保护，强化各类污染物防治。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SY/T5329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2096" w:type="dxa"/>
            <w:shd w:val="clear" w:color="auto" w:fill="auto"/>
            <w:vAlign w:val="center"/>
          </w:tcPr>
          <w:p w14:paraId="7D53231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废气主要为井场无组织废气，采取</w:t>
            </w:r>
            <w:bookmarkStart w:id="733" w:name="OLE_LINK1454"/>
            <w:r>
              <w:rPr>
                <w:rFonts w:hint="eastAsia" w:cs="Times New Roman"/>
                <w:color w:val="000000" w:themeColor="text1"/>
                <w:spacing w:val="0"/>
                <w:sz w:val="21"/>
                <w:szCs w:val="21"/>
                <w:highlight w:val="none"/>
                <w:lang w:val="en-US" w:eastAsia="zh-CN"/>
                <w14:textFill>
                  <w14:solidFill>
                    <w14:schemeClr w14:val="tx1"/>
                  </w14:solidFill>
                </w14:textFill>
              </w:rPr>
              <w:t>凝析</w:t>
            </w:r>
            <w:r>
              <w:rPr>
                <w:rFonts w:hint="default" w:ascii="Times New Roman" w:hAnsi="Times New Roman" w:cs="Times New Roman"/>
                <w:color w:val="000000" w:themeColor="text1"/>
                <w:spacing w:val="0"/>
                <w:sz w:val="21"/>
                <w:szCs w:val="21"/>
                <w:highlight w:val="none"/>
                <w14:textFill>
                  <w14:solidFill>
                    <w14:schemeClr w14:val="tx1"/>
                  </w14:solidFill>
                </w14:textFill>
              </w:rPr>
              <w:t>油稳定工艺，</w:t>
            </w:r>
            <w:bookmarkEnd w:id="733"/>
            <w:r>
              <w:rPr>
                <w:rFonts w:hint="default" w:ascii="Times New Roman" w:hAnsi="Times New Roman" w:cs="Times New Roman"/>
                <w:color w:val="000000" w:themeColor="text1"/>
                <w:spacing w:val="0"/>
                <w:sz w:val="21"/>
                <w:szCs w:val="21"/>
                <w:highlight w:val="none"/>
                <w14:textFill>
                  <w14:solidFill>
                    <w14:schemeClr w14:val="tx1"/>
                  </w14:solidFill>
                </w14:textFill>
              </w:rPr>
              <w:t>定期巡检措施</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废水主要为井下作业废水，</w:t>
            </w:r>
            <w:r>
              <w:rPr>
                <w:rFonts w:hint="default" w:ascii="Times New Roman" w:hAnsi="Times New Roman" w:cs="Times New Roman"/>
                <w:color w:val="000000" w:themeColor="text1"/>
                <w:sz w:val="21"/>
                <w:szCs w:val="21"/>
                <w:highlight w:val="none"/>
                <w14:textFill>
                  <w14:solidFill>
                    <w14:schemeClr w14:val="tx1"/>
                  </w14:solidFill>
                </w14:textFill>
              </w:rPr>
              <w:t>井下作业废水自带回收罐回收井下作业废水，依托阿克苏塔河环保工程有限公司绿色环保工作站处理</w:t>
            </w:r>
            <w:r>
              <w:rPr>
                <w:rFonts w:hint="default" w:ascii="Times New Roman" w:hAnsi="Times New Roman" w:cs="Times New Roman"/>
                <w:color w:val="000000" w:themeColor="text1"/>
                <w:spacing w:val="0"/>
                <w:sz w:val="21"/>
                <w:szCs w:val="21"/>
                <w:highlight w:val="none"/>
                <w14:textFill>
                  <w14:solidFill>
                    <w14:schemeClr w14:val="tx1"/>
                  </w14:solidFill>
                </w14:textFill>
              </w:rPr>
              <w:t>；固废主要为</w:t>
            </w:r>
            <w:bookmarkStart w:id="734" w:name="OLE_LINK459"/>
            <w:r>
              <w:rPr>
                <w:rFonts w:hint="default" w:ascii="Times New Roman" w:hAnsi="Times New Roman" w:cs="Times New Roman"/>
                <w:bCs/>
                <w:color w:val="000000" w:themeColor="text1"/>
                <w:spacing w:val="0"/>
                <w:sz w:val="21"/>
                <w:szCs w:val="21"/>
                <w:highlight w:val="none"/>
                <w14:textFill>
                  <w14:solidFill>
                    <w14:schemeClr w14:val="tx1"/>
                  </w14:solidFill>
                </w14:textFill>
              </w:rPr>
              <w:t>落地油</w:t>
            </w:r>
            <w:bookmarkEnd w:id="734"/>
            <w:r>
              <w:rPr>
                <w:rFonts w:hint="default" w:ascii="Times New Roman" w:hAnsi="Times New Roman" w:cs="Times New Roman"/>
                <w:bCs/>
                <w:color w:val="000000" w:themeColor="text1"/>
                <w:spacing w:val="0"/>
                <w:sz w:val="21"/>
                <w:szCs w:val="21"/>
                <w:highlight w:val="none"/>
                <w14:textFill>
                  <w14:solidFill>
                    <w14:schemeClr w14:val="tx1"/>
                  </w14:solidFill>
                </w14:textFill>
              </w:rPr>
              <w:t>、</w:t>
            </w:r>
            <w:bookmarkStart w:id="735" w:name="OLE_LINK460"/>
            <w:r>
              <w:rPr>
                <w:rFonts w:hint="default" w:ascii="Times New Roman" w:hAnsi="Times New Roman" w:cs="Times New Roman"/>
                <w:bCs/>
                <w:color w:val="000000" w:themeColor="text1"/>
                <w:spacing w:val="0"/>
                <w:sz w:val="21"/>
                <w:szCs w:val="21"/>
                <w:highlight w:val="none"/>
                <w14:textFill>
                  <w14:solidFill>
                    <w14:schemeClr w14:val="tx1"/>
                  </w14:solidFill>
                </w14:textFill>
              </w:rPr>
              <w:t>废防渗材料</w:t>
            </w:r>
            <w:r>
              <w:rPr>
                <w:rFonts w:hint="eastAsia" w:cs="Times New Roman"/>
                <w:bCs/>
                <w:color w:val="000000" w:themeColor="text1"/>
                <w:spacing w:val="0"/>
                <w:sz w:val="21"/>
                <w:szCs w:val="21"/>
                <w:highlight w:val="none"/>
                <w:lang w:eastAsia="zh-CN"/>
                <w14:textFill>
                  <w14:solidFill>
                    <w14:schemeClr w14:val="tx1"/>
                  </w14:solidFill>
                </w14:textFill>
              </w:rPr>
              <w:t>、清罐底泥、废润滑油</w:t>
            </w:r>
            <w:bookmarkEnd w:id="735"/>
            <w:r>
              <w:rPr>
                <w:rFonts w:hint="eastAsia"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14:textFill>
                  <w14:solidFill>
                    <w14:schemeClr w14:val="tx1"/>
                  </w14:solidFill>
                </w14:textFill>
              </w:rPr>
              <w:t>落地油由阿克苏塔河环保工程有限公司绿色环保工作站处理</w:t>
            </w:r>
            <w:r>
              <w:rPr>
                <w:rFonts w:hint="eastAsia" w:ascii="Times New Roman" w:hAnsi="Times New Roman"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14:textFill>
                  <w14:solidFill>
                    <w14:schemeClr w14:val="tx1"/>
                  </w14:solidFill>
                </w14:textFill>
              </w:rPr>
              <w:t>废防渗材料</w:t>
            </w:r>
            <w:r>
              <w:rPr>
                <w:rFonts w:hint="eastAsia" w:cs="Times New Roman"/>
                <w:bCs/>
                <w:color w:val="000000" w:themeColor="text1"/>
                <w:spacing w:val="0"/>
                <w:sz w:val="21"/>
                <w:szCs w:val="21"/>
                <w:highlight w:val="none"/>
                <w:lang w:eastAsia="zh-CN"/>
                <w14:textFill>
                  <w14:solidFill>
                    <w14:schemeClr w14:val="tx1"/>
                  </w14:solidFill>
                </w14:textFill>
              </w:rPr>
              <w:t>、清罐底泥、废润滑油</w:t>
            </w:r>
            <w:r>
              <w:rPr>
                <w:rFonts w:hint="default" w:ascii="Times New Roman" w:hAnsi="Times New Roman" w:cs="Times New Roman"/>
                <w:bCs/>
                <w:color w:val="000000" w:themeColor="text1"/>
                <w:spacing w:val="0"/>
                <w:sz w:val="21"/>
                <w:szCs w:val="21"/>
                <w:highlight w:val="none"/>
                <w14:textFill>
                  <w14:solidFill>
                    <w14:schemeClr w14:val="tx1"/>
                  </w14:solidFill>
                </w14:textFill>
              </w:rPr>
              <w:t>委托持有危险废物经营许可证的单位利用处置。</w:t>
            </w:r>
          </w:p>
        </w:tc>
        <w:tc>
          <w:tcPr>
            <w:tcW w:w="889" w:type="dxa"/>
            <w:shd w:val="clear" w:color="auto" w:fill="auto"/>
            <w:vAlign w:val="center"/>
          </w:tcPr>
          <w:p w14:paraId="0228A2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285F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3543" w:hRule="atLeast"/>
          <w:jc w:val="center"/>
        </w:trPr>
        <w:tc>
          <w:tcPr>
            <w:tcW w:w="1915" w:type="dxa"/>
            <w:gridSpan w:val="2"/>
            <w:vMerge w:val="continue"/>
            <w:shd w:val="clear" w:color="auto" w:fill="auto"/>
            <w:vAlign w:val="center"/>
          </w:tcPr>
          <w:p w14:paraId="1A34CB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3663" w:type="dxa"/>
            <w:shd w:val="clear" w:color="auto" w:fill="auto"/>
            <w:vAlign w:val="center"/>
          </w:tcPr>
          <w:p w14:paraId="34BEDBD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四</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2096" w:type="dxa"/>
            <w:shd w:val="clear" w:color="auto" w:fill="auto"/>
            <w:vAlign w:val="center"/>
          </w:tcPr>
          <w:p w14:paraId="7C3A76C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同步制定并落实生态保护和修复方案；综合考虑了防沙治沙等相关要求；</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已提出一系列生态环境保护措施</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889" w:type="dxa"/>
            <w:shd w:val="clear" w:color="auto" w:fill="auto"/>
            <w:vAlign w:val="center"/>
          </w:tcPr>
          <w:p w14:paraId="0E2166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7EC8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1915" w:type="dxa"/>
            <w:gridSpan w:val="2"/>
            <w:vMerge w:val="continue"/>
            <w:shd w:val="clear" w:color="auto" w:fill="auto"/>
          </w:tcPr>
          <w:p w14:paraId="128068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3663" w:type="dxa"/>
            <w:shd w:val="clear" w:color="auto" w:fill="auto"/>
            <w:vAlign w:val="center"/>
          </w:tcPr>
          <w:p w14:paraId="1930E98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五</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2096" w:type="dxa"/>
            <w:shd w:val="clear" w:color="auto" w:fill="auto"/>
            <w:vAlign w:val="center"/>
          </w:tcPr>
          <w:p w14:paraId="2B61D67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环境管理由</w:t>
            </w:r>
            <w:bookmarkStart w:id="736" w:name="OLE_LINK461"/>
            <w:r>
              <w:rPr>
                <w:rFonts w:hint="eastAsia" w:cs="Times New Roman"/>
                <w:color w:val="000000" w:themeColor="text1"/>
                <w:spacing w:val="0"/>
                <w:sz w:val="21"/>
                <w:szCs w:val="21"/>
                <w:highlight w:val="none"/>
                <w:lang w:val="en-US" w:eastAsia="zh-CN"/>
                <w14:textFill>
                  <w14:solidFill>
                    <w14:schemeClr w14:val="tx1"/>
                  </w14:solidFill>
                </w14:textFill>
              </w:rPr>
              <w:t>雅克拉采气厂</w:t>
            </w:r>
            <w:bookmarkEnd w:id="736"/>
            <w:r>
              <w:rPr>
                <w:rFonts w:hint="default" w:ascii="Times New Roman" w:hAnsi="Times New Roman" w:cs="Times New Roman"/>
                <w:color w:val="000000" w:themeColor="text1"/>
                <w:spacing w:val="0"/>
                <w:sz w:val="21"/>
                <w:szCs w:val="21"/>
                <w:highlight w:val="none"/>
                <w14:textFill>
                  <w14:solidFill>
                    <w14:schemeClr w14:val="tx1"/>
                  </w14:solidFill>
                </w14:textFill>
              </w:rPr>
              <w:t>负责，</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14:textFill>
                  <w14:solidFill>
                    <w14:schemeClr w14:val="tx1"/>
                  </w14:solidFill>
                </w14:textFill>
              </w:rPr>
              <w:t>日常环境管理工作纳入</w:t>
            </w:r>
            <w:r>
              <w:rPr>
                <w:rFonts w:hint="eastAsia" w:cs="Times New Roman"/>
                <w:color w:val="000000" w:themeColor="text1"/>
                <w:spacing w:val="0"/>
                <w:sz w:val="21"/>
                <w:szCs w:val="2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spacing w:val="0"/>
                <w:sz w:val="21"/>
                <w:szCs w:val="21"/>
                <w:highlight w:val="none"/>
                <w14:textFill>
                  <w14:solidFill>
                    <w14:schemeClr w14:val="tx1"/>
                  </w14:solidFill>
                </w14:textFill>
              </w:rPr>
              <w:t>现有HSE管理体系，并长期开展跟踪监测，根据监测结果及时优化开发方案并采取有效的生态环境保护措施</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p>
        </w:tc>
        <w:tc>
          <w:tcPr>
            <w:tcW w:w="889" w:type="dxa"/>
            <w:shd w:val="clear" w:color="auto" w:fill="auto"/>
            <w:vAlign w:val="center"/>
          </w:tcPr>
          <w:p w14:paraId="753BB6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67B3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1915" w:type="dxa"/>
            <w:gridSpan w:val="2"/>
            <w:vMerge w:val="restart"/>
            <w:shd w:val="clear" w:color="auto" w:fill="auto"/>
            <w:vAlign w:val="center"/>
          </w:tcPr>
          <w:p w14:paraId="0A8A3E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《阿克苏地区国土空间规划（2021</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14:textFill>
                  <w14:solidFill>
                    <w14:schemeClr w14:val="tx1"/>
                  </w14:solidFill>
                </w14:textFill>
              </w:rPr>
              <w:t>2035年）》</w:t>
            </w:r>
          </w:p>
        </w:tc>
        <w:tc>
          <w:tcPr>
            <w:tcW w:w="3663" w:type="dxa"/>
            <w:shd w:val="clear" w:color="auto" w:fill="auto"/>
            <w:vAlign w:val="center"/>
          </w:tcPr>
          <w:p w14:paraId="169EEA5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严保永久基本农田保护红线、严守生态保护红线、严控城镇开发边界。</w:t>
            </w:r>
          </w:p>
          <w:p w14:paraId="576A556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严守生态保护红线：以资源环境承载力为硬约束，结合“双评价”中生态保护极重要区评价，强调生态涵养，落实生态红线保护要求，切实做到应划尽划，应保尽保，实现一条生态保护红线管控重要生态空间。阿克苏地区生态红线主要分布于天山南脉、塔里木河上游沿岸、托什干河中下游沿岸。</w:t>
            </w:r>
          </w:p>
          <w:p w14:paraId="42D75FA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严控城镇开发边界：坚持节约优先、保护优先，严控增量、盘活存量，优化结构、提升效率，提高城镇建设用地集约化程度。在综合考虑城镇定位、发展方向和综合承载能力的基础上，科学研判城镇发展需求，优化城镇形态和布局，促进城镇有序、适度、紧凑发展，实现多中心、网络化、组团式、集约型的城乡国土空间格局。</w:t>
            </w:r>
          </w:p>
        </w:tc>
        <w:tc>
          <w:tcPr>
            <w:tcW w:w="2096" w:type="dxa"/>
            <w:shd w:val="clear" w:color="auto" w:fill="auto"/>
            <w:vAlign w:val="center"/>
          </w:tcPr>
          <w:p w14:paraId="062C468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属于</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塔河油田</w:t>
            </w:r>
            <w:r>
              <w:rPr>
                <w:rFonts w:hint="eastAsia" w:cs="Times New Roman"/>
                <w:color w:val="000000" w:themeColor="text1"/>
                <w:spacing w:val="0"/>
                <w:sz w:val="21"/>
                <w:szCs w:val="21"/>
                <w:highlight w:val="none"/>
                <w:lang w:val="en-US" w:eastAsia="zh-CN"/>
                <w14:textFill>
                  <w14:solidFill>
                    <w14:schemeClr w14:val="tx1"/>
                  </w14:solidFill>
                </w14:textFill>
              </w:rPr>
              <w:t>天然气</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开采项目，</w:t>
            </w:r>
            <w:r>
              <w:rPr>
                <w:rFonts w:hint="eastAsia" w:cs="Times New Roman"/>
                <w:color w:val="000000" w:themeColor="text1"/>
                <w:spacing w:val="0"/>
                <w:sz w:val="21"/>
                <w:szCs w:val="21"/>
                <w:highlight w:val="none"/>
                <w:lang w:val="en-US" w:eastAsia="zh-CN"/>
                <w14:textFill>
                  <w14:solidFill>
                    <w14:schemeClr w14:val="tx1"/>
                  </w14:solidFill>
                </w14:textFill>
              </w:rPr>
              <w:t>本工程不占用永久基本农田，评价范围涉及</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永久基本农田</w:t>
            </w:r>
            <w:r>
              <w:rPr>
                <w:rFonts w:hint="eastAsia" w:cs="Times New Roman"/>
                <w:color w:val="000000" w:themeColor="text1"/>
                <w:spacing w:val="0"/>
                <w:sz w:val="21"/>
                <w:szCs w:val="21"/>
                <w:highlight w:val="none"/>
                <w:lang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所在区域不涉及生态保护红线以及城镇开发边界，</w:t>
            </w:r>
            <w:r>
              <w:rPr>
                <w:rFonts w:hint="eastAsia" w:cs="Times New Roman"/>
                <w:color w:val="000000" w:themeColor="text1"/>
                <w:spacing w:val="0"/>
                <w:sz w:val="21"/>
                <w:szCs w:val="21"/>
                <w:highlight w:val="none"/>
                <w:lang w:val="en-US" w:eastAsia="zh-CN"/>
                <w14:textFill>
                  <w14:solidFill>
                    <w14:schemeClr w14:val="tx1"/>
                  </w14:solidFill>
                </w14:textFill>
              </w:rPr>
              <w:t>本工程</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建设符合区域主体功能定位，对生态环境影响较小。</w:t>
            </w:r>
          </w:p>
        </w:tc>
        <w:tc>
          <w:tcPr>
            <w:tcW w:w="889" w:type="dxa"/>
            <w:shd w:val="clear" w:color="auto" w:fill="auto"/>
            <w:vAlign w:val="center"/>
          </w:tcPr>
          <w:p w14:paraId="3FBC40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lang w:bidi="ar"/>
                <w14:textFill>
                  <w14:solidFill>
                    <w14:schemeClr w14:val="tx1"/>
                  </w14:solidFill>
                </w14:textFill>
              </w:rPr>
            </w:pPr>
            <w:r>
              <w:rPr>
                <w:rFonts w:hint="default" w:ascii="Times New Roman" w:hAnsi="Times New Roman" w:cs="Times New Roman"/>
                <w:color w:val="000000" w:themeColor="text1"/>
                <w:sz w:val="21"/>
                <w:szCs w:val="21"/>
                <w:highlight w:val="none"/>
                <w:u w:val="none"/>
                <w:lang w:bidi="ar"/>
                <w14:textFill>
                  <w14:solidFill>
                    <w14:schemeClr w14:val="tx1"/>
                  </w14:solidFill>
                </w14:textFill>
              </w:rPr>
              <w:t>符合</w:t>
            </w:r>
          </w:p>
        </w:tc>
      </w:tr>
      <w:tr w14:paraId="3DFB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1915" w:type="dxa"/>
            <w:gridSpan w:val="2"/>
            <w:vMerge w:val="continue"/>
            <w:shd w:val="clear" w:color="auto" w:fill="auto"/>
          </w:tcPr>
          <w:p w14:paraId="2FBEE4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3663" w:type="dxa"/>
            <w:shd w:val="clear" w:color="auto" w:fill="auto"/>
            <w:vAlign w:val="center"/>
          </w:tcPr>
          <w:p w14:paraId="64CC6DC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根据矿产资源现状分布以及矿产勘查开发保护布局。</w:t>
            </w:r>
          </w:p>
        </w:tc>
        <w:tc>
          <w:tcPr>
            <w:tcW w:w="2096" w:type="dxa"/>
            <w:shd w:val="clear" w:color="auto" w:fill="auto"/>
            <w:vAlign w:val="center"/>
          </w:tcPr>
          <w:p w14:paraId="1A39A10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本</w:t>
            </w:r>
            <w:r>
              <w:rPr>
                <w:rFonts w:hint="eastAsia" w:cs="Times New Roman"/>
                <w:color w:val="000000" w:themeColor="text1"/>
                <w:spacing w:val="0"/>
                <w:sz w:val="21"/>
                <w:szCs w:val="21"/>
                <w:highlight w:val="none"/>
                <w:lang w:val="en-US" w:eastAsia="zh-CN"/>
                <w14:textFill>
                  <w14:solidFill>
                    <w14:schemeClr w14:val="tx1"/>
                  </w14:solidFill>
                </w14:textFill>
              </w:rPr>
              <w:t>工程</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属于矿产能源发展区、油气国家规划矿区。</w:t>
            </w:r>
          </w:p>
        </w:tc>
        <w:tc>
          <w:tcPr>
            <w:tcW w:w="889" w:type="dxa"/>
            <w:shd w:val="clear" w:color="auto" w:fill="auto"/>
            <w:vAlign w:val="center"/>
          </w:tcPr>
          <w:p w14:paraId="38C508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bidi="ar"/>
                <w14:textFill>
                  <w14:solidFill>
                    <w14:schemeClr w14:val="tx1"/>
                  </w14:solidFill>
                </w14:textFill>
              </w:rPr>
              <w:t>符合</w:t>
            </w:r>
          </w:p>
        </w:tc>
      </w:tr>
    </w:tbl>
    <w:p w14:paraId="01735625">
      <w:pPr>
        <w:pStyle w:val="1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根据表3.</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-2的分析，</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与新疆的相关规划协调一致。</w:t>
      </w:r>
    </w:p>
    <w:p w14:paraId="60A4DDD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737" w:name="_Toc1269"/>
      <w:bookmarkStart w:id="738" w:name="_Toc6913"/>
      <w:bookmarkStart w:id="739" w:name="_Toc2688"/>
      <w:bookmarkStart w:id="740" w:name="_Toc8079"/>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w:t>
      </w:r>
      <w:bookmarkEnd w:id="737"/>
      <w:bookmarkEnd w:id="738"/>
      <w:bookmarkEnd w:id="739"/>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4.3</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生态环境分区管控符合性分析</w:t>
      </w:r>
    </w:p>
    <w:p w14:paraId="2453E136">
      <w:pPr>
        <w:pStyle w:val="11"/>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本工程与</w:t>
      </w:r>
      <w:bookmarkStart w:id="741" w:name="OLE_LINK469"/>
      <w:bookmarkStart w:id="742" w:name="OLE_LINK465"/>
      <w:bookmarkStart w:id="743" w:name="OLE_LINK467"/>
      <w:r>
        <w:rPr>
          <w:rFonts w:hint="default" w:ascii="Times New Roman" w:hAnsi="Times New Roman" w:cs="Times New Roman"/>
          <w:color w:val="000000" w:themeColor="text1"/>
          <w:highlight w:val="none"/>
          <w:lang w:eastAsia="zh-CN"/>
          <w14:textFill>
            <w14:solidFill>
              <w14:schemeClr w14:val="tx1"/>
            </w14:solidFill>
          </w14:textFill>
        </w:rPr>
        <w:t>《关于印发</w:t>
      </w:r>
      <w:r>
        <w:rPr>
          <w:rFonts w:hint="eastAsia" w:ascii="Times New Roman" w:hAnsi="Times New Roman" w:cs="Times New Roman"/>
          <w:color w:val="000000" w:themeColor="text1"/>
          <w:highlight w:val="none"/>
          <w:lang w:eastAsia="zh-CN"/>
          <w14:textFill>
            <w14:solidFill>
              <w14:schemeClr w14:val="tx1"/>
            </w14:solidFill>
          </w14:textFill>
        </w:rPr>
        <w:t>〈</w:t>
      </w:r>
      <w:bookmarkStart w:id="744" w:name="OLE_LINK468"/>
      <w:r>
        <w:rPr>
          <w:rFonts w:hint="default" w:ascii="Times New Roman" w:hAnsi="Times New Roman" w:cs="Times New Roman"/>
          <w:color w:val="000000" w:themeColor="text1"/>
          <w:highlight w:val="none"/>
          <w:lang w:eastAsia="zh-CN"/>
          <w14:textFill>
            <w14:solidFill>
              <w14:schemeClr w14:val="tx1"/>
            </w14:solidFill>
          </w14:textFill>
        </w:rPr>
        <w:t>新疆维吾尔自治区生态环境分区管控动态更新成果</w:t>
      </w:r>
      <w:bookmarkEnd w:id="744"/>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的通知》（新环环评发〔2024〕157号）</w:t>
      </w:r>
      <w:bookmarkEnd w:id="741"/>
      <w:r>
        <w:rPr>
          <w:rFonts w:hint="default" w:ascii="Times New Roman" w:hAnsi="Times New Roman" w:cs="Times New Roman"/>
          <w:color w:val="000000" w:themeColor="text1"/>
          <w:highlight w:val="none"/>
          <w:lang w:eastAsia="zh-CN"/>
          <w14:textFill>
            <w14:solidFill>
              <w14:schemeClr w14:val="tx1"/>
            </w14:solidFill>
          </w14:textFill>
        </w:rPr>
        <w:t>《关于印发</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阿克苏地区生态环境</w:t>
      </w:r>
      <w:bookmarkStart w:id="745" w:name="OLE_LINK64"/>
      <w:r>
        <w:rPr>
          <w:rFonts w:hint="default" w:ascii="Times New Roman" w:hAnsi="Times New Roman" w:cs="Times New Roman"/>
          <w:color w:val="000000" w:themeColor="text1"/>
          <w:highlight w:val="none"/>
          <w:lang w:eastAsia="zh-CN"/>
          <w14:textFill>
            <w14:solidFill>
              <w14:schemeClr w14:val="tx1"/>
            </w14:solidFill>
          </w14:textFill>
        </w:rPr>
        <w:t>分区管控方案</w:t>
      </w:r>
      <w:bookmarkEnd w:id="745"/>
      <w:r>
        <w:rPr>
          <w:rFonts w:hint="default" w:ascii="Times New Roman" w:hAnsi="Times New Roman" w:cs="Times New Roman"/>
          <w:color w:val="000000" w:themeColor="text1"/>
          <w:highlight w:val="none"/>
          <w:lang w:eastAsia="zh-CN"/>
          <w14:textFill>
            <w14:solidFill>
              <w14:schemeClr w14:val="tx1"/>
            </w14:solidFill>
          </w14:textFill>
        </w:rPr>
        <w:t>（2023版）</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的通知》（阿地环字〔2024〕32号）</w:t>
      </w:r>
      <w:bookmarkEnd w:id="742"/>
      <w:r>
        <w:rPr>
          <w:rFonts w:hint="eastAsia" w:ascii="Times New Roman" w:hAnsi="Times New Roman" w:cs="Times New Roman"/>
          <w:color w:val="000000" w:themeColor="text1"/>
          <w:highlight w:val="none"/>
          <w:lang w:val="en-US" w:eastAsia="zh-CN"/>
          <w14:textFill>
            <w14:solidFill>
              <w14:schemeClr w14:val="tx1"/>
            </w14:solidFill>
          </w14:textFill>
        </w:rPr>
        <w:t>及《新疆维吾尔自治区七大片区“三线一单”生态环境分区管控要求》</w:t>
      </w:r>
      <w:bookmarkEnd w:id="743"/>
      <w:r>
        <w:rPr>
          <w:rFonts w:hint="default" w:ascii="Times New Roman" w:hAnsi="Times New Roman" w:cs="Times New Roman"/>
          <w:color w:val="000000" w:themeColor="text1"/>
          <w:highlight w:val="none"/>
          <w:lang w:eastAsia="zh-CN"/>
          <w14:textFill>
            <w14:solidFill>
              <w14:schemeClr w14:val="tx1"/>
            </w14:solidFill>
          </w14:textFill>
        </w:rPr>
        <w:t>的符合性分析分别见表</w:t>
      </w:r>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3~5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项目区在阿克苏地区环境管控单元分布图中的位置</w:t>
      </w:r>
      <w:r>
        <w:rPr>
          <w:rFonts w:hint="eastAsia" w:ascii="Times New Roman" w:hAnsi="Times New Roman" w:cs="Times New Roman"/>
          <w:color w:val="000000" w:themeColor="text1"/>
          <w:highlight w:val="none"/>
          <w:lang w:val="en-US" w:eastAsia="zh-CN"/>
          <w14:textFill>
            <w14:solidFill>
              <w14:schemeClr w14:val="tx1"/>
            </w14:solidFill>
          </w14:textFill>
        </w:rPr>
        <w:t>详见附图4。</w:t>
      </w:r>
      <w:bookmarkStart w:id="746" w:name="bookmark22"/>
      <w:bookmarkEnd w:id="746"/>
    </w:p>
    <w:p w14:paraId="78F91F6D">
      <w:pPr>
        <w:pStyle w:val="1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bookmarkStart w:id="747" w:name="OLE_LINK470"/>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4-3</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本工程</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与《关于印发</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新疆维吾尔自治区生态环境分区管控动态更新成果</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的通知》（新环环评发〔2024〕157号）符合性分析</w:t>
      </w:r>
    </w:p>
    <w:bookmarkEnd w:id="747"/>
    <w:tbl>
      <w:tblPr>
        <w:tblStyle w:val="3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6"/>
        <w:gridCol w:w="3354"/>
        <w:gridCol w:w="2842"/>
        <w:gridCol w:w="428"/>
      </w:tblGrid>
      <w:tr w14:paraId="5BBEC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8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3F54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文件要求</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14:paraId="5166B1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工程</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08DABE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符合性</w:t>
            </w:r>
          </w:p>
        </w:tc>
      </w:tr>
      <w:tr w14:paraId="40615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5678B31A">
            <w:pPr>
              <w:pStyle w:val="144"/>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color w:val="000000" w:themeColor="text1"/>
                <w:sz w:val="21"/>
                <w:szCs w:val="21"/>
                <w:highlight w:val="none"/>
                <w14:textFill>
                  <w14:solidFill>
                    <w14:schemeClr w14:val="tx1"/>
                  </w14:solidFill>
                </w14:textFill>
              </w:rPr>
              <w:t>生态保护红线</w:t>
            </w:r>
          </w:p>
        </w:tc>
        <w:tc>
          <w:tcPr>
            <w:tcW w:w="2095" w:type="pct"/>
            <w:tcBorders>
              <w:top w:val="single" w:color="auto" w:sz="4" w:space="0"/>
              <w:left w:val="single" w:color="auto" w:sz="4" w:space="0"/>
              <w:bottom w:val="single" w:color="auto" w:sz="4" w:space="0"/>
              <w:right w:val="single" w:color="auto" w:sz="4" w:space="0"/>
            </w:tcBorders>
            <w:shd w:val="clear" w:color="auto" w:fill="auto"/>
            <w:vAlign w:val="center"/>
          </w:tcPr>
          <w:p w14:paraId="720050FF">
            <w:pPr>
              <w:pStyle w:val="126"/>
              <w:ind w:firstLine="0" w:firstLineChars="0"/>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color w:val="000000" w:themeColor="text1"/>
                <w:sz w:val="21"/>
                <w:szCs w:val="21"/>
                <w:highlight w:val="none"/>
                <w14:textFill>
                  <w14:solidFill>
                    <w14:schemeClr w14:val="tx1"/>
                  </w14:solidFill>
                </w14:textFill>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14:paraId="4E5E72C3">
            <w:pP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w:t>
            </w:r>
            <w:r>
              <w:rPr>
                <w:rFonts w:hint="eastAsia"/>
                <w:color w:val="000000" w:themeColor="text1"/>
                <w:sz w:val="21"/>
                <w:szCs w:val="21"/>
                <w:highlight w:val="none"/>
                <w:lang w:val="en-US" w:eastAsia="zh-CN"/>
                <w14:textFill>
                  <w14:solidFill>
                    <w14:schemeClr w14:val="tx1"/>
                  </w14:solidFill>
                </w14:textFill>
              </w:rPr>
              <w:t>工程</w:t>
            </w:r>
            <w:r>
              <w:rPr>
                <w:rFonts w:hint="eastAsia"/>
                <w:color w:val="000000" w:themeColor="text1"/>
                <w:sz w:val="21"/>
                <w:szCs w:val="21"/>
                <w:highlight w:val="none"/>
                <w:lang w:eastAsia="zh-CN"/>
                <w14:textFill>
                  <w14:solidFill>
                    <w14:schemeClr w14:val="tx1"/>
                  </w14:solidFill>
                </w14:textFill>
              </w:rPr>
              <w:t>井场属于新和县一般管控单元（环境管控单元编码为ZH65292530001）。</w:t>
            </w:r>
            <w:r>
              <w:rPr>
                <w:rFonts w:hint="eastAsia"/>
                <w:color w:val="000000" w:themeColor="text1"/>
                <w:sz w:val="21"/>
                <w:szCs w:val="21"/>
                <w:highlight w:val="none"/>
                <w14:textFill>
                  <w14:solidFill>
                    <w14:schemeClr w14:val="tx1"/>
                  </w14:solidFill>
                </w14:textFill>
              </w:rPr>
              <w:t>本工程周围无自然保护区、风景名胜区、居住区、学校等环境敏感目标。根据《新疆维吾尔自治区生态保护红线划定方案》对比分析，本工程</w:t>
            </w:r>
            <w:r>
              <w:rPr>
                <w:rFonts w:hint="eastAsia"/>
                <w:color w:val="000000" w:themeColor="text1"/>
                <w:sz w:val="21"/>
                <w:szCs w:val="21"/>
                <w:highlight w:val="none"/>
                <w:lang w:val="en-US" w:eastAsia="zh-CN"/>
                <w14:textFill>
                  <w14:solidFill>
                    <w14:schemeClr w14:val="tx1"/>
                  </w14:solidFill>
                </w14:textFill>
              </w:rPr>
              <w:t>所在</w:t>
            </w:r>
            <w:r>
              <w:rPr>
                <w:rFonts w:hint="eastAsia"/>
                <w:color w:val="000000" w:themeColor="text1"/>
                <w:sz w:val="21"/>
                <w:szCs w:val="21"/>
                <w:highlight w:val="none"/>
                <w14:textFill>
                  <w14:solidFill>
                    <w14:schemeClr w14:val="tx1"/>
                  </w14:solidFill>
                </w14:textFill>
              </w:rPr>
              <w:t>区域不在生态保护红线内，工程布局</w:t>
            </w:r>
            <w:r>
              <w:rPr>
                <w:rFonts w:hint="eastAsia"/>
                <w:color w:val="000000" w:themeColor="text1"/>
                <w:sz w:val="21"/>
                <w:szCs w:val="21"/>
                <w:highlight w:val="none"/>
                <w:lang w:val="en-US" w:eastAsia="zh-CN"/>
                <w14:textFill>
                  <w14:solidFill>
                    <w14:schemeClr w14:val="tx1"/>
                  </w14:solidFill>
                </w14:textFill>
              </w:rPr>
              <w:t>符合</w:t>
            </w:r>
            <w:r>
              <w:rPr>
                <w:rFonts w:hint="eastAsia"/>
                <w:color w:val="000000" w:themeColor="text1"/>
                <w:sz w:val="21"/>
                <w:szCs w:val="21"/>
                <w:highlight w:val="none"/>
                <w14:textFill>
                  <w14:solidFill>
                    <w14:schemeClr w14:val="tx1"/>
                  </w14:solidFill>
                </w14:textFill>
              </w:rPr>
              <w:t>生态保护红线的管控要求。</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31F5B61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符合</w:t>
            </w:r>
          </w:p>
        </w:tc>
      </w:tr>
      <w:tr w14:paraId="28B28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14:paraId="43CC821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环境质量底线</w:t>
            </w:r>
          </w:p>
        </w:tc>
        <w:tc>
          <w:tcPr>
            <w:tcW w:w="2095" w:type="pct"/>
            <w:tcBorders>
              <w:top w:val="single" w:color="auto" w:sz="4" w:space="0"/>
              <w:left w:val="single" w:color="auto" w:sz="4" w:space="0"/>
              <w:bottom w:val="single" w:color="auto" w:sz="4" w:space="0"/>
              <w:right w:val="single" w:color="auto" w:sz="4" w:space="0"/>
            </w:tcBorders>
            <w:shd w:val="clear" w:color="auto" w:fill="auto"/>
            <w:vAlign w:val="center"/>
          </w:tcPr>
          <w:p w14:paraId="5B8A8348">
            <w:pP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14:paraId="7034B1C1">
            <w:pP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48" w:name="OLE_LINK466"/>
            <w:r>
              <w:rPr>
                <w:rFonts w:hint="eastAsia"/>
                <w:color w:val="000000" w:themeColor="text1"/>
                <w:sz w:val="21"/>
                <w:szCs w:val="21"/>
                <w:highlight w:val="none"/>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为天然气开采项目。</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施工期污水不排入地表水体，不会突破水环境质量底线</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施工废料应首先考虑回收利用，不可回收利用部分拉运至</w:t>
            </w:r>
            <w:r>
              <w:rPr>
                <w:rFonts w:hint="eastAsia" w:cs="Times New Roman"/>
                <w:color w:val="000000" w:themeColor="text1"/>
                <w:kern w:val="2"/>
                <w:sz w:val="21"/>
                <w:szCs w:val="21"/>
                <w:highlight w:val="none"/>
                <w:lang w:val="en-US" w:eastAsia="zh-CN"/>
                <w14:textFill>
                  <w14:solidFill>
                    <w14:schemeClr w14:val="tx1"/>
                  </w14:solidFill>
                </w14:textFill>
              </w:rPr>
              <w:t>当地</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工业固废填埋场合规处置</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施工过程中产生的噪声采取有效的污染防治措施，能够达标排放，不会突破声环境质量底线。</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所在区域属于大气环境质量不达标区域，油气采取</w:t>
            </w:r>
            <w:r>
              <w:rPr>
                <w:rFonts w:hint="eastAsia" w:cs="Times New Roman"/>
                <w:color w:val="000000" w:themeColor="text1"/>
                <w:spacing w:val="0"/>
                <w:sz w:val="21"/>
                <w:szCs w:val="21"/>
                <w:highlight w:val="none"/>
                <w:lang w:val="en-US" w:eastAsia="zh-CN"/>
                <w14:textFill>
                  <w14:solidFill>
                    <w14:schemeClr w14:val="tx1"/>
                  </w14:solidFill>
                </w14:textFill>
              </w:rPr>
              <w:t>凝析</w:t>
            </w:r>
            <w:r>
              <w:rPr>
                <w:rFonts w:hint="default" w:ascii="Times New Roman" w:hAnsi="Times New Roman" w:cs="Times New Roman"/>
                <w:color w:val="000000" w:themeColor="text1"/>
                <w:spacing w:val="0"/>
                <w:sz w:val="21"/>
                <w:szCs w:val="21"/>
                <w:highlight w:val="none"/>
                <w14:textFill>
                  <w14:solidFill>
                    <w14:schemeClr w14:val="tx1"/>
                  </w14:solidFill>
                </w14:textFill>
              </w:rPr>
              <w:t>油稳定工艺</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已提出持续改善、防风固沙、生态修复的要求</w:t>
            </w:r>
            <w: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实施后建设单位应不断强化大气</w:t>
            </w:r>
            <w:r>
              <w:rPr>
                <w:rFonts w:hint="eastAsia" w:cs="Times New Roman"/>
                <w:color w:val="000000" w:themeColor="text1"/>
                <w:sz w:val="21"/>
                <w:szCs w:val="21"/>
                <w:highlight w:val="none"/>
                <w:lang w:val="zh-CN"/>
                <w14:textFill>
                  <w14:solidFill>
                    <w14:schemeClr w14:val="tx1"/>
                  </w14:solidFill>
                </w14:textFill>
              </w:rPr>
              <w:t>污染</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防治措施，改善区域环境空气质量。</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符合环境质量底线要求</w:t>
            </w:r>
            <w:bookmarkEnd w:id="748"/>
            <w:r>
              <w:rPr>
                <w:rFonts w:hint="eastAsia"/>
                <w:color w:val="000000" w:themeColor="text1"/>
                <w:sz w:val="21"/>
                <w:szCs w:val="21"/>
                <w:highlight w:val="none"/>
                <w:lang w:val="en-US" w:eastAsia="zh-CN"/>
                <w14:textFill>
                  <w14:solidFill>
                    <w14:schemeClr w14:val="tx1"/>
                  </w14:solidFill>
                </w14:textFill>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E0FA0D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符合</w:t>
            </w:r>
          </w:p>
        </w:tc>
      </w:tr>
      <w:tr w14:paraId="785B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1" w:hRule="atLeast"/>
          <w:jc w:val="center"/>
        </w:trPr>
        <w:tc>
          <w:tcPr>
            <w:tcW w:w="7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65919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资源利用上线</w:t>
            </w:r>
          </w:p>
        </w:tc>
        <w:tc>
          <w:tcPr>
            <w:tcW w:w="2095" w:type="pct"/>
            <w:tcBorders>
              <w:top w:val="single" w:color="auto" w:sz="4" w:space="0"/>
              <w:left w:val="single" w:color="auto" w:sz="4" w:space="0"/>
              <w:bottom w:val="single" w:color="auto" w:sz="4" w:space="0"/>
              <w:right w:val="single" w:color="auto" w:sz="4" w:space="0"/>
            </w:tcBorders>
            <w:shd w:val="clear" w:color="auto" w:fill="auto"/>
            <w:vAlign w:val="center"/>
          </w:tcPr>
          <w:p w14:paraId="6A0C12AA">
            <w:pP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eastAsia"/>
                <w:color w:val="000000" w:themeColor="text1"/>
                <w:sz w:val="21"/>
                <w:szCs w:val="21"/>
                <w:highlight w:val="none"/>
                <w:lang w:eastAsia="zh-CN"/>
                <w14:textFill>
                  <w14:solidFill>
                    <w14:schemeClr w14:val="tx1"/>
                  </w14:solidFill>
                </w14:textFill>
              </w:rPr>
              <w:t>。</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14:paraId="548CBE41">
            <w:pPr>
              <w:jc w:val="both"/>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工程占地类型主要为果园，本工程的建设占用土地资源相对区域资源利用较少，土地资源消耗符合要求。本工程运营期耗水环节为生产以及井下作业用水，用水量较少，节约了水资源，消耗量总体相对区域资源利用总量较少，能源利用均在区域负荷范围内，消耗未超出区域负荷上限。各项资源量在区域的可承受范围内，不逾越资源利用上线，符合资源利用上线要求。</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1BCBB9D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符合</w:t>
            </w:r>
          </w:p>
        </w:tc>
      </w:tr>
      <w:tr w14:paraId="53F2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1" w:hRule="atLeast"/>
          <w:jc w:val="center"/>
        </w:trPr>
        <w:tc>
          <w:tcPr>
            <w:tcW w:w="7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4999A8">
            <w:pPr>
              <w:jc w:val="center"/>
              <w:rPr>
                <w:rFonts w:hint="default" w:ascii="Times New Roman" w:hAnsi="Times New Roman" w:eastAsia="宋体" w:cs="Times New Roman"/>
                <w:color w:val="000000" w:themeColor="text1"/>
                <w:spacing w:val="-19"/>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生态环境准入清单</w:t>
            </w:r>
          </w:p>
        </w:tc>
        <w:tc>
          <w:tcPr>
            <w:tcW w:w="2095" w:type="pct"/>
            <w:tcBorders>
              <w:top w:val="single" w:color="auto" w:sz="4" w:space="0"/>
              <w:left w:val="single" w:color="auto" w:sz="4" w:space="0"/>
              <w:bottom w:val="single" w:color="auto" w:sz="4" w:space="0"/>
              <w:right w:val="single" w:color="auto" w:sz="4" w:space="0"/>
            </w:tcBorders>
            <w:shd w:val="clear" w:color="auto" w:fill="auto"/>
            <w:vAlign w:val="center"/>
          </w:tcPr>
          <w:p w14:paraId="74CDF380">
            <w:pP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环境准入负面清单是基于生态保护红线、环境质量底线和资源利用上线，以清单方式列出的禁止、限制等差别化环境准入条件和要求。要在环评清单式管理试点的基础上，从布局选址、资源利用效率、资源配置方式等方面入手，制定环境准入负面清单，充分发挥负面清单对产业发展和项目准入的指导和约束作用</w:t>
            </w:r>
            <w:r>
              <w:rPr>
                <w:rFonts w:hint="eastAsia"/>
                <w:color w:val="000000" w:themeColor="text1"/>
                <w:sz w:val="21"/>
                <w:szCs w:val="21"/>
                <w:highlight w:val="none"/>
                <w:lang w:eastAsia="zh-CN"/>
                <w14:textFill>
                  <w14:solidFill>
                    <w14:schemeClr w14:val="tx1"/>
                  </w14:solidFill>
                </w14:textFill>
              </w:rPr>
              <w:t>。</w:t>
            </w:r>
          </w:p>
        </w:tc>
        <w:tc>
          <w:tcPr>
            <w:tcW w:w="1794" w:type="pct"/>
            <w:tcBorders>
              <w:top w:val="single" w:color="auto" w:sz="4" w:space="0"/>
              <w:left w:val="single" w:color="auto" w:sz="4" w:space="0"/>
              <w:bottom w:val="single" w:color="auto" w:sz="4" w:space="0"/>
              <w:right w:val="single" w:color="auto" w:sz="4" w:space="0"/>
            </w:tcBorders>
            <w:shd w:val="clear" w:color="auto" w:fill="auto"/>
            <w:vAlign w:val="center"/>
          </w:tcPr>
          <w:p w14:paraId="3E6302A5">
            <w:pPr>
              <w:jc w:val="both"/>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本工程位于阿克苏地区新和县境内，位于一般管控单元，属于《产业结构调整指导目录（2024年本）》中鼓励类，符合国家相关产业政策。</w:t>
            </w:r>
          </w:p>
          <w:p w14:paraId="5D32675E">
            <w:pPr>
              <w:jc w:val="both"/>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各类污染物均满足国家及地方排放标准要求，落实生态环境保护基本要求，严守生态环境质量底线，不会降低区域生态功能。</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3C35F4F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符合</w:t>
            </w:r>
          </w:p>
        </w:tc>
      </w:tr>
    </w:tbl>
    <w:p w14:paraId="65C6E05E">
      <w:pPr>
        <w:pStyle w:val="1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黑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749" w:name="OLE_LINK472"/>
    </w:p>
    <w:p w14:paraId="3C3B435F">
      <w:pPr>
        <w:pStyle w:val="12"/>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4-4</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本工程</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与阿克苏地区生态环境准入清单符合性分析一览表符合性分析</w:t>
      </w:r>
      <w:bookmarkEnd w:id="749"/>
    </w:p>
    <w:tbl>
      <w:tblPr>
        <w:tblStyle w:val="37"/>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651"/>
        <w:gridCol w:w="1951"/>
        <w:gridCol w:w="1440"/>
        <w:gridCol w:w="960"/>
        <w:gridCol w:w="2462"/>
      </w:tblGrid>
      <w:tr w14:paraId="3FDC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2EA328F8">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单元编码</w:t>
            </w:r>
          </w:p>
        </w:tc>
        <w:tc>
          <w:tcPr>
            <w:tcW w:w="1197" w:type="pct"/>
            <w:noWrap w:val="0"/>
            <w:vAlign w:val="center"/>
          </w:tcPr>
          <w:p w14:paraId="2B62A5DD">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单元名称</w:t>
            </w:r>
          </w:p>
        </w:tc>
        <w:tc>
          <w:tcPr>
            <w:tcW w:w="895" w:type="pct"/>
            <w:noWrap w:val="0"/>
            <w:vAlign w:val="center"/>
          </w:tcPr>
          <w:p w14:paraId="0E0E1B7F">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单元属性</w:t>
            </w:r>
          </w:p>
        </w:tc>
        <w:tc>
          <w:tcPr>
            <w:tcW w:w="612" w:type="pct"/>
            <w:noWrap w:val="0"/>
            <w:vAlign w:val="center"/>
          </w:tcPr>
          <w:p w14:paraId="598C078D">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单元特征</w:t>
            </w:r>
          </w:p>
        </w:tc>
        <w:tc>
          <w:tcPr>
            <w:tcW w:w="1498" w:type="pct"/>
            <w:noWrap w:val="0"/>
            <w:vAlign w:val="center"/>
          </w:tcPr>
          <w:p w14:paraId="53D4CAA1">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环境要素属性</w:t>
            </w:r>
          </w:p>
        </w:tc>
      </w:tr>
      <w:tr w14:paraId="6A0B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373E7D4C">
            <w:pPr>
              <w:pStyle w:val="145"/>
              <w:widowControl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ZH65292530001</w:t>
            </w:r>
          </w:p>
        </w:tc>
        <w:tc>
          <w:tcPr>
            <w:tcW w:w="1197" w:type="pct"/>
            <w:noWrap w:val="0"/>
            <w:vAlign w:val="center"/>
          </w:tcPr>
          <w:p w14:paraId="54901CE8">
            <w:pPr>
              <w:pStyle w:val="145"/>
              <w:widowControl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新和县一般管控单元</w:t>
            </w:r>
          </w:p>
        </w:tc>
        <w:tc>
          <w:tcPr>
            <w:tcW w:w="895" w:type="pct"/>
            <w:noWrap w:val="0"/>
            <w:vAlign w:val="center"/>
          </w:tcPr>
          <w:p w14:paraId="1CD8C58D">
            <w:pPr>
              <w:pStyle w:val="145"/>
              <w:widowControl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一般管控单元</w:t>
            </w:r>
          </w:p>
        </w:tc>
        <w:tc>
          <w:tcPr>
            <w:tcW w:w="612" w:type="pct"/>
            <w:noWrap w:val="0"/>
            <w:vAlign w:val="center"/>
          </w:tcPr>
          <w:p w14:paraId="1882DA27">
            <w:pPr>
              <w:pStyle w:val="145"/>
              <w:widowControl w:val="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8" w:type="pct"/>
            <w:noWrap w:val="0"/>
            <w:vAlign w:val="center"/>
          </w:tcPr>
          <w:p w14:paraId="2F2CC203">
            <w:pPr>
              <w:pStyle w:val="145"/>
              <w:widowControl w:val="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686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06" w:hRule="atLeast"/>
          <w:jc w:val="center"/>
        </w:trPr>
        <w:tc>
          <w:tcPr>
            <w:tcW w:w="796" w:type="pct"/>
            <w:noWrap w:val="0"/>
            <w:vAlign w:val="center"/>
          </w:tcPr>
          <w:p w14:paraId="08E22B31">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控维度</w:t>
            </w:r>
          </w:p>
        </w:tc>
        <w:tc>
          <w:tcPr>
            <w:tcW w:w="2704" w:type="pct"/>
            <w:gridSpan w:val="3"/>
            <w:noWrap w:val="0"/>
            <w:vAlign w:val="center"/>
          </w:tcPr>
          <w:p w14:paraId="534E68D5">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管控要求</w:t>
            </w:r>
          </w:p>
        </w:tc>
        <w:tc>
          <w:tcPr>
            <w:tcW w:w="1498" w:type="pct"/>
            <w:noWrap w:val="0"/>
            <w:vAlign w:val="center"/>
          </w:tcPr>
          <w:p w14:paraId="0ABE40E3">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符合性</w:t>
            </w:r>
          </w:p>
        </w:tc>
      </w:tr>
      <w:tr w14:paraId="7E50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047AFE6D">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空间布局约束</w:t>
            </w:r>
          </w:p>
        </w:tc>
        <w:tc>
          <w:tcPr>
            <w:tcW w:w="2704" w:type="pct"/>
            <w:gridSpan w:val="3"/>
            <w:noWrap w:val="0"/>
            <w:vAlign w:val="center"/>
          </w:tcPr>
          <w:p w14:paraId="2DAE2745">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1执行阿克苏地区总体管控要求中空间布局约束的要求。</w:t>
            </w:r>
          </w:p>
          <w:p w14:paraId="7C0A6263">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2.任何单位和个人不得擅自占用基本农田。禁止在基本农田内从事非农业生产的活动。除法律规定的重点建设项目选址确实无法避让外，其他任何建设不得占用。</w:t>
            </w:r>
          </w:p>
          <w:p w14:paraId="7B2E6FAA">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3.对违反资源环境法律法规、规划，污染环境、破坏生态、乱采滥挖的露天矿山，依法整治</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对污染治理不规范的露天矿山，依法责令停产整治，对拒不停产或擅自恢复生产的依法强制关闭</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对责任主体灭失的露天矿山，要加强修复绿化、减尘抑尘。</w:t>
            </w:r>
          </w:p>
          <w:p w14:paraId="466C3248">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4.严格控制在优先保护类耕地集中区域新建土壤环境监管重点行业项目。</w:t>
            </w:r>
          </w:p>
        </w:tc>
        <w:tc>
          <w:tcPr>
            <w:tcW w:w="1498" w:type="pct"/>
            <w:noWrap w:val="0"/>
            <w:vAlign w:val="center"/>
          </w:tcPr>
          <w:p w14:paraId="23F83725">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本工程</w:t>
            </w:r>
            <w:r>
              <w:rPr>
                <w:rFonts w:hint="eastAsia"/>
                <w:color w:val="000000" w:themeColor="text1"/>
                <w:sz w:val="21"/>
                <w:szCs w:val="21"/>
                <w:highlight w:val="none"/>
                <w14:textFill>
                  <w14:solidFill>
                    <w14:schemeClr w14:val="tx1"/>
                  </w14:solidFill>
                </w14:textFill>
              </w:rPr>
              <w:t>占地类型为</w:t>
            </w:r>
            <w:r>
              <w:rPr>
                <w:rFonts w:hint="eastAsia"/>
                <w:color w:val="000000" w:themeColor="text1"/>
                <w:sz w:val="21"/>
                <w:szCs w:val="21"/>
                <w:highlight w:val="none"/>
                <w:lang w:val="en-US" w:eastAsia="zh-CN"/>
                <w14:textFill>
                  <w14:solidFill>
                    <w14:schemeClr w14:val="tx1"/>
                  </w14:solidFill>
                </w14:textFill>
              </w:rPr>
              <w:t>果园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不占用永久基本农田，评价范围涉及永久基本农田</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本工程产生的有害物质、危险废物均能妥善处置。</w:t>
            </w:r>
          </w:p>
        </w:tc>
      </w:tr>
      <w:tr w14:paraId="3853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6748A2C8">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污染物排放</w:t>
            </w:r>
          </w:p>
          <w:p w14:paraId="77587479">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管控</w:t>
            </w:r>
          </w:p>
        </w:tc>
        <w:tc>
          <w:tcPr>
            <w:tcW w:w="2704" w:type="pct"/>
            <w:gridSpan w:val="3"/>
            <w:noWrap w:val="0"/>
            <w:vAlign w:val="center"/>
          </w:tcPr>
          <w:p w14:paraId="2F4ECF1C">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1.执行阿克苏地区总体管控要求中关于污染物排放管控的准入要求。</w:t>
            </w:r>
          </w:p>
          <w:p w14:paraId="0B6C6940">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2.强化畜禽养殖粪污资源化利用，提高畜禽粪污综合利用率，减少恶臭气体挥发排放。</w:t>
            </w:r>
          </w:p>
          <w:p w14:paraId="42369795">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3.严格控制林地、草地、园地农药使用量，禁止使用高毒、高残留农药。</w:t>
            </w:r>
          </w:p>
          <w:p w14:paraId="29277467">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4.加强农村生活垃圾的清运、收集、处置。严禁将城镇生活垃圾、污泥、工业废物直接用作肥料。</w:t>
            </w:r>
          </w:p>
          <w:p w14:paraId="7F3E47C1">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5.鼓励和支持散养密集区实行畜禽粪污分户收集、集中处理</w:t>
            </w:r>
          </w:p>
        </w:tc>
        <w:tc>
          <w:tcPr>
            <w:tcW w:w="1498" w:type="pct"/>
            <w:noWrap w:val="0"/>
            <w:vAlign w:val="center"/>
          </w:tcPr>
          <w:p w14:paraId="38E7CE1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本工程</w:t>
            </w:r>
            <w:r>
              <w:rPr>
                <w:rFonts w:hint="eastAsia"/>
                <w:color w:val="000000" w:themeColor="text1"/>
                <w:sz w:val="21"/>
                <w:szCs w:val="21"/>
                <w:highlight w:val="none"/>
                <w14:textFill>
                  <w14:solidFill>
                    <w14:schemeClr w14:val="tx1"/>
                  </w14:solidFill>
                </w14:textFill>
              </w:rPr>
              <w:t>不涉及畜禽养殖。</w:t>
            </w:r>
            <w:r>
              <w:rPr>
                <w:rFonts w:hint="eastAsia"/>
                <w:color w:val="000000" w:themeColor="text1"/>
                <w:sz w:val="21"/>
                <w:szCs w:val="21"/>
                <w:highlight w:val="none"/>
                <w:lang w:val="en-US" w:eastAsia="zh-CN"/>
                <w14:textFill>
                  <w14:solidFill>
                    <w14:schemeClr w14:val="tx1"/>
                  </w14:solidFill>
                </w14:textFill>
              </w:rPr>
              <w:t>本工程</w:t>
            </w:r>
            <w:r>
              <w:rPr>
                <w:rFonts w:hint="eastAsia"/>
                <w:color w:val="000000" w:themeColor="text1"/>
                <w:sz w:val="21"/>
                <w:szCs w:val="21"/>
                <w:highlight w:val="none"/>
                <w14:textFill>
                  <w14:solidFill>
                    <w14:schemeClr w14:val="tx1"/>
                  </w14:solidFill>
                </w14:textFill>
              </w:rPr>
              <w:t>不使用高毒、高残留农药</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本工程产生的废润滑油委托持有危险废物经营许可证的单位清运处置。本工程产生的生活垃圾集中收集后，委托库车绿能环保科技有限公司清运处置。本工程对土壤的污染影响在可控范围内</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w:t>
            </w:r>
          </w:p>
        </w:tc>
      </w:tr>
      <w:tr w14:paraId="53A0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661AF9B9">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环境风险防控</w:t>
            </w:r>
          </w:p>
        </w:tc>
        <w:tc>
          <w:tcPr>
            <w:tcW w:w="2704" w:type="pct"/>
            <w:gridSpan w:val="3"/>
            <w:noWrap w:val="0"/>
            <w:vAlign w:val="center"/>
          </w:tcPr>
          <w:p w14:paraId="2D7E0893">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1.执行阿克苏地区总体管控要求中关于环境风险防控的准入要求。</w:t>
            </w:r>
          </w:p>
          <w:p w14:paraId="2283A9A3">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2.加强对矿山、油田等矿产资源开采影响区域内未利用地的环境监管，发现土壤污染问题的，要坚决查处，并及时督促有关单位采取有效防治措施消除或减轻污染。</w:t>
            </w:r>
          </w:p>
          <w:p w14:paraId="4623F9A6">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3.对排查出的危库和病库以及风险评估有严重环境安全隐患的尾矿库，要求企业完善污染治理设施、进行治理和修复。全面整治历史遗留尾矿库，完善覆膜、压土、排洪、堤坝加固等隐患治理和闭库措施。</w:t>
            </w:r>
          </w:p>
          <w:p w14:paraId="6DBF66AF">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4.加强油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气</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田勘探、开发、运行过程中及排放产生的废弃物对土壤的污染。开展油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气</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资源开发区历史遗留污染场地治理。</w:t>
            </w:r>
          </w:p>
        </w:tc>
        <w:tc>
          <w:tcPr>
            <w:tcW w:w="1498" w:type="pct"/>
            <w:noWrap w:val="0"/>
            <w:vAlign w:val="center"/>
          </w:tcPr>
          <w:p w14:paraId="70D067C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本工程纳入</w:t>
            </w:r>
            <w:r>
              <w:rPr>
                <w:color w:val="000000" w:themeColor="text1"/>
                <w:sz w:val="21"/>
                <w:szCs w:val="21"/>
                <w:highlight w:val="none"/>
                <w14:textFill>
                  <w14:solidFill>
                    <w14:schemeClr w14:val="tx1"/>
                  </w14:solidFill>
                </w14:textFill>
              </w:rPr>
              <w:t>中国石油化工股份有限公司西北油田分公司突发环境事件应急预案</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本工程产生的污染物合理处置，不向外环境排放。本工程对</w:t>
            </w:r>
            <w:r>
              <w:rPr>
                <w:rFonts w:hint="eastAsia" w:ascii="宋体" w:hAnsi="宋体" w:cs="宋体"/>
                <w:color w:val="000000" w:themeColor="text1"/>
                <w:sz w:val="21"/>
                <w:szCs w:val="21"/>
                <w:highlight w:val="none"/>
                <w14:textFill>
                  <w14:solidFill>
                    <w14:schemeClr w14:val="tx1"/>
                  </w14:solidFill>
                </w14:textFill>
              </w:rPr>
              <w:t>井场进行</w:t>
            </w:r>
            <w:r>
              <w:rPr>
                <w:rFonts w:hint="eastAsia" w:ascii="宋体" w:hAnsi="宋体" w:cs="宋体"/>
                <w:color w:val="000000" w:themeColor="text1"/>
                <w:sz w:val="21"/>
                <w:szCs w:val="21"/>
                <w:highlight w:val="none"/>
                <w:lang w:val="en-US" w:eastAsia="zh-CN"/>
                <w14:textFill>
                  <w14:solidFill>
                    <w14:schemeClr w14:val="tx1"/>
                  </w14:solidFill>
                </w14:textFill>
              </w:rPr>
              <w:t>了严格的</w:t>
            </w:r>
            <w:r>
              <w:rPr>
                <w:rFonts w:hint="eastAsia" w:ascii="宋体" w:hAnsi="宋体" w:cs="宋体"/>
                <w:color w:val="000000" w:themeColor="text1"/>
                <w:sz w:val="21"/>
                <w:szCs w:val="21"/>
                <w:highlight w:val="none"/>
                <w14:textFill>
                  <w14:solidFill>
                    <w14:schemeClr w14:val="tx1"/>
                  </w14:solidFill>
                </w14:textFill>
              </w:rPr>
              <w:t>分区防渗</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能有效防止污染土壤和地下水</w:t>
            </w:r>
            <w:r>
              <w:rPr>
                <w:rFonts w:hint="default" w:ascii="Times New Roman" w:hAnsi="Times New Roman" w:eastAsia="宋体" w:cs="Times New Roman"/>
                <w:color w:val="000000" w:themeColor="text1"/>
                <w:sz w:val="21"/>
                <w:szCs w:val="21"/>
                <w:highlight w:val="none"/>
                <w:u w:val="none"/>
                <w:lang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符合本单元管控要求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C12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96" w:type="pct"/>
            <w:noWrap w:val="0"/>
            <w:vAlign w:val="center"/>
          </w:tcPr>
          <w:p w14:paraId="0FAF0C2B">
            <w:pPr>
              <w:pStyle w:val="145"/>
              <w:widowControl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资源利用效率</w:t>
            </w:r>
          </w:p>
        </w:tc>
        <w:tc>
          <w:tcPr>
            <w:tcW w:w="2704" w:type="pct"/>
            <w:gridSpan w:val="3"/>
            <w:noWrap w:val="0"/>
            <w:vAlign w:val="center"/>
          </w:tcPr>
          <w:p w14:paraId="085ED16E">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1.执行阿克苏地区总体管控要求中关于资源利用效率的准入要求。</w:t>
            </w:r>
          </w:p>
          <w:p w14:paraId="2727DD90">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2.全面推进秸秆综合利用，鼓励秸秆资源化、饲料化、肥料化利用，推动秸秆还田与离田收集。</w:t>
            </w:r>
          </w:p>
          <w:p w14:paraId="06FBC401">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3.减少化肥农药使用量，增加有机肥使用量，逐步实现化肥农药使用量零增长。</w:t>
            </w:r>
          </w:p>
          <w:p w14:paraId="553C4FBE">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4.推进矿井水综合利用，煤矿废水全部处理达标后用于补充矿区生产用水和生态用水，加强洗煤废水循环利用。</w:t>
            </w:r>
          </w:p>
          <w:p w14:paraId="62A544C0">
            <w:pPr>
              <w:pStyle w:val="145"/>
              <w:widowControl w:val="0"/>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5.推广渠道防渗、管道输水、喷灌、微灌等节水灌溉技术，完善灌溉用水计量设施。推进规模化高效节水灌溉，推广农作物节水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抗旱</w:t>
            </w:r>
            <w:r>
              <w:rPr>
                <w:rFonts w:hint="default" w:ascii="Times New Roman" w:hAnsi="Times New Roman" w:eastAsia="宋体" w:cs="Times New Roman"/>
                <w:color w:val="000000" w:themeColor="text1"/>
                <w:sz w:val="21"/>
                <w:szCs w:val="21"/>
                <w:highlight w:val="none"/>
                <w14:textFill>
                  <w14:solidFill>
                    <w14:schemeClr w14:val="tx1"/>
                  </w14:solidFill>
                </w14:textFill>
              </w:rPr>
              <w:t>技术。建立灌区墒情测报网络，提高农业用水效率。</w:t>
            </w:r>
          </w:p>
        </w:tc>
        <w:tc>
          <w:tcPr>
            <w:tcW w:w="1498" w:type="pct"/>
            <w:noWrap w:val="0"/>
            <w:vAlign w:val="center"/>
          </w:tcPr>
          <w:p w14:paraId="07CD274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1"/>
                <w:szCs w:val="21"/>
                <w:highlight w:val="none"/>
                <w14:textFill>
                  <w14:solidFill>
                    <w14:schemeClr w14:val="tx1"/>
                  </w14:solidFill>
                </w14:textFill>
              </w:rPr>
              <w:t>会消耗一定量的水资源，但资源消耗量对于区域资源利用总量较少，符合本单元管控要求</w:t>
            </w:r>
            <w:r>
              <w:rPr>
                <w:rFonts w:hint="default" w:ascii="Times New Roman" w:hAnsi="Times New Roman" w:eastAsia="宋体" w:cs="Times New Roman"/>
                <w:color w:val="000000" w:themeColor="text1"/>
                <w:sz w:val="21"/>
                <w:szCs w:val="21"/>
                <w:highlight w:val="none"/>
                <w:u w:val="none"/>
                <w:lang w:eastAsia="zh-CN" w:bidi="ar"/>
                <w14:textFill>
                  <w14:solidFill>
                    <w14:schemeClr w14:val="tx1"/>
                  </w14:solidFill>
                </w14:textFill>
              </w:rPr>
              <w:t>。</w:t>
            </w:r>
          </w:p>
        </w:tc>
      </w:tr>
    </w:tbl>
    <w:p w14:paraId="27699678">
      <w:pPr>
        <w:pStyle w:val="12"/>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4-5</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本工程</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与《新疆维吾尔自治区</w:t>
      </w:r>
      <w:bookmarkStart w:id="750" w:name="OLE_LINK464"/>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七大片区</w:t>
      </w:r>
      <w:bookmarkEnd w:id="750"/>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“三线一单”生态环境分区管控要求》符合性分析</w:t>
      </w:r>
    </w:p>
    <w:tbl>
      <w:tblPr>
        <w:tblStyle w:val="3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25"/>
        <w:gridCol w:w="3211"/>
        <w:gridCol w:w="3921"/>
        <w:gridCol w:w="703"/>
      </w:tblGrid>
      <w:tr w14:paraId="60A3C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14" w:type="pct"/>
            <w:noWrap w:val="0"/>
            <w:vAlign w:val="center"/>
          </w:tcPr>
          <w:p w14:paraId="43CCF675">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名称</w:t>
            </w:r>
          </w:p>
        </w:tc>
        <w:tc>
          <w:tcPr>
            <w:tcW w:w="1920" w:type="pct"/>
            <w:noWrap w:val="0"/>
            <w:vAlign w:val="center"/>
          </w:tcPr>
          <w:p w14:paraId="5CD20A67">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管控要求</w:t>
            </w:r>
          </w:p>
        </w:tc>
        <w:tc>
          <w:tcPr>
            <w:tcW w:w="2344" w:type="pct"/>
            <w:noWrap w:val="0"/>
            <w:vAlign w:val="center"/>
          </w:tcPr>
          <w:p w14:paraId="4E3229AC">
            <w:pPr>
              <w:autoSpaceDE w:val="0"/>
              <w:autoSpaceDN w:val="0"/>
              <w:adjustRightInd w:val="0"/>
              <w:spacing w:line="0" w:lineRule="atLeast"/>
              <w:jc w:val="center"/>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w:t>
            </w:r>
            <w:r>
              <w:rPr>
                <w:rFonts w:hint="eastAsia" w:cs="Times New Roman"/>
                <w:color w:val="000000" w:themeColor="text1"/>
                <w:spacing w:val="-10"/>
                <w:sz w:val="21"/>
                <w:szCs w:val="21"/>
                <w:highlight w:val="none"/>
                <w:lang w:val="en-US" w:eastAsia="zh-CN"/>
                <w14:textFill>
                  <w14:solidFill>
                    <w14:schemeClr w14:val="tx1"/>
                  </w14:solidFill>
                </w14:textFill>
              </w:rPr>
              <w:t>工程</w:t>
            </w:r>
          </w:p>
        </w:tc>
        <w:tc>
          <w:tcPr>
            <w:tcW w:w="420" w:type="pct"/>
            <w:noWrap w:val="0"/>
            <w:vAlign w:val="center"/>
          </w:tcPr>
          <w:p w14:paraId="3AADA8F3">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符合性</w:t>
            </w:r>
          </w:p>
        </w:tc>
      </w:tr>
      <w:tr w14:paraId="2BAE2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restart"/>
            <w:noWrap w:val="0"/>
            <w:vAlign w:val="center"/>
          </w:tcPr>
          <w:p w14:paraId="6B276D0B">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bookmarkStart w:id="751" w:name="_Hlk120542022"/>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天山南坡片区总体管控要求</w:t>
            </w:r>
            <w:bookmarkEnd w:id="751"/>
          </w:p>
        </w:tc>
        <w:tc>
          <w:tcPr>
            <w:tcW w:w="1920" w:type="pct"/>
            <w:noWrap w:val="0"/>
            <w:vAlign w:val="center"/>
          </w:tcPr>
          <w:p w14:paraId="799ABBD1">
            <w:pPr>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切实保护托木尔峰和天山南坡中段冰雪水源及生物多样性保护生态功能区内的托木尔峰自然景观、高山冰川、野生动物、森林和草原</w:t>
            </w:r>
            <w:r>
              <w:rPr>
                <w:rFonts w:hint="eastAsia" w:cs="Times New Roman"/>
                <w:color w:val="000000" w:themeColor="text1"/>
                <w:spacing w:val="-1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合理利用天然草地，稳步推进草原减牧，加强保护区管理，维护自然景观和生物多样性。</w:t>
            </w:r>
          </w:p>
        </w:tc>
        <w:tc>
          <w:tcPr>
            <w:tcW w:w="2344" w:type="pct"/>
            <w:noWrap w:val="0"/>
            <w:vAlign w:val="center"/>
          </w:tcPr>
          <w:p w14:paraId="27CB3B0F">
            <w:pPr>
              <w:adjustRightInd w:val="0"/>
              <w:spacing w:line="0" w:lineRule="atLeast"/>
              <w:jc w:val="both"/>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本</w:t>
            </w:r>
            <w:r>
              <w:rPr>
                <w:rFonts w:hint="default"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工程</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不位于托木尔峰和天山南坡中段冰雪水源及生物多样性保护生态功能区</w:t>
            </w:r>
          </w:p>
        </w:tc>
        <w:tc>
          <w:tcPr>
            <w:tcW w:w="420" w:type="pct"/>
            <w:noWrap w:val="0"/>
            <w:vAlign w:val="center"/>
          </w:tcPr>
          <w:p w14:paraId="5A3F943D">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14:paraId="67243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noWrap w:val="0"/>
            <w:vAlign w:val="center"/>
          </w:tcPr>
          <w:p w14:paraId="1F75DFD3">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920" w:type="pct"/>
            <w:noWrap w:val="0"/>
            <w:vAlign w:val="center"/>
          </w:tcPr>
          <w:p w14:paraId="45FEE8CA">
            <w:pPr>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重点做好塔里木盆地北缘荒漠化防治。加强荒漠植被及河岸荒漠林保护，规范油气勘探开发作业，建立油田和公路扰动区域工程与生物相结合的防风固沙体系，逐步形成生态屏障。</w:t>
            </w:r>
          </w:p>
        </w:tc>
        <w:tc>
          <w:tcPr>
            <w:tcW w:w="2344" w:type="pct"/>
            <w:noWrap w:val="0"/>
            <w:vAlign w:val="center"/>
          </w:tcPr>
          <w:p w14:paraId="3084DCDC">
            <w:pPr>
              <w:adjustRightInd w:val="0"/>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本</w:t>
            </w:r>
            <w:r>
              <w:rPr>
                <w:rFonts w:hint="eastAsia"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工程</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已提出持续改善、防风固沙、生态修复的要求，施工过程中严格控制施工占地，井场建设完成后，采取措施及时恢复占地，进行生态恢复，尽可能减少对区域生态环境的影响。</w:t>
            </w:r>
          </w:p>
        </w:tc>
        <w:tc>
          <w:tcPr>
            <w:tcW w:w="420" w:type="pct"/>
            <w:noWrap w:val="0"/>
            <w:vAlign w:val="center"/>
          </w:tcPr>
          <w:p w14:paraId="36E42A66">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14:paraId="7E2BE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noWrap w:val="0"/>
            <w:vAlign w:val="center"/>
          </w:tcPr>
          <w:p w14:paraId="7FA6A695">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920" w:type="pct"/>
            <w:noWrap w:val="0"/>
            <w:vAlign w:val="center"/>
          </w:tcPr>
          <w:p w14:paraId="0EC50916">
            <w:pPr>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推进塔里木河流域用水结构调整，维护塔里木河、博斯腾湖基本生态用水。</w:t>
            </w:r>
          </w:p>
          <w:p w14:paraId="7A9BAAE9">
            <w:pPr>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加强塔里木河流域水环境风险管控。加大博斯腾湖污染源头达标排放治理和监督力度，实施博斯腾湖综合治理。</w:t>
            </w:r>
          </w:p>
        </w:tc>
        <w:tc>
          <w:tcPr>
            <w:tcW w:w="2344" w:type="pct"/>
            <w:noWrap w:val="0"/>
            <w:vAlign w:val="center"/>
          </w:tcPr>
          <w:p w14:paraId="08458012">
            <w:pPr>
              <w:adjustRightInd w:val="0"/>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本</w:t>
            </w:r>
            <w:r>
              <w:rPr>
                <w:rFonts w:hint="eastAsia"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工程</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位于新和县，距离塔里木河</w:t>
            </w:r>
            <w:r>
              <w:rPr>
                <w:rFonts w:hint="default"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较远</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，运营期耗水环节为</w:t>
            </w:r>
            <w:r>
              <w:rPr>
                <w:rFonts w:hint="eastAsia"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生产以及</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井下作业用水，用水量较少，</w:t>
            </w:r>
            <w:r>
              <w:rPr>
                <w:rFonts w:hint="eastAsia" w:ascii="Times New Roman" w:hAnsi="Times New Roman" w:eastAsia="宋体" w:cs="Times New Roman"/>
                <w:color w:val="000000" w:themeColor="text1"/>
                <w:spacing w:val="-10"/>
                <w:sz w:val="21"/>
                <w:szCs w:val="21"/>
                <w:highlight w:val="none"/>
                <w:lang w:val="en-US" w:eastAsia="zh-CN" w:bidi="ar"/>
                <w14:textFill>
                  <w14:solidFill>
                    <w14:schemeClr w14:val="tx1"/>
                  </w14:solidFill>
                </w14:textFill>
              </w:rPr>
              <w:t>生产废水</w:t>
            </w: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等进行综合利用，不挤占塔里木河生态用水。运营期加强环境风险防控，基本不会对塔里木河水环境产生影响。</w:t>
            </w:r>
          </w:p>
        </w:tc>
        <w:tc>
          <w:tcPr>
            <w:tcW w:w="420" w:type="pct"/>
            <w:noWrap w:val="0"/>
            <w:vAlign w:val="center"/>
          </w:tcPr>
          <w:p w14:paraId="6555FE5F">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r w14:paraId="0F1AB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noWrap w:val="0"/>
            <w:vAlign w:val="center"/>
          </w:tcPr>
          <w:p w14:paraId="44EB950D">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920" w:type="pct"/>
            <w:noWrap w:val="0"/>
            <w:vAlign w:val="center"/>
          </w:tcPr>
          <w:p w14:paraId="4A80A66E">
            <w:pPr>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t>加强油（气）资源开发区土壤环境污染综合整治。强化涉重金属行业污染防控与工业废物处理处置。</w:t>
            </w:r>
          </w:p>
        </w:tc>
        <w:tc>
          <w:tcPr>
            <w:tcW w:w="2344" w:type="pct"/>
            <w:noWrap w:val="0"/>
            <w:vAlign w:val="center"/>
          </w:tcPr>
          <w:p w14:paraId="1DAA717B">
            <w:pPr>
              <w:adjustRightInd w:val="0"/>
              <w:spacing w:line="0" w:lineRule="atLeast"/>
              <w:jc w:val="both"/>
              <w:rPr>
                <w:rFonts w:hint="default" w:ascii="Times New Roman" w:hAnsi="Times New Roman" w:eastAsia="宋体" w:cs="Times New Roman"/>
                <w:color w:val="000000" w:themeColor="text1"/>
                <w:spacing w:val="-1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本</w:t>
            </w: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已提出土壤污染防治措施，本</w:t>
            </w: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不涉及涉重金属行业污染防控，产生的危险废物委托有</w:t>
            </w: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危险废物经营许可证的单位利用</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处置。</w:t>
            </w:r>
          </w:p>
        </w:tc>
        <w:tc>
          <w:tcPr>
            <w:tcW w:w="420" w:type="pct"/>
            <w:noWrap w:val="0"/>
            <w:vAlign w:val="center"/>
          </w:tcPr>
          <w:p w14:paraId="76175FAF">
            <w:pPr>
              <w:autoSpaceDE w:val="0"/>
              <w:autoSpaceDN w:val="0"/>
              <w:adjustRightInd w:val="0"/>
              <w:spacing w:line="0" w:lineRule="atLeast"/>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符合</w:t>
            </w:r>
          </w:p>
        </w:tc>
      </w:tr>
    </w:tbl>
    <w:p w14:paraId="20F30D1A">
      <w:pPr>
        <w:pStyle w:val="36"/>
        <w:keepNext w:val="0"/>
        <w:keepLines w:val="0"/>
        <w:pageBreakBefore w:val="0"/>
        <w:kinsoku/>
        <w:wordWrap/>
        <w:overflowPunct/>
        <w:topLinePunct w:val="0"/>
        <w:autoSpaceDE/>
        <w:autoSpaceDN/>
        <w:bidi w:val="0"/>
        <w:snapToGrid w:val="0"/>
        <w:spacing w:after="0" w:line="360" w:lineRule="auto"/>
        <w:ind w:left="0" w:leftChars="0" w:firstLine="480" w:firstLineChars="200"/>
        <w:textAlignment w:val="auto"/>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综上所述，</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根据《关于印发〈新疆维吾尔自治区生态环境分区管控动态更新成果〉的通知》（新环环评发〔2024〕157号）《关于印发〈阿克苏地区生态环境分区管控方案（2023版）〉的通知》（阿地环字〔2024〕32号）</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及《新疆维吾尔自治区七大片区“三线一单”生态环境分区管控要求》</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工程位于新和</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县一般管控单元（环境管控单元编码：ZH65292530001），不涉及生态保护红线，</w:t>
      </w:r>
      <w:r>
        <w:rPr>
          <w:rFonts w:hint="default" w:ascii="Times New Roman" w:hAnsi="Times New Roman" w:eastAsia="宋体" w:cs="Times New Roman"/>
          <w:b w:val="0"/>
          <w:bCs w:val="0"/>
          <w:color w:val="000000" w:themeColor="text1"/>
          <w:spacing w:val="8"/>
          <w:kern w:val="24"/>
          <w:sz w:val="24"/>
          <w:szCs w:val="24"/>
          <w:highlight w:val="none"/>
          <w:lang w:val="en-US" w:eastAsia="zh-CN"/>
          <w14:textFill>
            <w14:solidFill>
              <w14:schemeClr w14:val="tx1"/>
            </w14:solidFill>
          </w14:textFill>
        </w:rPr>
        <w:t>距离塔里木河流域土地沙化防控与生物多样性维护生态保护红线区22.8km</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本工程建设</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满足区域生态环境准入清单要求和一般管控单元的空间布局约束、污染物排放管控、环境风险防控和资源利用效率的要求，</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符合生态环境分区管控要求</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p>
    <w:p w14:paraId="2384D072">
      <w:pP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pPr>
    </w:p>
    <w:p w14:paraId="45F5382D">
      <w:pPr>
        <w:pStyle w:val="3"/>
        <w:pageBreakBefore w:val="0"/>
        <w:widowControl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52" w:name="_Toc10586"/>
      <w:r>
        <w:rPr>
          <w:rFonts w:hint="default"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选址选线合理性分析</w:t>
      </w:r>
      <w:bookmarkEnd w:id="740"/>
      <w:bookmarkEnd w:id="752"/>
    </w:p>
    <w:p w14:paraId="5B6E2ECC">
      <w:pPr>
        <w:pStyle w:val="11"/>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zh-CN" w:eastAsia="zh-CN"/>
          <w14:textFill>
            <w14:solidFill>
              <w14:schemeClr w14:val="tx1"/>
            </w14:solidFill>
          </w14:textFill>
        </w:rPr>
        <w:t>根据《环境影响评价技术导则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highlight w:val="none"/>
          <w:lang w:val="zh-CN" w:eastAsia="zh-CN"/>
          <w14:textFill>
            <w14:solidFill>
              <w14:schemeClr w14:val="tx1"/>
            </w14:solidFill>
          </w14:textFill>
        </w:rPr>
        <w:t>陆地石油天然气开发建设项目》（HJ349-2023）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要求“</w:t>
      </w:r>
      <w:r>
        <w:rPr>
          <w:rFonts w:hint="eastAsia" w:ascii="Times New Roman" w:hAnsi="Times New Roman" w:eastAsia="宋体" w:cs="Times New Roman"/>
          <w:color w:val="000000" w:themeColor="text1"/>
          <w:highlight w:val="none"/>
          <w:lang w:val="zh-CN" w:eastAsia="zh-CN"/>
          <w14:textFill>
            <w14:solidFill>
              <w14:schemeClr w14:val="tx1"/>
            </w14:solidFill>
          </w14:textFill>
        </w:rPr>
        <w:t>涉及环境敏感区或环境影响显著的新建项目、新增用地的滚动开发区块项目，应重点从环境制约因素、环境影响程度等方面进行选址、工艺等建设方案环境比选，从环境保护角度明确推荐方案。新建油气集输工程应从穿（跨）越位置、穿越方式、施工场地设置等方面进行比选论证。新开发区块项目、新增用地的滚动开发区块项目、新建油气集输工程的项目应避绕HJ 19规定生态敏感区中的法定禁止开发区域。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63426A06">
      <w:pPr>
        <w:pStyle w:val="11"/>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本工程所在新和县位于</w:t>
      </w:r>
      <w:r>
        <w:rPr>
          <w:rFonts w:hint="eastAsia" w:ascii="宋体" w:hAnsi="宋体" w:eastAsia="宋体" w:cs="宋体"/>
          <w:color w:val="000000" w:themeColor="text1"/>
          <w:highlight w:val="none"/>
          <w:lang w:val="en-US" w:eastAsia="zh-CN"/>
          <w14:textFill>
            <w14:solidFill>
              <w14:schemeClr w14:val="tx1"/>
            </w14:solidFill>
          </w14:textFill>
        </w:rPr>
        <w:t>Ⅱ</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塔里木河流域重点治理区，属于环境敏感区中“水土流失重点预防区和重点治理区”。本工程属于新开发区块，占地范围内无法定生态保护区域、重要生境以及其他具有重要生态功能、对保护生物多样性具有重要意义的区域。</w:t>
      </w:r>
    </w:p>
    <w:p w14:paraId="712A46E1">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3.5.1环境制约因素方面</w:t>
      </w:r>
    </w:p>
    <w:p w14:paraId="7B13F2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本项目建设内容</w:t>
      </w:r>
      <w:r>
        <w:rPr>
          <w:rFonts w:hint="eastAsia" w:eastAsia="宋体" w:cs="Times New Roman"/>
          <w:color w:val="000000" w:themeColor="text1"/>
          <w:sz w:val="24"/>
          <w:szCs w:val="24"/>
          <w:highlight w:val="none"/>
          <w:lang w:val="en-US" w:eastAsia="zh-CN" w:bidi="ar-SA"/>
          <w14:textFill>
            <w14:solidFill>
              <w14:schemeClr w14:val="tx1"/>
            </w14:solidFill>
          </w14:textFill>
        </w:rPr>
        <w:t>主要为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①</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建设拉油流程1座</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新建电磁加热器1台、计量分离器</w:t>
      </w:r>
      <w:r>
        <w:rPr>
          <w:rFonts w:hint="eastAsia" w:cs="Times New Roman"/>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w:t>
      </w:r>
      <w:r>
        <w:rPr>
          <w:rFonts w:hint="eastAsia" w:cs="Times New Roman"/>
          <w:color w:val="000000" w:themeColor="text1"/>
          <w:sz w:val="24"/>
          <w:szCs w:val="24"/>
          <w:highlight w:val="none"/>
          <w:lang w:val="en-US" w:eastAsia="zh-CN" w:bidi="ar-SA"/>
          <w14:textFill>
            <w14:solidFill>
              <w14:schemeClr w14:val="tx1"/>
            </w14:solidFill>
          </w14:textFill>
        </w:rPr>
        <w:t>多功能储集器4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台，配套火炬及装车实现原油装车外运，天然气经油气计量分离器分离后，湿气销售至第三方公司，由第三方公司处理后装车外销。</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油气分离后凝析油装车外运至雅克拉集气处理站处理。</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4"/>
          <w:szCs w:val="24"/>
          <w:highlight w:val="none"/>
          <w14:textFill>
            <w14:solidFill>
              <w14:schemeClr w14:val="tx1"/>
            </w14:solidFill>
          </w14:textFill>
        </w:rPr>
        <w:t>建设电力、自控、</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构、通信、消防等公辅工程。</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本工程产能规模为凝析油</w:t>
      </w:r>
      <w:r>
        <w:rPr>
          <w:rFonts w:hint="eastAsia" w:cs="Times New Roman"/>
          <w:color w:val="000000" w:themeColor="text1"/>
          <w:sz w:val="24"/>
          <w:szCs w:val="24"/>
          <w:highlight w:val="none"/>
          <w:lang w:val="en-US" w:eastAsia="zh-CN" w:bidi="ar-SA"/>
          <w14:textFill>
            <w14:solidFill>
              <w14:schemeClr w14:val="tx1"/>
            </w14:solidFill>
          </w14:textFill>
        </w:rPr>
        <w:t>33.9</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d，天然气</w:t>
      </w:r>
      <w:r>
        <w:rPr>
          <w:rFonts w:hint="eastAsia" w:cs="Times New Roman"/>
          <w:color w:val="000000" w:themeColor="text1"/>
          <w:sz w:val="24"/>
          <w:szCs w:val="24"/>
          <w:highlight w:val="none"/>
          <w:lang w:val="en-US" w:eastAsia="zh-CN" w:bidi="ar-SA"/>
          <w14:textFill>
            <w14:solidFill>
              <w14:schemeClr w14:val="tx1"/>
            </w14:solidFill>
          </w14:textFill>
        </w:rPr>
        <w:t>18.2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w:t>
      </w:r>
    </w:p>
    <w:p w14:paraId="1C724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（1）井场选址分析</w:t>
      </w:r>
    </w:p>
    <w:p w14:paraId="1B069C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根据现场调查和资料搜集，本项目与西南侧生态保护红线距离</w:t>
      </w:r>
      <w:r>
        <w:rPr>
          <w:rFonts w:hint="eastAsia" w:eastAsia="宋体" w:cs="Times New Roman"/>
          <w:color w:val="000000" w:themeColor="text1"/>
          <w:sz w:val="24"/>
          <w:szCs w:val="24"/>
          <w:highlight w:val="none"/>
          <w:lang w:val="en-US" w:eastAsia="zh-CN" w:bidi="ar-SA"/>
          <w14:textFill>
            <w14:solidFill>
              <w14:schemeClr w14:val="tx1"/>
            </w14:solidFill>
          </w14:textFill>
        </w:rPr>
        <w:t>22.8</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km，评价范围内不涉及国家公园、自然保护区、风景名胜区、世界文化和自然遗产地、海洋特别保护区、饮用水水源保护区；项目与西</w:t>
      </w:r>
      <w:r>
        <w:rPr>
          <w:rFonts w:hint="eastAsia" w:eastAsia="宋体" w:cs="Times New Roman"/>
          <w:color w:val="000000" w:themeColor="text1"/>
          <w:sz w:val="24"/>
          <w:szCs w:val="24"/>
          <w:highlight w:val="none"/>
          <w:lang w:val="en-US" w:eastAsia="zh-CN" w:bidi="ar-SA"/>
          <w14:textFill>
            <w14:solidFill>
              <w14:schemeClr w14:val="tx1"/>
            </w14:solidFill>
          </w14:textFill>
        </w:rPr>
        <w:t>北</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侧</w:t>
      </w:r>
      <w:r>
        <w:rPr>
          <w:rFonts w:hint="eastAsia" w:eastAsia="宋体" w:cs="Times New Roman"/>
          <w:color w:val="000000" w:themeColor="text1"/>
          <w:sz w:val="24"/>
          <w:szCs w:val="24"/>
          <w:highlight w:val="none"/>
          <w:lang w:val="en-US" w:eastAsia="zh-CN" w:bidi="ar-SA"/>
          <w14:textFill>
            <w14:solidFill>
              <w14:schemeClr w14:val="tx1"/>
            </w14:solidFill>
          </w14:textFill>
        </w:rPr>
        <w:t>永久基本农田最近</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约0.</w:t>
      </w:r>
      <w:r>
        <w:rPr>
          <w:rFonts w:hint="eastAsia" w:eastAsia="宋体" w:cs="Times New Roman"/>
          <w:color w:val="000000" w:themeColor="text1"/>
          <w:sz w:val="24"/>
          <w:szCs w:val="24"/>
          <w:highlight w:val="none"/>
          <w:lang w:val="en-US" w:eastAsia="zh-CN" w:bidi="ar-SA"/>
          <w14:textFill>
            <w14:solidFill>
              <w14:schemeClr w14:val="tx1"/>
            </w14:solidFill>
          </w14:textFill>
        </w:rPr>
        <w:t>02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km，项目不占用、不跨越永久基本农田、基本草原、自然公园（森林公园、地质公园、海洋公园等）、重要湿地，重点保护野生动物栖息地，重点保护野生植物生长繁殖地，重要水生生物的自然产卵场、索饵场、越冬场和洄游通道，天然渔场，沙化土地封禁保护区、封闭及半封闭海域。项目位于新和县玉奇喀特镇，距离镇中心约10km，评价范围内无以居住、医疗卫生、文化教育、科研、行政办公为主要功能的区域，以及文物保护单位。</w:t>
      </w:r>
    </w:p>
    <w:p w14:paraId="454313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eastAsia="宋体" w:cs="Times New Roman"/>
          <w:color w:val="000000" w:themeColor="text1"/>
          <w:sz w:val="24"/>
          <w:szCs w:val="24"/>
          <w:highlight w:val="none"/>
          <w:lang w:val="en-US" w:eastAsia="zh-CN" w:bidi="ar-SA"/>
          <w14:textFill>
            <w14:solidFill>
              <w14:schemeClr w14:val="tx1"/>
            </w14:solidFill>
          </w14:textFill>
        </w:rPr>
        <w:t>井场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生态评价范围内环境敏感区为“塔里木河流域水土流失重点治理区”</w:t>
      </w:r>
      <w:r>
        <w:rPr>
          <w:rFonts w:hint="eastAsia" w:eastAsia="宋体" w:cs="Times New Roman"/>
          <w:color w:val="000000" w:themeColor="text1"/>
          <w:sz w:val="24"/>
          <w:szCs w:val="24"/>
          <w:highlight w:val="none"/>
          <w:lang w:val="en-US" w:eastAsia="zh-CN" w:bidi="ar-SA"/>
          <w14:textFill>
            <w14:solidFill>
              <w14:schemeClr w14:val="tx1"/>
            </w14:solidFill>
          </w14:textFill>
        </w:rPr>
        <w:t>“永久基本农田”</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。项目区不涉及自然保护区、风景名胜区和饮用水水源保护区等特殊敏感区域和重要生态敏感区域。</w:t>
      </w:r>
    </w:p>
    <w:p w14:paraId="252DC1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项目属国家战略性矿产资源开发，</w:t>
      </w:r>
      <w:r>
        <w:rPr>
          <w:rFonts w:hint="eastAsia" w:eastAsia="宋体" w:cs="Times New Roman"/>
          <w:color w:val="000000" w:themeColor="text1"/>
          <w:sz w:val="24"/>
          <w:szCs w:val="24"/>
          <w:highlight w:val="none"/>
          <w:lang w:val="en-US" w:eastAsia="zh-CN" w:bidi="ar-SA"/>
          <w14:textFill>
            <w14:solidFill>
              <w14:schemeClr w14:val="tx1"/>
            </w14:solidFill>
          </w14:textFill>
        </w:rPr>
        <w:t>井口坐标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受地下油藏分布无法避让塔里木河流域水土流失重点治理区</w:t>
      </w:r>
      <w:r>
        <w:rPr>
          <w:rFonts w:hint="eastAsia" w:eastAsia="宋体" w:cs="Times New Roman"/>
          <w:color w:val="000000" w:themeColor="text1"/>
          <w:sz w:val="24"/>
          <w:szCs w:val="24"/>
          <w:highlight w:val="none"/>
          <w:lang w:val="en-US" w:eastAsia="zh-CN" w:bidi="ar-SA"/>
          <w14:textFill>
            <w14:solidFill>
              <w14:schemeClr w14:val="tx1"/>
            </w14:solidFill>
          </w14:textFill>
        </w:rPr>
        <w:t>，井场不占用永久基本农田，评级范围内涉及</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469B02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（2）管线选线合理性分析</w:t>
      </w:r>
    </w:p>
    <w:p w14:paraId="7DEB9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新建管线主要为单井至储罐管线，均在井场内，纳入井场征地手续范围内。</w:t>
      </w:r>
    </w:p>
    <w:p w14:paraId="4394CF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占地类型方面，本项目土地利用类型为</w:t>
      </w:r>
      <w:r>
        <w:rPr>
          <w:rFonts w:hint="eastAsia" w:cs="Times New Roman"/>
          <w:color w:val="000000" w:themeColor="text1"/>
          <w:sz w:val="24"/>
          <w:szCs w:val="24"/>
          <w:highlight w:val="none"/>
          <w:lang w:val="en-US" w:eastAsia="zh-CN" w:bidi="ar-SA"/>
          <w14:textFill>
            <w14:solidFill>
              <w14:schemeClr w14:val="tx1"/>
            </w14:solidFill>
          </w14:textFill>
        </w:rPr>
        <w:t>果园</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eastAsia="宋体" w:cs="Times New Roman"/>
          <w:color w:val="000000" w:themeColor="text1"/>
          <w:sz w:val="24"/>
          <w:szCs w:val="24"/>
          <w:highlight w:val="none"/>
          <w:lang w:val="en-US" w:eastAsia="zh-CN" w:bidi="ar-SA"/>
          <w14:textFill>
            <w14:solidFill>
              <w14:schemeClr w14:val="tx1"/>
            </w14:solidFill>
          </w14:textFill>
        </w:rPr>
        <w:t>井口坐标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受地下油藏分布，井场选址合理，管线为</w:t>
      </w:r>
      <w:r>
        <w:rPr>
          <w:rFonts w:hint="eastAsia" w:eastAsia="宋体" w:cs="Times New Roman"/>
          <w:color w:val="000000" w:themeColor="text1"/>
          <w:sz w:val="24"/>
          <w:szCs w:val="24"/>
          <w:highlight w:val="none"/>
          <w:lang w:val="en-US" w:eastAsia="zh-CN" w:bidi="ar-SA"/>
          <w14:textFill>
            <w14:solidFill>
              <w14:schemeClr w14:val="tx1"/>
            </w14:solidFill>
          </w14:textFill>
        </w:rPr>
        <w:t>井场内</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直线敷设，减少占地，本项目在占地类型方面选址较为合理。</w:t>
      </w:r>
    </w:p>
    <w:p w14:paraId="0B8DAA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受保护植被和动物方面，</w:t>
      </w:r>
      <w:r>
        <w:rPr>
          <w:rFonts w:hint="eastAsia" w:eastAsia="宋体" w:cs="Times New Roman"/>
          <w:color w:val="000000" w:themeColor="text1"/>
          <w:sz w:val="24"/>
          <w:szCs w:val="24"/>
          <w:highlight w:val="none"/>
          <w:lang w:val="en-US" w:eastAsia="zh-CN" w:bidi="ar-SA"/>
          <w14:textFill>
            <w14:solidFill>
              <w14:schemeClr w14:val="tx1"/>
            </w14:solidFill>
          </w14:textFill>
        </w:rPr>
        <w:t>项目位于</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玉奇喀特镇，周边为乡村道路和永久基本农田，</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根据《国家重点保护野生植物名录》和《新疆维吾尔自治区重点保护野生植物名录》，本项目区</w:t>
      </w:r>
      <w:r>
        <w:rPr>
          <w:rFonts w:hint="eastAsia" w:eastAsia="宋体" w:cs="Times New Roman"/>
          <w:color w:val="000000" w:themeColor="text1"/>
          <w:sz w:val="24"/>
          <w:szCs w:val="24"/>
          <w:highlight w:val="none"/>
          <w:lang w:val="en-US" w:eastAsia="zh-CN" w:bidi="ar-SA"/>
          <w14:textFill>
            <w14:solidFill>
              <w14:schemeClr w14:val="tx1"/>
            </w14:solidFill>
          </w14:textFill>
        </w:rPr>
        <w:t>占地范围内</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无重点野生植物，根据《国家重点保护野生动物名录》和《新疆维吾尔自治区重点保护野生动物名录》（2022年修订），项目占地范围内无重点野生动物。因此本项目在受保护植被和动物方面选址较为合理。</w:t>
      </w:r>
    </w:p>
    <w:p w14:paraId="11F64E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土壤扰动影响方面，</w:t>
      </w:r>
      <w:r>
        <w:rPr>
          <w:rFonts w:hint="eastAsia" w:eastAsia="宋体" w:cs="Times New Roman"/>
          <w:color w:val="000000" w:themeColor="text1"/>
          <w:sz w:val="24"/>
          <w:szCs w:val="24"/>
          <w:highlight w:val="none"/>
          <w:lang w:val="en-US" w:eastAsia="zh-CN" w:bidi="ar-SA"/>
          <w14:textFill>
            <w14:solidFill>
              <w14:schemeClr w14:val="tx1"/>
            </w14:solidFill>
          </w14:textFill>
        </w:rPr>
        <w:t>井场内</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管线采用两点之间取直的布线方式，降低了项目施工对土壤扰动的程度。总体上对项目施工对土壤的扰动影响的选址较为合理。</w:t>
      </w:r>
    </w:p>
    <w:p w14:paraId="2E89D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地质稳定性方面，本项目所在区域为平原区，无断层及不良地质条件，本项目在地质稳定性方面选址较为合理。</w:t>
      </w:r>
    </w:p>
    <w:p w14:paraId="1D65C9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项目属于石油天然气开发工程，符合国家产业定位和当地有关的矿产资源规划，符合国家对油气开发的部署。本项目与当地产业布局方向是一致的，总体看，项目开发产业总体布局基本合理，无重大环境制约因素。</w:t>
      </w:r>
    </w:p>
    <w:p w14:paraId="34E4D876">
      <w:pPr>
        <w:pStyle w:val="59"/>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5</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.2环境影响程度方面</w:t>
      </w:r>
    </w:p>
    <w:p w14:paraId="656043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本项目区不涉及自然保护区、风景名胜区和饮用水水源保护区等特殊敏感区域和重要生态敏感区域。项目所在区域属于塔里木河流域水土流失重点治理区，本项目无法避让塔里木河流域水土流失重点治理区，建设过程中将严格执行各项水土保持措施，以减小因工程建设带来的不利影响，从而减少水土流失。项目建设及运行过程中需按照设计及环评要求采取水土流失防治措施，根据项目影响分析，项目对周边产生的环境影响在可接受范围内。</w:t>
      </w:r>
    </w:p>
    <w:p w14:paraId="1403E1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从环境影响评价结果看，项目在采取环评提出的废气、废水、噪声、固体废物污染防治措施及生态保护措施后，项目实施不会改变区域的环境功能区和生态功能区要求，对周边环境的影响在可接受范围内。</w:t>
      </w:r>
    </w:p>
    <w:p w14:paraId="6CDCB44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综上，本工程选址、选线合理。</w:t>
      </w:r>
    </w:p>
    <w:p w14:paraId="687D6D6C">
      <w:pPr>
        <w:pStyle w:val="12"/>
        <w:pageBreakBefore w:val="0"/>
        <w:kinsoku/>
        <w:wordWrap/>
        <w:overflowPunct/>
        <w:topLinePunct w:val="0"/>
        <w:autoSpaceDE/>
        <w:autoSpaceDN/>
        <w:bidi w:val="0"/>
        <w:adjustRightInd w:val="0"/>
        <w:snapToGrid w:val="0"/>
        <w:textAlignment w:val="auto"/>
        <w:rPr>
          <w:rFonts w:hint="eastAsia" w:eastAsia="宋体"/>
          <w:color w:val="000000" w:themeColor="text1"/>
          <w:highlight w:val="none"/>
          <w:lang w:eastAsia="zh-CN"/>
          <w14:textFill>
            <w14:solidFill>
              <w14:schemeClr w14:val="tx1"/>
            </w14:solidFill>
          </w14:textFill>
        </w:rPr>
      </w:pPr>
    </w:p>
    <w:p w14:paraId="7B23DC61">
      <w:pPr>
        <w:pStyle w:val="2"/>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36"/>
          <w:szCs w:val="36"/>
          <w:highlight w:val="none"/>
          <w14:textFill>
            <w14:solidFill>
              <w14:schemeClr w14:val="tx1"/>
            </w14:solidFill>
          </w14:textFill>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53" w:name="_Toc75438891"/>
      <w:bookmarkStart w:id="754" w:name="_Toc7750"/>
    </w:p>
    <w:p w14:paraId="32AB23EE">
      <w:pPr>
        <w:pStyle w:val="2"/>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36"/>
          <w:szCs w:val="36"/>
          <w:highlight w:val="none"/>
          <w14:textFill>
            <w14:solidFill>
              <w14:schemeClr w14:val="tx1"/>
            </w14:solidFill>
          </w14:textFill>
        </w:rPr>
      </w:pPr>
      <w:bookmarkStart w:id="755" w:name="_Toc30921"/>
      <w:r>
        <w:rPr>
          <w:rFonts w:hint="default" w:ascii="Times New Roman" w:hAnsi="Times New Roman" w:cs="Times New Roman"/>
          <w:color w:val="000000" w:themeColor="text1"/>
          <w:sz w:val="36"/>
          <w:szCs w:val="36"/>
          <w:highlight w:val="none"/>
          <w14:textFill>
            <w14:solidFill>
              <w14:schemeClr w14:val="tx1"/>
            </w14:solidFill>
          </w14:textFill>
        </w:rPr>
        <w:t>4</w:t>
      </w:r>
      <w:bookmarkEnd w:id="753"/>
      <w:bookmarkEnd w:id="754"/>
      <w:r>
        <w:rPr>
          <w:rFonts w:hint="default" w:ascii="Times New Roman" w:hAnsi="Times New Roman" w:cs="Times New Roman"/>
          <w:color w:val="000000" w:themeColor="text1"/>
          <w:sz w:val="36"/>
          <w:szCs w:val="36"/>
          <w:highlight w:val="none"/>
          <w:lang w:val="en-US" w:eastAsia="zh-CN"/>
          <w14:textFill>
            <w14:solidFill>
              <w14:schemeClr w14:val="tx1"/>
            </w14:solidFill>
          </w14:textFill>
        </w:rPr>
        <w:t>环境现状调查与评价</w:t>
      </w:r>
      <w:bookmarkEnd w:id="755"/>
    </w:p>
    <w:p w14:paraId="6BD31486">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56" w:name="_Toc374724183"/>
      <w:bookmarkStart w:id="757" w:name="_Toc42981108"/>
      <w:bookmarkStart w:id="758" w:name="_Toc508291886"/>
      <w:bookmarkStart w:id="759" w:name="_Toc75438892"/>
      <w:bookmarkStart w:id="760" w:name="_Toc26151"/>
      <w:bookmarkStart w:id="761" w:name="_Toc29127"/>
      <w:r>
        <w:rPr>
          <w:rFonts w:hint="default" w:ascii="Times New Roman" w:hAnsi="Times New Roman" w:cs="Times New Roman"/>
          <w:color w:val="000000" w:themeColor="text1"/>
          <w:highlight w:val="none"/>
          <w14:textFill>
            <w14:solidFill>
              <w14:schemeClr w14:val="tx1"/>
            </w14:solidFill>
          </w14:textFill>
        </w:rPr>
        <w:t>4.1</w:t>
      </w:r>
      <w:bookmarkEnd w:id="756"/>
      <w:bookmarkEnd w:id="757"/>
      <w:bookmarkEnd w:id="758"/>
      <w:bookmarkEnd w:id="759"/>
      <w:bookmarkEnd w:id="760"/>
      <w:r>
        <w:rPr>
          <w:rFonts w:hint="default" w:ascii="Times New Roman" w:hAnsi="Times New Roman" w:cs="Times New Roman"/>
          <w:color w:val="000000" w:themeColor="text1"/>
          <w:highlight w:val="none"/>
          <w14:textFill>
            <w14:solidFill>
              <w14:schemeClr w14:val="tx1"/>
            </w14:solidFill>
          </w14:textFill>
        </w:rPr>
        <w:t>自然环境概况</w:t>
      </w:r>
      <w:bookmarkEnd w:id="761"/>
    </w:p>
    <w:p w14:paraId="29FBBBCC">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62" w:name="_Toc2407"/>
      <w:bookmarkStart w:id="763" w:name="_Toc14219"/>
      <w:bookmarkStart w:id="764" w:name="_Toc30227"/>
      <w:r>
        <w:rPr>
          <w:rFonts w:hint="default" w:ascii="Times New Roman" w:hAnsi="Times New Roman" w:cs="Times New Roman"/>
          <w:color w:val="000000" w:themeColor="text1"/>
          <w:highlight w:val="none"/>
          <w14:textFill>
            <w14:solidFill>
              <w14:schemeClr w14:val="tx1"/>
            </w14:solidFill>
          </w14:textFill>
        </w:rPr>
        <w:t>4.1.1</w:t>
      </w:r>
      <w:bookmarkEnd w:id="762"/>
      <w:bookmarkEnd w:id="763"/>
      <w:bookmarkEnd w:id="764"/>
      <w:r>
        <w:rPr>
          <w:rFonts w:hint="default" w:ascii="Times New Roman" w:hAnsi="Times New Roman" w:cs="Times New Roman"/>
          <w:color w:val="000000" w:themeColor="text1"/>
          <w:highlight w:val="none"/>
          <w14:textFill>
            <w14:solidFill>
              <w14:schemeClr w14:val="tx1"/>
            </w14:solidFill>
          </w14:textFill>
        </w:rPr>
        <w:t>地理位置</w:t>
      </w:r>
    </w:p>
    <w:p w14:paraId="596349B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765" w:name="OLE_LINK512"/>
      <w:bookmarkStart w:id="766" w:name="OLE_LINK516"/>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w:t>
      </w:r>
      <w:bookmarkEnd w:id="765"/>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县</w:t>
      </w:r>
      <w:bookmarkEnd w:id="766"/>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位于新疆维吾尔自治区阿克苏地区东部，地处天山南麓、塔里木盆地北缘。地理坐标为东经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81°05~82°43'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北纬40°45'~41°45'。东隔渭干河与库车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相望</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，西以喀拉玉尔滚山为界与阿克苏市、温宿县相交，北依天山支脉却勒塔格山与拜城县毗邻，南与沙雅县英买力乡、二牧场接壤，属暖温带大陆干旱性气候，冬季干冷、夏季干热，总面积5820.46平方千米。</w:t>
      </w:r>
      <w:bookmarkStart w:id="767" w:name="OLE_LINK511"/>
    </w:p>
    <w:bookmarkEnd w:id="767"/>
    <w:p w14:paraId="60EAE4A7">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768" w:name="_Toc21001"/>
      <w:bookmarkStart w:id="769" w:name="_Toc6707"/>
      <w:bookmarkStart w:id="770" w:name="_Toc18201"/>
      <w:r>
        <w:rPr>
          <w:rFonts w:hint="default" w:ascii="Times New Roman" w:hAnsi="Times New Roman" w:cs="Times New Roman"/>
          <w:color w:val="000000" w:themeColor="text1"/>
          <w:highlight w:val="none"/>
          <w14:textFill>
            <w14:solidFill>
              <w14:schemeClr w14:val="tx1"/>
            </w14:solidFill>
          </w14:textFill>
        </w:rPr>
        <w:t>4.1.2</w:t>
      </w:r>
      <w:bookmarkEnd w:id="768"/>
      <w:bookmarkEnd w:id="769"/>
      <w:bookmarkEnd w:id="770"/>
      <w:bookmarkStart w:id="771" w:name="OLE_LINK517"/>
      <w:r>
        <w:rPr>
          <w:rFonts w:hint="default" w:ascii="Times New Roman" w:hAnsi="Times New Roman" w:cs="Times New Roman"/>
          <w:color w:val="000000" w:themeColor="text1"/>
          <w:highlight w:val="none"/>
          <w14:textFill>
            <w14:solidFill>
              <w14:schemeClr w14:val="tx1"/>
            </w14:solidFill>
          </w14:textFill>
        </w:rPr>
        <w:t>地形地貌</w:t>
      </w:r>
      <w:bookmarkEnd w:id="771"/>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bookmarkStart w:id="772" w:name="_Toc30359"/>
      <w:bookmarkStart w:id="773" w:name="_Toc20882"/>
      <w:bookmarkStart w:id="774" w:name="_Toc28229"/>
    </w:p>
    <w:p w14:paraId="545707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775" w:name="OLE_LINK513"/>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w:t>
      </w:r>
      <w:r>
        <w:rPr>
          <w:rFonts w:hint="eastAsia" w:cs="Times New Roman"/>
          <w:color w:val="000000" w:themeColor="text1"/>
          <w:sz w:val="24"/>
          <w:szCs w:val="24"/>
          <w:highlight w:val="none"/>
          <w:lang w:val="en-US" w:eastAsia="zh-CN"/>
          <w14:textFill>
            <w14:solidFill>
              <w14:schemeClr w14:val="tx1"/>
            </w14:solidFill>
          </w14:textFill>
        </w:rPr>
        <w:t>县地貌可分为平原和山地两大类型。天山支脉却勒塔格山蜿蜒县境北部，呈东西走向，由第三纪红色岩构成，表层岩石出露，占全县总面积的12.8%，山峰最高点为海拔2212m。平原可分为</w:t>
      </w:r>
      <w:bookmarkStart w:id="776" w:name="OLE_LINK518"/>
      <w:r>
        <w:rPr>
          <w:rFonts w:hint="eastAsia" w:cs="Times New Roman"/>
          <w:color w:val="000000" w:themeColor="text1"/>
          <w:sz w:val="24"/>
          <w:szCs w:val="24"/>
          <w:highlight w:val="none"/>
          <w:lang w:val="en-US" w:eastAsia="zh-CN"/>
          <w14:textFill>
            <w14:solidFill>
              <w14:schemeClr w14:val="tx1"/>
            </w14:solidFill>
          </w14:textFill>
        </w:rPr>
        <w:t>渭干河冲积平原</w:t>
      </w:r>
      <w:bookmarkEnd w:id="776"/>
      <w:r>
        <w:rPr>
          <w:rFonts w:hint="eastAsia" w:cs="Times New Roman"/>
          <w:color w:val="000000" w:themeColor="text1"/>
          <w:sz w:val="24"/>
          <w:szCs w:val="24"/>
          <w:highlight w:val="none"/>
          <w:lang w:val="en-US" w:eastAsia="zh-CN"/>
          <w14:textFill>
            <w14:solidFill>
              <w14:schemeClr w14:val="tx1"/>
            </w14:solidFill>
          </w14:textFill>
        </w:rPr>
        <w:t>和却勒塔格山洪积平原。地形北高南低，由东北向西南倾斜，以渭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干河龙口为中心，呈扇形辐射状。自然坡降为1/100~1/200、1/400~1/1000，南部为1/2000~1/14500，平原北部山区海拔最高点1030m，平均海拔1015m，海拔最低点980m。东北部的渭干河出山后，即成散流，形成渭干河冲积平原。平原面积为4995k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，占总面积的85.8%。</w:t>
      </w:r>
    </w:p>
    <w:p w14:paraId="68FCAEF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本工程所在区域地处于渭干河冲积平原，地势平坦，土壤多盐碱，</w:t>
      </w:r>
      <w:r>
        <w:rPr>
          <w:rFonts w:hint="eastAsia" w:cs="Times New Roman"/>
          <w:color w:val="000000" w:themeColor="text1"/>
          <w:sz w:val="24"/>
          <w:szCs w:val="24"/>
          <w:highlight w:val="none"/>
          <w:lang w:val="en-US" w:eastAsia="zh-CN"/>
          <w14:textFill>
            <w14:solidFill>
              <w14:schemeClr w14:val="tx1"/>
            </w14:solidFill>
          </w14:textFill>
        </w:rPr>
        <w:t>海拔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为1000m左右，自然坡降为1/14500，局部地段地表层被风积沙覆盖。</w:t>
      </w:r>
    </w:p>
    <w:bookmarkEnd w:id="775"/>
    <w:p w14:paraId="113FD798">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77" w:name="_Toc31167"/>
      <w:bookmarkStart w:id="778" w:name="_Toc17245"/>
      <w:bookmarkStart w:id="779" w:name="_Toc21624"/>
      <w:r>
        <w:rPr>
          <w:rFonts w:hint="default" w:ascii="Times New Roman" w:hAnsi="Times New Roman" w:cs="Times New Roman"/>
          <w:color w:val="000000" w:themeColor="text1"/>
          <w:highlight w:val="none"/>
          <w14:textFill>
            <w14:solidFill>
              <w14:schemeClr w14:val="tx1"/>
            </w14:solidFill>
          </w14:textFill>
        </w:rPr>
        <w:t>4.1.</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工程地质</w:t>
      </w:r>
    </w:p>
    <w:p w14:paraId="4DB994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bookmarkStart w:id="780" w:name="OLE_LINK520"/>
      <w:r>
        <w:rPr>
          <w:rFonts w:hint="eastAsia" w:cs="Times New Roman"/>
          <w:color w:val="000000" w:themeColor="text1"/>
          <w:sz w:val="24"/>
          <w:szCs w:val="24"/>
          <w:highlight w:val="none"/>
          <w:lang w:val="en-US" w:eastAsia="zh-CN"/>
          <w14:textFill>
            <w14:solidFill>
              <w14:schemeClr w14:val="tx1"/>
            </w14:solidFill>
          </w14:textFill>
        </w:rPr>
        <w:t>本工程所在区域构造位置属于库车拗陷和沙雅隆起的结合部位，位于沙雅隆起大尤</w:t>
      </w:r>
      <w:bookmarkEnd w:id="780"/>
      <w:r>
        <w:rPr>
          <w:rFonts w:hint="eastAsia" w:cs="Times New Roman"/>
          <w:color w:val="000000" w:themeColor="text1"/>
          <w:sz w:val="24"/>
          <w:szCs w:val="24"/>
          <w:highlight w:val="none"/>
          <w:lang w:val="en-US" w:eastAsia="zh-CN"/>
          <w14:textFill>
            <w14:solidFill>
              <w14:schemeClr w14:val="tx1"/>
            </w14:solidFill>
          </w14:textFill>
        </w:rPr>
        <w:t>都斯断裂带。沿大尤都斯断裂带-牙哈断裂带分布有羊塔克、牙哈、大涝坝等油气田，主要含油气层系为古近系、白垩系及潜山，是油气有利汇聚区。冻土深度一般冻土深度0.8m，最大冻土深度1.2m。地震基本烈度为7度，地基承载力标准为110kPa。</w:t>
      </w:r>
    </w:p>
    <w:p w14:paraId="1ABF5A76">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781" w:name="OLE_LINK270"/>
      <w:bookmarkStart w:id="782" w:name="OLE_LINK519"/>
      <w:r>
        <w:rPr>
          <w:rFonts w:hint="default" w:ascii="Times New Roman" w:hAnsi="Times New Roman" w:cs="Times New Roman"/>
          <w:color w:val="000000" w:themeColor="text1"/>
          <w:highlight w:val="none"/>
          <w14:textFill>
            <w14:solidFill>
              <w14:schemeClr w14:val="tx1"/>
            </w14:solidFill>
          </w14:textFill>
        </w:rPr>
        <w:t>4.1</w:t>
      </w:r>
      <w:r>
        <w:rPr>
          <w:rFonts w:hint="default" w:ascii="Times New Roman" w:hAnsi="Times New Roman" w:eastAsia="宋体" w:cs="Times New Roman"/>
          <w:color w:val="000000" w:themeColor="text1"/>
          <w:highlight w:val="none"/>
          <w14:textFill>
            <w14:solidFill>
              <w14:schemeClr w14:val="tx1"/>
            </w14:solidFill>
          </w14:textFill>
        </w:rPr>
        <w:t>.</w:t>
      </w:r>
      <w:bookmarkEnd w:id="777"/>
      <w:bookmarkEnd w:id="778"/>
      <w:bookmarkEnd w:id="779"/>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水文及水文地质</w:t>
      </w:r>
      <w:bookmarkEnd w:id="781"/>
    </w:p>
    <w:p w14:paraId="1729339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highlight w:val="none"/>
          <w:lang w:val="en-US" w:eastAsia="zh-CN"/>
          <w14:textFill>
            <w14:solidFill>
              <w14:schemeClr w14:val="tx1"/>
            </w14:solidFill>
          </w14:textFill>
        </w:rPr>
      </w:pPr>
      <w:bookmarkStart w:id="783" w:name="OLE_LINK521"/>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新和县</w:t>
      </w:r>
      <w:bookmarkEnd w:id="783"/>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拥有水资源量为7.8亿立方米，其中地表水6.33亿立方米，主要来自渭干河，渭干河多年径流量22.4亿立方米。全县</w:t>
      </w:r>
      <w:r>
        <w:rPr>
          <w:rFonts w:hint="eastAsia" w:cs="Times New Roman"/>
          <w:color w:val="000000" w:themeColor="text1"/>
          <w:sz w:val="24"/>
          <w:szCs w:val="24"/>
          <w:highlight w:val="none"/>
          <w:lang w:val="en-US" w:eastAsia="zh-CN"/>
          <w14:textFill>
            <w14:solidFill>
              <w14:schemeClr w14:val="tx1"/>
            </w14:solidFill>
          </w14:textFill>
        </w:rPr>
        <w:t>平均每年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引水量为6.04亿立方米，实际从渭干河引水量约在7.92亿立方米。渭干河年径流量较稳定，克孜尔水库多年平均流量75.0</w:t>
      </w:r>
      <w:r>
        <w:rPr>
          <w:rFonts w:hint="eastAsia" w:cs="Times New Roman"/>
          <w:color w:val="000000" w:themeColor="text1"/>
          <w:sz w:val="24"/>
          <w:szCs w:val="24"/>
          <w:highlight w:val="none"/>
          <w:lang w:val="en-US" w:eastAsia="zh-CN"/>
          <w14:textFill>
            <w14:solidFill>
              <w14:schemeClr w14:val="tx1"/>
            </w14:solidFill>
          </w14:textFill>
        </w:rPr>
        <w:t>立方米每秒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，年径流量23.7×10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立方米，实测最大流量 1840</w:t>
      </w:r>
      <w:r>
        <w:rPr>
          <w:rFonts w:hint="eastAsia" w:cs="Times New Roman"/>
          <w:color w:val="000000" w:themeColor="text1"/>
          <w:sz w:val="24"/>
          <w:szCs w:val="24"/>
          <w:highlight w:val="none"/>
          <w:lang w:val="en-US" w:eastAsia="zh-CN"/>
          <w14:textFill>
            <w14:solidFill>
              <w14:schemeClr w14:val="tx1"/>
            </w14:solidFill>
          </w14:textFill>
        </w:rPr>
        <w:t>立方米每秒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，实测最小流量14.4</w:t>
      </w:r>
      <w:r>
        <w:rPr>
          <w:rFonts w:hint="eastAsia" w:cs="Times New Roman"/>
          <w:color w:val="000000" w:themeColor="text1"/>
          <w:sz w:val="24"/>
          <w:szCs w:val="24"/>
          <w:highlight w:val="none"/>
          <w:lang w:val="en-US" w:eastAsia="zh-CN"/>
          <w14:textFill>
            <w14:solidFill>
              <w14:schemeClr w14:val="tx1"/>
            </w14:solidFill>
          </w14:textFill>
        </w:rPr>
        <w:t>立方米每秒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。渭干河径流量年内变化大，季节分配不平衡，6～8月径流量占全年径流量的48.4%，9</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11月占全年径流量的 22.11%，12月至次年2月占全年径流量的15%，3</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5月占全年径流量的14.5%。新和县近10年灌区平均引水量6.44亿立方米，其中春季3～5月引水量13846.8 万立方米，夏季6～8月引水量29622.4万立方米，秋季9～11月引水量12228.4 万立方米，冬季12月至次年2月引水量8652.96万立方米。</w:t>
      </w:r>
    </w:p>
    <w:p w14:paraId="106328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地下水主要来自渭干河、水库、各干支渠及田间渗漏补给。地下水可分为第四纪孔隙潜水和孔隙承压水两大类。新和县地下水有三层含水层，即一层潜水含水层和两层承压水层，潜水含水层隔水层底板埋深在50～80米，含水层水质较差；第一层</w:t>
      </w:r>
      <w:r>
        <w:rPr>
          <w:rFonts w:hint="eastAsia" w:cs="Times New Roman"/>
          <w:color w:val="000000" w:themeColor="text1"/>
          <w:sz w:val="24"/>
          <w:szCs w:val="24"/>
          <w:highlight w:val="none"/>
          <w:lang w:val="en-US" w:eastAsia="zh-CN"/>
          <w14:textFill>
            <w14:solidFill>
              <w14:schemeClr w14:val="tx1"/>
            </w14:solidFill>
          </w14:textFill>
        </w:rPr>
        <w:t>承压水位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80～110米，水量可达1000～3500吨/日，第二层</w:t>
      </w:r>
      <w:r>
        <w:rPr>
          <w:rFonts w:hint="eastAsia" w:cs="Times New Roman"/>
          <w:color w:val="000000" w:themeColor="text1"/>
          <w:sz w:val="24"/>
          <w:szCs w:val="24"/>
          <w:highlight w:val="none"/>
          <w:lang w:val="en-US" w:eastAsia="zh-CN"/>
          <w14:textFill>
            <w14:solidFill>
              <w14:schemeClr w14:val="tx1"/>
            </w14:solidFill>
          </w14:textFill>
        </w:rPr>
        <w:t>承压水位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130米以下，水量可达1000～25000吨/日，水质较好，适宜开采。地下水主要分布在渭干乡的布喀塔木村、尤鲁都斯巴格镇、玉奇喀特镇、依其艾日克镇、桑塔木村、塔木托格拉克乡等6</w:t>
      </w:r>
      <w:r>
        <w:rPr>
          <w:rFonts w:hint="eastAsia" w:cs="Times New Roman"/>
          <w:color w:val="000000" w:themeColor="text1"/>
          <w:sz w:val="24"/>
          <w:szCs w:val="24"/>
          <w:highlight w:val="none"/>
          <w:lang w:val="en-US" w:eastAsia="zh-CN"/>
          <w14:textFill>
            <w14:solidFill>
              <w14:schemeClr w14:val="tx1"/>
            </w14:solidFill>
          </w14:textFill>
        </w:rPr>
        <w:t>个</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水源地。地下水年补给量3.47亿立方米，可开采量1.56亿立方米，已开采量约0.92亿立方米，地下水利用率仅为4.6%。</w:t>
      </w:r>
    </w:p>
    <w:p w14:paraId="4DE17A6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784" w:name="OLE_LINK522"/>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新和县县域内有</w:t>
      </w:r>
      <w:bookmarkEnd w:id="784"/>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五一水库1座，设计库容4690万立方米。水库自新沙分水闸引水，控制灌溉面积8000公顷，库区面积14平方千米，2002年该水库除险加固后设计水位1028.5米，设计库容3900万立方米，为调节水库。</w:t>
      </w:r>
    </w:p>
    <w:p w14:paraId="135B1F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新和县县域内有湖泊5处（野鸭湖、素喀库勒湖、阿勒吞达希湖、依干库勒湖、硝尔库勒湖），但大多数是农区排碱渠水溢出在洼地上形成，少数是地下水位高，溢出地面而形成湖泊。</w:t>
      </w:r>
    </w:p>
    <w:bookmarkEnd w:id="782"/>
    <w:p w14:paraId="2A68DF52">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785" w:name="_Toc6462"/>
      <w:bookmarkStart w:id="786" w:name="_Toc21505"/>
      <w:bookmarkStart w:id="787" w:name="_Toc16350"/>
      <w:r>
        <w:rPr>
          <w:rFonts w:hint="default" w:ascii="Times New Roman" w:hAnsi="Times New Roman" w:eastAsia="宋体" w:cs="Times New Roman"/>
          <w:color w:val="000000" w:themeColor="text1"/>
          <w:highlight w:val="none"/>
          <w14:textFill>
            <w14:solidFill>
              <w14:schemeClr w14:val="tx1"/>
            </w14:solidFill>
          </w14:textFill>
        </w:rPr>
        <w:t>4.1.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气候气象</w:t>
      </w:r>
      <w:bookmarkEnd w:id="785"/>
      <w:bookmarkEnd w:id="786"/>
      <w:bookmarkEnd w:id="787"/>
    </w:p>
    <w:p w14:paraId="06CCF5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新和县地处暖温带，属暖温带大陆性干旱气候</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，光照充足，</w:t>
      </w:r>
      <w:r>
        <w:rPr>
          <w:rFonts w:hint="default" w:ascii="Times New Roman" w:hAnsi="Times New Roman" w:eastAsia="宋体" w:cs="Times New Roman"/>
          <w:color w:val="000000" w:themeColor="text1"/>
          <w:sz w:val="24"/>
          <w:szCs w:val="24"/>
          <w:highlight w:val="none"/>
          <w14:textFill>
            <w14:solidFill>
              <w14:schemeClr w14:val="tx1"/>
            </w14:solidFill>
          </w14:textFill>
        </w:rPr>
        <w:t>热量丰富，气候干燥，降水稀少，蒸发强烈，风沙活动频繁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夏季炎热，冬季干冷，年温差和日温差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均较</w:t>
      </w:r>
      <w:r>
        <w:rPr>
          <w:rFonts w:hint="default" w:ascii="Times New Roman" w:hAnsi="Times New Roman" w:eastAsia="宋体" w:cs="Times New Roman"/>
          <w:color w:val="000000" w:themeColor="text1"/>
          <w:sz w:val="24"/>
          <w:szCs w:val="24"/>
          <w:highlight w:val="none"/>
          <w14:textFill>
            <w14:solidFill>
              <w14:schemeClr w14:val="tx1"/>
            </w14:solidFill>
          </w14:textFill>
        </w:rPr>
        <w:t>大。据新和县气象站多年观测资料统计，主要常规气象要素统计资料见表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4.1-1。</w:t>
      </w:r>
    </w:p>
    <w:p w14:paraId="010D399C">
      <w:pPr>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表4.1-1   新和县主要气候气象参数一览表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4"/>
        <w:gridCol w:w="2447"/>
        <w:gridCol w:w="1179"/>
        <w:gridCol w:w="604"/>
        <w:gridCol w:w="2182"/>
        <w:gridCol w:w="1393"/>
      </w:tblGrid>
      <w:tr w14:paraId="77B6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1D38722F">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bookmarkStart w:id="788" w:name="OLE_LINK986"/>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463" w:type="pct"/>
            <w:noWrap w:val="0"/>
            <w:vAlign w:val="center"/>
          </w:tcPr>
          <w:p w14:paraId="0D19411A">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705" w:type="pct"/>
            <w:noWrap w:val="0"/>
            <w:vAlign w:val="center"/>
          </w:tcPr>
          <w:p w14:paraId="3CF2D366">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统计结果</w:t>
            </w:r>
          </w:p>
        </w:tc>
        <w:tc>
          <w:tcPr>
            <w:tcW w:w="361" w:type="pct"/>
            <w:noWrap w:val="0"/>
            <w:vAlign w:val="center"/>
          </w:tcPr>
          <w:p w14:paraId="6AF13C55">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305" w:type="pct"/>
            <w:noWrap w:val="0"/>
            <w:vAlign w:val="center"/>
          </w:tcPr>
          <w:p w14:paraId="1EB15138">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833" w:type="pct"/>
            <w:noWrap w:val="0"/>
            <w:vAlign w:val="center"/>
          </w:tcPr>
          <w:p w14:paraId="23B5832C">
            <w:pPr>
              <w:spacing w:line="0" w:lineRule="atLeas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统计结果</w:t>
            </w:r>
          </w:p>
        </w:tc>
      </w:tr>
      <w:tr w14:paraId="1D24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18317C86">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1463" w:type="pct"/>
            <w:noWrap w:val="0"/>
            <w:vAlign w:val="center"/>
          </w:tcPr>
          <w:p w14:paraId="01134152">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年平均气温</w:t>
            </w:r>
          </w:p>
        </w:tc>
        <w:tc>
          <w:tcPr>
            <w:tcW w:w="705" w:type="pct"/>
            <w:noWrap w:val="0"/>
            <w:vAlign w:val="center"/>
          </w:tcPr>
          <w:p w14:paraId="1A244491">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ascii="Times New Roman" w:hAnsi="Times New Roman" w:cs="Times New Roman"/>
                <w:color w:val="000000" w:themeColor="text1"/>
                <w:sz w:val="21"/>
                <w:szCs w:val="21"/>
                <w:highlight w:val="none"/>
                <w14:textFill>
                  <w14:solidFill>
                    <w14:schemeClr w14:val="tx1"/>
                  </w14:solidFill>
                </w14:textFill>
              </w:rPr>
              <w:t>℃</w:t>
            </w:r>
          </w:p>
        </w:tc>
        <w:tc>
          <w:tcPr>
            <w:tcW w:w="361" w:type="pct"/>
            <w:noWrap w:val="0"/>
            <w:vAlign w:val="center"/>
          </w:tcPr>
          <w:p w14:paraId="46B5F116">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7</w:t>
            </w:r>
          </w:p>
        </w:tc>
        <w:tc>
          <w:tcPr>
            <w:tcW w:w="1305" w:type="pct"/>
            <w:noWrap w:val="0"/>
            <w:vAlign w:val="center"/>
          </w:tcPr>
          <w:p w14:paraId="77216A7F">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年平均风速</w:t>
            </w:r>
          </w:p>
        </w:tc>
        <w:tc>
          <w:tcPr>
            <w:tcW w:w="833" w:type="pct"/>
            <w:noWrap w:val="0"/>
            <w:vAlign w:val="center"/>
          </w:tcPr>
          <w:p w14:paraId="76897A0E">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bookmarkStart w:id="789" w:name="OLE_LINK523"/>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w:t>
            </w:r>
            <w:r>
              <w:rPr>
                <w:rFonts w:ascii="Times New Roman" w:hAnsi="Times New Roman" w:cs="Times New Roman"/>
                <w:color w:val="000000" w:themeColor="text1"/>
                <w:sz w:val="21"/>
                <w:szCs w:val="21"/>
                <w:highlight w:val="none"/>
                <w14:textFill>
                  <w14:solidFill>
                    <w14:schemeClr w14:val="tx1"/>
                  </w14:solidFill>
                </w14:textFill>
              </w:rPr>
              <w:t>m/s</w:t>
            </w:r>
            <w:bookmarkEnd w:id="789"/>
          </w:p>
        </w:tc>
      </w:tr>
      <w:tr w14:paraId="499F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663A0D75">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1463" w:type="pct"/>
            <w:noWrap w:val="0"/>
            <w:vAlign w:val="center"/>
          </w:tcPr>
          <w:p w14:paraId="4C1CEE17">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极端最高气温</w:t>
            </w:r>
          </w:p>
        </w:tc>
        <w:tc>
          <w:tcPr>
            <w:tcW w:w="705" w:type="pct"/>
            <w:noWrap w:val="0"/>
            <w:vAlign w:val="center"/>
          </w:tcPr>
          <w:p w14:paraId="054902D1">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4</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w:t>
            </w:r>
            <w:r>
              <w:rPr>
                <w:rFonts w:ascii="Times New Roman" w:hAnsi="Times New Roman" w:cs="Times New Roman"/>
                <w:color w:val="000000" w:themeColor="text1"/>
                <w:sz w:val="21"/>
                <w:szCs w:val="21"/>
                <w:highlight w:val="none"/>
                <w14:textFill>
                  <w14:solidFill>
                    <w14:schemeClr w14:val="tx1"/>
                  </w14:solidFill>
                </w14:textFill>
              </w:rPr>
              <w:t>℃</w:t>
            </w:r>
          </w:p>
        </w:tc>
        <w:tc>
          <w:tcPr>
            <w:tcW w:w="361" w:type="pct"/>
            <w:noWrap w:val="0"/>
            <w:vAlign w:val="center"/>
          </w:tcPr>
          <w:p w14:paraId="2DA2CD6B">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8</w:t>
            </w:r>
          </w:p>
        </w:tc>
        <w:tc>
          <w:tcPr>
            <w:tcW w:w="1305" w:type="pct"/>
            <w:noWrap w:val="0"/>
            <w:vAlign w:val="center"/>
          </w:tcPr>
          <w:p w14:paraId="07408033">
            <w:pPr>
              <w:spacing w:line="0" w:lineRule="atLeas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瞬间最大风速</w:t>
            </w:r>
          </w:p>
        </w:tc>
        <w:tc>
          <w:tcPr>
            <w:tcW w:w="833" w:type="pct"/>
            <w:noWrap w:val="0"/>
            <w:vAlign w:val="center"/>
          </w:tcPr>
          <w:p w14:paraId="668248DF">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34</w:t>
            </w:r>
            <w:r>
              <w:rPr>
                <w:rFonts w:ascii="Times New Roman" w:hAnsi="Times New Roman" w:cs="Times New Roman"/>
                <w:color w:val="000000" w:themeColor="text1"/>
                <w:sz w:val="21"/>
                <w:szCs w:val="21"/>
                <w:highlight w:val="none"/>
                <w14:textFill>
                  <w14:solidFill>
                    <w14:schemeClr w14:val="tx1"/>
                  </w14:solidFill>
                </w14:textFill>
              </w:rPr>
              <w:t>m/s</w:t>
            </w:r>
          </w:p>
        </w:tc>
      </w:tr>
      <w:tr w14:paraId="26A9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3DDD72D4">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3</w:t>
            </w:r>
          </w:p>
        </w:tc>
        <w:tc>
          <w:tcPr>
            <w:tcW w:w="1463" w:type="pct"/>
            <w:noWrap w:val="0"/>
            <w:vAlign w:val="center"/>
          </w:tcPr>
          <w:p w14:paraId="5856737B">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极端最低气温</w:t>
            </w:r>
          </w:p>
        </w:tc>
        <w:tc>
          <w:tcPr>
            <w:tcW w:w="705" w:type="pct"/>
            <w:noWrap w:val="0"/>
            <w:vAlign w:val="center"/>
          </w:tcPr>
          <w:p w14:paraId="47D37204">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7.4</w:t>
            </w:r>
            <w:r>
              <w:rPr>
                <w:rFonts w:ascii="Times New Roman" w:hAnsi="Times New Roman" w:cs="Times New Roman"/>
                <w:color w:val="000000" w:themeColor="text1"/>
                <w:sz w:val="21"/>
                <w:szCs w:val="21"/>
                <w:highlight w:val="none"/>
                <w14:textFill>
                  <w14:solidFill>
                    <w14:schemeClr w14:val="tx1"/>
                  </w14:solidFill>
                </w14:textFill>
              </w:rPr>
              <w:t>℃</w:t>
            </w:r>
          </w:p>
        </w:tc>
        <w:tc>
          <w:tcPr>
            <w:tcW w:w="361" w:type="pct"/>
            <w:noWrap w:val="0"/>
            <w:vAlign w:val="center"/>
          </w:tcPr>
          <w:p w14:paraId="5447C6BC">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9</w:t>
            </w:r>
          </w:p>
        </w:tc>
        <w:tc>
          <w:tcPr>
            <w:tcW w:w="1305" w:type="pct"/>
            <w:noWrap w:val="0"/>
            <w:vAlign w:val="center"/>
          </w:tcPr>
          <w:p w14:paraId="64A0BB61">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主导</w:t>
            </w:r>
            <w:r>
              <w:rPr>
                <w:rFonts w:hint="eastAsia" w:ascii="Times New Roman" w:hAnsi="Times New Roman" w:cs="Times New Roman"/>
                <w:color w:val="000000" w:themeColor="text1"/>
                <w:sz w:val="21"/>
                <w:szCs w:val="21"/>
                <w:highlight w:val="none"/>
                <w14:textFill>
                  <w14:solidFill>
                    <w14:schemeClr w14:val="tx1"/>
                  </w14:solidFill>
                </w14:textFill>
              </w:rPr>
              <w:t>风向</w:t>
            </w:r>
          </w:p>
        </w:tc>
        <w:tc>
          <w:tcPr>
            <w:tcW w:w="833" w:type="pct"/>
            <w:noWrap w:val="0"/>
            <w:vAlign w:val="center"/>
          </w:tcPr>
          <w:p w14:paraId="5BC5D641">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E</w:t>
            </w:r>
            <w:r>
              <w:rPr>
                <w:rFonts w:hint="eastAsia" w:ascii="Times New Roman" w:hAnsi="Times New Roman" w:cs="Times New Roman"/>
                <w:color w:val="000000" w:themeColor="text1"/>
                <w:sz w:val="21"/>
                <w:szCs w:val="21"/>
                <w:highlight w:val="none"/>
                <w14:textFill>
                  <w14:solidFill>
                    <w14:schemeClr w14:val="tx1"/>
                  </w14:solidFill>
                </w14:textFill>
              </w:rPr>
              <w:t>N</w:t>
            </w:r>
          </w:p>
        </w:tc>
      </w:tr>
      <w:tr w14:paraId="0988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635E626F">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4</w:t>
            </w:r>
          </w:p>
        </w:tc>
        <w:tc>
          <w:tcPr>
            <w:tcW w:w="1463" w:type="pct"/>
            <w:noWrap w:val="0"/>
            <w:vAlign w:val="center"/>
          </w:tcPr>
          <w:p w14:paraId="399BAA5B">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bookmarkStart w:id="790" w:name="OLE_LINK524"/>
            <w:r>
              <w:rPr>
                <w:rFonts w:hint="eastAsia" w:ascii="Times New Roman" w:hAnsi="Times New Roman" w:cs="Times New Roman"/>
                <w:color w:val="000000" w:themeColor="text1"/>
                <w:sz w:val="21"/>
                <w:szCs w:val="21"/>
                <w:highlight w:val="none"/>
                <w14:textFill>
                  <w14:solidFill>
                    <w14:schemeClr w14:val="tx1"/>
                  </w14:solidFill>
                </w14:textFill>
              </w:rPr>
              <w:t>年均日照小时</w:t>
            </w:r>
            <w:bookmarkEnd w:id="790"/>
            <w:r>
              <w:rPr>
                <w:rFonts w:hint="eastAsia" w:ascii="Times New Roman" w:hAnsi="Times New Roman" w:cs="Times New Roman"/>
                <w:color w:val="000000" w:themeColor="text1"/>
                <w:sz w:val="21"/>
                <w:szCs w:val="21"/>
                <w:highlight w:val="none"/>
                <w14:textFill>
                  <w14:solidFill>
                    <w14:schemeClr w14:val="tx1"/>
                  </w14:solidFill>
                </w14:textFill>
              </w:rPr>
              <w:t>数</w:t>
            </w:r>
          </w:p>
        </w:tc>
        <w:tc>
          <w:tcPr>
            <w:tcW w:w="705" w:type="pct"/>
            <w:noWrap w:val="0"/>
            <w:vAlign w:val="center"/>
          </w:tcPr>
          <w:p w14:paraId="407A4B18">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2886.7</w:t>
            </w:r>
            <w:r>
              <w:rPr>
                <w:rFonts w:ascii="Times New Roman" w:hAnsi="Times New Roman" w:cs="Times New Roman"/>
                <w:color w:val="000000" w:themeColor="text1"/>
                <w:sz w:val="21"/>
                <w:szCs w:val="21"/>
                <w:highlight w:val="none"/>
                <w14:textFill>
                  <w14:solidFill>
                    <w14:schemeClr w14:val="tx1"/>
                  </w14:solidFill>
                </w14:textFill>
              </w:rPr>
              <w:t>h</w:t>
            </w:r>
          </w:p>
        </w:tc>
        <w:tc>
          <w:tcPr>
            <w:tcW w:w="361" w:type="pct"/>
            <w:noWrap w:val="0"/>
            <w:vAlign w:val="center"/>
          </w:tcPr>
          <w:p w14:paraId="40E64C7A">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10</w:t>
            </w:r>
          </w:p>
        </w:tc>
        <w:tc>
          <w:tcPr>
            <w:tcW w:w="1305" w:type="pct"/>
            <w:noWrap w:val="0"/>
            <w:vAlign w:val="center"/>
          </w:tcPr>
          <w:p w14:paraId="4AF89F97">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bookmarkStart w:id="791" w:name="OLE_LINK526"/>
            <w:r>
              <w:rPr>
                <w:rFonts w:ascii="Times New Roman" w:hAnsi="Times New Roman" w:cs="Times New Roman"/>
                <w:color w:val="000000" w:themeColor="text1"/>
                <w:sz w:val="21"/>
                <w:szCs w:val="21"/>
                <w:highlight w:val="none"/>
                <w14:textFill>
                  <w14:solidFill>
                    <w14:schemeClr w14:val="tx1"/>
                  </w14:solidFill>
                </w14:textFill>
              </w:rPr>
              <w:t>日最大降雨量</w:t>
            </w:r>
            <w:bookmarkEnd w:id="791"/>
          </w:p>
        </w:tc>
        <w:tc>
          <w:tcPr>
            <w:tcW w:w="833" w:type="pct"/>
            <w:noWrap w:val="0"/>
            <w:vAlign w:val="center"/>
          </w:tcPr>
          <w:p w14:paraId="4027E6CA">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21.4</w:t>
            </w:r>
            <w:r>
              <w:rPr>
                <w:rFonts w:ascii="Times New Roman" w:hAnsi="Times New Roman" w:cs="Times New Roman"/>
                <w:color w:val="000000" w:themeColor="text1"/>
                <w:sz w:val="21"/>
                <w:szCs w:val="21"/>
                <w:highlight w:val="none"/>
                <w14:textFill>
                  <w14:solidFill>
                    <w14:schemeClr w14:val="tx1"/>
                  </w14:solidFill>
                </w14:textFill>
              </w:rPr>
              <w:t>mm</w:t>
            </w:r>
          </w:p>
        </w:tc>
      </w:tr>
      <w:tr w14:paraId="409D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0DD9E7DA">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w:t>
            </w:r>
          </w:p>
        </w:tc>
        <w:tc>
          <w:tcPr>
            <w:tcW w:w="1463" w:type="pct"/>
            <w:noWrap w:val="0"/>
            <w:vAlign w:val="center"/>
          </w:tcPr>
          <w:p w14:paraId="348BEB93">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最大冻土深度</w:t>
            </w:r>
          </w:p>
        </w:tc>
        <w:tc>
          <w:tcPr>
            <w:tcW w:w="705" w:type="pct"/>
            <w:noWrap w:val="0"/>
            <w:vAlign w:val="center"/>
          </w:tcPr>
          <w:p w14:paraId="16651157">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w:t>
            </w:r>
            <w:r>
              <w:rPr>
                <w:rFonts w:ascii="Times New Roman" w:hAnsi="Times New Roman" w:cs="Times New Roman"/>
                <w:color w:val="000000" w:themeColor="text1"/>
                <w:sz w:val="21"/>
                <w:szCs w:val="21"/>
                <w:highlight w:val="none"/>
                <w14:textFill>
                  <w14:solidFill>
                    <w14:schemeClr w14:val="tx1"/>
                  </w14:solidFill>
                </w14:textFill>
              </w:rPr>
              <w:t>m</w:t>
            </w:r>
          </w:p>
        </w:tc>
        <w:tc>
          <w:tcPr>
            <w:tcW w:w="361" w:type="pct"/>
            <w:noWrap w:val="0"/>
            <w:vAlign w:val="center"/>
          </w:tcPr>
          <w:p w14:paraId="70437604">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11</w:t>
            </w:r>
          </w:p>
        </w:tc>
        <w:tc>
          <w:tcPr>
            <w:tcW w:w="1305" w:type="pct"/>
            <w:noWrap w:val="0"/>
            <w:vAlign w:val="center"/>
          </w:tcPr>
          <w:p w14:paraId="012E19C8">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平均年降水量</w:t>
            </w:r>
          </w:p>
        </w:tc>
        <w:tc>
          <w:tcPr>
            <w:tcW w:w="833" w:type="pct"/>
            <w:noWrap w:val="0"/>
            <w:vAlign w:val="center"/>
          </w:tcPr>
          <w:p w14:paraId="7A0437D3">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51.9</w:t>
            </w:r>
            <w:r>
              <w:rPr>
                <w:rFonts w:ascii="Times New Roman" w:hAnsi="Times New Roman" w:cs="Times New Roman"/>
                <w:color w:val="000000" w:themeColor="text1"/>
                <w:sz w:val="21"/>
                <w:szCs w:val="21"/>
                <w:highlight w:val="none"/>
                <w14:textFill>
                  <w14:solidFill>
                    <w14:schemeClr w14:val="tx1"/>
                  </w14:solidFill>
                </w14:textFill>
              </w:rPr>
              <w:t>mm</w:t>
            </w:r>
          </w:p>
        </w:tc>
      </w:tr>
      <w:tr w14:paraId="5579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noWrap w:val="0"/>
            <w:vAlign w:val="center"/>
          </w:tcPr>
          <w:p w14:paraId="2B661076">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6</w:t>
            </w:r>
          </w:p>
        </w:tc>
        <w:tc>
          <w:tcPr>
            <w:tcW w:w="1463" w:type="pct"/>
            <w:noWrap w:val="0"/>
            <w:vAlign w:val="center"/>
          </w:tcPr>
          <w:p w14:paraId="4A52AD52">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bookmarkStart w:id="792" w:name="OLE_LINK525"/>
            <w:r>
              <w:rPr>
                <w:rFonts w:ascii="Times New Roman" w:hAnsi="Times New Roman" w:cs="Times New Roman"/>
                <w:color w:val="000000" w:themeColor="text1"/>
                <w:sz w:val="21"/>
                <w:szCs w:val="21"/>
                <w:highlight w:val="none"/>
                <w14:textFill>
                  <w14:solidFill>
                    <w14:schemeClr w14:val="tx1"/>
                  </w14:solidFill>
                </w14:textFill>
              </w:rPr>
              <w:t>年平均相对湿度</w:t>
            </w:r>
            <w:bookmarkEnd w:id="792"/>
          </w:p>
        </w:tc>
        <w:tc>
          <w:tcPr>
            <w:tcW w:w="705" w:type="pct"/>
            <w:noWrap w:val="0"/>
            <w:vAlign w:val="center"/>
          </w:tcPr>
          <w:p w14:paraId="66B1B468">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ascii="Times New Roman" w:hAnsi="Times New Roman" w:cs="Times New Roman"/>
                <w:color w:val="000000" w:themeColor="text1"/>
                <w:sz w:val="21"/>
                <w:szCs w:val="21"/>
                <w:highlight w:val="none"/>
                <w14:textFill>
                  <w14:solidFill>
                    <w14:schemeClr w14:val="tx1"/>
                  </w14:solidFill>
                </w14:textFill>
              </w:rPr>
              <w:t>%</w:t>
            </w:r>
          </w:p>
        </w:tc>
        <w:tc>
          <w:tcPr>
            <w:tcW w:w="361" w:type="pct"/>
            <w:noWrap w:val="0"/>
            <w:vAlign w:val="center"/>
          </w:tcPr>
          <w:p w14:paraId="528BDE73">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12</w:t>
            </w:r>
          </w:p>
        </w:tc>
        <w:tc>
          <w:tcPr>
            <w:tcW w:w="1305" w:type="pct"/>
            <w:noWrap w:val="0"/>
            <w:vAlign w:val="center"/>
          </w:tcPr>
          <w:p w14:paraId="5865D1AD">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年平均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总</w:t>
            </w:r>
            <w:r>
              <w:rPr>
                <w:rFonts w:ascii="Times New Roman" w:hAnsi="Times New Roman" w:cs="Times New Roman"/>
                <w:color w:val="000000" w:themeColor="text1"/>
                <w:sz w:val="21"/>
                <w:szCs w:val="21"/>
                <w:highlight w:val="none"/>
                <w14:textFill>
                  <w14:solidFill>
                    <w14:schemeClr w14:val="tx1"/>
                  </w14:solidFill>
                </w14:textFill>
              </w:rPr>
              <w:t>蒸发量</w:t>
            </w:r>
          </w:p>
        </w:tc>
        <w:tc>
          <w:tcPr>
            <w:tcW w:w="833" w:type="pct"/>
            <w:noWrap w:val="0"/>
            <w:vAlign w:val="center"/>
          </w:tcPr>
          <w:p w14:paraId="0CEA003E">
            <w:pPr>
              <w:spacing w:line="0" w:lineRule="atLeas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070</w:t>
            </w:r>
            <w:r>
              <w:rPr>
                <w:rFonts w:ascii="Times New Roman" w:hAnsi="Times New Roman" w:cs="Times New Roman"/>
                <w:color w:val="000000" w:themeColor="text1"/>
                <w:sz w:val="21"/>
                <w:szCs w:val="21"/>
                <w:highlight w:val="none"/>
                <w14:textFill>
                  <w14:solidFill>
                    <w14:schemeClr w14:val="tx1"/>
                  </w14:solidFill>
                </w14:textFill>
              </w:rPr>
              <w:t>mm</w:t>
            </w:r>
          </w:p>
        </w:tc>
      </w:tr>
      <w:bookmarkEnd w:id="788"/>
    </w:tbl>
    <w:p w14:paraId="72920337">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93" w:name="_Toc19612"/>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生态环境现状调查与评价</w:t>
      </w:r>
      <w:bookmarkEnd w:id="793"/>
    </w:p>
    <w:p w14:paraId="17D9DC9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794" w:name="_Toc11024"/>
      <w:bookmarkStart w:id="795" w:name="_Toc2114"/>
      <w:bookmarkStart w:id="796" w:name="_Toc31002"/>
      <w:bookmarkStart w:id="797" w:name="_Toc22759"/>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w:t>
      </w:r>
      <w:bookmarkEnd w:id="794"/>
      <w:bookmarkEnd w:id="795"/>
      <w:bookmarkEnd w:id="796"/>
      <w:r>
        <w:rPr>
          <w:rFonts w:hint="default" w:ascii="Times New Roman" w:hAnsi="Times New Roman" w:cs="Times New Roman"/>
          <w:color w:val="000000" w:themeColor="text1"/>
          <w:highlight w:val="none"/>
          <w14:textFill>
            <w14:solidFill>
              <w14:schemeClr w14:val="tx1"/>
            </w14:solidFill>
          </w14:textFill>
        </w:rPr>
        <w:t>调查方法及评价内容</w:t>
      </w:r>
    </w:p>
    <w:p w14:paraId="495C42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（1）调查范围</w:t>
      </w:r>
    </w:p>
    <w:p w14:paraId="2F742B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本工程</w:t>
      </w:r>
      <w:r>
        <w:rPr>
          <w:rFonts w:hint="eastAsia" w:cs="Times New Roman"/>
          <w:b w:val="0"/>
          <w:bCs/>
          <w:snapToGrid/>
          <w:color w:val="000000" w:themeColor="text1"/>
          <w:sz w:val="24"/>
          <w:szCs w:val="24"/>
          <w:highlight w:val="none"/>
          <w:lang w:val="en-US" w:eastAsia="zh-CN"/>
          <w14:textFill>
            <w14:solidFill>
              <w14:schemeClr w14:val="tx1"/>
            </w14:solidFill>
          </w14:textFill>
        </w:rPr>
        <w:t>位于阿克苏地区新和县境内，</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本工程</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根据工程分析，</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本工程总</w:t>
      </w:r>
      <w:r>
        <w:rPr>
          <w:rFonts w:hint="default" w:ascii="Times New Roman" w:hAnsi="Times New Roman" w:cs="Times New Roman"/>
          <w:color w:val="000000" w:themeColor="text1"/>
          <w:highlight w:val="none"/>
          <w14:textFill>
            <w14:solidFill>
              <w14:schemeClr w14:val="tx1"/>
            </w14:solidFill>
          </w14:textFill>
        </w:rPr>
        <w:t>占地面积为</w:t>
      </w:r>
      <w:r>
        <w:rPr>
          <w:rFonts w:hint="eastAsia" w:cs="Times New Roman"/>
          <w:snapToGrid w:val="0"/>
          <w:color w:val="000000" w:themeColor="text1"/>
          <w:sz w:val="24"/>
          <w:szCs w:val="24"/>
          <w:highlight w:val="none"/>
          <w:lang w:val="en-US" w:eastAsia="zh-CN"/>
          <w14:textFill>
            <w14:solidFill>
              <w14:schemeClr w14:val="tx1"/>
            </w14:solidFill>
          </w14:textFill>
        </w:rPr>
        <w:t>2.4828</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hm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2</w:t>
      </w:r>
      <w:r>
        <w:rPr>
          <w:rFonts w:hint="eastAsia" w:cs="Times New Roman"/>
          <w:snapToGrid w:val="0"/>
          <w:color w:val="000000" w:themeColor="text1"/>
          <w:sz w:val="24"/>
          <w:szCs w:val="24"/>
          <w:highlight w:val="none"/>
          <w:vertAlign w:val="baseline"/>
          <w:lang w:eastAsia="zh-CN"/>
          <w14:textFill>
            <w14:solidFill>
              <w14:schemeClr w14:val="tx1"/>
            </w14:solidFill>
          </w14:textFill>
        </w:rPr>
        <w:t>，</w:t>
      </w:r>
      <w:r>
        <w:rPr>
          <w:rFonts w:hint="eastAsia" w:cs="Times New Roman"/>
          <w:snapToGrid w:val="0"/>
          <w:color w:val="000000" w:themeColor="text1"/>
          <w:sz w:val="24"/>
          <w:szCs w:val="24"/>
          <w:highlight w:val="none"/>
          <w:vertAlign w:val="baseline"/>
          <w:lang w:val="en-US" w:eastAsia="zh-CN"/>
          <w14:textFill>
            <w14:solidFill>
              <w14:schemeClr w14:val="tx1"/>
            </w14:solidFill>
          </w14:textFill>
        </w:rPr>
        <w:t>永久占地为1.4328hm</w:t>
      </w:r>
      <w:r>
        <w:rPr>
          <w:rFonts w:hint="eastAsia" w:cs="Times New Roman"/>
          <w:snapToGrid w:val="0"/>
          <w:color w:val="000000" w:themeColor="text1"/>
          <w:sz w:val="24"/>
          <w:szCs w:val="24"/>
          <w:highlight w:val="none"/>
          <w:vertAlign w:val="superscript"/>
          <w:lang w:val="en-US" w:eastAsia="zh-CN"/>
          <w14:textFill>
            <w14:solidFill>
              <w14:schemeClr w14:val="tx1"/>
            </w14:solidFill>
          </w14:textFill>
        </w:rPr>
        <w:t>2</w:t>
      </w:r>
      <w:r>
        <w:rPr>
          <w:rFonts w:hint="eastAsia" w:cs="Times New Roman"/>
          <w:snapToGrid w:val="0"/>
          <w:color w:val="000000" w:themeColor="text1"/>
          <w:sz w:val="24"/>
          <w:szCs w:val="24"/>
          <w:highlight w:val="none"/>
          <w:vertAlign w:val="baseline"/>
          <w:lang w:val="en-US" w:eastAsia="zh-CN"/>
          <w14:textFill>
            <w14:solidFill>
              <w14:schemeClr w14:val="tx1"/>
            </w14:solidFill>
          </w14:textFill>
        </w:rPr>
        <w:t>，临时占地1.05hm</w:t>
      </w:r>
      <w:r>
        <w:rPr>
          <w:rFonts w:hint="eastAsia" w:cs="Times New Roman"/>
          <w:snapToGrid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根据《环境影响评价技术导则 生态影响》（HJ19-2022）及《</w:t>
      </w:r>
      <w:r>
        <w:rPr>
          <w:rFonts w:hint="eastAsia" w:cs="Times New Roman"/>
          <w:b w:val="0"/>
          <w:bCs/>
          <w:snapToGrid/>
          <w:color w:val="000000" w:themeColor="text1"/>
          <w:sz w:val="24"/>
          <w:szCs w:val="24"/>
          <w:highlight w:val="none"/>
          <w:lang w:val="en-US" w:eastAsia="zh-CN"/>
          <w14:textFill>
            <w14:solidFill>
              <w14:schemeClr w14:val="tx1"/>
            </w14:solidFill>
          </w14:textFill>
        </w:rPr>
        <w:t>环境影响评价技术导则 陆地石油天然气开发建设项目</w:t>
      </w: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》（HJ349-2023），</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本工程</w:t>
      </w: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以井场场界周围50m范围为</w:t>
      </w:r>
      <w:r>
        <w:rPr>
          <w:rFonts w:hint="eastAsia" w:cs="Times New Roman"/>
          <w:b w:val="0"/>
          <w:bCs/>
          <w:snapToGrid/>
          <w:color w:val="000000" w:themeColor="text1"/>
          <w:sz w:val="24"/>
          <w:szCs w:val="24"/>
          <w:highlight w:val="none"/>
          <w:lang w:val="en-US" w:eastAsia="zh-CN"/>
          <w14:textFill>
            <w14:solidFill>
              <w14:schemeClr w14:val="tx1"/>
            </w14:solidFill>
          </w14:textFill>
        </w:rPr>
        <w:t>生态</w:t>
      </w:r>
      <w:r>
        <w:rPr>
          <w:rFonts w:hint="default" w:ascii="Times New Roman" w:hAnsi="Times New Roman" w:cs="Times New Roman"/>
          <w:b w:val="0"/>
          <w:bCs/>
          <w:snapToGrid/>
          <w:color w:val="000000" w:themeColor="text1"/>
          <w:sz w:val="24"/>
          <w:szCs w:val="24"/>
          <w:highlight w:val="none"/>
          <w:lang w:val="en-US" w:eastAsia="zh-CN"/>
          <w14:textFill>
            <w14:solidFill>
              <w14:schemeClr w14:val="tx1"/>
            </w14:solidFill>
          </w14:textFill>
        </w:rPr>
        <w:t>评价范围。</w:t>
      </w:r>
    </w:p>
    <w:p w14:paraId="48544A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（2）调查内容</w:t>
      </w:r>
    </w:p>
    <w:p w14:paraId="240ADD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A.调查评价范围内的</w:t>
      </w: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植物区系、植被类型；动物区系、物种组成及分布特征；生态系统的类型、特征；重要野生动植物等。</w:t>
      </w:r>
    </w:p>
    <w:p w14:paraId="11BC99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B.调查生态敏感区的主要保护对象、功能区划、保护要求。</w:t>
      </w:r>
    </w:p>
    <w:p w14:paraId="347CF2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C.调查区域存在的主要生态问题。</w:t>
      </w:r>
    </w:p>
    <w:p w14:paraId="15BA1C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（3）调查方法</w:t>
      </w:r>
    </w:p>
    <w:p w14:paraId="5E02F2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本评价生态特征调查采用资料收集、现场踏勘结合遥感解译的方法。在资料收集、分析和现场踏勘调查的基础上，利用“3S”等技术手段，进行数据采集，对资料、信息和数据进行汇总、整理、分析，并完成生态制图。</w:t>
      </w:r>
    </w:p>
    <w:p w14:paraId="0BFACD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A.基础资料收集</w:t>
      </w:r>
    </w:p>
    <w:p w14:paraId="51304F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收集</w:t>
      </w:r>
      <w:r>
        <w:rPr>
          <w:rFonts w:hint="eastAsia" w:cs="Times New Roman"/>
          <w:b w:val="0"/>
          <w:bCs/>
          <w:snapToGrid/>
          <w:color w:val="000000" w:themeColor="text1"/>
          <w:sz w:val="24"/>
          <w:szCs w:val="24"/>
          <w:highlight w:val="none"/>
          <w:lang w:val="en-US" w:eastAsia="zh-CN"/>
          <w14:textFill>
            <w14:solidFill>
              <w14:schemeClr w14:val="tx1"/>
            </w14:solidFill>
          </w14:textFill>
        </w:rPr>
        <w:t>工程</w:t>
      </w: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周边地区非生物因子特征（气候、土壤、地形地貌、水文地质等）、动植物类型及分布、植被类型及分布、生态功能区划、土地利用等资料，还参考了《新疆植物志》《新疆脊椎动物简志》《中国新疆野生动物》等著作及相关科研论文。</w:t>
      </w:r>
    </w:p>
    <w:p w14:paraId="42410C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B.现场勘查</w:t>
      </w:r>
    </w:p>
    <w:p w14:paraId="4D4C26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1）陆生植被调查</w:t>
      </w:r>
    </w:p>
    <w:p w14:paraId="15539A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本次调查主要在收集整理工程区域及邻近地区的现有生物多样性资料、综合分析现有资料的基础上，结合实地调查结果，获取评价区陆生植被现状。</w:t>
      </w:r>
    </w:p>
    <w:p w14:paraId="3CB03C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cs="Times New Roman"/>
          <w:b w:val="0"/>
          <w:bCs/>
          <w:snapToGrid/>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）陆生动物调查</w:t>
      </w:r>
    </w:p>
    <w:p w14:paraId="19C305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搜集参照《生物多样性观测技术导则 陆生哺乳动物（HJ 710.3-2014）》《生物多样性观测技术导则 鸟类（HJ 710.4-2014）》《生物多样性观测技术导则 爬行动物（ HJ 710.5-2014）》《生物多样性观测技术导则 两栖动物（HJ 710.6-2014）》等确定的技术方法，本次陆生动物调查主要通过收集整理工程涉及区域现有生物多样性资料、野外踪迹进行调查的方法，结合现场调查结果确定动物种类及数量，最终对评价区的动物资源现状得出综合结论。</w:t>
      </w:r>
    </w:p>
    <w:p w14:paraId="33C31E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C.生态制图</w:t>
      </w:r>
    </w:p>
    <w:p w14:paraId="404680C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highlight w:val="none"/>
          <w14:textFill>
            <w14:solidFill>
              <w14:schemeClr w14:val="tx1"/>
            </w14:solidFill>
          </w14:textFill>
        </w:rPr>
      </w:pP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采用“3S”技术进行地表类型的数字化判读，完成数字化的植被类型图和土地利用类型图。本次遥感数据采用Landsat8 OLI卫星遥感影像，从遥感信息获取的地面覆盖类型，在地面调查和历史资料基础上进行综合判读，采用监督分类的方法最终赋予生态学的含义。植被类型的确定需结合不同植被类型分布的生态学特征，不单纯依靠色彩进行划分，对监督分类产生的植被初图，结合地面样点和等高线、坡度、坡向等信息，对植被图进行目视解译校正，得到符合精度要求的植被图。在植被图的基础上，进一步合并有关地面类型，得到土地利用类型图</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w:t>
      </w:r>
    </w:p>
    <w:p w14:paraId="283FC30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zh-CN"/>
          <w14:textFill>
            <w14:solidFill>
              <w14:schemeClr w14:val="tx1"/>
            </w14:solidFill>
          </w14:textFill>
        </w:rPr>
        <w:t>生态功能区划调查</w:t>
      </w:r>
    </w:p>
    <w:p w14:paraId="00D597D9">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本工程所在区域行政区划隶属于阿克苏地区</w:t>
      </w:r>
      <w:r>
        <w:rPr>
          <w:rFonts w:hint="eastAsia" w:cs="Times New Roman"/>
          <w:b w:val="0"/>
          <w:bCs/>
          <w:snapToGrid/>
          <w:color w:val="000000" w:themeColor="text1"/>
          <w:sz w:val="24"/>
          <w:szCs w:val="24"/>
          <w:highlight w:val="none"/>
          <w:lang w:val="en-US" w:eastAsia="zh-CN"/>
          <w14:textFill>
            <w14:solidFill>
              <w14:schemeClr w14:val="tx1"/>
            </w14:solidFill>
          </w14:textFill>
        </w:rPr>
        <w:t>新和县</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w:t>
      </w:r>
      <w:r>
        <w:rPr>
          <w:rFonts w:hint="eastAsia" w:cs="Times New Roman"/>
          <w:b w:val="0"/>
          <w:bCs/>
          <w:snapToGrid/>
          <w:color w:val="000000" w:themeColor="text1"/>
          <w:sz w:val="24"/>
          <w:szCs w:val="24"/>
          <w:highlight w:val="none"/>
          <w:lang w:val="en-US" w:eastAsia="zh-CN"/>
          <w14:textFill>
            <w14:solidFill>
              <w14:schemeClr w14:val="tx1"/>
            </w14:solidFill>
          </w14:textFill>
        </w:rPr>
        <w:t>本工程</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分布</w:t>
      </w:r>
      <w:r>
        <w:rPr>
          <w:rFonts w:hint="eastAsia" w:cs="Times New Roman"/>
          <w:b w:val="0"/>
          <w:bCs/>
          <w:snapToGrid/>
          <w:color w:val="000000" w:themeColor="text1"/>
          <w:sz w:val="24"/>
          <w:szCs w:val="24"/>
          <w:highlight w:val="none"/>
          <w:lang w:val="en-US" w:eastAsia="zh-CN"/>
          <w14:textFill>
            <w14:solidFill>
              <w14:schemeClr w14:val="tx1"/>
            </w14:solidFill>
          </w14:textFill>
        </w:rPr>
        <w:t>在</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中国石油化工股份有限公司西北油田分公司“十四五”规划范围的天山南缘区块油气勘查区</w:t>
      </w:r>
      <w:r>
        <w:rPr>
          <w:rFonts w:hint="eastAsia" w:cs="Times New Roman"/>
          <w:b w:val="0"/>
          <w:bCs/>
          <w:snapToGrid/>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根据《新疆生态功能区划》（2005版），本工程</w:t>
      </w:r>
      <w:r>
        <w:rPr>
          <w:rFonts w:hint="eastAsia" w:cs="Times New Roman"/>
          <w:b w:val="0"/>
          <w:bCs/>
          <w:snapToGrid/>
          <w:color w:val="000000" w:themeColor="text1"/>
          <w:sz w:val="24"/>
          <w:szCs w:val="24"/>
          <w:highlight w:val="none"/>
          <w:lang w:val="en-US" w:eastAsia="zh-CN"/>
          <w14:textFill>
            <w14:solidFill>
              <w14:schemeClr w14:val="tx1"/>
            </w14:solidFill>
          </w14:textFill>
        </w:rPr>
        <w:t>属于</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Ⅵ塔里木盆地暖温荒漠及绿洲农业生态区</w:t>
      </w:r>
      <w:r>
        <w:rPr>
          <w:rFonts w:hint="eastAsia" w:cs="Times New Roman"/>
          <w:b w:val="0"/>
          <w:bCs/>
          <w:snapToGrid/>
          <w:color w:val="000000" w:themeColor="text1"/>
          <w:sz w:val="24"/>
          <w:szCs w:val="24"/>
          <w:highlight w:val="none"/>
          <w:lang w:val="en-US" w:eastAsia="zh-CN"/>
          <w14:textFill>
            <w14:solidFill>
              <w14:schemeClr w14:val="tx1"/>
            </w14:solidFill>
          </w14:textFill>
        </w:rPr>
        <w:t>－Ⅳ1塔里木盆地西部、北部荒漠及绿洲农业生态亚区－</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渭干河三角洲绿洲农业盐渍化敏感生态功能区（55）。塔里木河流域的乔灌草及胡杨林植被是保护绿洲生态环境的天然屏障，区域内的油气资源丰富，油田勘探开发工作已开展多年。</w:t>
      </w:r>
      <w:r>
        <w:rPr>
          <w:rFonts w:hint="eastAsia" w:cs="Times New Roman"/>
          <w:b w:val="0"/>
          <w:bCs/>
          <w:snapToGrid/>
          <w:color w:val="000000" w:themeColor="text1"/>
          <w:sz w:val="24"/>
          <w:szCs w:val="24"/>
          <w:highlight w:val="none"/>
          <w:lang w:val="en-US" w:eastAsia="zh-CN"/>
          <w14:textFill>
            <w14:solidFill>
              <w14:schemeClr w14:val="tx1"/>
            </w14:solidFill>
          </w14:textFill>
        </w:rPr>
        <w:t>工程</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区生态功能区的主要生态服务功能、生态敏感因子、主要生态环境问题和主要保护目标见表4.</w:t>
      </w:r>
      <w:r>
        <w:rPr>
          <w:rFonts w:hint="eastAsia" w:cs="Times New Roman"/>
          <w:b w:val="0"/>
          <w:bCs/>
          <w:snapToGrid/>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-1。</w:t>
      </w:r>
      <w:bookmarkStart w:id="798" w:name="OLE_LINK1444"/>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生态功能区划</w:t>
      </w:r>
      <w:bookmarkEnd w:id="798"/>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见</w:t>
      </w:r>
      <w:r>
        <w:rPr>
          <w:rFonts w:hint="eastAsia" w:cs="Times New Roman"/>
          <w:b w:val="0"/>
          <w:bCs/>
          <w:snapToGrid/>
          <w:color w:val="000000" w:themeColor="text1"/>
          <w:sz w:val="24"/>
          <w:szCs w:val="24"/>
          <w:highlight w:val="none"/>
          <w:lang w:val="en-US" w:eastAsia="zh-CN"/>
          <w14:textFill>
            <w14:solidFill>
              <w14:schemeClr w14:val="tx1"/>
            </w14:solidFill>
          </w14:textFill>
        </w:rPr>
        <w:t>附图5</w:t>
      </w:r>
      <w:r>
        <w:rPr>
          <w:rFonts w:hint="eastAsia" w:ascii="Times New Roman" w:hAnsi="Times New Roman" w:cs="Times New Roman"/>
          <w:b w:val="0"/>
          <w:bCs/>
          <w:snapToGrid/>
          <w:color w:val="000000" w:themeColor="text1"/>
          <w:sz w:val="24"/>
          <w:szCs w:val="24"/>
          <w:highlight w:val="none"/>
          <w:lang w:val="en-US" w:eastAsia="zh-CN"/>
          <w14:textFill>
            <w14:solidFill>
              <w14:schemeClr w14:val="tx1"/>
            </w14:solidFill>
          </w14:textFill>
        </w:rPr>
        <w:t>。</w:t>
      </w:r>
    </w:p>
    <w:p w14:paraId="643D79F7">
      <w:pPr>
        <w:pStyle w:val="11"/>
        <w:keepNext w:val="0"/>
        <w:keepLines w:val="0"/>
        <w:pageBreakBefore w:val="0"/>
        <w:kinsoku/>
        <w:wordWrap/>
        <w:topLinePunct w:val="0"/>
        <w:bidi w:val="0"/>
        <w:adjustRightInd w:val="0"/>
        <w:spacing w:line="240" w:lineRule="auto"/>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w:t>
      </w:r>
      <w:bookmarkStart w:id="799" w:name="OLE_LINK1477"/>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4.</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2-1</w:t>
      </w:r>
      <w:bookmarkEnd w:id="799"/>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项目区生态功能区划</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20"/>
        <w:gridCol w:w="6386"/>
      </w:tblGrid>
      <w:tr w14:paraId="2C82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9" w:type="pct"/>
            <w:vMerge w:val="restart"/>
            <w:vAlign w:val="center"/>
          </w:tcPr>
          <w:p w14:paraId="5A285040">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生态功能分区单元</w:t>
            </w:r>
          </w:p>
        </w:tc>
        <w:tc>
          <w:tcPr>
            <w:tcW w:w="774" w:type="pct"/>
            <w:vAlign w:val="center"/>
          </w:tcPr>
          <w:p w14:paraId="6665F174">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生态区</w:t>
            </w:r>
          </w:p>
        </w:tc>
        <w:tc>
          <w:tcPr>
            <w:tcW w:w="3746" w:type="pct"/>
            <w:vAlign w:val="center"/>
          </w:tcPr>
          <w:p w14:paraId="747826BB">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塔里木盆地暖温荒漠及绿洲农业生态区（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instrText xml:space="preserve"> = 4 \* ROMAN </w:instrTex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separate"/>
            </w:r>
            <w:r>
              <w:rPr>
                <w:rFonts w:hint="eastAsia" w:cs="Times New Roman"/>
                <w:color w:val="000000" w:themeColor="text1"/>
                <w:sz w:val="21"/>
                <w:szCs w:val="21"/>
                <w:highlight w:val="none"/>
                <w:lang w:eastAsia="zh-CN"/>
                <w14:textFill>
                  <w14:solidFill>
                    <w14:schemeClr w14:val="tx1"/>
                  </w14:solidFill>
                </w14:textFill>
              </w:rPr>
              <w:t>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173F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79" w:type="pct"/>
            <w:vMerge w:val="continue"/>
            <w:vAlign w:val="center"/>
          </w:tcPr>
          <w:p w14:paraId="24717A4D">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74" w:type="pct"/>
            <w:vAlign w:val="center"/>
          </w:tcPr>
          <w:p w14:paraId="32FC7A65">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生态亚区</w:t>
            </w:r>
          </w:p>
        </w:tc>
        <w:tc>
          <w:tcPr>
            <w:tcW w:w="3746" w:type="pct"/>
            <w:vAlign w:val="center"/>
          </w:tcPr>
          <w:p w14:paraId="26E58DF0">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塔里木盆地西部、北部荒漠及绿洲农业生态亚区（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instrText xml:space="preserve"> = 4 \* ROMAN </w:instrTex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IV</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r>
      <w:tr w14:paraId="5905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79" w:type="pct"/>
            <w:vMerge w:val="continue"/>
            <w:vAlign w:val="center"/>
          </w:tcPr>
          <w:p w14:paraId="3C661C9D">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74" w:type="pct"/>
            <w:vAlign w:val="center"/>
          </w:tcPr>
          <w:p w14:paraId="4DDAB28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生态功能区</w:t>
            </w:r>
          </w:p>
        </w:tc>
        <w:tc>
          <w:tcPr>
            <w:tcW w:w="3746" w:type="pct"/>
            <w:vAlign w:val="center"/>
          </w:tcPr>
          <w:p w14:paraId="79F0AB6F">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渭干河三角洲绿洲农业盐渍化敏感生态功能区（55）</w:t>
            </w:r>
          </w:p>
        </w:tc>
      </w:tr>
      <w:tr w14:paraId="24FA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53" w:type="pct"/>
            <w:gridSpan w:val="2"/>
            <w:vAlign w:val="center"/>
          </w:tcPr>
          <w:p w14:paraId="17B25AA5">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主要生态服务功能</w:t>
            </w:r>
          </w:p>
        </w:tc>
        <w:tc>
          <w:tcPr>
            <w:tcW w:w="3746" w:type="pct"/>
            <w:vAlign w:val="center"/>
          </w:tcPr>
          <w:p w14:paraId="4ABFA914">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农产品生产、荒漠化控制、油气资源</w:t>
            </w:r>
          </w:p>
        </w:tc>
      </w:tr>
      <w:tr w14:paraId="0288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53" w:type="pct"/>
            <w:gridSpan w:val="2"/>
            <w:vAlign w:val="center"/>
          </w:tcPr>
          <w:p w14:paraId="231D39FB">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主要生态环境问题</w:t>
            </w:r>
          </w:p>
        </w:tc>
        <w:tc>
          <w:tcPr>
            <w:tcW w:w="3746" w:type="pct"/>
            <w:vAlign w:val="center"/>
          </w:tcPr>
          <w:p w14:paraId="57250C22">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土壤盐渍化、洪水灾害、油气开发造成环境污染</w:t>
            </w:r>
          </w:p>
        </w:tc>
      </w:tr>
      <w:tr w14:paraId="3116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53" w:type="pct"/>
            <w:gridSpan w:val="2"/>
            <w:vAlign w:val="center"/>
          </w:tcPr>
          <w:p w14:paraId="64CD5E62">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生态敏感因子敏感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EC94E47">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程度</w:t>
            </w:r>
          </w:p>
        </w:tc>
        <w:tc>
          <w:tcPr>
            <w:tcW w:w="3746" w:type="pct"/>
            <w:vAlign w:val="center"/>
          </w:tcPr>
          <w:p w14:paraId="3FA73A16">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生物多样性及其生境中度敏感，土地沙漠化中度敏感、土壤盐渍化高度敏感</w:t>
            </w:r>
          </w:p>
        </w:tc>
      </w:tr>
      <w:tr w14:paraId="655F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53" w:type="pct"/>
            <w:gridSpan w:val="2"/>
            <w:vAlign w:val="center"/>
          </w:tcPr>
          <w:p w14:paraId="65F7134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主要保护目标</w:t>
            </w:r>
          </w:p>
        </w:tc>
        <w:tc>
          <w:tcPr>
            <w:tcW w:w="3746" w:type="pct"/>
            <w:vAlign w:val="center"/>
          </w:tcPr>
          <w:p w14:paraId="434DF741">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保护农田、保护荒漠植被、保护水质、防止洪水危害</w:t>
            </w:r>
          </w:p>
        </w:tc>
      </w:tr>
      <w:tr w14:paraId="7134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53" w:type="pct"/>
            <w:gridSpan w:val="2"/>
            <w:vAlign w:val="center"/>
          </w:tcPr>
          <w:p w14:paraId="556E8FB2">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主要保护措施</w:t>
            </w:r>
          </w:p>
        </w:tc>
        <w:tc>
          <w:tcPr>
            <w:tcW w:w="3746" w:type="pct"/>
            <w:vAlign w:val="center"/>
          </w:tcPr>
          <w:p w14:paraId="2D40876D">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节水灌溉、开发地下水、完善水利工程设施、发展竖井排灌、防治油气污染、减少向塔河注入农田排水</w:t>
            </w:r>
          </w:p>
        </w:tc>
      </w:tr>
      <w:tr w14:paraId="632C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pct"/>
            <w:gridSpan w:val="2"/>
            <w:vAlign w:val="center"/>
          </w:tcPr>
          <w:p w14:paraId="6C635E29">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适宜发展方向</w:t>
            </w:r>
          </w:p>
        </w:tc>
        <w:tc>
          <w:tcPr>
            <w:tcW w:w="3746" w:type="pct"/>
            <w:vAlign w:val="center"/>
          </w:tcPr>
          <w:p w14:paraId="22C7C50E">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发展棉花产业、特色林果业和农区畜牧业，建设石油和天然气基地</w:t>
            </w:r>
          </w:p>
        </w:tc>
      </w:tr>
    </w:tbl>
    <w:p w14:paraId="27E14A9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由表4.2-1可知，</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w:t>
      </w:r>
      <w:r>
        <w:rPr>
          <w:rFonts w:hint="eastAsia" w:cs="Times New Roman"/>
          <w:color w:val="000000" w:themeColor="text1"/>
          <w:kern w:val="0"/>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井场所在区域</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属于“</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塔里木盆地暖温荒漠及绿洲农业生态区</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塔里木盆地西部、北部荒漠及绿洲农业生态亚区，渭干河三角洲绿洲农业盐渍化敏感生态功能区</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”，主要生态服务功能为“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农产品生产、荒漠化控制、油气资源</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”，主要发展方向为“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发展棉花产业、特色林果业和农区畜牧业，建设石油和天然气基地</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w:t>
      </w:r>
    </w:p>
    <w:p w14:paraId="0FA245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pPr>
      <w:bookmarkStart w:id="800" w:name="OLE_LINK1338"/>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w:t>
      </w:r>
      <w:r>
        <w:rPr>
          <w:rFonts w:hint="eastAsia" w:cs="Times New Roman"/>
          <w:color w:val="000000" w:themeColor="text1"/>
          <w:kern w:val="0"/>
          <w:sz w:val="24"/>
          <w:szCs w:val="24"/>
          <w:highlight w:val="none"/>
          <w:lang w:val="en-US" w:eastAsia="zh-CN"/>
          <w14:textFill>
            <w14:solidFill>
              <w14:schemeClr w14:val="tx1"/>
            </w14:solidFill>
          </w14:textFill>
        </w:rPr>
        <w:t>工程</w:t>
      </w:r>
      <w:bookmarkEnd w:id="800"/>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属于天然气开采项目，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项目区不涉及法定生态保护区域、重要生境以及其他具有重要生态功能、对保护生物多样性具有重要意义的区域等生态敏感区</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spacing w:val="-4"/>
          <w:sz w:val="24"/>
          <w:szCs w:val="24"/>
          <w:highlight w:val="none"/>
          <w:lang w:val="en-US" w:eastAsia="zh-CN"/>
          <w14:textFill>
            <w14:solidFill>
              <w14:schemeClr w14:val="tx1"/>
            </w14:solidFill>
          </w14:textFill>
        </w:rPr>
        <w:t>本工程</w:t>
      </w:r>
      <w:r>
        <w:rPr>
          <w:rFonts w:hint="eastAsia" w:cs="Times New Roman"/>
          <w:color w:val="000000" w:themeColor="text1"/>
          <w:highlight w:val="none"/>
          <w:lang w:val="en-US" w:eastAsia="zh-CN"/>
          <w14:textFill>
            <w14:solidFill>
              <w14:schemeClr w14:val="tx1"/>
            </w14:solidFill>
          </w14:textFill>
        </w:rPr>
        <w:t>不占用永久基本农田，</w:t>
      </w:r>
      <w:r>
        <w:rPr>
          <w:rFonts w:hint="eastAsia" w:cs="Times New Roman"/>
          <w:color w:val="000000" w:themeColor="text1"/>
          <w:spacing w:val="-4"/>
          <w:sz w:val="24"/>
          <w:szCs w:val="24"/>
          <w:highlight w:val="none"/>
          <w:lang w:val="en-US" w:eastAsia="zh-CN"/>
          <w14:textFill>
            <w14:solidFill>
              <w14:schemeClr w14:val="tx1"/>
            </w14:solidFill>
          </w14:textFill>
        </w:rPr>
        <w:t>评价范围涉及永久基本农田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。新建井场对生态环境的影响主要体现在施工期，本</w:t>
      </w:r>
      <w:r>
        <w:rPr>
          <w:rFonts w:hint="eastAsia" w:cs="Times New Roman"/>
          <w:color w:val="000000" w:themeColor="text1"/>
          <w:kern w:val="0"/>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废气达标排放、产生的固废妥善处置，通过采取严格控制占地范围，做好施工期生态保护和环境管理工作，本</w:t>
      </w:r>
      <w:r>
        <w:rPr>
          <w:rFonts w:hint="eastAsia" w:cs="Times New Roman"/>
          <w:color w:val="000000" w:themeColor="text1"/>
          <w:kern w:val="0"/>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建设过程中减少水土流失、保护永久基本农田，工程结束后及时对临时占地进行恢复等措施，本</w:t>
      </w:r>
      <w:r>
        <w:rPr>
          <w:rFonts w:hint="eastAsia" w:cs="Times New Roman"/>
          <w:color w:val="000000" w:themeColor="text1"/>
          <w:kern w:val="0"/>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的建设不会对本</w:t>
      </w:r>
      <w:r>
        <w:rPr>
          <w:rFonts w:hint="eastAsia" w:cs="Times New Roman"/>
          <w:color w:val="000000" w:themeColor="text1"/>
          <w:kern w:val="0"/>
          <w:sz w:val="24"/>
          <w:szCs w:val="24"/>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所在区域土壤、动植物等生态环境产生明显的影响，符合本区域生态服务功能定位，与区域发展方向相协调</w:t>
      </w:r>
      <w:r>
        <w:rPr>
          <w:rFonts w:hint="eastAsia" w:ascii="Times New Roman" w:hAnsi="Times New Roman" w:eastAsia="宋体" w:cs="Times New Roman"/>
          <w:b w:val="0"/>
          <w:bCs/>
          <w:snapToGrid/>
          <w:color w:val="000000" w:themeColor="text1"/>
          <w:sz w:val="24"/>
          <w:szCs w:val="24"/>
          <w:highlight w:val="none"/>
          <w:lang w:val="en-US" w:eastAsia="zh-CN"/>
          <w14:textFill>
            <w14:solidFill>
              <w14:schemeClr w14:val="tx1"/>
            </w14:solidFill>
          </w14:textFill>
        </w:rPr>
        <w:t>。</w:t>
      </w:r>
    </w:p>
    <w:p w14:paraId="16FD3A7C">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eastAsia="zh-CN"/>
          <w14:textFill>
            <w14:solidFill>
              <w14:schemeClr w14:val="tx1"/>
            </w14:solidFill>
          </w14:textFill>
        </w:rPr>
      </w:pPr>
      <w:r>
        <w:rPr>
          <w:rFonts w:hint="default" w:ascii="Times New Roman" w:hAnsi="Times New Roman" w:cs="Times New Roman"/>
          <w:color w:val="000000" w:themeColor="text1"/>
          <w:highlight w:val="none"/>
          <w:lang w:val="zh-CN"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zh-CN"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zh-CN" w:eastAsia="zh-CN"/>
          <w14:textFill>
            <w14:solidFill>
              <w14:schemeClr w14:val="tx1"/>
            </w14:solidFill>
          </w14:textFill>
        </w:rPr>
        <w:t>生态系统调查与评价</w:t>
      </w:r>
    </w:p>
    <w:p w14:paraId="70281E2E">
      <w:pPr>
        <w:pStyle w:val="114"/>
        <w:bidi w:val="0"/>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本工程位于塔里木盆地北部、天山南麓，属于渭干河三角洲绿洲农业盐渍化敏感生态功能区，地势较为平坦</w:t>
      </w:r>
      <w:r>
        <w:rPr>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评价</w:t>
      </w:r>
      <w:r>
        <w:rPr>
          <w:color w:val="000000" w:themeColor="text1"/>
          <w:highlight w:val="none"/>
          <w:lang w:val="en-US" w:eastAsia="zh-CN"/>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属温暖带大陆性干旱气候，降水稀少，夏季炎热、冬季干冷。年温差和日温差均较大，光照充足，热量丰富，蒸发强烈，风沙活动频繁，年平均气温</w:t>
      </w:r>
      <w:r>
        <w:rPr>
          <w:rFonts w:hint="default"/>
          <w:color w:val="000000" w:themeColor="text1"/>
          <w:highlight w:val="none"/>
          <w:lang w:val="en-US" w:eastAsia="zh-CN"/>
          <w14:textFill>
            <w14:solidFill>
              <w14:schemeClr w14:val="tx1"/>
            </w14:solidFill>
          </w14:textFill>
        </w:rPr>
        <w:t>11.4℃</w:t>
      </w:r>
      <w:r>
        <w:rPr>
          <w:rFonts w:hint="eastAsia"/>
          <w:color w:val="000000" w:themeColor="text1"/>
          <w:highlight w:val="none"/>
          <w:lang w:val="en-US" w:eastAsia="zh-CN"/>
          <w14:textFill>
            <w14:solidFill>
              <w14:schemeClr w14:val="tx1"/>
            </w14:solidFill>
          </w14:textFill>
        </w:rPr>
        <w:t>，夏季最高气温</w:t>
      </w:r>
      <w:r>
        <w:rPr>
          <w:rFonts w:hint="default"/>
          <w:color w:val="000000" w:themeColor="text1"/>
          <w:highlight w:val="none"/>
          <w:lang w:val="en-US" w:eastAsia="zh-CN"/>
          <w14:textFill>
            <w14:solidFill>
              <w14:schemeClr w14:val="tx1"/>
            </w14:solidFill>
          </w14:textFill>
        </w:rPr>
        <w:t>41.5℃</w:t>
      </w:r>
      <w:r>
        <w:rPr>
          <w:rFonts w:hint="eastAsia"/>
          <w:color w:val="000000" w:themeColor="text1"/>
          <w:highlight w:val="none"/>
          <w:lang w:val="en-US" w:eastAsia="zh-CN"/>
          <w14:textFill>
            <w14:solidFill>
              <w14:schemeClr w14:val="tx1"/>
            </w14:solidFill>
          </w14:textFill>
        </w:rPr>
        <w:t>，冬季最低气温</w:t>
      </w:r>
      <w:r>
        <w:rPr>
          <w:rFonts w:hint="default"/>
          <w:color w:val="000000" w:themeColor="text1"/>
          <w:highlight w:val="none"/>
          <w:lang w:val="en-US" w:eastAsia="zh-CN"/>
          <w14:textFill>
            <w14:solidFill>
              <w14:schemeClr w14:val="tx1"/>
            </w14:solidFill>
          </w14:textFill>
        </w:rPr>
        <w:t>-27.4℃</w:t>
      </w:r>
      <w:r>
        <w:rPr>
          <w:rFonts w:hint="eastAsia"/>
          <w:color w:val="000000" w:themeColor="text1"/>
          <w:highlight w:val="none"/>
          <w:lang w:val="en-US" w:eastAsia="zh-CN"/>
          <w14:textFill>
            <w14:solidFill>
              <w14:schemeClr w14:val="tx1"/>
            </w14:solidFill>
          </w14:textFill>
        </w:rPr>
        <w:t>。平均年降水量51.9</w:t>
      </w:r>
      <w:r>
        <w:rPr>
          <w:rFonts w:hint="default"/>
          <w:color w:val="000000" w:themeColor="text1"/>
          <w:highlight w:val="none"/>
          <w:lang w:val="en-US" w:eastAsia="zh-CN"/>
          <w14:textFill>
            <w14:solidFill>
              <w14:schemeClr w14:val="tx1"/>
            </w14:solidFill>
          </w14:textFill>
        </w:rPr>
        <w:t>mm</w:t>
      </w:r>
      <w:r>
        <w:rPr>
          <w:rFonts w:hint="eastAsia"/>
          <w:color w:val="000000" w:themeColor="text1"/>
          <w:highlight w:val="none"/>
          <w:lang w:val="en-US" w:eastAsia="zh-CN"/>
          <w14:textFill>
            <w14:solidFill>
              <w14:schemeClr w14:val="tx1"/>
            </w14:solidFill>
          </w14:textFill>
        </w:rPr>
        <w:t>，风向以北风为主，年</w:t>
      </w:r>
      <w:bookmarkStart w:id="801" w:name="OLE_LINK1339"/>
      <w:r>
        <w:rPr>
          <w:rFonts w:hint="eastAsia"/>
          <w:color w:val="000000" w:themeColor="text1"/>
          <w:highlight w:val="none"/>
          <w:lang w:val="en-US" w:eastAsia="zh-CN"/>
          <w14:textFill>
            <w14:solidFill>
              <w14:schemeClr w14:val="tx1"/>
            </w14:solidFill>
          </w14:textFill>
        </w:rPr>
        <w:t>平均风速</w:t>
      </w:r>
      <w:bookmarkEnd w:id="801"/>
      <w:r>
        <w:rPr>
          <w:rFonts w:hint="default"/>
          <w:color w:val="000000" w:themeColor="text1"/>
          <w:highlight w:val="none"/>
          <w:lang w:val="en-US" w:eastAsia="zh-CN"/>
          <w14:textFill>
            <w14:solidFill>
              <w14:schemeClr w14:val="tx1"/>
            </w14:solidFill>
          </w14:textFill>
        </w:rPr>
        <w:t>1.5m/s</w:t>
      </w:r>
      <w:r>
        <w:rPr>
          <w:rFonts w:hint="eastAsia"/>
          <w:color w:val="000000" w:themeColor="text1"/>
          <w:highlight w:val="none"/>
          <w:lang w:val="en-US" w:eastAsia="zh-CN"/>
          <w14:textFill>
            <w14:solidFill>
              <w14:schemeClr w14:val="tx1"/>
            </w14:solidFill>
          </w14:textFill>
        </w:rPr>
        <w:t>。</w:t>
      </w:r>
    </w:p>
    <w:p w14:paraId="429D9DC1">
      <w:pPr>
        <w:pStyle w:val="114"/>
        <w:bidi w:val="0"/>
        <w:rPr>
          <w:rFonts w:hint="default"/>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所在区域土壤类型主要为盐土（详见附图6），占地类型为果园，植被类型以人工栽培植被为主，周边分布有农田、防护林、灌木荒漠和草本荒漠。野生动物多为荒漠鸟类、爬行类和啮齿类动物。生态系统类型主要以农田生态系统为主（详见附图7），交错分布有城镇生态系统。评价区内总体生态系统类型简单、稳定性较差、环境异质性较低，系统受扰动后的自我恢复能力弱。</w:t>
      </w:r>
    </w:p>
    <w:p w14:paraId="467BAA6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eastAsia="zh-CN"/>
          <w14:textFill>
            <w14:solidFill>
              <w14:schemeClr w14:val="tx1"/>
            </w14:solidFill>
          </w14:textFill>
        </w:rPr>
      </w:pPr>
      <w:bookmarkStart w:id="802" w:name="_Toc2871"/>
      <w:bookmarkStart w:id="803" w:name="_Toc3837"/>
      <w:bookmarkStart w:id="804" w:name="_Toc18773"/>
      <w:r>
        <w:rPr>
          <w:rFonts w:hint="default" w:ascii="Times New Roman" w:hAnsi="Times New Roman" w:cs="Times New Roman"/>
          <w:color w:val="000000" w:themeColor="text1"/>
          <w:highlight w:val="none"/>
          <w:lang w:val="zh-CN" w:eastAsia="zh-CN"/>
          <w14:textFill>
            <w14:solidFill>
              <w14:schemeClr w14:val="tx1"/>
            </w14:solidFill>
          </w14:textFill>
        </w:rPr>
        <w:t>4.</w:t>
      </w:r>
      <w:bookmarkEnd w:id="802"/>
      <w:bookmarkEnd w:id="803"/>
      <w:bookmarkEnd w:id="804"/>
      <w:r>
        <w:rPr>
          <w:rFonts w:hint="eastAsia" w:ascii="Times New Roman" w:hAnsi="Times New Roman" w:cs="Times New Roman"/>
          <w:color w:val="000000" w:themeColor="text1"/>
          <w:highlight w:val="none"/>
          <w:lang w:val="en-US" w:eastAsia="zh-CN"/>
          <w14:textFill>
            <w14:solidFill>
              <w14:schemeClr w14:val="tx1"/>
            </w14:solidFill>
          </w14:textFill>
        </w:rPr>
        <w:t>2.4</w:t>
      </w:r>
      <w:r>
        <w:rPr>
          <w:rFonts w:hint="default" w:ascii="Times New Roman" w:hAnsi="Times New Roman" w:cs="Times New Roman"/>
          <w:color w:val="000000" w:themeColor="text1"/>
          <w:highlight w:val="none"/>
          <w:lang w:val="zh-CN" w:eastAsia="zh-CN"/>
          <w14:textFill>
            <w14:solidFill>
              <w14:schemeClr w14:val="tx1"/>
            </w14:solidFill>
          </w14:textFill>
        </w:rPr>
        <w:t>土地利用现状调查与评价</w:t>
      </w:r>
    </w:p>
    <w:p w14:paraId="4D1150EC">
      <w:pPr>
        <w:adjustRightInd/>
        <w:snapToGrid/>
        <w:spacing w:line="360" w:lineRule="auto"/>
        <w:ind w:firstLine="480" w:firstLineChars="200"/>
        <w:jc w:val="both"/>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pPr>
      <w:bookmarkStart w:id="805" w:name="OLE_LINK1341"/>
      <w:r>
        <w:rPr>
          <w:rFonts w:hint="eastAsia" w:cs="宋体"/>
          <w:color w:val="000000" w:themeColor="text1"/>
          <w:kern w:val="10"/>
          <w:sz w:val="24"/>
          <w:szCs w:val="24"/>
          <w:highlight w:val="none"/>
          <w:lang w:val="en-US" w:eastAsia="zh-CN" w:bidi="ar-SA"/>
          <w14:textFill>
            <w14:solidFill>
              <w14:schemeClr w14:val="tx1"/>
            </w14:solidFill>
          </w14:textFill>
        </w:rPr>
        <w:t>本工程</w:t>
      </w:r>
      <w:bookmarkEnd w:id="805"/>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土地利用现状调查主要采用遥感数据分析解译和现场调查相结合的方法，采用图形叠加法对评价范围内的生态环境现状进行分析，并参照《土地利用现状分类》（</w:t>
      </w:r>
      <w:r>
        <w:rPr>
          <w:rFonts w:hint="eastAsia" w:cs="宋体"/>
          <w:color w:val="000000" w:themeColor="text1"/>
          <w:kern w:val="10"/>
          <w:sz w:val="24"/>
          <w:szCs w:val="24"/>
          <w:highlight w:val="none"/>
          <w:lang w:val="en-US" w:eastAsia="zh-CN" w:bidi="ar-SA"/>
          <w14:textFill>
            <w14:solidFill>
              <w14:schemeClr w14:val="tx1"/>
            </w14:solidFill>
          </w14:textFill>
        </w:rPr>
        <w:t>GB/T 21010-2017</w:t>
      </w: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以确定评价范围内的土地利用类型，将成果绘制成土地利用现状图。同时选择有代表性的地物类型，建立遥感影像野外标志数据库，收集能反映区域土地利用特征的野外照片和图像资料等，在实地踏勘和调查时进行野外核查。</w:t>
      </w:r>
      <w:bookmarkStart w:id="806" w:name="OLE_LINK1342"/>
    </w:p>
    <w:p w14:paraId="63516FB3">
      <w:pPr>
        <w:adjustRightInd/>
        <w:snapToGrid/>
        <w:spacing w:line="360" w:lineRule="auto"/>
        <w:ind w:firstLine="480" w:firstLineChars="200"/>
        <w:jc w:val="both"/>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本工程</w:t>
      </w:r>
      <w:bookmarkEnd w:id="806"/>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生态评价范围内的土地利用类型比较简单，主要为</w:t>
      </w:r>
      <w:bookmarkStart w:id="807" w:name="OLE_LINK1445"/>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果园、水浇地和农村道路</w:t>
      </w:r>
      <w:bookmarkEnd w:id="807"/>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，土地利用类型见</w:t>
      </w:r>
      <w:r>
        <w:rPr>
          <w:rFonts w:hint="eastAsia" w:cs="宋体"/>
          <w:color w:val="000000" w:themeColor="text1"/>
          <w:kern w:val="10"/>
          <w:sz w:val="24"/>
          <w:szCs w:val="24"/>
          <w:highlight w:val="none"/>
          <w:lang w:val="en-US" w:eastAsia="zh-CN" w:bidi="ar-SA"/>
          <w14:textFill>
            <w14:solidFill>
              <w14:schemeClr w14:val="tx1"/>
            </w14:solidFill>
          </w14:textFill>
        </w:rPr>
        <w:t>附图8</w:t>
      </w: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。本工程</w:t>
      </w:r>
      <w:r>
        <w:rPr>
          <w:rFonts w:hint="eastAsia" w:cs="宋体"/>
          <w:color w:val="000000" w:themeColor="text1"/>
          <w:kern w:val="10"/>
          <w:sz w:val="24"/>
          <w:szCs w:val="24"/>
          <w:highlight w:val="none"/>
          <w:lang w:val="en-US" w:eastAsia="zh-CN" w:bidi="ar-SA"/>
          <w14:textFill>
            <w14:solidFill>
              <w14:schemeClr w14:val="tx1"/>
            </w14:solidFill>
          </w14:textFill>
        </w:rPr>
        <w:t>所有</w:t>
      </w: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占地</w:t>
      </w:r>
      <w:r>
        <w:rPr>
          <w:rFonts w:hint="eastAsia" w:cs="宋体"/>
          <w:color w:val="000000" w:themeColor="text1"/>
          <w:kern w:val="10"/>
          <w:sz w:val="24"/>
          <w:szCs w:val="24"/>
          <w:highlight w:val="none"/>
          <w:lang w:val="en-US" w:eastAsia="zh-CN" w:bidi="ar-SA"/>
          <w14:textFill>
            <w14:solidFill>
              <w14:schemeClr w14:val="tx1"/>
            </w14:solidFill>
          </w14:textFill>
        </w:rPr>
        <w:t>均位于</w:t>
      </w: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果园，</w:t>
      </w:r>
      <w:r>
        <w:rPr>
          <w:rFonts w:hint="eastAsia" w:cs="宋体"/>
          <w:color w:val="000000" w:themeColor="text1"/>
          <w:kern w:val="10"/>
          <w:sz w:val="24"/>
          <w:szCs w:val="24"/>
          <w:highlight w:val="none"/>
          <w:lang w:val="en-US" w:eastAsia="zh-CN" w:bidi="ar-SA"/>
          <w14:textFill>
            <w14:solidFill>
              <w14:schemeClr w14:val="tx1"/>
            </w14:solidFill>
          </w14:textFill>
        </w:rPr>
        <w:t>主要</w:t>
      </w:r>
      <w:r>
        <w:rPr>
          <w:rFonts w:hint="eastAsia" w:ascii="Times New Roman" w:hAnsi="Times New Roman" w:eastAsia="宋体" w:cs="宋体"/>
          <w:color w:val="000000" w:themeColor="text1"/>
          <w:kern w:val="10"/>
          <w:sz w:val="24"/>
          <w:szCs w:val="24"/>
          <w:highlight w:val="none"/>
          <w:lang w:val="en-US" w:eastAsia="zh-CN" w:bidi="ar-SA"/>
          <w14:textFill>
            <w14:solidFill>
              <w14:schemeClr w14:val="tx1"/>
            </w14:solidFill>
          </w14:textFill>
        </w:rPr>
        <w:t>种植核桃等作物</w:t>
      </w:r>
      <w:r>
        <w:rPr>
          <w:rFonts w:hint="eastAsia" w:cs="宋体"/>
          <w:color w:val="000000" w:themeColor="text1"/>
          <w:kern w:val="10"/>
          <w:sz w:val="24"/>
          <w:szCs w:val="24"/>
          <w:highlight w:val="none"/>
          <w:lang w:val="en-US" w:eastAsia="zh-CN" w:bidi="ar-SA"/>
          <w14:textFill>
            <w14:solidFill>
              <w14:schemeClr w14:val="tx1"/>
            </w14:solidFill>
          </w14:textFill>
        </w:rPr>
        <w:t>。</w:t>
      </w:r>
    </w:p>
    <w:p w14:paraId="3E9D59FB">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eastAsia="zh-CN"/>
          <w14:textFill>
            <w14:solidFill>
              <w14:schemeClr w14:val="tx1"/>
            </w14:solidFill>
          </w14:textFill>
        </w:rPr>
      </w:pPr>
      <w:bookmarkStart w:id="808" w:name="_Toc3616"/>
      <w:bookmarkStart w:id="809" w:name="_Toc8291"/>
      <w:bookmarkStart w:id="810" w:name="_Toc6075"/>
      <w:r>
        <w:rPr>
          <w:rFonts w:hint="default" w:ascii="Times New Roman" w:hAnsi="Times New Roman" w:cs="Times New Roman"/>
          <w:color w:val="000000" w:themeColor="text1"/>
          <w:highlight w:val="none"/>
          <w:lang w:val="zh-CN" w:eastAsia="zh-CN"/>
          <w14:textFill>
            <w14:solidFill>
              <w14:schemeClr w14:val="tx1"/>
            </w14:solidFill>
          </w14:textFill>
        </w:rPr>
        <w:t>4.</w:t>
      </w:r>
      <w:bookmarkEnd w:id="808"/>
      <w:bookmarkEnd w:id="809"/>
      <w:bookmarkEnd w:id="810"/>
      <w:r>
        <w:rPr>
          <w:rFonts w:hint="eastAsia" w:ascii="Times New Roman" w:hAnsi="Times New Roman" w:cs="Times New Roman"/>
          <w:color w:val="000000" w:themeColor="text1"/>
          <w:highlight w:val="none"/>
          <w:lang w:val="en-US" w:eastAsia="zh-CN"/>
          <w14:textFill>
            <w14:solidFill>
              <w14:schemeClr w14:val="tx1"/>
            </w14:solidFill>
          </w14:textFill>
        </w:rPr>
        <w:t>2.5</w:t>
      </w:r>
      <w:r>
        <w:rPr>
          <w:rFonts w:hint="default" w:ascii="Times New Roman" w:hAnsi="Times New Roman" w:cs="Times New Roman"/>
          <w:color w:val="000000" w:themeColor="text1"/>
          <w:highlight w:val="none"/>
          <w:lang w:val="zh-CN" w:eastAsia="zh-CN"/>
          <w14:textFill>
            <w14:solidFill>
              <w14:schemeClr w14:val="tx1"/>
            </w14:solidFill>
          </w14:textFill>
        </w:rPr>
        <w:t>植被现状调查与评价</w:t>
      </w:r>
    </w:p>
    <w:p w14:paraId="746F910C">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（1）区域植被区系</w:t>
      </w:r>
    </w:p>
    <w:p w14:paraId="0F9F3952">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依据《新疆植被及其利用》中植物地理区划的划分标准，</w:t>
      </w: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所在的植被区划属新疆荒漠区。该区域的主要植被类型有：灌木荒漠、小半灌木荒漠、半灌木荒漠、</w:t>
      </w:r>
      <w:bookmarkStart w:id="811" w:name="OLE_LINK1478"/>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多汁木本盐柴类荒漠</w:t>
      </w:r>
      <w:bookmarkEnd w:id="811"/>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等4种类型。具体内容见表4.2-</w:t>
      </w:r>
      <w:r>
        <w:rPr>
          <w:rFonts w:hint="eastAsia" w:cs="Times New Roman"/>
          <w:color w:val="000000" w:themeColor="text1"/>
          <w:sz w:val="24"/>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2D6883B7">
      <w:pPr>
        <w:pStyle w:val="11"/>
        <w:keepNext w:val="0"/>
        <w:keepLines w:val="0"/>
        <w:pageBreakBefore w:val="0"/>
        <w:kinsoku/>
        <w:wordWrap/>
        <w:topLinePunct w:val="0"/>
        <w:bidi w:val="0"/>
        <w:adjustRightInd w:val="0"/>
        <w:spacing w:line="240" w:lineRule="auto"/>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表4.</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2-3  </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评价区植被地理区划</w:t>
      </w:r>
    </w:p>
    <w:tbl>
      <w:tblPr>
        <w:tblStyle w:val="37"/>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2520"/>
        <w:gridCol w:w="1092"/>
        <w:gridCol w:w="1142"/>
        <w:gridCol w:w="1471"/>
      </w:tblGrid>
      <w:tr w14:paraId="2A2D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86" w:type="dxa"/>
            <w:vAlign w:val="center"/>
          </w:tcPr>
          <w:p w14:paraId="37ED6B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植被区</w:t>
            </w:r>
          </w:p>
        </w:tc>
        <w:tc>
          <w:tcPr>
            <w:tcW w:w="2520" w:type="dxa"/>
            <w:vAlign w:val="center"/>
          </w:tcPr>
          <w:p w14:paraId="70FF65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植被亚区</w:t>
            </w:r>
          </w:p>
        </w:tc>
        <w:tc>
          <w:tcPr>
            <w:tcW w:w="1092" w:type="dxa"/>
            <w:vAlign w:val="center"/>
          </w:tcPr>
          <w:p w14:paraId="1A38F8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植被省</w:t>
            </w:r>
          </w:p>
        </w:tc>
        <w:tc>
          <w:tcPr>
            <w:tcW w:w="1142" w:type="dxa"/>
            <w:vAlign w:val="center"/>
          </w:tcPr>
          <w:p w14:paraId="31FBB4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植被亚省</w:t>
            </w:r>
          </w:p>
        </w:tc>
        <w:tc>
          <w:tcPr>
            <w:tcW w:w="1471" w:type="dxa"/>
            <w:vAlign w:val="center"/>
          </w:tcPr>
          <w:p w14:paraId="406CEA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植被州</w:t>
            </w:r>
          </w:p>
        </w:tc>
      </w:tr>
      <w:tr w14:paraId="0D2F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86" w:type="dxa"/>
            <w:vAlign w:val="center"/>
          </w:tcPr>
          <w:p w14:paraId="0CD686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（二）新疆荒漠区（亚非荒漠区的一部分）</w:t>
            </w:r>
          </w:p>
        </w:tc>
        <w:tc>
          <w:tcPr>
            <w:tcW w:w="2520" w:type="dxa"/>
            <w:vAlign w:val="center"/>
          </w:tcPr>
          <w:p w14:paraId="68BC46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B.东疆</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南疆荒漠亚区（亚中荒漠亚区的一部分）</w:t>
            </w:r>
          </w:p>
        </w:tc>
        <w:tc>
          <w:tcPr>
            <w:tcW w:w="1092" w:type="dxa"/>
            <w:vAlign w:val="center"/>
          </w:tcPr>
          <w:p w14:paraId="0A59F76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instrText xml:space="preserve"> = 7 \* ROMAN </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eastAsia" w:cs="Times New Roman"/>
                <w:color w:val="000000" w:themeColor="text1"/>
                <w:sz w:val="21"/>
                <w:szCs w:val="21"/>
                <w:highlight w:val="none"/>
                <w:lang w:val="en-US" w:eastAsia="zh-CN"/>
                <w14:textFill>
                  <w14:solidFill>
                    <w14:schemeClr w14:val="tx1"/>
                  </w14:solidFill>
                </w14:textFill>
              </w:rPr>
              <w:t>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.塔里木荒漠省</w:t>
            </w:r>
          </w:p>
        </w:tc>
        <w:tc>
          <w:tcPr>
            <w:tcW w:w="1142" w:type="dxa"/>
            <w:vAlign w:val="center"/>
          </w:tcPr>
          <w:p w14:paraId="156BB1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b.塔克拉玛干荒漠亚省</w:t>
            </w:r>
          </w:p>
        </w:tc>
        <w:tc>
          <w:tcPr>
            <w:tcW w:w="1471" w:type="dxa"/>
            <w:vAlign w:val="center"/>
          </w:tcPr>
          <w:p w14:paraId="69BB93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15.阿克苏-库尔勒</w:t>
            </w:r>
            <w:r>
              <w:rPr>
                <w:rFonts w:hint="eastAsia" w:cs="Times New Roman"/>
                <w:color w:val="000000" w:themeColor="text1"/>
                <w:sz w:val="21"/>
                <w:szCs w:val="21"/>
                <w:highlight w:val="none"/>
                <w:lang w:val="en-US" w:eastAsia="zh-CN"/>
                <w14:textFill>
                  <w14:solidFill>
                    <w14:schemeClr w14:val="tx1"/>
                  </w14:solidFill>
                </w14:textFill>
              </w:rPr>
              <w:t>州</w:t>
            </w:r>
          </w:p>
        </w:tc>
      </w:tr>
    </w:tbl>
    <w:p w14:paraId="7520C969">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按中国植被自然地理区划，</w:t>
      </w:r>
      <w:r>
        <w:rPr>
          <w:rFonts w:hint="eastAsia" w:cs="Times New Roman"/>
          <w:color w:val="000000" w:themeColor="text1"/>
          <w:sz w:val="24"/>
          <w:szCs w:val="21"/>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属暖温带灌木、半灌木荒漠地带，塔里木盆地沙漠、稀疏灌木、半灌木荒漠区。区域内生态环境条件较差，荒漠景观决定了该区域植被组成较为简单，类型较单一，种类贫乏等特点，植被多为耐旱型、耐盐碱，主要为多枝柽柳、盐穗木、花花柴等群系。</w:t>
      </w:r>
    </w:p>
    <w:p w14:paraId="400C17C7">
      <w:pPr>
        <w:numPr>
          <w:ilvl w:val="0"/>
          <w:numId w:val="0"/>
        </w:numPr>
        <w:adjustRightInd/>
        <w:snapToGrid/>
        <w:spacing w:line="360" w:lineRule="auto"/>
        <w:ind w:left="0" w:leftChars="0"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（2）评价区植被类型</w:t>
      </w:r>
    </w:p>
    <w:p w14:paraId="4D7777B1">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所在区域植被以人工栽培的作物为主，自然植被</w:t>
      </w:r>
      <w:r>
        <w:rPr>
          <w:rFonts w:hint="eastAsia" w:cs="Times New Roman"/>
          <w:color w:val="000000" w:themeColor="text1"/>
          <w:sz w:val="24"/>
          <w:szCs w:val="21"/>
          <w:highlight w:val="none"/>
          <w:lang w:val="en-US" w:eastAsia="zh-CN" w:bidi="ar-SA"/>
          <w14:textFill>
            <w14:solidFill>
              <w14:schemeClr w14:val="tx1"/>
            </w14:solidFill>
          </w14:textFill>
        </w:rPr>
        <w:t>多为</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荒漠类型的灌木</w:t>
      </w:r>
      <w:r>
        <w:rPr>
          <w:rFonts w:hint="eastAsia" w:cs="Times New Roman"/>
          <w:color w:val="000000" w:themeColor="text1"/>
          <w:sz w:val="24"/>
          <w:szCs w:val="21"/>
          <w:highlight w:val="none"/>
          <w:lang w:val="en-US" w:eastAsia="zh-CN" w:bidi="ar-SA"/>
          <w14:textFill>
            <w14:solidFill>
              <w14:schemeClr w14:val="tx1"/>
            </w14:solidFill>
          </w14:textFill>
        </w:rPr>
        <w:t>、半灌木和绿洲农田防护林</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评价区高等植被有33种，分属10科（详见表4.2-</w:t>
      </w:r>
      <w:r>
        <w:rPr>
          <w:rFonts w:hint="eastAsia" w:cs="Times New Roman"/>
          <w:color w:val="000000" w:themeColor="text1"/>
          <w:sz w:val="24"/>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12C924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表4.2-</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  评价区主要高等植物名录</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1"/>
        <w:gridCol w:w="2715"/>
        <w:gridCol w:w="3103"/>
      </w:tblGrid>
      <w:tr w14:paraId="2BC4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85" w:type="pct"/>
            <w:noWrap w:val="0"/>
            <w:vAlign w:val="center"/>
          </w:tcPr>
          <w:p w14:paraId="1322AB09">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科</w:t>
            </w:r>
          </w:p>
        </w:tc>
        <w:tc>
          <w:tcPr>
            <w:tcW w:w="1593" w:type="pct"/>
            <w:noWrap w:val="0"/>
            <w:vAlign w:val="center"/>
          </w:tcPr>
          <w:p w14:paraId="25669F9E">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种名</w:t>
            </w:r>
          </w:p>
        </w:tc>
        <w:tc>
          <w:tcPr>
            <w:tcW w:w="1821" w:type="pct"/>
            <w:noWrap w:val="0"/>
            <w:vAlign w:val="center"/>
          </w:tcPr>
          <w:p w14:paraId="32007562">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拉丁名</w:t>
            </w:r>
          </w:p>
        </w:tc>
      </w:tr>
      <w:tr w14:paraId="5E8C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85" w:type="pct"/>
            <w:vMerge w:val="restart"/>
            <w:noWrap w:val="0"/>
            <w:vAlign w:val="center"/>
          </w:tcPr>
          <w:p w14:paraId="6C7DBB7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 xml:space="preserve">蓼科 </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Polygonaceae</w:t>
            </w:r>
          </w:p>
        </w:tc>
        <w:tc>
          <w:tcPr>
            <w:tcW w:w="1593" w:type="pct"/>
            <w:noWrap w:val="0"/>
            <w:vAlign w:val="center"/>
          </w:tcPr>
          <w:p w14:paraId="1A81AB1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沙拐枣</w:t>
            </w:r>
          </w:p>
        </w:tc>
        <w:tc>
          <w:tcPr>
            <w:tcW w:w="1821" w:type="pct"/>
            <w:noWrap w:val="0"/>
            <w:vAlign w:val="center"/>
          </w:tcPr>
          <w:p w14:paraId="4755F36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Calligonum mongolicunl</w:t>
            </w:r>
          </w:p>
        </w:tc>
      </w:tr>
      <w:tr w14:paraId="6804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85" w:type="pct"/>
            <w:vMerge w:val="continue"/>
            <w:noWrap w:val="0"/>
            <w:vAlign w:val="center"/>
          </w:tcPr>
          <w:p w14:paraId="6D54091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345352B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盐穂木</w:t>
            </w:r>
          </w:p>
        </w:tc>
        <w:tc>
          <w:tcPr>
            <w:tcW w:w="1821" w:type="pct"/>
            <w:noWrap w:val="0"/>
            <w:vAlign w:val="center"/>
          </w:tcPr>
          <w:p w14:paraId="7155298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Halostachys caspica</w:t>
            </w:r>
          </w:p>
        </w:tc>
      </w:tr>
      <w:tr w14:paraId="3863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85" w:type="pct"/>
            <w:vMerge w:val="restart"/>
            <w:noWrap w:val="0"/>
            <w:vAlign w:val="center"/>
          </w:tcPr>
          <w:p w14:paraId="54A105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藜科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Chenopodiaccae</w:t>
            </w:r>
          </w:p>
        </w:tc>
        <w:tc>
          <w:tcPr>
            <w:tcW w:w="1593" w:type="pct"/>
            <w:noWrap w:val="0"/>
            <w:vAlign w:val="center"/>
          </w:tcPr>
          <w:p w14:paraId="10B0CDA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圆叶盐爪爪</w:t>
            </w:r>
          </w:p>
        </w:tc>
        <w:tc>
          <w:tcPr>
            <w:tcW w:w="1821" w:type="pct"/>
            <w:noWrap w:val="0"/>
            <w:vAlign w:val="center"/>
          </w:tcPr>
          <w:p w14:paraId="2480133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Kalidium schrenkianum</w:t>
            </w:r>
          </w:p>
        </w:tc>
      </w:tr>
      <w:tr w14:paraId="3D3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85" w:type="pct"/>
            <w:vMerge w:val="continue"/>
            <w:noWrap w:val="0"/>
            <w:vAlign w:val="center"/>
          </w:tcPr>
          <w:p w14:paraId="7ED86C1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1C620A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盐节木</w:t>
            </w:r>
          </w:p>
        </w:tc>
        <w:tc>
          <w:tcPr>
            <w:tcW w:w="1821" w:type="pct"/>
            <w:noWrap w:val="0"/>
            <w:vAlign w:val="center"/>
          </w:tcPr>
          <w:p w14:paraId="69A1F7B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Halocnemum strobilaceum</w:t>
            </w:r>
          </w:p>
        </w:tc>
      </w:tr>
      <w:tr w14:paraId="1683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85" w:type="pct"/>
            <w:vMerge w:val="continue"/>
            <w:noWrap w:val="0"/>
            <w:vAlign w:val="center"/>
          </w:tcPr>
          <w:p w14:paraId="0EA7E8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C4BF4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刺蓬</w:t>
            </w:r>
          </w:p>
        </w:tc>
        <w:tc>
          <w:tcPr>
            <w:tcW w:w="1821" w:type="pct"/>
            <w:noWrap w:val="0"/>
            <w:vAlign w:val="center"/>
          </w:tcPr>
          <w:p w14:paraId="5317198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Sallsola pestifer</w:t>
            </w:r>
          </w:p>
        </w:tc>
      </w:tr>
      <w:tr w14:paraId="18CD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85" w:type="pct"/>
            <w:vMerge w:val="continue"/>
            <w:noWrap w:val="0"/>
            <w:vAlign w:val="center"/>
          </w:tcPr>
          <w:p w14:paraId="38B253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1F5A42E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细叶虫实</w:t>
            </w:r>
          </w:p>
        </w:tc>
        <w:tc>
          <w:tcPr>
            <w:tcW w:w="1821" w:type="pct"/>
            <w:noWrap w:val="0"/>
            <w:vAlign w:val="center"/>
          </w:tcPr>
          <w:p w14:paraId="258B3C3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Corispormum heptapotamicum</w:t>
            </w:r>
          </w:p>
        </w:tc>
      </w:tr>
      <w:tr w14:paraId="4F92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585" w:type="pct"/>
            <w:vMerge w:val="continue"/>
            <w:noWrap w:val="0"/>
            <w:vAlign w:val="center"/>
          </w:tcPr>
          <w:p w14:paraId="77EFC9E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607C45F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星状刺果藜</w:t>
            </w:r>
          </w:p>
        </w:tc>
        <w:tc>
          <w:tcPr>
            <w:tcW w:w="1821" w:type="pct"/>
            <w:noWrap w:val="0"/>
            <w:vAlign w:val="center"/>
          </w:tcPr>
          <w:p w14:paraId="66EC774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Bassia dasyphylla</w:t>
            </w:r>
          </w:p>
        </w:tc>
      </w:tr>
      <w:tr w14:paraId="182E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85" w:type="pct"/>
            <w:vMerge w:val="continue"/>
            <w:noWrap w:val="0"/>
            <w:vAlign w:val="center"/>
          </w:tcPr>
          <w:p w14:paraId="3621B78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39A86EC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假木贼</w:t>
            </w:r>
          </w:p>
        </w:tc>
        <w:tc>
          <w:tcPr>
            <w:tcW w:w="1821" w:type="pct"/>
            <w:noWrap w:val="0"/>
            <w:vAlign w:val="center"/>
          </w:tcPr>
          <w:p w14:paraId="7650B9B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Anabasis aphylla</w:t>
            </w:r>
          </w:p>
        </w:tc>
      </w:tr>
      <w:tr w14:paraId="4DDD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85" w:type="pct"/>
            <w:vMerge w:val="restart"/>
            <w:noWrap w:val="0"/>
            <w:vAlign w:val="center"/>
          </w:tcPr>
          <w:p w14:paraId="62113DE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豆科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Leguminosae</w:t>
            </w:r>
          </w:p>
        </w:tc>
        <w:tc>
          <w:tcPr>
            <w:tcW w:w="1593" w:type="pct"/>
            <w:noWrap w:val="0"/>
            <w:vAlign w:val="center"/>
          </w:tcPr>
          <w:p w14:paraId="60BD054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铃铛刺</w:t>
            </w:r>
          </w:p>
        </w:tc>
        <w:tc>
          <w:tcPr>
            <w:tcW w:w="1821" w:type="pct"/>
            <w:noWrap w:val="0"/>
            <w:vAlign w:val="center"/>
          </w:tcPr>
          <w:p w14:paraId="13484A7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Halimodendron halodendron</w:t>
            </w:r>
          </w:p>
        </w:tc>
      </w:tr>
      <w:tr w14:paraId="6BF3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585" w:type="pct"/>
            <w:vMerge w:val="continue"/>
            <w:noWrap w:val="0"/>
            <w:vAlign w:val="center"/>
          </w:tcPr>
          <w:p w14:paraId="0117799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742F645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白花苦豆子</w:t>
            </w:r>
          </w:p>
        </w:tc>
        <w:tc>
          <w:tcPr>
            <w:tcW w:w="1821" w:type="pct"/>
            <w:noWrap w:val="0"/>
            <w:vAlign w:val="center"/>
          </w:tcPr>
          <w:p w14:paraId="65657BD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Sophora alopecuroides</w:t>
            </w:r>
          </w:p>
        </w:tc>
      </w:tr>
      <w:tr w14:paraId="6D42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85" w:type="pct"/>
            <w:vMerge w:val="continue"/>
            <w:noWrap w:val="0"/>
            <w:vAlign w:val="center"/>
          </w:tcPr>
          <w:p w14:paraId="5618A20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0A8B32B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苦马豆</w:t>
            </w:r>
          </w:p>
        </w:tc>
        <w:tc>
          <w:tcPr>
            <w:tcW w:w="1821" w:type="pct"/>
            <w:noWrap w:val="0"/>
            <w:vAlign w:val="center"/>
          </w:tcPr>
          <w:p w14:paraId="166BAE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Sphaorophysa salsula</w:t>
            </w:r>
          </w:p>
        </w:tc>
      </w:tr>
      <w:tr w14:paraId="1896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1585" w:type="pct"/>
            <w:vMerge w:val="continue"/>
            <w:noWrap w:val="0"/>
            <w:vAlign w:val="center"/>
          </w:tcPr>
          <w:p w14:paraId="2ED6D79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99FC5C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疏叶骆驼刺</w:t>
            </w:r>
          </w:p>
        </w:tc>
        <w:tc>
          <w:tcPr>
            <w:tcW w:w="1821" w:type="pct"/>
            <w:noWrap w:val="0"/>
            <w:vAlign w:val="center"/>
          </w:tcPr>
          <w:p w14:paraId="25F6AB8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Althagi sparsifolia</w:t>
            </w:r>
          </w:p>
        </w:tc>
      </w:tr>
      <w:tr w14:paraId="3C1E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85" w:type="pct"/>
            <w:vMerge w:val="restart"/>
            <w:noWrap w:val="0"/>
            <w:vAlign w:val="center"/>
          </w:tcPr>
          <w:p w14:paraId="1ACE313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 xml:space="preserve">蒺藜科 </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Zyqqphy uaceae</w:t>
            </w:r>
          </w:p>
        </w:tc>
        <w:tc>
          <w:tcPr>
            <w:tcW w:w="1593" w:type="pct"/>
            <w:noWrap w:val="0"/>
            <w:vAlign w:val="center"/>
          </w:tcPr>
          <w:p w14:paraId="0B588FE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骆驼篷</w:t>
            </w:r>
          </w:p>
        </w:tc>
        <w:tc>
          <w:tcPr>
            <w:tcW w:w="1821" w:type="pct"/>
            <w:noWrap w:val="0"/>
            <w:vAlign w:val="center"/>
          </w:tcPr>
          <w:p w14:paraId="2E1C719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Peganum harmala</w:t>
            </w:r>
          </w:p>
        </w:tc>
      </w:tr>
      <w:tr w14:paraId="3857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85" w:type="pct"/>
            <w:vMerge w:val="continue"/>
            <w:noWrap w:val="0"/>
            <w:vAlign w:val="center"/>
          </w:tcPr>
          <w:p w14:paraId="435A543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23DE748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西伯利亚白刺</w:t>
            </w:r>
          </w:p>
        </w:tc>
        <w:tc>
          <w:tcPr>
            <w:tcW w:w="1821" w:type="pct"/>
            <w:noWrap w:val="0"/>
            <w:vAlign w:val="center"/>
          </w:tcPr>
          <w:p w14:paraId="7299374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Nitraria sibirica</w:t>
            </w:r>
          </w:p>
        </w:tc>
      </w:tr>
      <w:tr w14:paraId="33D4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1585" w:type="pct"/>
            <w:vMerge w:val="restart"/>
            <w:noWrap w:val="0"/>
            <w:vAlign w:val="center"/>
          </w:tcPr>
          <w:p w14:paraId="4DE1B26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柽柳科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Tamaricaccae</w:t>
            </w:r>
          </w:p>
        </w:tc>
        <w:tc>
          <w:tcPr>
            <w:tcW w:w="1593" w:type="pct"/>
            <w:noWrap w:val="0"/>
            <w:vAlign w:val="center"/>
          </w:tcPr>
          <w:p w14:paraId="41FEA26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多枝柽柳</w:t>
            </w:r>
          </w:p>
        </w:tc>
        <w:tc>
          <w:tcPr>
            <w:tcW w:w="1821" w:type="pct"/>
            <w:noWrap w:val="0"/>
            <w:vAlign w:val="center"/>
          </w:tcPr>
          <w:p w14:paraId="45A561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Tamarix ramosissima</w:t>
            </w:r>
          </w:p>
        </w:tc>
      </w:tr>
      <w:tr w14:paraId="4712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85" w:type="pct"/>
            <w:vMerge w:val="continue"/>
            <w:noWrap w:val="0"/>
            <w:vAlign w:val="center"/>
          </w:tcPr>
          <w:p w14:paraId="1A7451E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220D768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刚毛柽柳</w:t>
            </w:r>
          </w:p>
        </w:tc>
        <w:tc>
          <w:tcPr>
            <w:tcW w:w="1821" w:type="pct"/>
            <w:noWrap w:val="0"/>
            <w:vAlign w:val="center"/>
          </w:tcPr>
          <w:p w14:paraId="281D069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Tamarix hispida</w:t>
            </w:r>
          </w:p>
        </w:tc>
      </w:tr>
      <w:tr w14:paraId="316F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585" w:type="pct"/>
            <w:vMerge w:val="continue"/>
            <w:noWrap w:val="0"/>
            <w:vAlign w:val="center"/>
          </w:tcPr>
          <w:p w14:paraId="33D290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BEB068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短穗柽柳</w:t>
            </w:r>
          </w:p>
        </w:tc>
        <w:tc>
          <w:tcPr>
            <w:tcW w:w="1821" w:type="pct"/>
            <w:noWrap w:val="0"/>
            <w:vAlign w:val="center"/>
          </w:tcPr>
          <w:p w14:paraId="34F31FC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Tamarix laxa</w:t>
            </w:r>
          </w:p>
        </w:tc>
      </w:tr>
      <w:tr w14:paraId="1F63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85" w:type="pct"/>
            <w:vMerge w:val="continue"/>
            <w:noWrap w:val="0"/>
            <w:vAlign w:val="center"/>
          </w:tcPr>
          <w:p w14:paraId="2BA38BA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3C0B17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多花柽柳</w:t>
            </w:r>
          </w:p>
        </w:tc>
        <w:tc>
          <w:tcPr>
            <w:tcW w:w="1821" w:type="pct"/>
            <w:noWrap w:val="0"/>
            <w:vAlign w:val="center"/>
          </w:tcPr>
          <w:p w14:paraId="087BD1D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Tamarix hohenackeri</w:t>
            </w:r>
          </w:p>
        </w:tc>
      </w:tr>
      <w:tr w14:paraId="4415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585" w:type="pct"/>
            <w:vMerge w:val="continue"/>
            <w:noWrap w:val="0"/>
            <w:vAlign w:val="center"/>
          </w:tcPr>
          <w:p w14:paraId="4082A9E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44A12D7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长穗柽柳</w:t>
            </w:r>
          </w:p>
        </w:tc>
        <w:tc>
          <w:tcPr>
            <w:tcW w:w="1821" w:type="pct"/>
            <w:noWrap w:val="0"/>
            <w:vAlign w:val="center"/>
          </w:tcPr>
          <w:p w14:paraId="4F2CE4C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Tamarix elongata</w:t>
            </w:r>
          </w:p>
        </w:tc>
      </w:tr>
      <w:tr w14:paraId="6ADE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585" w:type="pct"/>
            <w:noWrap w:val="0"/>
            <w:vAlign w:val="center"/>
          </w:tcPr>
          <w:p w14:paraId="06D3DB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旋花科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Cohvolvulaceae</w:t>
            </w:r>
          </w:p>
        </w:tc>
        <w:tc>
          <w:tcPr>
            <w:tcW w:w="1593" w:type="pct"/>
            <w:noWrap w:val="0"/>
            <w:vAlign w:val="center"/>
          </w:tcPr>
          <w:p w14:paraId="725C9DF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打碗花</w:t>
            </w:r>
          </w:p>
        </w:tc>
        <w:tc>
          <w:tcPr>
            <w:tcW w:w="1821" w:type="pct"/>
            <w:noWrap w:val="0"/>
            <w:vAlign w:val="center"/>
          </w:tcPr>
          <w:p w14:paraId="748902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Calystegia hederacea</w:t>
            </w:r>
          </w:p>
        </w:tc>
      </w:tr>
      <w:tr w14:paraId="01F9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585" w:type="pct"/>
            <w:noWrap w:val="0"/>
            <w:vAlign w:val="center"/>
          </w:tcPr>
          <w:p w14:paraId="0737899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茄科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Selanaceae</w:t>
            </w:r>
          </w:p>
        </w:tc>
        <w:tc>
          <w:tcPr>
            <w:tcW w:w="1593" w:type="pct"/>
            <w:noWrap w:val="0"/>
            <w:vAlign w:val="center"/>
          </w:tcPr>
          <w:p w14:paraId="4B6A03B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黑刺</w:t>
            </w:r>
          </w:p>
        </w:tc>
        <w:tc>
          <w:tcPr>
            <w:tcW w:w="1821" w:type="pct"/>
            <w:noWrap w:val="0"/>
            <w:vAlign w:val="center"/>
          </w:tcPr>
          <w:p w14:paraId="274E3DF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Lycium rutheulcum</w:t>
            </w:r>
          </w:p>
        </w:tc>
      </w:tr>
      <w:tr w14:paraId="5654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585" w:type="pct"/>
            <w:vMerge w:val="restart"/>
            <w:noWrap w:val="0"/>
            <w:vAlign w:val="center"/>
          </w:tcPr>
          <w:p w14:paraId="24E2634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菊科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 xml:space="preserve"> Compositae</w:t>
            </w:r>
          </w:p>
        </w:tc>
        <w:tc>
          <w:tcPr>
            <w:tcW w:w="1593" w:type="pct"/>
            <w:noWrap w:val="0"/>
            <w:vAlign w:val="center"/>
          </w:tcPr>
          <w:p w14:paraId="4C34F8D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分枝鸦葱</w:t>
            </w:r>
          </w:p>
        </w:tc>
        <w:tc>
          <w:tcPr>
            <w:tcW w:w="1821" w:type="pct"/>
            <w:noWrap w:val="0"/>
            <w:vAlign w:val="center"/>
          </w:tcPr>
          <w:p w14:paraId="583A609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Scorzonera divaricata</w:t>
            </w:r>
          </w:p>
        </w:tc>
      </w:tr>
      <w:tr w14:paraId="59EC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85" w:type="pct"/>
            <w:vMerge w:val="continue"/>
            <w:noWrap w:val="0"/>
            <w:vAlign w:val="center"/>
          </w:tcPr>
          <w:p w14:paraId="6C3B3D7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042A2AC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盐生鸦葱</w:t>
            </w:r>
          </w:p>
        </w:tc>
        <w:tc>
          <w:tcPr>
            <w:tcW w:w="1821" w:type="pct"/>
            <w:noWrap w:val="0"/>
            <w:vAlign w:val="center"/>
          </w:tcPr>
          <w:p w14:paraId="51317A6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Scorzonera austriaca</w:t>
            </w:r>
          </w:p>
        </w:tc>
      </w:tr>
      <w:tr w14:paraId="1A0D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85" w:type="pct"/>
            <w:vMerge w:val="continue"/>
            <w:noWrap w:val="0"/>
            <w:vAlign w:val="center"/>
          </w:tcPr>
          <w:p w14:paraId="0A03CD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275AA7D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新疆绢蒿</w:t>
            </w:r>
          </w:p>
        </w:tc>
        <w:tc>
          <w:tcPr>
            <w:tcW w:w="1821" w:type="pct"/>
            <w:noWrap w:val="0"/>
            <w:vAlign w:val="center"/>
          </w:tcPr>
          <w:p w14:paraId="2D2BB43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Seriphidium kaschgaricum</w:t>
            </w:r>
          </w:p>
        </w:tc>
      </w:tr>
      <w:tr w14:paraId="598B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85" w:type="pct"/>
            <w:vMerge w:val="continue"/>
            <w:noWrap w:val="0"/>
            <w:vAlign w:val="center"/>
          </w:tcPr>
          <w:p w14:paraId="4F964C5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015098F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小蓟</w:t>
            </w:r>
          </w:p>
        </w:tc>
        <w:tc>
          <w:tcPr>
            <w:tcW w:w="1821" w:type="pct"/>
            <w:noWrap w:val="0"/>
            <w:vAlign w:val="center"/>
          </w:tcPr>
          <w:p w14:paraId="342DC34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Ciriium setosum</w:t>
            </w:r>
          </w:p>
        </w:tc>
      </w:tr>
      <w:tr w14:paraId="6B2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85" w:type="pct"/>
            <w:vMerge w:val="continue"/>
            <w:noWrap w:val="0"/>
            <w:vAlign w:val="center"/>
          </w:tcPr>
          <w:p w14:paraId="40FDB7B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617FB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花花柴</w:t>
            </w:r>
          </w:p>
        </w:tc>
        <w:tc>
          <w:tcPr>
            <w:tcW w:w="1821" w:type="pct"/>
            <w:noWrap w:val="0"/>
            <w:vAlign w:val="center"/>
          </w:tcPr>
          <w:p w14:paraId="56650F3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Karelinia caspica</w:t>
            </w:r>
          </w:p>
        </w:tc>
      </w:tr>
      <w:tr w14:paraId="637A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 w:hRule="atLeast"/>
          <w:jc w:val="center"/>
        </w:trPr>
        <w:tc>
          <w:tcPr>
            <w:tcW w:w="1585" w:type="pct"/>
            <w:vMerge w:val="restart"/>
            <w:noWrap w:val="0"/>
            <w:vAlign w:val="center"/>
          </w:tcPr>
          <w:p w14:paraId="168FB08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val="0"/>
                <w:iCs/>
                <w:color w:val="000000" w:themeColor="text1"/>
                <w:kern w:val="2"/>
                <w:sz w:val="21"/>
                <w:szCs w:val="21"/>
                <w:highlight w:val="none"/>
                <w14:textFill>
                  <w14:solidFill>
                    <w14:schemeClr w14:val="tx1"/>
                  </w14:solidFill>
                </w14:textFill>
              </w:rPr>
              <w:t>禾本科</w:t>
            </w:r>
            <w:r>
              <w:rPr>
                <w:rFonts w:hint="default" w:ascii="Times New Roman" w:hAnsi="Times New Roman" w:eastAsia="宋体" w:cs="Times New Roman"/>
                <w:i/>
                <w:color w:val="000000" w:themeColor="text1"/>
                <w:kern w:val="2"/>
                <w:sz w:val="21"/>
                <w:szCs w:val="21"/>
                <w:highlight w:val="none"/>
                <w14:textFill>
                  <w14:solidFill>
                    <w14:schemeClr w14:val="tx1"/>
                  </w14:solidFill>
                </w14:textFill>
              </w:rPr>
              <w:t>Gramineae</w:t>
            </w:r>
          </w:p>
        </w:tc>
        <w:tc>
          <w:tcPr>
            <w:tcW w:w="1593" w:type="pct"/>
            <w:noWrap w:val="0"/>
            <w:vAlign w:val="center"/>
          </w:tcPr>
          <w:p w14:paraId="61A85A8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芦苇</w:t>
            </w:r>
          </w:p>
        </w:tc>
        <w:tc>
          <w:tcPr>
            <w:tcW w:w="1821" w:type="pct"/>
            <w:noWrap w:val="0"/>
            <w:vAlign w:val="center"/>
          </w:tcPr>
          <w:p w14:paraId="3B6D39A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Phragmites australis</w:t>
            </w:r>
          </w:p>
        </w:tc>
      </w:tr>
      <w:tr w14:paraId="19F8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85" w:type="pct"/>
            <w:vMerge w:val="continue"/>
            <w:noWrap w:val="0"/>
            <w:vAlign w:val="center"/>
          </w:tcPr>
          <w:p w14:paraId="25F9216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336B2B4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假苇拂子茅</w:t>
            </w:r>
          </w:p>
        </w:tc>
        <w:tc>
          <w:tcPr>
            <w:tcW w:w="1821" w:type="pct"/>
            <w:noWrap w:val="0"/>
            <w:vAlign w:val="center"/>
          </w:tcPr>
          <w:p w14:paraId="3D5AE78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Calamagrostis pseudophramites</w:t>
            </w:r>
          </w:p>
        </w:tc>
      </w:tr>
      <w:tr w14:paraId="77EA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585" w:type="pct"/>
            <w:vMerge w:val="continue"/>
            <w:noWrap w:val="0"/>
            <w:vAlign w:val="center"/>
          </w:tcPr>
          <w:p w14:paraId="6EDD2CD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28AEFAC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拂子茅</w:t>
            </w:r>
          </w:p>
        </w:tc>
        <w:tc>
          <w:tcPr>
            <w:tcW w:w="1821" w:type="pct"/>
            <w:noWrap w:val="0"/>
            <w:vAlign w:val="center"/>
          </w:tcPr>
          <w:p w14:paraId="48DF52F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Calamagrostis epigeios</w:t>
            </w:r>
          </w:p>
        </w:tc>
      </w:tr>
      <w:tr w14:paraId="0BE6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85" w:type="pct"/>
            <w:vMerge w:val="continue"/>
            <w:noWrap w:val="0"/>
            <w:vAlign w:val="center"/>
          </w:tcPr>
          <w:p w14:paraId="25AFCAA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695EFA9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獐毛</w:t>
            </w:r>
          </w:p>
        </w:tc>
        <w:tc>
          <w:tcPr>
            <w:tcW w:w="1821" w:type="pct"/>
            <w:noWrap w:val="0"/>
            <w:vAlign w:val="center"/>
          </w:tcPr>
          <w:p w14:paraId="769497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Aeluropus sinensis</w:t>
            </w:r>
          </w:p>
        </w:tc>
      </w:tr>
      <w:tr w14:paraId="723F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1585" w:type="pct"/>
            <w:vMerge w:val="continue"/>
            <w:noWrap w:val="0"/>
            <w:vAlign w:val="center"/>
          </w:tcPr>
          <w:p w14:paraId="3CFAE75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color w:val="000000" w:themeColor="text1"/>
                <w:kern w:val="2"/>
                <w:sz w:val="21"/>
                <w:szCs w:val="21"/>
                <w:highlight w:val="none"/>
                <w14:textFill>
                  <w14:solidFill>
                    <w14:schemeClr w14:val="tx1"/>
                  </w14:solidFill>
                </w14:textFill>
              </w:rPr>
            </w:pPr>
          </w:p>
        </w:tc>
        <w:tc>
          <w:tcPr>
            <w:tcW w:w="1593" w:type="pct"/>
            <w:noWrap w:val="0"/>
            <w:vAlign w:val="center"/>
          </w:tcPr>
          <w:p w14:paraId="599CA06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赖草</w:t>
            </w:r>
          </w:p>
        </w:tc>
        <w:tc>
          <w:tcPr>
            <w:tcW w:w="1821" w:type="pct"/>
            <w:noWrap w:val="0"/>
            <w:vAlign w:val="center"/>
          </w:tcPr>
          <w:p w14:paraId="0E1AC21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i/>
                <w:iCs w:val="0"/>
                <w:color w:val="000000" w:themeColor="text1"/>
                <w:kern w:val="2"/>
                <w:sz w:val="21"/>
                <w:szCs w:val="21"/>
                <w:highlight w:val="none"/>
                <w14:textFill>
                  <w14:solidFill>
                    <w14:schemeClr w14:val="tx1"/>
                  </w14:solidFill>
                </w14:textFill>
              </w:rPr>
              <w:t>Leymus secalinus</w:t>
            </w:r>
          </w:p>
        </w:tc>
      </w:tr>
    </w:tbl>
    <w:p w14:paraId="49D441A7">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bookmarkStart w:id="812" w:name="OLE_LINK1446"/>
      <w:r>
        <w:rPr>
          <w:rFonts w:hint="default" w:ascii="Times New Roman" w:hAnsi="Times New Roman" w:eastAsia="宋体" w:cs="Times New Roman"/>
          <w:color w:val="000000" w:themeColor="text1"/>
          <w:sz w:val="24"/>
          <w:szCs w:val="21"/>
          <w:highlight w:val="none"/>
          <w:lang w:val="zh-CN" w:eastAsia="zh-CN" w:bidi="ar-SA"/>
          <w14:textFill>
            <w14:solidFill>
              <w14:schemeClr w14:val="tx1"/>
            </w14:solidFill>
          </w14:textFill>
        </w:rPr>
        <w:t>根据现场调查及查阅相关资料，本工程所在区域周边的植被主要以多枝柽柳、盐穗木、疏叶骆驼刺为主，偶有花花柴分布。</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植物类型分布图见</w:t>
      </w:r>
      <w:bookmarkEnd w:id="812"/>
      <w:r>
        <w:rPr>
          <w:rFonts w:hint="eastAsia" w:cs="Times New Roman"/>
          <w:color w:val="000000" w:themeColor="text1"/>
          <w:sz w:val="24"/>
          <w:szCs w:val="21"/>
          <w:highlight w:val="none"/>
          <w:lang w:val="en-US" w:eastAsia="zh-CN" w:bidi="ar-SA"/>
          <w14:textFill>
            <w14:solidFill>
              <w14:schemeClr w14:val="tx1"/>
            </w14:solidFill>
          </w14:textFill>
        </w:rPr>
        <w:t>附图9</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42399A06">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）重点保护野生</w:t>
      </w:r>
      <w:r>
        <w:rPr>
          <w:rFonts w:hint="eastAsia" w:cs="Times New Roman"/>
          <w:color w:val="000000" w:themeColor="text1"/>
          <w:sz w:val="24"/>
          <w:szCs w:val="21"/>
          <w:highlight w:val="none"/>
          <w:lang w:val="en-US" w:eastAsia="zh-CN" w:bidi="ar-SA"/>
          <w14:textFill>
            <w14:solidFill>
              <w14:schemeClr w14:val="tx1"/>
            </w14:solidFill>
          </w14:textFill>
        </w:rPr>
        <w:t>植物</w:t>
      </w:r>
    </w:p>
    <w:p w14:paraId="7E97F7ED">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zh-CN" w:eastAsia="zh-CN" w:bidi="ar-SA"/>
          <w14:textFill>
            <w14:solidFill>
              <w14:schemeClr w14:val="tx1"/>
            </w14:solidFill>
          </w14:textFill>
        </w:rPr>
        <w:t>根据《国家重点保护野生植物名录》《新疆维吾尔自治区重点保护野生植物名录》，评价区无国家及自治区保护植物分布。</w:t>
      </w:r>
    </w:p>
    <w:p w14:paraId="0F03667F">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u w:val="none"/>
          <w:lang w:val="zh-CN" w:eastAsia="zh-CN"/>
          <w14:textFill>
            <w14:solidFill>
              <w14:schemeClr w14:val="tx1"/>
            </w14:solidFill>
          </w14:textFill>
        </w:rPr>
      </w:pPr>
      <w:bookmarkStart w:id="813" w:name="_Toc6527"/>
      <w:bookmarkStart w:id="814" w:name="_Toc18971"/>
      <w:bookmarkStart w:id="815" w:name="_Toc10357"/>
      <w:r>
        <w:rPr>
          <w:rFonts w:hint="default" w:ascii="Times New Roman" w:hAnsi="Times New Roman" w:cs="Times New Roman"/>
          <w:color w:val="000000" w:themeColor="text1"/>
          <w:highlight w:val="none"/>
          <w:u w:val="none"/>
          <w:lang w:val="zh-CN" w:eastAsia="zh-CN"/>
          <w14:textFill>
            <w14:solidFill>
              <w14:schemeClr w14:val="tx1"/>
            </w14:solidFill>
          </w14:textFill>
        </w:rPr>
        <w:t>4.</w:t>
      </w:r>
      <w:bookmarkEnd w:id="813"/>
      <w:bookmarkEnd w:id="814"/>
      <w:bookmarkEnd w:id="815"/>
      <w:r>
        <w:rPr>
          <w:rFonts w:hint="eastAsia" w:ascii="Times New Roman" w:hAnsi="Times New Roman" w:cs="Times New Roman"/>
          <w:color w:val="000000" w:themeColor="text1"/>
          <w:highlight w:val="none"/>
          <w:u w:val="none"/>
          <w:lang w:val="en-US" w:eastAsia="zh-CN"/>
          <w14:textFill>
            <w14:solidFill>
              <w14:schemeClr w14:val="tx1"/>
            </w14:solidFill>
          </w14:textFill>
        </w:rPr>
        <w:t>2.6</w:t>
      </w:r>
      <w:r>
        <w:rPr>
          <w:rFonts w:hint="default" w:ascii="Times New Roman" w:hAnsi="Times New Roman" w:cs="Times New Roman"/>
          <w:color w:val="000000" w:themeColor="text1"/>
          <w:highlight w:val="none"/>
          <w:u w:val="none"/>
          <w:lang w:val="zh-CN" w:eastAsia="zh-CN"/>
          <w14:textFill>
            <w14:solidFill>
              <w14:schemeClr w14:val="tx1"/>
            </w14:solidFill>
          </w14:textFill>
        </w:rPr>
        <w:t>野生动物现状调查与评价</w:t>
      </w:r>
    </w:p>
    <w:p w14:paraId="3C1FB61D">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（1）野生动物区划</w:t>
      </w:r>
    </w:p>
    <w:p w14:paraId="51E6279F">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根据《中国动物地理》的动物地理区划标准，</w:t>
      </w:r>
      <w:r>
        <w:rPr>
          <w:rFonts w:hint="eastAsia" w:cs="Times New Roman"/>
          <w:color w:val="000000" w:themeColor="text1"/>
          <w:sz w:val="24"/>
          <w:szCs w:val="21"/>
          <w:highlight w:val="none"/>
          <w:u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开发所在区域的动物区系属于古北界、蒙新区、西部荒漠亚区、塔里木盆地省、天山南麓平原洲、塔里木河中上游区。</w:t>
      </w:r>
    </w:p>
    <w:p w14:paraId="379BA754">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（2）野生动物栖息生境类型</w:t>
      </w:r>
    </w:p>
    <w:p w14:paraId="634A7606">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区域地处塔里木盆地，位于天山南麓、塔克拉玛干沙漠北部边缘，为塔里木河冲积平原，地势较为平坦。通过对项目区内动物的实地调查和有关资料的查询，该区域</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农田周边由于受到人为活动和经济生产的影响，已经几乎看不到野生动物的踪迹。在灌木和多年生草本植物分布的区域</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主要栖息着一些耐旱型荒漠动物，以鸟类、爬行动物和啮齿类动物为主，动物种类和数量较少。野生动物生存环境可分为以下2种类型：</w:t>
      </w:r>
    </w:p>
    <w:p w14:paraId="31FFC0E6">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乔木区</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项目区周边农田防护林，</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为野生动物提供了栖息场所和隐蔽地</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，在此处常见的动物主要是鸟类</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54C700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②荒漠</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灌丛</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区：分布着以柽柳、盐穗木等为主的灌丛</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植被覆盖度较低</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主要以</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灌木、</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半灌木荒漠</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和多年生草本植物</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为主</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。该生境区主要</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栖息分布着部分耐旱型野生动物，野生动物生存条件相对较差</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，主要以爬行动物和啮齿类动物为主</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198EB4CA">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（3）野生动物种类及分布</w:t>
      </w:r>
    </w:p>
    <w:p w14:paraId="556656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根据现场实地调查，项目区域以荒漠动物为主。项目所在地区内分布的主要野生脊椎动物17种，其中两栖类1种、爬行类3种、鸟类10种、哺乳类3种。各种野生脊椎动物分布状况见表4.2-</w:t>
      </w:r>
      <w:r>
        <w:rPr>
          <w:rFonts w:hint="eastAsia" w:cs="Times New Roman"/>
          <w:color w:val="000000" w:themeColor="text1"/>
          <w:sz w:val="24"/>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1DD086D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表4.2-5   工程区周围主要脊椎动物的种类</w:t>
      </w:r>
    </w:p>
    <w:tbl>
      <w:tblPr>
        <w:tblStyle w:val="37"/>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7"/>
        <w:gridCol w:w="2107"/>
        <w:gridCol w:w="2685"/>
        <w:gridCol w:w="934"/>
        <w:gridCol w:w="1900"/>
      </w:tblGrid>
      <w:tr w14:paraId="10AB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419" w:type="pct"/>
            <w:noWrap w:val="0"/>
            <w:vAlign w:val="center"/>
          </w:tcPr>
          <w:p w14:paraId="788670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266" w:type="pct"/>
            <w:noWrap w:val="0"/>
            <w:vAlign w:val="center"/>
          </w:tcPr>
          <w:p w14:paraId="7CBC10D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中文名</w:t>
            </w:r>
          </w:p>
        </w:tc>
        <w:tc>
          <w:tcPr>
            <w:tcW w:w="1613" w:type="pct"/>
            <w:noWrap w:val="0"/>
            <w:vAlign w:val="center"/>
          </w:tcPr>
          <w:p w14:paraId="194CDA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拉丁名</w:t>
            </w:r>
          </w:p>
        </w:tc>
        <w:tc>
          <w:tcPr>
            <w:tcW w:w="561" w:type="pct"/>
            <w:noWrap w:val="0"/>
            <w:vAlign w:val="center"/>
          </w:tcPr>
          <w:p w14:paraId="541527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留居型</w:t>
            </w:r>
          </w:p>
        </w:tc>
        <w:tc>
          <w:tcPr>
            <w:tcW w:w="1139" w:type="pct"/>
            <w:noWrap w:val="0"/>
            <w:vAlign w:val="center"/>
          </w:tcPr>
          <w:p w14:paraId="1085780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分布</w:t>
            </w:r>
          </w:p>
        </w:tc>
      </w:tr>
      <w:tr w14:paraId="02CD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5"/>
            <w:noWrap w:val="0"/>
            <w:vAlign w:val="center"/>
          </w:tcPr>
          <w:p w14:paraId="777BB116">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两栖类</w:t>
            </w:r>
          </w:p>
        </w:tc>
      </w:tr>
      <w:tr w14:paraId="0157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6D60EA2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1266" w:type="pct"/>
            <w:noWrap w:val="0"/>
            <w:vAlign w:val="center"/>
          </w:tcPr>
          <w:p w14:paraId="4D6402A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绿蟾蜍</w:t>
            </w:r>
          </w:p>
        </w:tc>
        <w:tc>
          <w:tcPr>
            <w:tcW w:w="1613" w:type="pct"/>
            <w:noWrap w:val="0"/>
            <w:vAlign w:val="center"/>
          </w:tcPr>
          <w:p w14:paraId="39729B3D">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Bufo viridis</w:t>
            </w:r>
          </w:p>
        </w:tc>
        <w:tc>
          <w:tcPr>
            <w:tcW w:w="561" w:type="pct"/>
            <w:noWrap w:val="0"/>
            <w:vAlign w:val="center"/>
          </w:tcPr>
          <w:p w14:paraId="038D9B6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3EAE6771">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2A1A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5"/>
            <w:noWrap w:val="0"/>
            <w:vAlign w:val="center"/>
          </w:tcPr>
          <w:p w14:paraId="0C4D1034">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爬行类</w:t>
            </w:r>
          </w:p>
        </w:tc>
      </w:tr>
      <w:tr w14:paraId="0B77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0D0D12C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2</w:t>
            </w:r>
          </w:p>
        </w:tc>
        <w:tc>
          <w:tcPr>
            <w:tcW w:w="1266" w:type="pct"/>
            <w:noWrap w:val="0"/>
            <w:vAlign w:val="center"/>
          </w:tcPr>
          <w:p w14:paraId="6A033B8C">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南疆沙蜥</w:t>
            </w:r>
          </w:p>
        </w:tc>
        <w:tc>
          <w:tcPr>
            <w:tcW w:w="1613" w:type="pct"/>
            <w:noWrap w:val="0"/>
            <w:vAlign w:val="center"/>
          </w:tcPr>
          <w:p w14:paraId="0099F0D2">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Phrynocephalus forsythi</w:t>
            </w:r>
          </w:p>
        </w:tc>
        <w:tc>
          <w:tcPr>
            <w:tcW w:w="561" w:type="pct"/>
            <w:noWrap w:val="0"/>
            <w:vAlign w:val="center"/>
          </w:tcPr>
          <w:p w14:paraId="5DF5722A">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p>
        </w:tc>
        <w:tc>
          <w:tcPr>
            <w:tcW w:w="1139" w:type="pct"/>
            <w:noWrap w:val="0"/>
            <w:vAlign w:val="center"/>
          </w:tcPr>
          <w:p w14:paraId="4BE0A13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p>
        </w:tc>
      </w:tr>
      <w:tr w14:paraId="6267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2C400690">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3</w:t>
            </w:r>
          </w:p>
        </w:tc>
        <w:tc>
          <w:tcPr>
            <w:tcW w:w="1266" w:type="pct"/>
            <w:noWrap w:val="0"/>
            <w:vAlign w:val="center"/>
          </w:tcPr>
          <w:p w14:paraId="53C08411">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密点麻蜥</w:t>
            </w:r>
          </w:p>
        </w:tc>
        <w:tc>
          <w:tcPr>
            <w:tcW w:w="1613" w:type="pct"/>
            <w:noWrap w:val="0"/>
            <w:vAlign w:val="center"/>
          </w:tcPr>
          <w:p w14:paraId="2C2FAAEB">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Eremias multiocellata</w:t>
            </w:r>
          </w:p>
        </w:tc>
        <w:tc>
          <w:tcPr>
            <w:tcW w:w="561" w:type="pct"/>
            <w:noWrap w:val="0"/>
            <w:vAlign w:val="center"/>
          </w:tcPr>
          <w:p w14:paraId="38ADEED5">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20A99EE8">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2E2F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65ED7EF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4</w:t>
            </w:r>
          </w:p>
        </w:tc>
        <w:tc>
          <w:tcPr>
            <w:tcW w:w="1266" w:type="pct"/>
            <w:noWrap w:val="0"/>
            <w:vAlign w:val="center"/>
          </w:tcPr>
          <w:p w14:paraId="4F86F9D0">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荒漠麻蜥</w:t>
            </w:r>
          </w:p>
        </w:tc>
        <w:tc>
          <w:tcPr>
            <w:tcW w:w="1613" w:type="pct"/>
            <w:noWrap w:val="0"/>
            <w:vAlign w:val="center"/>
          </w:tcPr>
          <w:p w14:paraId="55243971">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Eremias przewalskii</w:t>
            </w:r>
          </w:p>
        </w:tc>
        <w:tc>
          <w:tcPr>
            <w:tcW w:w="561" w:type="pct"/>
            <w:noWrap w:val="0"/>
            <w:vAlign w:val="center"/>
          </w:tcPr>
          <w:p w14:paraId="14BF316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16936D1F">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01B8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5"/>
            <w:noWrap w:val="0"/>
            <w:vAlign w:val="center"/>
          </w:tcPr>
          <w:p w14:paraId="4EB7B57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鸟类</w:t>
            </w:r>
          </w:p>
        </w:tc>
      </w:tr>
      <w:tr w14:paraId="2ACD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07DDFE1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5</w:t>
            </w:r>
          </w:p>
        </w:tc>
        <w:tc>
          <w:tcPr>
            <w:tcW w:w="1266" w:type="pct"/>
            <w:noWrap w:val="0"/>
            <w:vAlign w:val="center"/>
          </w:tcPr>
          <w:p w14:paraId="11C81CC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雉鸡</w:t>
            </w:r>
          </w:p>
        </w:tc>
        <w:tc>
          <w:tcPr>
            <w:tcW w:w="1613" w:type="pct"/>
            <w:noWrap w:val="0"/>
            <w:vAlign w:val="center"/>
          </w:tcPr>
          <w:p w14:paraId="5F2EA06D">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Phasianus colchicus</w:t>
            </w:r>
          </w:p>
        </w:tc>
        <w:tc>
          <w:tcPr>
            <w:tcW w:w="561" w:type="pct"/>
            <w:noWrap w:val="0"/>
            <w:vAlign w:val="center"/>
          </w:tcPr>
          <w:p w14:paraId="491879E4">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16EAC0B1">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3289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2F740D3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6</w:t>
            </w:r>
          </w:p>
        </w:tc>
        <w:tc>
          <w:tcPr>
            <w:tcW w:w="1266" w:type="pct"/>
            <w:noWrap w:val="0"/>
            <w:vAlign w:val="center"/>
          </w:tcPr>
          <w:p w14:paraId="3F11D0FC">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原鸽</w:t>
            </w:r>
          </w:p>
        </w:tc>
        <w:tc>
          <w:tcPr>
            <w:tcW w:w="1613" w:type="pct"/>
            <w:noWrap w:val="0"/>
            <w:vAlign w:val="center"/>
          </w:tcPr>
          <w:p w14:paraId="094CEC3D">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Columba livia</w:t>
            </w:r>
          </w:p>
        </w:tc>
        <w:tc>
          <w:tcPr>
            <w:tcW w:w="561" w:type="pct"/>
            <w:noWrap w:val="0"/>
            <w:vAlign w:val="center"/>
          </w:tcPr>
          <w:p w14:paraId="449C751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0160CBB9">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0A37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4D8F9AF0">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7</w:t>
            </w:r>
          </w:p>
        </w:tc>
        <w:tc>
          <w:tcPr>
            <w:tcW w:w="1266" w:type="pct"/>
            <w:noWrap w:val="0"/>
            <w:vAlign w:val="center"/>
          </w:tcPr>
          <w:p w14:paraId="375E30E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灰斑鸠</w:t>
            </w:r>
          </w:p>
        </w:tc>
        <w:tc>
          <w:tcPr>
            <w:tcW w:w="1613" w:type="pct"/>
            <w:noWrap w:val="0"/>
            <w:vAlign w:val="center"/>
          </w:tcPr>
          <w:p w14:paraId="29B5ED4D">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Streptopelia decaocto</w:t>
            </w:r>
          </w:p>
        </w:tc>
        <w:tc>
          <w:tcPr>
            <w:tcW w:w="561" w:type="pct"/>
            <w:noWrap w:val="0"/>
            <w:vAlign w:val="center"/>
          </w:tcPr>
          <w:p w14:paraId="34495CA4">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281F865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7C62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2C9C5C8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8</w:t>
            </w:r>
          </w:p>
        </w:tc>
        <w:tc>
          <w:tcPr>
            <w:tcW w:w="1266" w:type="pct"/>
            <w:noWrap w:val="0"/>
            <w:vAlign w:val="center"/>
          </w:tcPr>
          <w:p w14:paraId="7F31A04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角百灵</w:t>
            </w:r>
          </w:p>
        </w:tc>
        <w:tc>
          <w:tcPr>
            <w:tcW w:w="1613" w:type="pct"/>
            <w:noWrap w:val="0"/>
            <w:vAlign w:val="center"/>
          </w:tcPr>
          <w:p w14:paraId="36AB2705">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Eremophila alpestris</w:t>
            </w:r>
          </w:p>
        </w:tc>
        <w:tc>
          <w:tcPr>
            <w:tcW w:w="561" w:type="pct"/>
            <w:noWrap w:val="0"/>
            <w:vAlign w:val="center"/>
          </w:tcPr>
          <w:p w14:paraId="6448DEC9">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1647F508">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79CD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16B5102A">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9</w:t>
            </w:r>
          </w:p>
        </w:tc>
        <w:tc>
          <w:tcPr>
            <w:tcW w:w="1266" w:type="pct"/>
            <w:noWrap w:val="0"/>
            <w:vAlign w:val="center"/>
          </w:tcPr>
          <w:p w14:paraId="0BE58D79">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蒙古沙雀</w:t>
            </w:r>
          </w:p>
        </w:tc>
        <w:tc>
          <w:tcPr>
            <w:tcW w:w="1613" w:type="pct"/>
            <w:noWrap w:val="0"/>
            <w:vAlign w:val="center"/>
          </w:tcPr>
          <w:p w14:paraId="2E938536">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Rhodopechys mongolica</w:t>
            </w:r>
          </w:p>
        </w:tc>
        <w:tc>
          <w:tcPr>
            <w:tcW w:w="561" w:type="pct"/>
            <w:noWrap w:val="0"/>
            <w:vAlign w:val="center"/>
          </w:tcPr>
          <w:p w14:paraId="0E5A2C7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60436E0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1FDA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0F728256">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10</w:t>
            </w:r>
          </w:p>
        </w:tc>
        <w:tc>
          <w:tcPr>
            <w:tcW w:w="1266" w:type="pct"/>
            <w:noWrap w:val="0"/>
            <w:vAlign w:val="center"/>
          </w:tcPr>
          <w:p w14:paraId="7E1BDD6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紫翅椋鸟</w:t>
            </w:r>
          </w:p>
        </w:tc>
        <w:tc>
          <w:tcPr>
            <w:tcW w:w="1613" w:type="pct"/>
            <w:noWrap w:val="0"/>
            <w:vAlign w:val="center"/>
          </w:tcPr>
          <w:p w14:paraId="0E7C7AF5">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Sturnus vulgaris</w:t>
            </w:r>
          </w:p>
        </w:tc>
        <w:tc>
          <w:tcPr>
            <w:tcW w:w="561" w:type="pct"/>
            <w:noWrap w:val="0"/>
            <w:vAlign w:val="center"/>
          </w:tcPr>
          <w:p w14:paraId="4919C2F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B</w:t>
            </w:r>
          </w:p>
        </w:tc>
        <w:tc>
          <w:tcPr>
            <w:tcW w:w="1139" w:type="pct"/>
            <w:noWrap w:val="0"/>
            <w:vAlign w:val="center"/>
          </w:tcPr>
          <w:p w14:paraId="55C44969">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501F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61EEA17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11</w:t>
            </w:r>
          </w:p>
        </w:tc>
        <w:tc>
          <w:tcPr>
            <w:tcW w:w="1266" w:type="pct"/>
            <w:noWrap w:val="0"/>
            <w:vAlign w:val="center"/>
          </w:tcPr>
          <w:p w14:paraId="1CEC1C1C">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寒鸦</w:t>
            </w:r>
          </w:p>
        </w:tc>
        <w:tc>
          <w:tcPr>
            <w:tcW w:w="1613" w:type="pct"/>
            <w:noWrap w:val="0"/>
            <w:vAlign w:val="center"/>
          </w:tcPr>
          <w:p w14:paraId="2F5CFB3A">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Corvus monedual</w:t>
            </w:r>
          </w:p>
        </w:tc>
        <w:tc>
          <w:tcPr>
            <w:tcW w:w="561" w:type="pct"/>
            <w:noWrap w:val="0"/>
            <w:vAlign w:val="center"/>
          </w:tcPr>
          <w:p w14:paraId="7E70F989">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w:t>
            </w:r>
          </w:p>
        </w:tc>
        <w:tc>
          <w:tcPr>
            <w:tcW w:w="1139" w:type="pct"/>
            <w:noWrap w:val="0"/>
            <w:vAlign w:val="center"/>
          </w:tcPr>
          <w:p w14:paraId="7621D544">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0434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43471DE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12</w:t>
            </w:r>
          </w:p>
        </w:tc>
        <w:tc>
          <w:tcPr>
            <w:tcW w:w="1266" w:type="pct"/>
            <w:noWrap w:val="0"/>
            <w:vAlign w:val="center"/>
          </w:tcPr>
          <w:p w14:paraId="007B844A">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小嘴乌鸦</w:t>
            </w:r>
          </w:p>
        </w:tc>
        <w:tc>
          <w:tcPr>
            <w:tcW w:w="1613" w:type="pct"/>
            <w:noWrap w:val="0"/>
            <w:vAlign w:val="center"/>
          </w:tcPr>
          <w:p w14:paraId="71ABB04A">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Corvua corone</w:t>
            </w:r>
          </w:p>
        </w:tc>
        <w:tc>
          <w:tcPr>
            <w:tcW w:w="561" w:type="pct"/>
            <w:noWrap w:val="0"/>
            <w:vAlign w:val="center"/>
          </w:tcPr>
          <w:p w14:paraId="1852ED5A">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B</w:t>
            </w:r>
          </w:p>
        </w:tc>
        <w:tc>
          <w:tcPr>
            <w:tcW w:w="1139" w:type="pct"/>
            <w:noWrap w:val="0"/>
            <w:vAlign w:val="center"/>
          </w:tcPr>
          <w:p w14:paraId="7D9ECFE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21A5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667C8E85">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13</w:t>
            </w:r>
          </w:p>
        </w:tc>
        <w:tc>
          <w:tcPr>
            <w:tcW w:w="1266" w:type="pct"/>
            <w:noWrap w:val="0"/>
            <w:vAlign w:val="center"/>
          </w:tcPr>
          <w:p w14:paraId="1E7C265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黑顶麻雀</w:t>
            </w:r>
          </w:p>
        </w:tc>
        <w:tc>
          <w:tcPr>
            <w:tcW w:w="1613" w:type="pct"/>
            <w:noWrap w:val="0"/>
            <w:vAlign w:val="center"/>
          </w:tcPr>
          <w:p w14:paraId="021BAC20">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Passer ammodendri</w:t>
            </w:r>
          </w:p>
        </w:tc>
        <w:tc>
          <w:tcPr>
            <w:tcW w:w="561" w:type="pct"/>
            <w:noWrap w:val="0"/>
            <w:vAlign w:val="center"/>
          </w:tcPr>
          <w:p w14:paraId="7EF293B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R</w:t>
            </w:r>
          </w:p>
        </w:tc>
        <w:tc>
          <w:tcPr>
            <w:tcW w:w="1139" w:type="pct"/>
            <w:noWrap w:val="0"/>
            <w:vAlign w:val="center"/>
          </w:tcPr>
          <w:p w14:paraId="3529304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075A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06630F3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14</w:t>
            </w:r>
          </w:p>
        </w:tc>
        <w:tc>
          <w:tcPr>
            <w:tcW w:w="1266" w:type="pct"/>
            <w:noWrap w:val="0"/>
            <w:vAlign w:val="center"/>
          </w:tcPr>
          <w:p w14:paraId="176026E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棕尾伯劳</w:t>
            </w:r>
          </w:p>
        </w:tc>
        <w:tc>
          <w:tcPr>
            <w:tcW w:w="1613" w:type="pct"/>
            <w:noWrap w:val="0"/>
            <w:vAlign w:val="center"/>
          </w:tcPr>
          <w:p w14:paraId="3D567688">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Lanius isabellinus</w:t>
            </w:r>
          </w:p>
        </w:tc>
        <w:tc>
          <w:tcPr>
            <w:tcW w:w="561" w:type="pct"/>
            <w:noWrap w:val="0"/>
            <w:vAlign w:val="center"/>
          </w:tcPr>
          <w:p w14:paraId="7E76115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B</w:t>
            </w:r>
          </w:p>
        </w:tc>
        <w:tc>
          <w:tcPr>
            <w:tcW w:w="1139" w:type="pct"/>
            <w:noWrap w:val="0"/>
            <w:vAlign w:val="center"/>
          </w:tcPr>
          <w:p w14:paraId="50311CE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1627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5"/>
            <w:noWrap w:val="0"/>
            <w:vAlign w:val="center"/>
          </w:tcPr>
          <w:p w14:paraId="7C47BD2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哺乳类</w:t>
            </w:r>
          </w:p>
        </w:tc>
      </w:tr>
      <w:tr w14:paraId="4171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463A4380">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15</w:t>
            </w:r>
          </w:p>
        </w:tc>
        <w:tc>
          <w:tcPr>
            <w:tcW w:w="1266" w:type="pct"/>
            <w:noWrap w:val="0"/>
            <w:vAlign w:val="center"/>
          </w:tcPr>
          <w:p w14:paraId="11FBD75B">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塔里木兔</w:t>
            </w:r>
          </w:p>
        </w:tc>
        <w:tc>
          <w:tcPr>
            <w:tcW w:w="1613" w:type="pct"/>
            <w:noWrap w:val="0"/>
            <w:vAlign w:val="center"/>
          </w:tcPr>
          <w:p w14:paraId="00289884">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Lepus yarkandensis</w:t>
            </w:r>
          </w:p>
        </w:tc>
        <w:tc>
          <w:tcPr>
            <w:tcW w:w="561" w:type="pct"/>
            <w:noWrap w:val="0"/>
            <w:vAlign w:val="center"/>
          </w:tcPr>
          <w:p w14:paraId="367A5758">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1A090255">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6070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69131DDD">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16</w:t>
            </w:r>
          </w:p>
        </w:tc>
        <w:tc>
          <w:tcPr>
            <w:tcW w:w="1266" w:type="pct"/>
            <w:noWrap w:val="0"/>
            <w:vAlign w:val="center"/>
          </w:tcPr>
          <w:p w14:paraId="41BA8486">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三趾心颅跳鼠</w:t>
            </w:r>
          </w:p>
        </w:tc>
        <w:tc>
          <w:tcPr>
            <w:tcW w:w="1613" w:type="pct"/>
            <w:noWrap w:val="0"/>
            <w:vAlign w:val="center"/>
          </w:tcPr>
          <w:p w14:paraId="6BE7153D">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Salpingotus kozlovi</w:t>
            </w:r>
          </w:p>
        </w:tc>
        <w:tc>
          <w:tcPr>
            <w:tcW w:w="561" w:type="pct"/>
            <w:noWrap w:val="0"/>
            <w:vAlign w:val="center"/>
          </w:tcPr>
          <w:p w14:paraId="6E480CB2">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43DC3DBE">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28A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9" w:type="pct"/>
            <w:noWrap w:val="0"/>
            <w:vAlign w:val="center"/>
          </w:tcPr>
          <w:p w14:paraId="3C12A994">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17</w:t>
            </w:r>
          </w:p>
        </w:tc>
        <w:tc>
          <w:tcPr>
            <w:tcW w:w="1266" w:type="pct"/>
            <w:noWrap w:val="0"/>
            <w:vAlign w:val="center"/>
          </w:tcPr>
          <w:p w14:paraId="3BD6F006">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子午沙鼠</w:t>
            </w:r>
          </w:p>
        </w:tc>
        <w:tc>
          <w:tcPr>
            <w:tcW w:w="1613" w:type="pct"/>
            <w:noWrap w:val="0"/>
            <w:vAlign w:val="center"/>
          </w:tcPr>
          <w:p w14:paraId="483622E5">
            <w:pPr>
              <w:widowControl w:val="0"/>
              <w:jc w:val="center"/>
              <w:rPr>
                <w:rFonts w:ascii="Times New Roman" w:hAnsi="Times New Roman" w:eastAsia="宋体" w:cs="Times New Roman"/>
                <w:i/>
                <w:color w:val="000000" w:themeColor="text1"/>
                <w:kern w:val="2"/>
                <w:sz w:val="21"/>
                <w:szCs w:val="21"/>
                <w:highlight w:val="none"/>
                <w14:textFill>
                  <w14:solidFill>
                    <w14:schemeClr w14:val="tx1"/>
                  </w14:solidFill>
                </w14:textFill>
              </w:rPr>
            </w:pPr>
            <w:r>
              <w:rPr>
                <w:rFonts w:ascii="Times New Roman" w:hAnsi="Times New Roman" w:eastAsia="宋体" w:cs="Times New Roman"/>
                <w:i/>
                <w:color w:val="000000" w:themeColor="text1"/>
                <w:kern w:val="2"/>
                <w:sz w:val="21"/>
                <w:szCs w:val="21"/>
                <w:highlight w:val="none"/>
                <w14:textFill>
                  <w14:solidFill>
                    <w14:schemeClr w14:val="tx1"/>
                  </w14:solidFill>
                </w14:textFill>
              </w:rPr>
              <w:t>Meriones meridianus</w:t>
            </w:r>
          </w:p>
        </w:tc>
        <w:tc>
          <w:tcPr>
            <w:tcW w:w="561" w:type="pct"/>
            <w:noWrap w:val="0"/>
            <w:vAlign w:val="center"/>
          </w:tcPr>
          <w:p w14:paraId="32627C97">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139" w:type="pct"/>
            <w:noWrap w:val="0"/>
            <w:vAlign w:val="center"/>
          </w:tcPr>
          <w:p w14:paraId="42B35FB3">
            <w:pPr>
              <w:widowControl w:val="0"/>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rFonts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4AE5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7" w:hRule="atLeast"/>
          <w:jc w:val="center"/>
        </w:trPr>
        <w:tc>
          <w:tcPr>
            <w:tcW w:w="5000" w:type="pct"/>
            <w:gridSpan w:val="5"/>
            <w:tcBorders>
              <w:top w:val="single" w:color="auto" w:sz="4" w:space="0"/>
              <w:left w:val="nil"/>
              <w:bottom w:val="nil"/>
              <w:right w:val="nil"/>
            </w:tcBorders>
            <w:noWrap w:val="0"/>
            <w:vAlign w:val="center"/>
          </w:tcPr>
          <w:p w14:paraId="195003E2">
            <w:pPr>
              <w:widowControl w:val="0"/>
              <w:jc w:val="center"/>
              <w:rPr>
                <w:rFonts w:hint="eastAsia"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注：（1）R—留鸟；  B—繁殖鸟；   W—冬候鸟；   S—夏候鸟；</w:t>
            </w:r>
            <w:r>
              <w:rPr>
                <w:rFonts w:hint="eastAsia"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2</w:t>
            </w:r>
            <w:r>
              <w:rPr>
                <w:rFonts w:hint="eastAsia"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 xml:space="preserve"> ±：偶见种；   +：常见种；  ++：多见种；</w:t>
            </w:r>
          </w:p>
        </w:tc>
      </w:tr>
    </w:tbl>
    <w:p w14:paraId="567C689F">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位于</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气</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田开发区域，</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项目周边分布大量农田，</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人类活动频繁，使得对人类活动敏感的野生动物早已离去，已难以再见到大中型野生动物。</w:t>
      </w:r>
    </w:p>
    <w:p w14:paraId="47F7889B">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（4）重点保护野生动物</w:t>
      </w:r>
    </w:p>
    <w:p w14:paraId="1B5B2688">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根据《国家重点保护野生动物名录（2021年版）</w:t>
      </w:r>
      <w:r>
        <w:rPr>
          <w:rFonts w:hint="eastAsia" w:cs="Times New Roman"/>
          <w:color w:val="000000" w:themeColor="text1"/>
          <w:sz w:val="24"/>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新疆国家重点保护野生动物名录》（</w:t>
      </w:r>
      <w:r>
        <w:rPr>
          <w:rFonts w:hint="eastAsia" w:cs="Times New Roman"/>
          <w:color w:val="000000" w:themeColor="text1"/>
          <w:sz w:val="24"/>
          <w:szCs w:val="21"/>
          <w:highlight w:val="none"/>
          <w:u w:val="none"/>
          <w:lang w:val="en-US" w:eastAsia="zh-CN" w:bidi="ar-SA"/>
          <w14:textFill>
            <w14:solidFill>
              <w14:schemeClr w14:val="tx1"/>
            </w14:solidFill>
          </w14:textFill>
        </w:rPr>
        <w:t>2021年7月28日</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发布）、《新疆维吾尔自治区重点保护野生动物名录（修订）》 新政发〔2022〕75号（</w:t>
      </w:r>
      <w:r>
        <w:rPr>
          <w:rFonts w:hint="eastAsia" w:cs="Times New Roman"/>
          <w:color w:val="000000" w:themeColor="text1"/>
          <w:sz w:val="24"/>
          <w:szCs w:val="21"/>
          <w:highlight w:val="none"/>
          <w:u w:val="none"/>
          <w:lang w:val="en-US" w:eastAsia="zh-CN" w:bidi="ar-SA"/>
          <w14:textFill>
            <w14:solidFill>
              <w14:schemeClr w14:val="tx1"/>
            </w14:solidFill>
          </w14:textFill>
        </w:rPr>
        <w:t>2022年9月8日</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发布），经过咨询当地林业局野生动物保护科以及生态环境局等单位，该区域共有国家级重点保护动物</w:t>
      </w:r>
      <w:r>
        <w:rPr>
          <w:rFonts w:hint="eastAsia" w:cs="Times New Roman"/>
          <w:color w:val="000000" w:themeColor="text1"/>
          <w:sz w:val="24"/>
          <w:szCs w:val="21"/>
          <w:highlight w:val="none"/>
          <w:u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种，详见表4.2-</w:t>
      </w:r>
      <w:r>
        <w:rPr>
          <w:rFonts w:hint="eastAsia" w:cs="Times New Roman"/>
          <w:color w:val="000000" w:themeColor="text1"/>
          <w:sz w:val="24"/>
          <w:szCs w:val="21"/>
          <w:highlight w:val="none"/>
          <w:u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w:t>
      </w:r>
    </w:p>
    <w:p w14:paraId="1CA08B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i w:val="0"/>
          <w:iCs w:val="0"/>
          <w:color w:val="000000" w:themeColor="text1"/>
          <w:kern w:val="0"/>
          <w:sz w:val="21"/>
          <w:szCs w:val="21"/>
          <w:highlight w:val="none"/>
          <w:u w:val="none"/>
          <w:lang w:val="zh-CN"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zh-CN" w:eastAsia="zh-CN" w:bidi="ar"/>
          <w14:textFill>
            <w14:solidFill>
              <w14:schemeClr w14:val="tx1"/>
            </w14:solidFill>
          </w14:textFill>
        </w:rPr>
        <w:t>表4.2-</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6  </w:t>
      </w:r>
      <w:r>
        <w:rPr>
          <w:rFonts w:hint="eastAsia" w:ascii="Times New Roman" w:hAnsi="Times New Roman" w:eastAsia="宋体" w:cs="Times New Roman"/>
          <w:b/>
          <w:bCs/>
          <w:i w:val="0"/>
          <w:iCs w:val="0"/>
          <w:color w:val="000000" w:themeColor="text1"/>
          <w:kern w:val="0"/>
          <w:sz w:val="21"/>
          <w:szCs w:val="21"/>
          <w:highlight w:val="none"/>
          <w:u w:val="none"/>
          <w:lang w:val="zh-CN" w:eastAsia="zh-CN" w:bidi="ar"/>
          <w14:textFill>
            <w14:solidFill>
              <w14:schemeClr w14:val="tx1"/>
            </w14:solidFill>
          </w14:textFill>
        </w:rPr>
        <w:t>重要野生动物调查结果统计表</w:t>
      </w:r>
    </w:p>
    <w:tbl>
      <w:tblPr>
        <w:tblStyle w:val="37"/>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90"/>
        <w:gridCol w:w="1443"/>
        <w:gridCol w:w="637"/>
        <w:gridCol w:w="595"/>
        <w:gridCol w:w="861"/>
        <w:gridCol w:w="2307"/>
        <w:gridCol w:w="856"/>
        <w:gridCol w:w="1165"/>
      </w:tblGrid>
      <w:tr w14:paraId="17E93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vAlign w:val="center"/>
          </w:tcPr>
          <w:p w14:paraId="55CC5323">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序号</w:t>
            </w:r>
          </w:p>
        </w:tc>
        <w:tc>
          <w:tcPr>
            <w:tcW w:w="863" w:type="pct"/>
            <w:vAlign w:val="center"/>
          </w:tcPr>
          <w:p w14:paraId="445ABD3C">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物种名称</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中文名/拉丁名</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p>
        </w:tc>
        <w:tc>
          <w:tcPr>
            <w:tcW w:w="381" w:type="pct"/>
            <w:vAlign w:val="center"/>
          </w:tcPr>
          <w:p w14:paraId="79904C4B">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保护级别</w:t>
            </w:r>
          </w:p>
        </w:tc>
        <w:tc>
          <w:tcPr>
            <w:tcW w:w="356" w:type="pct"/>
            <w:vAlign w:val="center"/>
          </w:tcPr>
          <w:p w14:paraId="315EBDBD">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濒危级别</w:t>
            </w:r>
          </w:p>
        </w:tc>
        <w:tc>
          <w:tcPr>
            <w:tcW w:w="515" w:type="pct"/>
            <w:vAlign w:val="center"/>
          </w:tcPr>
          <w:p w14:paraId="22F04A64">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特有种</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是/否</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p>
        </w:tc>
        <w:tc>
          <w:tcPr>
            <w:tcW w:w="1380" w:type="pct"/>
            <w:vAlign w:val="center"/>
          </w:tcPr>
          <w:p w14:paraId="1AFCE380">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分布区域</w:t>
            </w:r>
          </w:p>
        </w:tc>
        <w:tc>
          <w:tcPr>
            <w:tcW w:w="512" w:type="pct"/>
            <w:vAlign w:val="center"/>
          </w:tcPr>
          <w:p w14:paraId="2D70E32F">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资料</w:t>
            </w:r>
          </w:p>
          <w:p w14:paraId="04C05CA9">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来源</w:t>
            </w:r>
          </w:p>
        </w:tc>
        <w:tc>
          <w:tcPr>
            <w:tcW w:w="697" w:type="pct"/>
            <w:vAlign w:val="center"/>
          </w:tcPr>
          <w:p w14:paraId="380C989C">
            <w:pPr>
              <w:widowControl w:val="0"/>
              <w:jc w:val="cente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项目</w:t>
            </w: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占用情况</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r>
              <w:rPr>
                <w:rFonts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是/否</w:t>
            </w: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p>
        </w:tc>
      </w:tr>
      <w:tr w14:paraId="2114A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3" w:type="pct"/>
            <w:vAlign w:val="center"/>
          </w:tcPr>
          <w:p w14:paraId="449E2AD0">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p>
        </w:tc>
        <w:tc>
          <w:tcPr>
            <w:tcW w:w="863" w:type="pct"/>
            <w:vAlign w:val="center"/>
          </w:tcPr>
          <w:p w14:paraId="282F2807">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塔里木兔</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ascii="Times New Roman" w:hAnsi="Times New Roman" w:eastAsia="宋体" w:cs="Times New Roman"/>
                <w:i/>
                <w:iCs/>
                <w:color w:val="000000" w:themeColor="text1"/>
                <w:kern w:val="2"/>
                <w:sz w:val="21"/>
                <w:szCs w:val="21"/>
                <w:highlight w:val="none"/>
                <w:lang w:val="en-US" w:eastAsia="zh-CN"/>
                <w14:textFill>
                  <w14:solidFill>
                    <w14:schemeClr w14:val="tx1"/>
                  </w14:solidFill>
                </w14:textFill>
              </w:rPr>
              <w:t>Lepus yarkandensis</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381" w:type="pct"/>
            <w:vAlign w:val="center"/>
          </w:tcPr>
          <w:p w14:paraId="03FAEA7E">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国家二级</w:t>
            </w:r>
          </w:p>
        </w:tc>
        <w:tc>
          <w:tcPr>
            <w:tcW w:w="356" w:type="pct"/>
            <w:vAlign w:val="center"/>
          </w:tcPr>
          <w:p w14:paraId="3962AF13">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近危</w:t>
            </w:r>
          </w:p>
          <w:p w14:paraId="140C2749">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NT</w:t>
            </w:r>
          </w:p>
        </w:tc>
        <w:tc>
          <w:tcPr>
            <w:tcW w:w="515" w:type="pct"/>
            <w:vAlign w:val="center"/>
          </w:tcPr>
          <w:p w14:paraId="100C2B33">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是</w:t>
            </w:r>
          </w:p>
        </w:tc>
        <w:tc>
          <w:tcPr>
            <w:tcW w:w="1380" w:type="pct"/>
            <w:vAlign w:val="center"/>
          </w:tcPr>
          <w:p w14:paraId="2420EAA6">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分布在新疆南部塔里木盆地，栖息于盆地中各种不同的荒漠环境和绿洲</w:t>
            </w:r>
          </w:p>
        </w:tc>
        <w:tc>
          <w:tcPr>
            <w:tcW w:w="512" w:type="pct"/>
            <w:vAlign w:val="center"/>
          </w:tcPr>
          <w:p w14:paraId="6C3BD39F">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现场调查、文献记录、历史调查资料</w:t>
            </w:r>
          </w:p>
        </w:tc>
        <w:tc>
          <w:tcPr>
            <w:tcW w:w="697" w:type="pct"/>
            <w:vAlign w:val="center"/>
          </w:tcPr>
          <w:p w14:paraId="43D35147">
            <w:pPr>
              <w:widowControl w:val="0"/>
              <w:jc w:val="center"/>
              <w:rPr>
                <w:rFonts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否</w:t>
            </w:r>
          </w:p>
        </w:tc>
      </w:tr>
    </w:tbl>
    <w:p w14:paraId="0890CAB0">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eastAsia="zh-CN"/>
          <w14:textFill>
            <w14:solidFill>
              <w14:schemeClr w14:val="tx1"/>
            </w14:solidFill>
          </w14:textFill>
        </w:rPr>
      </w:pPr>
      <w:bookmarkStart w:id="816" w:name="_Toc20148"/>
      <w:r>
        <w:rPr>
          <w:rFonts w:hint="default" w:ascii="Times New Roman" w:hAnsi="Times New Roman" w:cs="Times New Roman"/>
          <w:color w:val="000000" w:themeColor="text1"/>
          <w:highlight w:val="none"/>
          <w:lang w:val="zh-CN"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2.7</w:t>
      </w:r>
      <w:r>
        <w:rPr>
          <w:rFonts w:hint="default" w:ascii="Times New Roman" w:hAnsi="Times New Roman" w:cs="Times New Roman"/>
          <w:color w:val="000000" w:themeColor="text1"/>
          <w:highlight w:val="none"/>
          <w:lang w:val="zh-CN" w:eastAsia="zh-CN"/>
          <w14:textFill>
            <w14:solidFill>
              <w14:schemeClr w14:val="tx1"/>
            </w14:solidFill>
          </w14:textFill>
        </w:rPr>
        <w:t>生态敏感区调查与评价</w:t>
      </w:r>
    </w:p>
    <w:p w14:paraId="788246B6">
      <w:pPr>
        <w:numPr>
          <w:ilvl w:val="0"/>
          <w:numId w:val="0"/>
        </w:numPr>
        <w:adjustRightInd/>
        <w:snapToGrid/>
        <w:spacing w:line="360" w:lineRule="auto"/>
        <w:ind w:firstLine="480" w:firstLineChars="200"/>
        <w:jc w:val="both"/>
        <w:rPr>
          <w:rFonts w:hint="eastAsia"/>
          <w:color w:val="000000" w:themeColor="text1"/>
          <w:highlight w:val="none"/>
          <w:lang w:val="en-US" w:eastAsia="zh-CN"/>
          <w14:textFill>
            <w14:solidFill>
              <w14:schemeClr w14:val="tx1"/>
            </w14:solidFill>
          </w14:textFill>
        </w:rPr>
      </w:pPr>
      <w:bookmarkStart w:id="817" w:name="OLE_LINK1344"/>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（1）</w:t>
      </w:r>
      <w:r>
        <w:rPr>
          <w:rFonts w:hint="eastAsia" w:cs="Times New Roman"/>
          <w:color w:val="000000" w:themeColor="text1"/>
          <w:sz w:val="24"/>
          <w:szCs w:val="21"/>
          <w:highlight w:val="none"/>
          <w:lang w:val="en-US" w:eastAsia="zh-CN" w:bidi="ar-SA"/>
          <w14:textFill>
            <w14:solidFill>
              <w14:schemeClr w14:val="tx1"/>
            </w14:solidFill>
          </w14:textFill>
        </w:rPr>
        <w:t>水土流失现状调查与评价</w:t>
      </w:r>
    </w:p>
    <w:bookmarkEnd w:id="817"/>
    <w:p w14:paraId="6850FBAC">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根据新水水保〔2019〕4号文件，新疆共划分了2个自治区级重点预防区，4个自治区级重点治理区。其中，重点预防区面积19615.9km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，包括天山山区重点预防区、塔里木河中上游重点预防区；重点治理区面积283963km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，包括额尔齐斯河流域重点治理区、天山北坡诸小河流域重点治理区、塔里木河流域水土流失重点治理区、伊犁河流域重点治理区。</w:t>
      </w:r>
    </w:p>
    <w:p w14:paraId="203E2E89">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根据《阿克苏地区水土保持规划（2020-2030年）》和新水水保〔2019〕4号文件，本工程位于塔里木河流域水土流失重点治理区。</w:t>
      </w:r>
    </w:p>
    <w:p w14:paraId="0FB26199">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水土保持区划属于北方风沙区Ⅱ、南疆山地盆地区Ⅱ-4、塔里木盆地北部农田防护水源涵养区Ⅱ-4-1nh、塔里木盆地北部农田防护水源涵养区、Ⅱ中南部人居农田环境改善区。该区域主要包括阿克苏市、阿瓦提县、新和县、沙雅县，本区以风力侵蚀为主，本区南部毗邻塔克拉玛干沙漠北缘，受风沙危害大，风蚀强烈，天山南坡夏季常发生阵发性降雨和暴雨，加之中低山带山体破碎，地表多为第四纪松散堆积物，植被稀少，暴雨形成的水蚀侵蚀作用强烈，面蚀、沟蚀十分发育。</w:t>
      </w:r>
    </w:p>
    <w:p w14:paraId="63A97497">
      <w:pPr>
        <w:pStyle w:val="19"/>
        <w:keepNext w:val="0"/>
        <w:keepLines w:val="0"/>
        <w:pageBreakBefore w:val="0"/>
        <w:kinsoku/>
        <w:wordWrap/>
        <w:overflowPunct/>
        <w:topLinePunct w:val="0"/>
        <w:bidi w:val="0"/>
        <w:adjustRightInd w:val="0"/>
        <w:snapToGrid w:val="0"/>
        <w:spacing w:line="360" w:lineRule="auto"/>
        <w:jc w:val="both"/>
        <w:rPr>
          <w:rFonts w:hint="default" w:ascii="Times New Roman" w:hAnsi="Times New Roman"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本区水土流失总面积为4.4万km</w:t>
      </w:r>
      <w:r>
        <w:rPr>
          <w:rFonts w:hint="default"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，占本区土地总面积的33.51%，其中水力侵蚀面积为0.01万km</w:t>
      </w:r>
      <w:r>
        <w:rPr>
          <w:rFonts w:hint="default"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，占本区土地总面积的0.06%；风力侵蚀面积为4.39万km</w:t>
      </w:r>
      <w:r>
        <w:rPr>
          <w:rFonts w:hint="default"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，占本区土地总面积的33.43%。其中新和县风力侵蚀面积及强度情况见表4.2-</w:t>
      </w:r>
      <w:r>
        <w:rPr>
          <w:rFonts w:hint="eastAsia" w:ascii="Times New Roman" w:hAnsi="Times New Roman" w:cs="Times New Roman"/>
          <w:color w:val="000000" w:themeColor="text1"/>
          <w:sz w:val="24"/>
          <w:szCs w:val="21"/>
          <w:highlight w:val="none"/>
          <w:lang w:val="en-US" w:eastAsia="zh-CN" w:bidi="ar-SA"/>
          <w14:textFill>
            <w14:solidFill>
              <w14:schemeClr w14:val="tx1"/>
            </w14:solidFill>
          </w14:textFill>
        </w:rPr>
        <w:t>7</w:t>
      </w:r>
      <w:r>
        <w:rPr>
          <w:rFonts w:hint="default" w:ascii="Times New Roman" w:hAnsi="Times New Roman" w:cs="Times New Roman"/>
          <w:color w:val="000000" w:themeColor="text1"/>
          <w:sz w:val="24"/>
          <w:szCs w:val="21"/>
          <w:highlight w:val="none"/>
          <w:lang w:val="en-US" w:eastAsia="zh-CN" w:bidi="ar-SA"/>
          <w14:textFill>
            <w14:solidFill>
              <w14:schemeClr w14:val="tx1"/>
            </w14:solidFill>
          </w14:textFill>
        </w:rPr>
        <w:t>。</w:t>
      </w:r>
    </w:p>
    <w:p w14:paraId="60CC525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 xml:space="preserve">表4.2-7  新和县水力侵蚀面积及强度统计表 </w:t>
      </w:r>
    </w:p>
    <w:tbl>
      <w:tblPr>
        <w:tblStyle w:val="3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0"/>
        <w:gridCol w:w="1210"/>
        <w:gridCol w:w="1210"/>
        <w:gridCol w:w="1210"/>
        <w:gridCol w:w="1210"/>
        <w:gridCol w:w="1210"/>
        <w:gridCol w:w="1211"/>
      </w:tblGrid>
      <w:tr w14:paraId="7C1B7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642" w:type="pct"/>
            <w:vMerge w:val="restart"/>
            <w:tcBorders>
              <w:tl2br w:val="nil"/>
              <w:tr2bl w:val="nil"/>
            </w:tcBorders>
            <w:noWrap w:val="0"/>
            <w:tcMar>
              <w:top w:w="15" w:type="dxa"/>
              <w:left w:w="15" w:type="dxa"/>
              <w:right w:w="15" w:type="dxa"/>
            </w:tcMar>
            <w:vAlign w:val="center"/>
          </w:tcPr>
          <w:p w14:paraId="43C350D9">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行政区</w:t>
            </w:r>
          </w:p>
        </w:tc>
        <w:tc>
          <w:tcPr>
            <w:tcW w:w="726" w:type="pct"/>
            <w:tcBorders>
              <w:tl2br w:val="nil"/>
              <w:tr2bl w:val="nil"/>
            </w:tcBorders>
            <w:noWrap w:val="0"/>
            <w:tcMar>
              <w:top w:w="15" w:type="dxa"/>
              <w:left w:w="15" w:type="dxa"/>
              <w:right w:w="15" w:type="dxa"/>
            </w:tcMar>
            <w:vAlign w:val="center"/>
          </w:tcPr>
          <w:p w14:paraId="24179785">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水力侵蚀</w:t>
            </w:r>
          </w:p>
        </w:tc>
        <w:tc>
          <w:tcPr>
            <w:tcW w:w="726" w:type="pct"/>
            <w:tcBorders>
              <w:tl2br w:val="nil"/>
              <w:tr2bl w:val="nil"/>
            </w:tcBorders>
            <w:noWrap w:val="0"/>
            <w:tcMar>
              <w:top w:w="15" w:type="dxa"/>
              <w:left w:w="15" w:type="dxa"/>
              <w:right w:w="15" w:type="dxa"/>
            </w:tcMar>
            <w:vAlign w:val="center"/>
          </w:tcPr>
          <w:p w14:paraId="6C5D2ED7">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轻度侵蚀</w:t>
            </w:r>
          </w:p>
        </w:tc>
        <w:tc>
          <w:tcPr>
            <w:tcW w:w="726" w:type="pct"/>
            <w:tcBorders>
              <w:tl2br w:val="nil"/>
              <w:tr2bl w:val="nil"/>
            </w:tcBorders>
            <w:noWrap w:val="0"/>
            <w:tcMar>
              <w:top w:w="15" w:type="dxa"/>
              <w:left w:w="15" w:type="dxa"/>
              <w:right w:w="15" w:type="dxa"/>
            </w:tcMar>
            <w:vAlign w:val="center"/>
          </w:tcPr>
          <w:p w14:paraId="3D6C2972">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中度侵蚀</w:t>
            </w:r>
          </w:p>
        </w:tc>
        <w:tc>
          <w:tcPr>
            <w:tcW w:w="726" w:type="pct"/>
            <w:tcBorders>
              <w:tl2br w:val="nil"/>
              <w:tr2bl w:val="nil"/>
            </w:tcBorders>
            <w:noWrap w:val="0"/>
            <w:tcMar>
              <w:top w:w="15" w:type="dxa"/>
              <w:left w:w="15" w:type="dxa"/>
              <w:right w:w="15" w:type="dxa"/>
            </w:tcMar>
            <w:vAlign w:val="center"/>
          </w:tcPr>
          <w:p w14:paraId="130591E6">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强烈侵蚀</w:t>
            </w:r>
          </w:p>
        </w:tc>
        <w:tc>
          <w:tcPr>
            <w:tcW w:w="726" w:type="pct"/>
            <w:tcBorders>
              <w:tl2br w:val="nil"/>
              <w:tr2bl w:val="nil"/>
            </w:tcBorders>
            <w:noWrap w:val="0"/>
            <w:tcMar>
              <w:top w:w="15" w:type="dxa"/>
              <w:left w:w="15" w:type="dxa"/>
              <w:right w:w="15" w:type="dxa"/>
            </w:tcMar>
            <w:vAlign w:val="center"/>
          </w:tcPr>
          <w:p w14:paraId="6DF3E6DC">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极强烈侵蚀</w:t>
            </w:r>
          </w:p>
        </w:tc>
        <w:tc>
          <w:tcPr>
            <w:tcW w:w="726" w:type="pct"/>
            <w:tcBorders>
              <w:tl2br w:val="nil"/>
              <w:tr2bl w:val="nil"/>
            </w:tcBorders>
            <w:noWrap w:val="0"/>
            <w:tcMar>
              <w:top w:w="15" w:type="dxa"/>
              <w:left w:w="15" w:type="dxa"/>
              <w:right w:w="15" w:type="dxa"/>
            </w:tcMar>
            <w:vAlign w:val="center"/>
          </w:tcPr>
          <w:p w14:paraId="019FA42C">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剧烈侵蚀</w:t>
            </w:r>
          </w:p>
        </w:tc>
      </w:tr>
      <w:tr w14:paraId="33246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42" w:type="pct"/>
            <w:vMerge w:val="continue"/>
            <w:tcBorders>
              <w:tl2br w:val="nil"/>
              <w:tr2bl w:val="nil"/>
            </w:tcBorders>
            <w:noWrap w:val="0"/>
            <w:tcMar>
              <w:top w:w="15" w:type="dxa"/>
              <w:left w:w="15" w:type="dxa"/>
              <w:right w:w="15" w:type="dxa"/>
            </w:tcMar>
            <w:vAlign w:val="center"/>
          </w:tcPr>
          <w:p w14:paraId="0F99608E">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726" w:type="pct"/>
            <w:tcBorders>
              <w:tl2br w:val="nil"/>
              <w:tr2bl w:val="nil"/>
            </w:tcBorders>
            <w:noWrap w:val="0"/>
            <w:tcMar>
              <w:top w:w="15" w:type="dxa"/>
              <w:left w:w="15" w:type="dxa"/>
              <w:right w:w="15" w:type="dxa"/>
            </w:tcMar>
            <w:vAlign w:val="center"/>
          </w:tcPr>
          <w:p w14:paraId="2BC926CE">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726" w:type="pct"/>
            <w:tcBorders>
              <w:tl2br w:val="nil"/>
              <w:tr2bl w:val="nil"/>
            </w:tcBorders>
            <w:noWrap w:val="0"/>
            <w:tcMar>
              <w:top w:w="15" w:type="dxa"/>
              <w:left w:w="15" w:type="dxa"/>
              <w:right w:w="15" w:type="dxa"/>
            </w:tcMar>
            <w:vAlign w:val="center"/>
          </w:tcPr>
          <w:p w14:paraId="1A03B100">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726" w:type="pct"/>
            <w:tcBorders>
              <w:tl2br w:val="nil"/>
              <w:tr2bl w:val="nil"/>
            </w:tcBorders>
            <w:noWrap w:val="0"/>
            <w:tcMar>
              <w:top w:w="15" w:type="dxa"/>
              <w:left w:w="15" w:type="dxa"/>
              <w:right w:w="15" w:type="dxa"/>
            </w:tcMar>
            <w:vAlign w:val="center"/>
          </w:tcPr>
          <w:p w14:paraId="7D765F41">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726" w:type="pct"/>
            <w:tcBorders>
              <w:tl2br w:val="nil"/>
              <w:tr2bl w:val="nil"/>
            </w:tcBorders>
            <w:noWrap w:val="0"/>
            <w:tcMar>
              <w:top w:w="15" w:type="dxa"/>
              <w:left w:w="15" w:type="dxa"/>
              <w:right w:w="15" w:type="dxa"/>
            </w:tcMar>
            <w:vAlign w:val="center"/>
          </w:tcPr>
          <w:p w14:paraId="1B66EC03">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726" w:type="pct"/>
            <w:tcBorders>
              <w:tl2br w:val="nil"/>
              <w:tr2bl w:val="nil"/>
            </w:tcBorders>
            <w:noWrap w:val="0"/>
            <w:tcMar>
              <w:top w:w="15" w:type="dxa"/>
              <w:left w:w="15" w:type="dxa"/>
              <w:right w:w="15" w:type="dxa"/>
            </w:tcMar>
            <w:vAlign w:val="center"/>
          </w:tcPr>
          <w:p w14:paraId="00C06EF6">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726" w:type="pct"/>
            <w:tcBorders>
              <w:tl2br w:val="nil"/>
              <w:tr2bl w:val="nil"/>
            </w:tcBorders>
            <w:noWrap w:val="0"/>
            <w:tcMar>
              <w:top w:w="15" w:type="dxa"/>
              <w:left w:w="15" w:type="dxa"/>
              <w:right w:w="15" w:type="dxa"/>
            </w:tcMar>
            <w:vAlign w:val="center"/>
          </w:tcPr>
          <w:p w14:paraId="156F09F4">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面积（km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r>
      <w:tr w14:paraId="37E7F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42" w:type="pct"/>
            <w:tcBorders>
              <w:tl2br w:val="nil"/>
              <w:tr2bl w:val="nil"/>
            </w:tcBorders>
            <w:noWrap w:val="0"/>
            <w:tcMar>
              <w:top w:w="15" w:type="dxa"/>
              <w:left w:w="15" w:type="dxa"/>
              <w:right w:w="15" w:type="dxa"/>
            </w:tcMar>
            <w:vAlign w:val="center"/>
          </w:tcPr>
          <w:p w14:paraId="3C3EB5BC">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新和县</w:t>
            </w:r>
          </w:p>
        </w:tc>
        <w:tc>
          <w:tcPr>
            <w:tcW w:w="726" w:type="pct"/>
            <w:tcBorders>
              <w:tl2br w:val="nil"/>
              <w:tr2bl w:val="nil"/>
            </w:tcBorders>
            <w:noWrap w:val="0"/>
            <w:tcMar>
              <w:top w:w="15" w:type="dxa"/>
              <w:left w:w="15" w:type="dxa"/>
              <w:right w:w="15" w:type="dxa"/>
            </w:tcMar>
            <w:vAlign w:val="center"/>
          </w:tcPr>
          <w:p w14:paraId="18C06B1C">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38.49</w:t>
            </w:r>
          </w:p>
        </w:tc>
        <w:tc>
          <w:tcPr>
            <w:tcW w:w="726" w:type="pct"/>
            <w:tcBorders>
              <w:tl2br w:val="nil"/>
              <w:tr2bl w:val="nil"/>
            </w:tcBorders>
            <w:noWrap w:val="0"/>
            <w:tcMar>
              <w:top w:w="15" w:type="dxa"/>
              <w:left w:w="15" w:type="dxa"/>
              <w:right w:w="15" w:type="dxa"/>
            </w:tcMar>
            <w:vAlign w:val="center"/>
          </w:tcPr>
          <w:p w14:paraId="63937EFD">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33.47</w:t>
            </w:r>
          </w:p>
        </w:tc>
        <w:tc>
          <w:tcPr>
            <w:tcW w:w="726" w:type="pct"/>
            <w:tcBorders>
              <w:tl2br w:val="nil"/>
              <w:tr2bl w:val="nil"/>
            </w:tcBorders>
            <w:noWrap w:val="0"/>
            <w:tcMar>
              <w:top w:w="15" w:type="dxa"/>
              <w:left w:w="15" w:type="dxa"/>
              <w:right w:w="15" w:type="dxa"/>
            </w:tcMar>
            <w:vAlign w:val="center"/>
          </w:tcPr>
          <w:p w14:paraId="6AA04B47">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4.13</w:t>
            </w:r>
          </w:p>
        </w:tc>
        <w:tc>
          <w:tcPr>
            <w:tcW w:w="726" w:type="pct"/>
            <w:tcBorders>
              <w:tl2br w:val="nil"/>
              <w:tr2bl w:val="nil"/>
            </w:tcBorders>
            <w:noWrap w:val="0"/>
            <w:tcMar>
              <w:top w:w="15" w:type="dxa"/>
              <w:left w:w="15" w:type="dxa"/>
              <w:right w:w="15" w:type="dxa"/>
            </w:tcMar>
            <w:vAlign w:val="center"/>
          </w:tcPr>
          <w:p w14:paraId="252A03EA">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0.65</w:t>
            </w:r>
          </w:p>
        </w:tc>
        <w:tc>
          <w:tcPr>
            <w:tcW w:w="726" w:type="pct"/>
            <w:tcBorders>
              <w:tl2br w:val="nil"/>
              <w:tr2bl w:val="nil"/>
            </w:tcBorders>
            <w:noWrap w:val="0"/>
            <w:tcMar>
              <w:top w:w="15" w:type="dxa"/>
              <w:left w:w="15" w:type="dxa"/>
              <w:right w:w="15" w:type="dxa"/>
            </w:tcMar>
            <w:vAlign w:val="center"/>
          </w:tcPr>
          <w:p w14:paraId="200E5653">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0.24</w:t>
            </w:r>
          </w:p>
        </w:tc>
        <w:tc>
          <w:tcPr>
            <w:tcW w:w="726" w:type="pct"/>
            <w:tcBorders>
              <w:tl2br w:val="nil"/>
              <w:tr2bl w:val="nil"/>
            </w:tcBorders>
            <w:noWrap w:val="0"/>
            <w:tcMar>
              <w:top w:w="15" w:type="dxa"/>
              <w:left w:w="15" w:type="dxa"/>
              <w:right w:w="15" w:type="dxa"/>
            </w:tcMar>
            <w:vAlign w:val="center"/>
          </w:tcPr>
          <w:p w14:paraId="719A5339">
            <w:pPr>
              <w:widowControl w:val="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w:t>
            </w:r>
          </w:p>
        </w:tc>
      </w:tr>
    </w:tbl>
    <w:p w14:paraId="123ADF30">
      <w:pPr>
        <w:pStyle w:val="1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center"/>
        <w:rPr>
          <w:rFonts w:hint="eastAsia" w:cs="Times New Roman"/>
          <w:color w:val="000000" w:themeColor="text1"/>
          <w:sz w:val="24"/>
          <w:szCs w:val="21"/>
          <w:highlight w:val="none"/>
          <w:lang w:val="en-US" w:eastAsia="zh-CN" w:bidi="ar-SA"/>
          <w14:textFill>
            <w14:solidFill>
              <w14:schemeClr w14:val="tx1"/>
            </w14:solidFill>
          </w14:textFill>
        </w:rPr>
      </w:pPr>
      <w:bookmarkStart w:id="818" w:name="OLE_LINK1343"/>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bookmarkEnd w:id="818"/>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属于</w:t>
      </w:r>
      <w:r>
        <w:rPr>
          <w:rFonts w:hint="eastAsia" w:ascii="Times New Roman" w:hAnsi="Times New Roman" w:cs="Times New Roman"/>
          <w:color w:val="000000" w:themeColor="text1"/>
          <w:sz w:val="24"/>
          <w:szCs w:val="21"/>
          <w:highlight w:val="none"/>
          <w:lang w:val="en-US" w:eastAsia="zh-CN" w:bidi="ar-SA"/>
          <w14:textFill>
            <w14:solidFill>
              <w14:schemeClr w14:val="tx1"/>
            </w14:solidFill>
          </w14:textFill>
        </w:rPr>
        <w:t>天然气</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开采项目，本工程产生水土流失的影响主要在施工期，具有临时性、短暂性特点，施工期井场采取砾石压盖，砾石压盖能有效减少风力侵蚀，降低水土流失风险；对本工程</w:t>
      </w:r>
      <w:r>
        <w:rPr>
          <w:rFonts w:hint="eastAsia" w:ascii="Times New Roman" w:hAnsi="Times New Roman" w:cs="Times New Roman"/>
          <w:color w:val="000000" w:themeColor="text1"/>
          <w:sz w:val="24"/>
          <w:szCs w:val="21"/>
          <w:highlight w:val="none"/>
          <w:lang w:val="en-US" w:eastAsia="zh-CN" w:bidi="ar-SA"/>
          <w14:textFill>
            <w14:solidFill>
              <w14:schemeClr w14:val="tx1"/>
            </w14:solidFill>
          </w14:textFill>
        </w:rPr>
        <w:t>所在</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域进行定时洒水抑尘；设置限行彩条旗，严格控制和管理施工期间车辆行驶的范围，减轻对周边区域的扰动；采取了完善的水土保持措施。施工结束后，井场恢复回填平整，不会对区域的水土保持基础功能造成影响。</w:t>
      </w:r>
    </w:p>
    <w:p w14:paraId="495F8BD7">
      <w:pPr>
        <w:numPr>
          <w:ilvl w:val="0"/>
          <w:numId w:val="0"/>
        </w:numPr>
        <w:adjustRightInd/>
        <w:snapToGrid/>
        <w:spacing w:line="360" w:lineRule="auto"/>
        <w:ind w:left="0" w:leftChars="0"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）永久基本农田</w:t>
      </w:r>
    </w:p>
    <w:p w14:paraId="03627D59">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本工程不占用永久基本农田，但井场生态环境评价范围内分布有永久基本农田。保护内容主要为水土流失防治、土壤肥力、农田面积等，虽不属于生态敏感区，但其属</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于环境敏感区之列，在此做简要调查评价。</w:t>
      </w:r>
    </w:p>
    <w:p w14:paraId="0423F914">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bookmarkStart w:id="819" w:name="OLE_LINK1447"/>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根据调查，</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星火7斜井、星火701斜井和星火7-2斜井三口井均在同一个井场内，井场</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距</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新疆维吾尔自治区阿克苏地区新和县玉奇喀特镇永久基本农田（地块编号：652925204206185638）最近距离约20米</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，农田类型为水浇地，主要种植作物是棉花和小麦。本工程建设不会对工程周边永久基本农田产生影响，</w:t>
      </w:r>
      <w:bookmarkEnd w:id="819"/>
      <w:r>
        <w:rPr>
          <w:rFonts w:hint="default"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本工程周边永久基本农田现状见</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附图</w:t>
      </w:r>
      <w:r>
        <w:rPr>
          <w:rFonts w:hint="eastAsia" w:cs="Times New Roman"/>
          <w:color w:val="000000" w:themeColor="text1"/>
          <w:kern w:val="0"/>
          <w:sz w:val="24"/>
          <w:szCs w:val="21"/>
          <w:highlight w:val="none"/>
          <w:lang w:val="en-US" w:eastAsia="zh-CN" w:bidi="ar-SA"/>
          <w14:textFill>
            <w14:solidFill>
              <w14:schemeClr w14:val="tx1"/>
            </w14:solidFill>
          </w14:textFill>
        </w:rPr>
        <w:t>11。</w:t>
      </w:r>
    </w:p>
    <w:p w14:paraId="0590B131">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（3）土地沙化现状</w:t>
      </w:r>
      <w:r>
        <w:rPr>
          <w:rFonts w:hint="eastAsia" w:cs="Times New Roman"/>
          <w:color w:val="000000" w:themeColor="text1"/>
          <w:sz w:val="24"/>
          <w:szCs w:val="21"/>
          <w:highlight w:val="none"/>
          <w:lang w:val="en-US" w:eastAsia="zh-CN" w:bidi="ar-SA"/>
          <w14:textFill>
            <w14:solidFill>
              <w14:schemeClr w14:val="tx1"/>
            </w14:solidFill>
          </w14:textFill>
        </w:rPr>
        <w:t>调查</w:t>
      </w:r>
    </w:p>
    <w:p w14:paraId="44B33D89">
      <w:pPr>
        <w:adjustRightInd/>
        <w:snapToGrid/>
        <w:spacing w:line="360" w:lineRule="auto"/>
        <w:ind w:firstLine="480" w:firstLineChars="200"/>
        <w:jc w:val="both"/>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本项目类型属于石油天然气开发建设项目，井场占地为</w:t>
      </w:r>
      <w:r>
        <w:rPr>
          <w:rFonts w:hint="eastAsia" w:cs="Times New Roman"/>
          <w:color w:val="000000" w:themeColor="text1"/>
          <w:kern w:val="0"/>
          <w:highlight w:val="none"/>
          <w:lang w:val="en-US" w:eastAsia="zh-CN"/>
          <w14:textFill>
            <w14:solidFill>
              <w14:schemeClr w14:val="tx1"/>
            </w14:solidFill>
          </w14:textFill>
        </w:rPr>
        <w:t>果园</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根据《新疆第六次沙化土地监测报告》，本工程所在区域属于非沙化区，</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本工程沙化土地类型分布情况见附图12。</w:t>
      </w:r>
    </w:p>
    <w:bookmarkEnd w:id="816"/>
    <w:p w14:paraId="0026EBCB">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zh-CN"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2.8</w:t>
      </w:r>
      <w:r>
        <w:rPr>
          <w:rFonts w:hint="default" w:ascii="Times New Roman" w:hAnsi="Times New Roman" w:cs="Times New Roman"/>
          <w:color w:val="000000" w:themeColor="text1"/>
          <w:highlight w:val="none"/>
          <w:lang w:val="en-US" w:eastAsia="zh-CN"/>
          <w14:textFill>
            <w14:solidFill>
              <w14:schemeClr w14:val="tx1"/>
            </w14:solidFill>
          </w14:textFill>
        </w:rPr>
        <w:t>主要生态问题调查</w:t>
      </w:r>
    </w:p>
    <w:p w14:paraId="22D3C7FD">
      <w:pPr>
        <w:widowControl w:val="0"/>
        <w:bidi w:val="0"/>
        <w:adjustRightInd/>
        <w:snapToGrid w:val="0"/>
        <w:spacing w:line="360" w:lineRule="auto"/>
        <w:ind w:firstLine="460" w:firstLineChars="200"/>
        <w:jc w:val="both"/>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pPr>
      <w:bookmarkStart w:id="820" w:name="OLE_LINK1448"/>
      <w:r>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t>本工程位于阿克苏地区新和县，工程评价区域属于渭干河三角洲绿洲农业盐渍化敏感生态功能区，项目周边农田分布面积广，自然植被分布较少。工程区整体降水量少，植被覆盖率低、物种组成简单、生态系统结构简单异质性低、气候干旱半干旱，生态环境较为脆弱。结合本次现场考察和资料分析，项目区目前主要的生态问题包括以下几方面：</w:t>
      </w:r>
    </w:p>
    <w:p w14:paraId="40818278">
      <w:pPr>
        <w:widowControl w:val="0"/>
        <w:bidi w:val="0"/>
        <w:adjustRightInd/>
        <w:snapToGrid w:val="0"/>
        <w:spacing w:line="360" w:lineRule="auto"/>
        <w:ind w:firstLine="460" w:firstLineChars="200"/>
        <w:jc w:val="both"/>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t>（1）水土流失</w:t>
      </w:r>
    </w:p>
    <w:p w14:paraId="39CD6F66">
      <w:pPr>
        <w:widowControl w:val="0"/>
        <w:bidi w:val="0"/>
        <w:adjustRightInd/>
        <w:snapToGrid w:val="0"/>
        <w:spacing w:line="360" w:lineRule="auto"/>
        <w:ind w:firstLine="460" w:firstLineChars="200"/>
        <w:jc w:val="both"/>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t>本工程位于水土流失重点治理区。项目区气候干热，降雨少，蒸发量大，植被覆盖度较低。项目区周边农田广布，开垦农田一方面会破坏原生植被，削弱自然水土保持功能，另一方面长期单一作物种植导致土壤结构退化，使土壤更易受侵蚀。因此，水土流失是评价范围内的主要生态问题之一。</w:t>
      </w:r>
    </w:p>
    <w:p w14:paraId="25C6A0F4">
      <w:pPr>
        <w:widowControl w:val="0"/>
        <w:bidi w:val="0"/>
        <w:adjustRightInd/>
        <w:snapToGrid w:val="0"/>
        <w:spacing w:line="360" w:lineRule="auto"/>
        <w:ind w:firstLine="460" w:firstLineChars="200"/>
        <w:jc w:val="both"/>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t>（2）土壤盐渍化</w:t>
      </w:r>
    </w:p>
    <w:p w14:paraId="4CF513EE">
      <w:pPr>
        <w:widowControl w:val="0"/>
        <w:bidi w:val="0"/>
        <w:adjustRightInd/>
        <w:snapToGrid w:val="0"/>
        <w:spacing w:line="360" w:lineRule="auto"/>
        <w:ind w:firstLine="460" w:firstLineChars="200"/>
        <w:jc w:val="both"/>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5"/>
          <w:kern w:val="0"/>
          <w:sz w:val="24"/>
          <w:szCs w:val="24"/>
          <w:highlight w:val="none"/>
          <w:lang w:val="en-US" w:eastAsia="zh-CN" w:bidi="ar-SA"/>
          <w14:textFill>
            <w14:solidFill>
              <w14:schemeClr w14:val="tx1"/>
            </w14:solidFill>
          </w14:textFill>
        </w:rPr>
        <w:t>根据《环境影响评价技术导则 土壤环境（试行）》（HJ964-2018）和《环境影响评价技术导则 陆地石油天然气开发建设项目》（HJ349-2023）以及本次土壤监测数据，工程所在区域土壤盐分含量大于4g/kg，属于HJ964-2018附录D.1中中度盐化及以上地区，部分土壤监测点土壤盐分含量大于6g/kg，属于重度盐化，即项目所在区域属于土壤盐化地区。因此，土壤盐渍化是评价范围内的主要生态问题之一。</w:t>
      </w:r>
      <w:bookmarkEnd w:id="820"/>
    </w:p>
    <w:p w14:paraId="1679F2D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lang w:val="zh-CN" w:eastAsia="zh-CN"/>
          <w14:textFill>
            <w14:solidFill>
              <w14:schemeClr w14:val="tx1"/>
            </w14:solidFill>
          </w14:textFill>
        </w:rPr>
      </w:pPr>
      <w:bookmarkStart w:id="821" w:name="_Toc20589"/>
      <w:bookmarkStart w:id="822" w:name="_Toc9056"/>
      <w:bookmarkStart w:id="823" w:name="_Toc32204"/>
      <w:r>
        <w:rPr>
          <w:rFonts w:hint="default" w:ascii="Times New Roman" w:hAnsi="Times New Roman" w:cs="Times New Roman"/>
          <w:color w:val="000000" w:themeColor="text1"/>
          <w:highlight w:val="none"/>
          <w:lang w:val="zh-CN"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2.9</w:t>
      </w:r>
      <w:r>
        <w:rPr>
          <w:rFonts w:hint="default" w:ascii="Times New Roman" w:hAnsi="Times New Roman" w:cs="Times New Roman"/>
          <w:color w:val="000000" w:themeColor="text1"/>
          <w:highlight w:val="none"/>
          <w:lang w:val="zh-CN" w:eastAsia="zh-CN"/>
          <w14:textFill>
            <w14:solidFill>
              <w14:schemeClr w14:val="tx1"/>
            </w14:solidFill>
          </w14:textFill>
        </w:rPr>
        <w:t>生态环境现状小结</w:t>
      </w:r>
      <w:bookmarkEnd w:id="821"/>
      <w:bookmarkEnd w:id="822"/>
      <w:bookmarkEnd w:id="823"/>
    </w:p>
    <w:p w14:paraId="2266D196">
      <w:pPr>
        <w:pStyle w:val="114"/>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评价区域内不涉及国家公园、自然保护区、自然公园等自然保护地、世界自然遗产、生态保护红线等法定生态保护区域，也没有重要物种的天然集中分布区、栖息地等重要生境，本工程距离最近的生态保护红线是北侧22.8km的塔里木河流域土地沙化防控与生物多样性维护生态保护红线区。生态保护目标主要为区域重要野生动植物、永久基本农田及水土流失重点治理区等，本工程不占用永久基本农</w:t>
      </w:r>
      <w:r>
        <w:rPr>
          <w:rFonts w:hint="eastAsia" w:ascii="Times New Roman" w:hAnsi="Times New Roman" w:eastAsia="宋体" w:cs="宋体"/>
          <w:color w:val="000000" w:themeColor="text1"/>
          <w:highlight w:val="none"/>
          <w:lang w:val="en-US" w:eastAsia="zh-CN"/>
          <w14:textFill>
            <w14:solidFill>
              <w14:schemeClr w14:val="tx1"/>
            </w14:solidFill>
          </w14:textFill>
        </w:rPr>
        <w:t>田，星火7斜井场距永久基本农田最近距离为20米，位于评价范围内。</w:t>
      </w:r>
    </w:p>
    <w:p w14:paraId="471E16A8">
      <w:pPr>
        <w:pStyle w:val="114"/>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highlight w:val="none"/>
          <w:lang w:val="en-US" w:eastAsia="zh-CN"/>
          <w14:textFill>
            <w14:solidFill>
              <w14:schemeClr w14:val="tx1"/>
            </w14:solidFill>
          </w14:textFill>
        </w:rPr>
        <w:sectPr>
          <w:pgSz w:w="11906" w:h="16838"/>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26" w:charSpace="0"/>
        </w:sectPr>
      </w:pPr>
      <w:r>
        <w:rPr>
          <w:rFonts w:hint="eastAsia"/>
          <w:color w:val="000000" w:themeColor="text1"/>
          <w:highlight w:val="none"/>
          <w:lang w:val="en-US" w:eastAsia="zh-CN"/>
          <w14:textFill>
            <w14:solidFill>
              <w14:schemeClr w14:val="tx1"/>
            </w14:solidFill>
          </w14:textFill>
        </w:rPr>
        <w:t>本工程所在区域植被以人工栽培的作物为主，自然植被主要以多枝柽柳、盐穗木为主，偶有疏叶骆驼刺等；评价范围内涉及的土地利用类型主要为水浇地、果园和农村道路，本工程占地主要是果园；根据《新疆第六次沙化土地监测报告》，本工程所在区域属于非沙化区；现场调查中未发现国家及自治区级重点保护野生植物，未见到国家二级保护动物塔里木兔，观测到麻雀和灰斑鸠等鸟类，密点麻蜥、荒漠麻蜥等两栖动物。评价区域内受人为活动影响较大，生态系统类型简单、脆弱，主要是农田生态系统和荒漠生态系统，环境异质性较低，系统受扰动后自我恢复的能力较弱。</w:t>
      </w:r>
    </w:p>
    <w:bookmarkEnd w:id="797"/>
    <w:p w14:paraId="4F038444">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bookmarkStart w:id="824" w:name="_Toc26996"/>
      <w:bookmarkStart w:id="825" w:name="_Toc14241"/>
      <w:bookmarkStart w:id="826" w:name="OLE_LINK214"/>
      <w:bookmarkStart w:id="827" w:name="OLE_LINK1251"/>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3</w:t>
      </w:r>
      <w:bookmarkEnd w:id="824"/>
      <w:r>
        <w:rPr>
          <w:rFonts w:hint="default" w:ascii="Times New Roman" w:hAnsi="Times New Roman" w:cs="Times New Roman"/>
          <w:color w:val="000000" w:themeColor="text1"/>
          <w:highlight w:val="none"/>
          <w:lang w:eastAsia="zh-CN"/>
          <w14:textFill>
            <w14:solidFill>
              <w14:schemeClr w14:val="tx1"/>
            </w14:solidFill>
          </w14:textFill>
        </w:rPr>
        <w:t>地下水环境现状调查与评价</w:t>
      </w:r>
      <w:bookmarkEnd w:id="825"/>
    </w:p>
    <w:bookmarkEnd w:id="826"/>
    <w:p w14:paraId="7E2ED8A6">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.1地下水环境现状监测</w:t>
      </w:r>
    </w:p>
    <w:p w14:paraId="3AC38844">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调查方法</w:t>
      </w:r>
    </w:p>
    <w:p w14:paraId="722FA3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地下水环境现状调查采用实测法。</w:t>
      </w:r>
    </w:p>
    <w:p w14:paraId="7B2EF3A5">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监测布点</w:t>
      </w:r>
    </w:p>
    <w:p w14:paraId="4F2D58EA">
      <w:pPr>
        <w:pageBreakBefore w:val="0"/>
        <w:widowControl w:val="0"/>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环境影响评价技术导则 地下水环境</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HJ 610-2016</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三级评价项目潜水含水层水质监测点应不少于3个，可能受建设项目影响且具有饮用水开发利用价值的含水层1</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2个。</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结合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所在区域水文地质条件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地下水流向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Start w:id="828" w:name="OLE_LINK537"/>
      <w:bookmarkStart w:id="829" w:name="OLE_LINK538"/>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w:t>
      </w:r>
      <w:r>
        <w:rPr>
          <w:rFonts w:hint="eastAsia" w:cs="Times New Roman"/>
          <w:color w:val="000000" w:themeColor="text1"/>
          <w:sz w:val="24"/>
          <w:szCs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北向</w:t>
      </w:r>
      <w:r>
        <w:rPr>
          <w:rFonts w:hint="eastAsia" w:cs="Times New Roman"/>
          <w:color w:val="000000" w:themeColor="text1"/>
          <w:sz w:val="24"/>
          <w:szCs w:val="24"/>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南方向径流</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本次评价在工程所在区域布设</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个</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潜水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水质监测点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End w:id="828"/>
      <w:r>
        <w:rPr>
          <w:rFonts w:hint="eastAsia" w:cs="Times New Roman"/>
          <w:color w:val="000000" w:themeColor="text1"/>
          <w:sz w:val="24"/>
          <w:szCs w:val="24"/>
          <w:highlight w:val="none"/>
          <w:lang w:val="en-US" w:eastAsia="zh-CN"/>
          <w14:textFill>
            <w14:solidFill>
              <w14:schemeClr w14:val="tx1"/>
            </w14:solidFill>
          </w14:textFill>
        </w:rPr>
        <w:t>1个承压水监测点。各监测点设置情况及基本信息见表4.3-1，具体监测点位见附图13。</w:t>
      </w:r>
    </w:p>
    <w:bookmarkEnd w:id="829"/>
    <w:p w14:paraId="7873AFF7">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bookmarkStart w:id="830" w:name="OLE_LINK1443"/>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表4.3-1   </w:t>
      </w:r>
      <w:bookmarkStart w:id="831" w:name="OLE_LINK1067"/>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地下水监测</w:t>
      </w:r>
      <w:bookmarkEnd w:id="831"/>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点设置情况一览表</w:t>
      </w:r>
      <w:bookmarkEnd w:id="830"/>
    </w:p>
    <w:tbl>
      <w:tblPr>
        <w:tblStyle w:val="37"/>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1"/>
        <w:gridCol w:w="1440"/>
        <w:gridCol w:w="1455"/>
        <w:gridCol w:w="546"/>
        <w:gridCol w:w="538"/>
        <w:gridCol w:w="843"/>
        <w:gridCol w:w="1742"/>
        <w:gridCol w:w="693"/>
        <w:gridCol w:w="710"/>
      </w:tblGrid>
      <w:tr w14:paraId="1A13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1" w:type="dxa"/>
            <w:noWrap w:val="0"/>
            <w:vAlign w:val="center"/>
          </w:tcPr>
          <w:p w14:paraId="36302A6D">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序号</w:t>
            </w:r>
          </w:p>
        </w:tc>
        <w:tc>
          <w:tcPr>
            <w:tcW w:w="1440" w:type="dxa"/>
            <w:noWrap w:val="0"/>
            <w:tcMar>
              <w:left w:w="0" w:type="dxa"/>
              <w:right w:w="0" w:type="dxa"/>
            </w:tcMar>
            <w:vAlign w:val="center"/>
          </w:tcPr>
          <w:p w14:paraId="26CCA134">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点位</w:t>
            </w:r>
          </w:p>
        </w:tc>
        <w:tc>
          <w:tcPr>
            <w:tcW w:w="1455" w:type="dxa"/>
            <w:noWrap w:val="0"/>
            <w:vAlign w:val="center"/>
          </w:tcPr>
          <w:p w14:paraId="58029B40">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坐标</w:t>
            </w:r>
          </w:p>
        </w:tc>
        <w:tc>
          <w:tcPr>
            <w:tcW w:w="546" w:type="dxa"/>
            <w:noWrap w:val="0"/>
            <w:vAlign w:val="center"/>
          </w:tcPr>
          <w:p w14:paraId="3A6CAB66">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监测</w:t>
            </w:r>
          </w:p>
          <w:p w14:paraId="2B4F7DE4">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层位</w:t>
            </w:r>
          </w:p>
        </w:tc>
        <w:tc>
          <w:tcPr>
            <w:tcW w:w="538" w:type="dxa"/>
            <w:noWrap w:val="0"/>
            <w:vAlign w:val="center"/>
          </w:tcPr>
          <w:p w14:paraId="1AAA9710">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bookmarkStart w:id="832" w:name="OLE_LINK1068"/>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井深</w:t>
            </w:r>
          </w:p>
          <w:bookmarkEnd w:id="832"/>
          <w:p w14:paraId="18DE7CFB">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val="en-US" w:eastAsia="zh-CN" w:bidi="en-US"/>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843" w:type="dxa"/>
            <w:noWrap w:val="0"/>
            <w:vAlign w:val="center"/>
          </w:tcPr>
          <w:p w14:paraId="3FC3BD55">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水位</w:t>
            </w:r>
          </w:p>
          <w:p w14:paraId="1CF27EC8">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埋深（m）</w:t>
            </w:r>
          </w:p>
        </w:tc>
        <w:tc>
          <w:tcPr>
            <w:tcW w:w="1742" w:type="dxa"/>
            <w:noWrap w:val="0"/>
            <w:vAlign w:val="center"/>
          </w:tcPr>
          <w:p w14:paraId="128FA71C">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与本</w:t>
            </w:r>
            <w:r>
              <w:rPr>
                <w:rFonts w:hint="default" w:ascii="Times New Roman" w:hAnsi="Times New Roman" w:eastAsia="宋体" w:cs="Times New Roman"/>
                <w:b/>
                <w:bCs/>
                <w:color w:val="000000" w:themeColor="text1"/>
                <w:sz w:val="21"/>
                <w:szCs w:val="21"/>
                <w:highlight w:val="none"/>
                <w:u w:val="none"/>
                <w:lang w:val="en-US" w:eastAsia="zh-CN" w:bidi="en-US"/>
                <w14:textFill>
                  <w14:solidFill>
                    <w14:schemeClr w14:val="tx1"/>
                  </w14:solidFill>
                </w14:textFill>
              </w:rPr>
              <w:t>工程</w:t>
            </w: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位置关系</w:t>
            </w:r>
          </w:p>
        </w:tc>
        <w:tc>
          <w:tcPr>
            <w:tcW w:w="693" w:type="dxa"/>
            <w:noWrap w:val="0"/>
            <w:vAlign w:val="center"/>
          </w:tcPr>
          <w:p w14:paraId="68FD3066">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监测</w:t>
            </w:r>
          </w:p>
          <w:p w14:paraId="69BBD40B">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时间</w:t>
            </w:r>
          </w:p>
        </w:tc>
        <w:tc>
          <w:tcPr>
            <w:tcW w:w="710" w:type="dxa"/>
            <w:noWrap w:val="0"/>
            <w:vAlign w:val="center"/>
          </w:tcPr>
          <w:p w14:paraId="7B1C5850">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监测</w:t>
            </w:r>
          </w:p>
          <w:p w14:paraId="3B86CBA1">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bidi="en-US"/>
                <w14:textFill>
                  <w14:solidFill>
                    <w14:schemeClr w14:val="tx1"/>
                  </w14:solidFill>
                </w14:textFill>
              </w:rPr>
              <w:t>单位</w:t>
            </w:r>
          </w:p>
        </w:tc>
      </w:tr>
      <w:tr w14:paraId="24B2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5" w:hRule="atLeast"/>
          <w:jc w:val="center"/>
        </w:trPr>
        <w:tc>
          <w:tcPr>
            <w:tcW w:w="391" w:type="dxa"/>
            <w:noWrap w:val="0"/>
            <w:vAlign w:val="center"/>
          </w:tcPr>
          <w:p w14:paraId="21427E8D">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r>
              <w:rPr>
                <w:rFonts w:hint="default" w:ascii="Times New Roman" w:hAnsi="Times New Roman" w:cs="Times New Roman"/>
                <w:color w:val="000000" w:themeColor="text1"/>
                <w:sz w:val="21"/>
                <w:szCs w:val="21"/>
                <w:highlight w:val="none"/>
                <w:u w:val="none"/>
                <w:lang w:bidi="en-US"/>
                <w14:textFill>
                  <w14:solidFill>
                    <w14:schemeClr w14:val="tx1"/>
                  </w14:solidFill>
                </w14:textFill>
              </w:rPr>
              <w:t>1</w:t>
            </w:r>
          </w:p>
        </w:tc>
        <w:tc>
          <w:tcPr>
            <w:tcW w:w="1440" w:type="dxa"/>
            <w:noWrap w:val="0"/>
            <w:tcMar>
              <w:left w:w="0" w:type="dxa"/>
              <w:right w:w="0" w:type="dxa"/>
            </w:tcMar>
            <w:vAlign w:val="center"/>
          </w:tcPr>
          <w:p w14:paraId="7BDBC7FC">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项目区上游</w:t>
            </w:r>
            <w:r>
              <w:rPr>
                <w:rFonts w:hint="eastAsia" w:cs="Times New Roman"/>
                <w:color w:val="000000" w:themeColor="text1"/>
                <w:sz w:val="21"/>
                <w:szCs w:val="21"/>
                <w:highlight w:val="none"/>
                <w:u w:val="none"/>
                <w:lang w:val="en-US" w:eastAsia="zh-CN" w:bidi="en-US"/>
                <w14:textFill>
                  <w14:solidFill>
                    <w14:schemeClr w14:val="tx1"/>
                  </w14:solidFill>
                </w14:textFill>
              </w:rPr>
              <w:t>地下水井</w:t>
            </w:r>
          </w:p>
        </w:tc>
        <w:tc>
          <w:tcPr>
            <w:tcW w:w="1455" w:type="dxa"/>
            <w:noWrap w:val="0"/>
            <w:vAlign w:val="center"/>
          </w:tcPr>
          <w:p w14:paraId="55217DCA">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p>
        </w:tc>
        <w:tc>
          <w:tcPr>
            <w:tcW w:w="546" w:type="dxa"/>
            <w:noWrap w:val="0"/>
            <w:vAlign w:val="center"/>
          </w:tcPr>
          <w:p w14:paraId="130C1128">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r>
              <w:rPr>
                <w:rFonts w:hint="default" w:ascii="Times New Roman" w:hAnsi="Times New Roman" w:cs="Times New Roman"/>
                <w:color w:val="000000" w:themeColor="text1"/>
                <w:sz w:val="21"/>
                <w:szCs w:val="21"/>
                <w:highlight w:val="none"/>
                <w:u w:val="none"/>
                <w:lang w:bidi="en-US"/>
                <w14:textFill>
                  <w14:solidFill>
                    <w14:schemeClr w14:val="tx1"/>
                  </w14:solidFill>
                </w14:textFill>
              </w:rPr>
              <w:t>潜水</w:t>
            </w:r>
          </w:p>
        </w:tc>
        <w:tc>
          <w:tcPr>
            <w:tcW w:w="538" w:type="dxa"/>
            <w:noWrap w:val="0"/>
            <w:vAlign w:val="center"/>
          </w:tcPr>
          <w:p w14:paraId="794A711F">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86.9</w:t>
            </w:r>
          </w:p>
        </w:tc>
        <w:tc>
          <w:tcPr>
            <w:tcW w:w="843" w:type="dxa"/>
            <w:noWrap w:val="0"/>
            <w:vAlign w:val="center"/>
          </w:tcPr>
          <w:p w14:paraId="6EA5280C">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33.7</w:t>
            </w:r>
          </w:p>
        </w:tc>
        <w:tc>
          <w:tcPr>
            <w:tcW w:w="1742" w:type="dxa"/>
            <w:noWrap w:val="0"/>
            <w:vAlign w:val="center"/>
          </w:tcPr>
          <w:p w14:paraId="27F2A3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井口东北方向0.41km</w:t>
            </w:r>
          </w:p>
        </w:tc>
        <w:tc>
          <w:tcPr>
            <w:tcW w:w="693" w:type="dxa"/>
            <w:vMerge w:val="restart"/>
            <w:noWrap w:val="0"/>
            <w:vAlign w:val="center"/>
          </w:tcPr>
          <w:p w14:paraId="49BA5560">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2025年7月</w:t>
            </w:r>
          </w:p>
        </w:tc>
        <w:tc>
          <w:tcPr>
            <w:tcW w:w="710" w:type="dxa"/>
            <w:vMerge w:val="restart"/>
            <w:noWrap w:val="0"/>
            <w:vAlign w:val="center"/>
          </w:tcPr>
          <w:p w14:paraId="7510DAD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巴州康安职业环境检测评价有限公司</w:t>
            </w:r>
          </w:p>
        </w:tc>
      </w:tr>
      <w:tr w14:paraId="3F0C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391" w:type="dxa"/>
            <w:noWrap w:val="0"/>
            <w:vAlign w:val="center"/>
          </w:tcPr>
          <w:p w14:paraId="48E772E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r>
              <w:rPr>
                <w:rFonts w:hint="default" w:ascii="Times New Roman" w:hAnsi="Times New Roman" w:cs="Times New Roman"/>
                <w:color w:val="000000" w:themeColor="text1"/>
                <w:sz w:val="21"/>
                <w:szCs w:val="21"/>
                <w:highlight w:val="none"/>
                <w:u w:val="none"/>
                <w:lang w:bidi="en-US"/>
                <w14:textFill>
                  <w14:solidFill>
                    <w14:schemeClr w14:val="tx1"/>
                  </w14:solidFill>
                </w14:textFill>
              </w:rPr>
              <w:t>2</w:t>
            </w:r>
          </w:p>
        </w:tc>
        <w:tc>
          <w:tcPr>
            <w:tcW w:w="1440" w:type="dxa"/>
            <w:noWrap w:val="0"/>
            <w:tcMar>
              <w:left w:w="0" w:type="dxa"/>
              <w:right w:w="0" w:type="dxa"/>
            </w:tcMar>
            <w:vAlign w:val="center"/>
          </w:tcPr>
          <w:p w14:paraId="06D3874E">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val="en-US" w:bidi="en-US"/>
                <w14:textFill>
                  <w14:solidFill>
                    <w14:schemeClr w14:val="tx1"/>
                  </w14:solidFill>
                </w14:textFill>
              </w:rPr>
            </w:pPr>
            <w:bookmarkStart w:id="833" w:name="OLE_LINK1223"/>
            <w:bookmarkStart w:id="834" w:name="OLE_LINK1225"/>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w:t>
            </w:r>
            <w:r>
              <w:rPr>
                <w:rFonts w:hint="eastAsia" w:cs="Times New Roman"/>
                <w:color w:val="000000" w:themeColor="text1"/>
                <w:sz w:val="21"/>
                <w:szCs w:val="21"/>
                <w:highlight w:val="none"/>
                <w:u w:val="none"/>
                <w:lang w:val="en-US" w:eastAsia="zh-CN" w:bidi="en-US"/>
                <w14:textFill>
                  <w14:solidFill>
                    <w14:schemeClr w14:val="tx1"/>
                  </w14:solidFill>
                </w14:textFill>
              </w:rPr>
              <w:t>地下水井</w:t>
            </w:r>
            <w:bookmarkEnd w:id="833"/>
            <w:bookmarkEnd w:id="834"/>
          </w:p>
        </w:tc>
        <w:tc>
          <w:tcPr>
            <w:tcW w:w="1455" w:type="dxa"/>
            <w:noWrap w:val="0"/>
            <w:vAlign w:val="center"/>
          </w:tcPr>
          <w:p w14:paraId="38764013">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46" w:type="dxa"/>
            <w:noWrap w:val="0"/>
            <w:vAlign w:val="center"/>
          </w:tcPr>
          <w:p w14:paraId="2840D224">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r>
              <w:rPr>
                <w:rFonts w:hint="default" w:ascii="Times New Roman" w:hAnsi="Times New Roman" w:cs="Times New Roman"/>
                <w:color w:val="000000" w:themeColor="text1"/>
                <w:sz w:val="21"/>
                <w:szCs w:val="21"/>
                <w:highlight w:val="none"/>
                <w:u w:val="none"/>
                <w:lang w:bidi="en-US"/>
                <w14:textFill>
                  <w14:solidFill>
                    <w14:schemeClr w14:val="tx1"/>
                  </w14:solidFill>
                </w14:textFill>
              </w:rPr>
              <w:t>潜水</w:t>
            </w:r>
          </w:p>
        </w:tc>
        <w:tc>
          <w:tcPr>
            <w:tcW w:w="538" w:type="dxa"/>
            <w:noWrap w:val="0"/>
            <w:vAlign w:val="center"/>
          </w:tcPr>
          <w:p w14:paraId="1DC35014">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26.9</w:t>
            </w:r>
          </w:p>
        </w:tc>
        <w:tc>
          <w:tcPr>
            <w:tcW w:w="843" w:type="dxa"/>
            <w:noWrap w:val="0"/>
            <w:vAlign w:val="center"/>
          </w:tcPr>
          <w:p w14:paraId="1524EB18">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11.3</w:t>
            </w:r>
          </w:p>
        </w:tc>
        <w:tc>
          <w:tcPr>
            <w:tcW w:w="1742" w:type="dxa"/>
            <w:noWrap w:val="0"/>
            <w:vAlign w:val="center"/>
          </w:tcPr>
          <w:p w14:paraId="18AC41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井口东北方向0.05km</w:t>
            </w:r>
          </w:p>
        </w:tc>
        <w:tc>
          <w:tcPr>
            <w:tcW w:w="693" w:type="dxa"/>
            <w:vMerge w:val="continue"/>
            <w:noWrap w:val="0"/>
            <w:vAlign w:val="center"/>
          </w:tcPr>
          <w:p w14:paraId="01B764D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pPr>
          </w:p>
        </w:tc>
        <w:tc>
          <w:tcPr>
            <w:tcW w:w="710" w:type="dxa"/>
            <w:vMerge w:val="continue"/>
            <w:noWrap w:val="0"/>
            <w:vAlign w:val="center"/>
          </w:tcPr>
          <w:p w14:paraId="4D5EB2CC">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p>
        </w:tc>
      </w:tr>
      <w:tr w14:paraId="5832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391" w:type="dxa"/>
            <w:noWrap w:val="0"/>
            <w:vAlign w:val="center"/>
          </w:tcPr>
          <w:p w14:paraId="104B8499">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eastAsia="宋体" w:cs="Times New Roman"/>
                <w:color w:val="000000" w:themeColor="text1"/>
                <w:sz w:val="21"/>
                <w:szCs w:val="21"/>
                <w:highlight w:val="none"/>
                <w:u w:val="none"/>
                <w:lang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3</w:t>
            </w:r>
          </w:p>
        </w:tc>
        <w:tc>
          <w:tcPr>
            <w:tcW w:w="1440" w:type="dxa"/>
            <w:shd w:val="clear" w:color="auto" w:fill="auto"/>
            <w:noWrap w:val="0"/>
            <w:tcMar>
              <w:left w:w="0" w:type="dxa"/>
              <w:right w:w="0" w:type="dxa"/>
            </w:tcMar>
            <w:vAlign w:val="center"/>
          </w:tcPr>
          <w:p w14:paraId="5D7B870F">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bookmarkStart w:id="835" w:name="OLE_LINK1226"/>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w:t>
            </w:r>
            <w:bookmarkEnd w:id="835"/>
            <w:r>
              <w:rPr>
                <w:rFonts w:hint="eastAsia" w:cs="Times New Roman"/>
                <w:color w:val="000000" w:themeColor="text1"/>
                <w:sz w:val="21"/>
                <w:szCs w:val="21"/>
                <w:highlight w:val="none"/>
                <w:u w:val="none"/>
                <w:lang w:val="en-US" w:eastAsia="zh-CN" w:bidi="en-US"/>
                <w14:textFill>
                  <w14:solidFill>
                    <w14:schemeClr w14:val="tx1"/>
                  </w14:solidFill>
                </w14:textFill>
              </w:rPr>
              <w:t>下游地下水井</w:t>
            </w:r>
          </w:p>
        </w:tc>
        <w:tc>
          <w:tcPr>
            <w:tcW w:w="1455" w:type="dxa"/>
            <w:noWrap w:val="0"/>
            <w:vAlign w:val="center"/>
          </w:tcPr>
          <w:p w14:paraId="47CA1807">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p>
        </w:tc>
        <w:tc>
          <w:tcPr>
            <w:tcW w:w="546" w:type="dxa"/>
            <w:noWrap w:val="0"/>
            <w:vAlign w:val="center"/>
          </w:tcPr>
          <w:p w14:paraId="2B7994F3">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pPr>
            <w:bookmarkStart w:id="836" w:name="OLE_LINK1224"/>
            <w: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t>潜水</w:t>
            </w:r>
            <w:bookmarkEnd w:id="836"/>
          </w:p>
        </w:tc>
        <w:tc>
          <w:tcPr>
            <w:tcW w:w="538" w:type="dxa"/>
            <w:noWrap w:val="0"/>
            <w:vAlign w:val="center"/>
          </w:tcPr>
          <w:p w14:paraId="2DA1E06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90.3</w:t>
            </w:r>
          </w:p>
        </w:tc>
        <w:tc>
          <w:tcPr>
            <w:tcW w:w="843" w:type="dxa"/>
            <w:noWrap w:val="0"/>
            <w:vAlign w:val="center"/>
          </w:tcPr>
          <w:p w14:paraId="2053154E">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35.8</w:t>
            </w:r>
          </w:p>
        </w:tc>
        <w:tc>
          <w:tcPr>
            <w:tcW w:w="1742" w:type="dxa"/>
            <w:noWrap w:val="0"/>
            <w:vAlign w:val="center"/>
          </w:tcPr>
          <w:p w14:paraId="12EA88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井口西南方向1.50km</w:t>
            </w:r>
          </w:p>
        </w:tc>
        <w:tc>
          <w:tcPr>
            <w:tcW w:w="693" w:type="dxa"/>
            <w:vMerge w:val="continue"/>
            <w:noWrap w:val="0"/>
            <w:vAlign w:val="center"/>
          </w:tcPr>
          <w:p w14:paraId="5C46AD6E">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pPr>
          </w:p>
        </w:tc>
        <w:tc>
          <w:tcPr>
            <w:tcW w:w="710" w:type="dxa"/>
            <w:vMerge w:val="continue"/>
            <w:noWrap w:val="0"/>
            <w:vAlign w:val="center"/>
          </w:tcPr>
          <w:p w14:paraId="700688CF">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p>
        </w:tc>
      </w:tr>
      <w:tr w14:paraId="66A3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391" w:type="dxa"/>
            <w:noWrap w:val="0"/>
            <w:vAlign w:val="center"/>
          </w:tcPr>
          <w:p w14:paraId="49DD06EA">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4</w:t>
            </w:r>
          </w:p>
        </w:tc>
        <w:tc>
          <w:tcPr>
            <w:tcW w:w="1440" w:type="dxa"/>
            <w:shd w:val="clear" w:color="auto" w:fill="auto"/>
            <w:noWrap w:val="0"/>
            <w:tcMar>
              <w:left w:w="0" w:type="dxa"/>
              <w:right w:w="0" w:type="dxa"/>
            </w:tcMar>
            <w:vAlign w:val="center"/>
          </w:tcPr>
          <w:p w14:paraId="530A704B">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农户承压水地下水井</w:t>
            </w:r>
          </w:p>
        </w:tc>
        <w:tc>
          <w:tcPr>
            <w:tcW w:w="1455" w:type="dxa"/>
            <w:noWrap w:val="0"/>
            <w:vAlign w:val="center"/>
          </w:tcPr>
          <w:p w14:paraId="5137C5B1">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6" w:type="dxa"/>
            <w:noWrap w:val="0"/>
            <w:vAlign w:val="center"/>
          </w:tcPr>
          <w:p w14:paraId="70041ADD">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承压</w:t>
            </w:r>
            <w: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t>水</w:t>
            </w:r>
          </w:p>
        </w:tc>
        <w:tc>
          <w:tcPr>
            <w:tcW w:w="538" w:type="dxa"/>
            <w:noWrap w:val="0"/>
            <w:vAlign w:val="center"/>
          </w:tcPr>
          <w:p w14:paraId="51C5E338">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146.5</w:t>
            </w:r>
          </w:p>
        </w:tc>
        <w:tc>
          <w:tcPr>
            <w:tcW w:w="843" w:type="dxa"/>
            <w:noWrap w:val="0"/>
            <w:vAlign w:val="center"/>
          </w:tcPr>
          <w:p w14:paraId="2DCF45B7">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32.6</w:t>
            </w:r>
          </w:p>
        </w:tc>
        <w:tc>
          <w:tcPr>
            <w:tcW w:w="1742" w:type="dxa"/>
            <w:noWrap w:val="0"/>
            <w:vAlign w:val="center"/>
          </w:tcPr>
          <w:p w14:paraId="53C51E7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井口东北方向4.7km</w:t>
            </w:r>
          </w:p>
        </w:tc>
        <w:tc>
          <w:tcPr>
            <w:tcW w:w="693" w:type="dxa"/>
            <w:vMerge w:val="continue"/>
            <w:noWrap w:val="0"/>
            <w:vAlign w:val="center"/>
          </w:tcPr>
          <w:p w14:paraId="465CD140">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bidi="en-US"/>
                <w14:textFill>
                  <w14:solidFill>
                    <w14:schemeClr w14:val="tx1"/>
                  </w14:solidFill>
                </w14:textFill>
              </w:rPr>
            </w:pPr>
          </w:p>
        </w:tc>
        <w:tc>
          <w:tcPr>
            <w:tcW w:w="710" w:type="dxa"/>
            <w:vMerge w:val="continue"/>
            <w:noWrap w:val="0"/>
            <w:vAlign w:val="center"/>
          </w:tcPr>
          <w:p w14:paraId="7942C823">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cs="Times New Roman"/>
                <w:color w:val="000000" w:themeColor="text1"/>
                <w:sz w:val="21"/>
                <w:szCs w:val="21"/>
                <w:highlight w:val="none"/>
                <w:u w:val="none"/>
                <w:lang w:bidi="en-US"/>
                <w14:textFill>
                  <w14:solidFill>
                    <w14:schemeClr w14:val="tx1"/>
                  </w14:solidFill>
                </w14:textFill>
              </w:rPr>
            </w:pPr>
          </w:p>
        </w:tc>
      </w:tr>
    </w:tbl>
    <w:p w14:paraId="2EB8F7E1">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）监测频率</w:t>
      </w:r>
    </w:p>
    <w:p w14:paraId="1E26A334">
      <w:pPr>
        <w:keepNext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监测1天，每个点位采样1次。</w:t>
      </w:r>
    </w:p>
    <w:p w14:paraId="31A8882C">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（4）监测项目及分析方法</w:t>
      </w:r>
    </w:p>
    <w:p w14:paraId="26FFFC5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监测项目</w:t>
      </w:r>
    </w:p>
    <w:p w14:paraId="4B9A92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Start w:id="837" w:name="OLE_LINK532"/>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环境影响评价技术导则 地下水环境</w:t>
      </w:r>
      <w:bookmarkEnd w:id="83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》（HJ610-2016）</w:t>
      </w:r>
      <w:r>
        <w:rPr>
          <w:rFonts w:hint="default" w:ascii="Times New Roman" w:hAnsi="Times New Roman" w:eastAsia="宋体" w:cs="Times New Roman"/>
          <w:color w:val="000000" w:themeColor="text1"/>
          <w:sz w:val="24"/>
          <w:szCs w:val="20"/>
          <w:highlight w:val="none"/>
          <w14:textFill>
            <w14:solidFill>
              <w14:schemeClr w14:val="tx1"/>
            </w14:solidFill>
          </w14:textFill>
        </w:rPr>
        <w:t>，本次评价的监测项目包括：水位埋深、</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井深、</w:t>
      </w:r>
      <w:r>
        <w:rPr>
          <w:rFonts w:hint="eastAsia"/>
          <w:color w:val="000000" w:themeColor="text1"/>
          <w:highlight w:val="none"/>
          <w:lang w:bidi="ar"/>
          <w14:textFill>
            <w14:solidFill>
              <w14:schemeClr w14:val="tx1"/>
            </w14:solidFill>
          </w14:textFill>
        </w:rPr>
        <w:t>K</w:t>
      </w:r>
      <w:r>
        <w:rPr>
          <w:rFonts w:hint="eastAsia"/>
          <w:color w:val="000000" w:themeColor="text1"/>
          <w:highlight w:val="none"/>
          <w:vertAlign w:val="superscript"/>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、Na</w:t>
      </w:r>
      <w:r>
        <w:rPr>
          <w:rFonts w:hint="eastAsia"/>
          <w:color w:val="000000" w:themeColor="text1"/>
          <w:highlight w:val="none"/>
          <w:vertAlign w:val="superscript"/>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、Ca</w:t>
      </w:r>
      <w:r>
        <w:rPr>
          <w:rFonts w:hint="eastAsia"/>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、Mg</w:t>
      </w:r>
      <w:r>
        <w:rPr>
          <w:rFonts w:hint="eastAsia"/>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、CO</w:t>
      </w:r>
      <w:r>
        <w:rPr>
          <w:rFonts w:hint="eastAsia"/>
          <w:color w:val="000000" w:themeColor="text1"/>
          <w:highlight w:val="none"/>
          <w:vertAlign w:val="subscript"/>
          <w:lang w:bidi="ar"/>
          <w14:textFill>
            <w14:solidFill>
              <w14:schemeClr w14:val="tx1"/>
            </w14:solidFill>
          </w14:textFill>
        </w:rPr>
        <w:t>3</w:t>
      </w:r>
      <w:r>
        <w:rPr>
          <w:rFonts w:hint="eastAsia"/>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、HCO</w:t>
      </w:r>
      <w:r>
        <w:rPr>
          <w:rFonts w:hint="eastAsia"/>
          <w:color w:val="000000" w:themeColor="text1"/>
          <w:highlight w:val="none"/>
          <w:vertAlign w:val="subscript"/>
          <w:lang w:bidi="ar"/>
          <w14:textFill>
            <w14:solidFill>
              <w14:schemeClr w14:val="tx1"/>
            </w14:solidFill>
          </w14:textFill>
        </w:rPr>
        <w:t>3</w:t>
      </w:r>
      <w:r>
        <w:rPr>
          <w:rFonts w:hint="eastAsia"/>
          <w:color w:val="000000" w:themeColor="text1"/>
          <w:highlight w:val="none"/>
          <w:vertAlign w:val="superscript"/>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、Cl</w:t>
      </w:r>
      <w:r>
        <w:rPr>
          <w:rFonts w:hint="eastAsia"/>
          <w:color w:val="000000" w:themeColor="text1"/>
          <w:highlight w:val="none"/>
          <w:vertAlign w:val="superscript"/>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、SO</w:t>
      </w:r>
      <w:r>
        <w:rPr>
          <w:rFonts w:hint="eastAsia"/>
          <w:color w:val="000000" w:themeColor="text1"/>
          <w:highlight w:val="none"/>
          <w:vertAlign w:val="subscript"/>
          <w:lang w:bidi="ar"/>
          <w14:textFill>
            <w14:solidFill>
              <w14:schemeClr w14:val="tx1"/>
            </w14:solidFill>
          </w14:textFill>
        </w:rPr>
        <w:t>4</w:t>
      </w:r>
      <w:r>
        <w:rPr>
          <w:rFonts w:hint="eastAsia"/>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pH、氨氮、硝酸盐、亚硝酸盐、挥发性酚类、氰化物、砷、汞、铬</w:t>
      </w: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六价</w:t>
      </w: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、总硬度、铅、氟、镉、铁、锰、溶解性总固体、高锰酸盐指数、硫酸盐、氯化物、总大肠菌群、细菌总数、石油类</w:t>
      </w: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、硫化物</w:t>
      </w:r>
      <w:r>
        <w:rPr>
          <w:rFonts w:hint="default" w:ascii="Times New Roman" w:hAnsi="Times New Roman" w:eastAsia="宋体" w:cs="Times New Roman"/>
          <w:color w:val="000000" w:themeColor="text1"/>
          <w:sz w:val="24"/>
          <w:szCs w:val="20"/>
          <w:highlight w:val="none"/>
          <w14:textFill>
            <w14:solidFill>
              <w14:schemeClr w14:val="tx1"/>
            </w14:solidFill>
          </w14:textFill>
        </w:rPr>
        <w:t>等</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0"/>
          <w:highlight w:val="none"/>
          <w14:textFill>
            <w14:solidFill>
              <w14:schemeClr w14:val="tx1"/>
            </w14:solidFill>
          </w14:textFill>
        </w:rPr>
        <w:t>。</w:t>
      </w:r>
    </w:p>
    <w:p w14:paraId="16B1CB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分析方法</w:t>
      </w:r>
    </w:p>
    <w:p w14:paraId="7547FC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采样按照《</w:t>
      </w:r>
      <w:bookmarkStart w:id="838" w:name="OLE_LINK534"/>
      <w:r>
        <w:rPr>
          <w:rFonts w:hint="default" w:ascii="Times New Roman" w:hAnsi="Times New Roman" w:eastAsia="宋体" w:cs="Times New Roman"/>
          <w:color w:val="000000" w:themeColor="text1"/>
          <w:sz w:val="24"/>
          <w:szCs w:val="20"/>
          <w:highlight w:val="none"/>
          <w14:textFill>
            <w14:solidFill>
              <w14:schemeClr w14:val="tx1"/>
            </w14:solidFill>
          </w14:textFill>
        </w:rPr>
        <w:t>环境影响评价技术导则</w:t>
      </w:r>
      <w:r>
        <w:rPr>
          <w:rFonts w:hint="eastAsia" w:cs="Times New Roman"/>
          <w:color w:val="000000" w:themeColor="text1"/>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0"/>
          <w:highlight w:val="none"/>
          <w14:textFill>
            <w14:solidFill>
              <w14:schemeClr w14:val="tx1"/>
            </w14:solidFill>
          </w14:textFill>
        </w:rPr>
        <w:t>地下水环境</w:t>
      </w:r>
      <w:bookmarkEnd w:id="838"/>
      <w:r>
        <w:rPr>
          <w:rFonts w:hint="default" w:ascii="Times New Roman" w:hAnsi="Times New Roman" w:eastAsia="宋体" w:cs="Times New Roman"/>
          <w:color w:val="000000" w:themeColor="text1"/>
          <w:sz w:val="24"/>
          <w:szCs w:val="20"/>
          <w:highlight w:val="none"/>
          <w14:textFill>
            <w14:solidFill>
              <w14:schemeClr w14:val="tx1"/>
            </w14:solidFill>
          </w14:textFill>
        </w:rPr>
        <w:t>》（HJ610-2016）执行，监测分析方法按照《</w:t>
      </w:r>
      <w:bookmarkStart w:id="839" w:name="OLE_LINK531"/>
      <w:r>
        <w:rPr>
          <w:rFonts w:hint="default" w:ascii="Times New Roman" w:hAnsi="Times New Roman" w:eastAsia="宋体" w:cs="Times New Roman"/>
          <w:color w:val="000000" w:themeColor="text1"/>
          <w:sz w:val="24"/>
          <w:szCs w:val="20"/>
          <w:highlight w:val="none"/>
          <w14:textFill>
            <w14:solidFill>
              <w14:schemeClr w14:val="tx1"/>
            </w14:solidFill>
          </w14:textFill>
        </w:rPr>
        <w:t>地下水环境监测技术规范</w:t>
      </w:r>
      <w:bookmarkEnd w:id="839"/>
      <w:r>
        <w:rPr>
          <w:rFonts w:hint="default" w:ascii="Times New Roman" w:hAnsi="Times New Roman" w:eastAsia="宋体" w:cs="Times New Roman"/>
          <w:color w:val="000000" w:themeColor="text1"/>
          <w:sz w:val="24"/>
          <w:szCs w:val="20"/>
          <w:highlight w:val="none"/>
          <w14:textFill>
            <w14:solidFill>
              <w14:schemeClr w14:val="tx1"/>
            </w14:solidFill>
          </w14:textFill>
        </w:rPr>
        <w:t>》（HJ164-2020）、《</w:t>
      </w:r>
      <w:bookmarkStart w:id="840" w:name="OLE_LINK533"/>
      <w:r>
        <w:rPr>
          <w:rFonts w:hint="default" w:ascii="Times New Roman" w:hAnsi="Times New Roman" w:eastAsia="宋体" w:cs="Times New Roman"/>
          <w:color w:val="000000" w:themeColor="text1"/>
          <w:sz w:val="24"/>
          <w:szCs w:val="20"/>
          <w:highlight w:val="none"/>
          <w14:textFill>
            <w14:solidFill>
              <w14:schemeClr w14:val="tx1"/>
            </w14:solidFill>
          </w14:textFill>
        </w:rPr>
        <w:t>地下水质量标准</w:t>
      </w:r>
      <w:bookmarkEnd w:id="840"/>
      <w:r>
        <w:rPr>
          <w:rFonts w:hint="default" w:ascii="Times New Roman" w:hAnsi="Times New Roman" w:eastAsia="宋体" w:cs="Times New Roman"/>
          <w:color w:val="000000" w:themeColor="text1"/>
          <w:sz w:val="24"/>
          <w:szCs w:val="20"/>
          <w:highlight w:val="none"/>
          <w14:textFill>
            <w14:solidFill>
              <w14:schemeClr w14:val="tx1"/>
            </w14:solidFill>
          </w14:textFill>
        </w:rPr>
        <w:t>》（GB/T14848-2017）有关标准和规范执行。</w:t>
      </w:r>
    </w:p>
    <w:p w14:paraId="1B84B5BE">
      <w:pPr>
        <w:keepNext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分析方法、各因子检出限等详细情况见表4.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highlight w:val="none"/>
          <w14:textFill>
            <w14:solidFill>
              <w14:schemeClr w14:val="tx1"/>
            </w14:solidFill>
          </w14:textFill>
        </w:rPr>
        <w:t>-2。</w:t>
      </w:r>
    </w:p>
    <w:p w14:paraId="593AB8BB">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-2   地下水环境监测因子和检测因子分析方法一览表</w:t>
      </w:r>
    </w:p>
    <w:tbl>
      <w:tblPr>
        <w:tblStyle w:val="37"/>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4"/>
        <w:gridCol w:w="1541"/>
        <w:gridCol w:w="4934"/>
        <w:gridCol w:w="1392"/>
      </w:tblGrid>
      <w:tr w14:paraId="0306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blHeader/>
          <w:jc w:val="center"/>
        </w:trPr>
        <w:tc>
          <w:tcPr>
            <w:tcW w:w="318" w:type="pct"/>
            <w:noWrap w:val="0"/>
            <w:vAlign w:val="center"/>
          </w:tcPr>
          <w:p w14:paraId="48B86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917" w:type="pct"/>
            <w:noWrap w:val="0"/>
            <w:vAlign w:val="center"/>
          </w:tcPr>
          <w:p w14:paraId="3E951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检测项目</w:t>
            </w:r>
          </w:p>
        </w:tc>
        <w:tc>
          <w:tcPr>
            <w:tcW w:w="2936" w:type="pct"/>
            <w:noWrap w:val="0"/>
            <w:vAlign w:val="center"/>
          </w:tcPr>
          <w:p w14:paraId="2411D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检测方法</w:t>
            </w:r>
          </w:p>
        </w:tc>
        <w:tc>
          <w:tcPr>
            <w:tcW w:w="828" w:type="pct"/>
            <w:noWrap w:val="0"/>
            <w:vAlign w:val="center"/>
          </w:tcPr>
          <w:p w14:paraId="207C1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检出限/</w:t>
            </w:r>
          </w:p>
          <w:p w14:paraId="1EF00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最低检出浓度</w:t>
            </w:r>
          </w:p>
        </w:tc>
      </w:tr>
      <w:tr w14:paraId="6463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65AAB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917" w:type="pct"/>
            <w:noWrap w:val="0"/>
            <w:vAlign w:val="center"/>
          </w:tcPr>
          <w:p w14:paraId="418EA3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2936" w:type="pct"/>
            <w:noWrap w:val="0"/>
            <w:vAlign w:val="center"/>
          </w:tcPr>
          <w:p w14:paraId="1A2AFC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pH值的测定 电极法》（HJ 1147-2020）</w:t>
            </w:r>
          </w:p>
        </w:tc>
        <w:tc>
          <w:tcPr>
            <w:tcW w:w="828" w:type="pct"/>
            <w:noWrap w:val="0"/>
            <w:vAlign w:val="center"/>
          </w:tcPr>
          <w:p w14:paraId="176A9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6D22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12CD2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917" w:type="pct"/>
            <w:noWrap w:val="0"/>
            <w:vAlign w:val="center"/>
          </w:tcPr>
          <w:p w14:paraId="7CE51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总硬度</w:t>
            </w:r>
          </w:p>
        </w:tc>
        <w:tc>
          <w:tcPr>
            <w:tcW w:w="2936" w:type="pct"/>
            <w:vMerge w:val="restart"/>
            <w:noWrap w:val="0"/>
            <w:vAlign w:val="center"/>
          </w:tcPr>
          <w:p w14:paraId="1455E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《生活饮用水标准检验方法 第4部分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感官性状和物理指标》（GB/T 5750.4-2023）</w:t>
            </w:r>
          </w:p>
        </w:tc>
        <w:tc>
          <w:tcPr>
            <w:tcW w:w="828" w:type="pct"/>
            <w:noWrap w:val="0"/>
            <w:vAlign w:val="center"/>
          </w:tcPr>
          <w:p w14:paraId="4A713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27F7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3A8C20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917" w:type="pct"/>
            <w:noWrap w:val="0"/>
            <w:vAlign w:val="center"/>
          </w:tcPr>
          <w:p w14:paraId="2253C0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溶解性总固体</w:t>
            </w:r>
          </w:p>
        </w:tc>
        <w:tc>
          <w:tcPr>
            <w:tcW w:w="2936" w:type="pct"/>
            <w:vMerge w:val="continue"/>
            <w:noWrap w:val="0"/>
            <w:vAlign w:val="center"/>
          </w:tcPr>
          <w:p w14:paraId="2F5012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071C40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103D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6465B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917" w:type="pct"/>
            <w:noWrap w:val="0"/>
            <w:vAlign w:val="center"/>
          </w:tcPr>
          <w:p w14:paraId="7025D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挥发酚</w:t>
            </w:r>
          </w:p>
        </w:tc>
        <w:tc>
          <w:tcPr>
            <w:tcW w:w="2936" w:type="pct"/>
            <w:noWrap w:val="0"/>
            <w:vAlign w:val="center"/>
          </w:tcPr>
          <w:p w14:paraId="009F7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挥发酚的测定 4-氨基安替比林分光光度法》（HJ 503-2009）</w:t>
            </w:r>
          </w:p>
        </w:tc>
        <w:tc>
          <w:tcPr>
            <w:tcW w:w="828" w:type="pct"/>
            <w:noWrap w:val="0"/>
            <w:vAlign w:val="center"/>
          </w:tcPr>
          <w:p w14:paraId="51DDC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0.0003 mg/L</w:t>
            </w:r>
          </w:p>
        </w:tc>
      </w:tr>
      <w:tr w14:paraId="6888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7F049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917" w:type="pct"/>
            <w:noWrap w:val="0"/>
            <w:vAlign w:val="center"/>
          </w:tcPr>
          <w:p w14:paraId="25A820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高锰酸盐指数</w:t>
            </w:r>
          </w:p>
          <w:p w14:paraId="028E5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（以O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计）</w:t>
            </w:r>
          </w:p>
        </w:tc>
        <w:tc>
          <w:tcPr>
            <w:tcW w:w="2936" w:type="pct"/>
            <w:noWrap w:val="0"/>
            <w:vAlign w:val="center"/>
          </w:tcPr>
          <w:p w14:paraId="6036E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《生活饮用水标准检验方法 第7部分</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有机物综合指标》（GB/T 5750.7-2023）</w:t>
            </w:r>
          </w:p>
        </w:tc>
        <w:tc>
          <w:tcPr>
            <w:tcW w:w="828" w:type="pct"/>
            <w:noWrap w:val="0"/>
            <w:vAlign w:val="center"/>
          </w:tcPr>
          <w:p w14:paraId="71B22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50F9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2D2F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917" w:type="pct"/>
            <w:noWrap w:val="0"/>
            <w:vAlign w:val="center"/>
          </w:tcPr>
          <w:p w14:paraId="4A8AD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w:t>
            </w:r>
          </w:p>
        </w:tc>
        <w:tc>
          <w:tcPr>
            <w:tcW w:w="2936" w:type="pct"/>
            <w:noWrap w:val="0"/>
            <w:vAlign w:val="center"/>
          </w:tcPr>
          <w:p w14:paraId="2C117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氨氮的测定 纳氏试剂分光光度法》（HJ 535-2009）</w:t>
            </w:r>
          </w:p>
        </w:tc>
        <w:tc>
          <w:tcPr>
            <w:tcW w:w="828" w:type="pct"/>
            <w:noWrap w:val="0"/>
            <w:vAlign w:val="center"/>
          </w:tcPr>
          <w:p w14:paraId="59481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0.025 mg/L</w:t>
            </w:r>
          </w:p>
        </w:tc>
      </w:tr>
      <w:tr w14:paraId="213E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18775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p>
        </w:tc>
        <w:tc>
          <w:tcPr>
            <w:tcW w:w="917" w:type="pct"/>
            <w:noWrap w:val="0"/>
            <w:vAlign w:val="center"/>
          </w:tcPr>
          <w:p w14:paraId="01E43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总大肠菌群</w:t>
            </w:r>
          </w:p>
        </w:tc>
        <w:tc>
          <w:tcPr>
            <w:tcW w:w="2936" w:type="pct"/>
            <w:noWrap w:val="0"/>
            <w:vAlign w:val="center"/>
          </w:tcPr>
          <w:p w14:paraId="477B7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《生活饮用水标准检验方法 第12部分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微生物指标》（GB/T 5750.12-2023）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5.2滤膜法</w:t>
            </w:r>
          </w:p>
        </w:tc>
        <w:tc>
          <w:tcPr>
            <w:tcW w:w="828" w:type="pct"/>
            <w:noWrap w:val="0"/>
            <w:vAlign w:val="center"/>
          </w:tcPr>
          <w:p w14:paraId="0345C9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7EFA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56CE8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917" w:type="pct"/>
            <w:noWrap w:val="0"/>
            <w:vAlign w:val="center"/>
          </w:tcPr>
          <w:p w14:paraId="6D457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菌落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总数</w:t>
            </w:r>
          </w:p>
        </w:tc>
        <w:tc>
          <w:tcPr>
            <w:tcW w:w="2936" w:type="pct"/>
            <w:noWrap w:val="0"/>
            <w:vAlign w:val="center"/>
          </w:tcPr>
          <w:p w14:paraId="5C587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《生活饮用水标准检验方法 第12部分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微生物指标》（GB/T 5750.12-2023）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4.1 </w:t>
            </w:r>
            <w:r>
              <w:rPr>
                <w:rFonts w:hint="default" w:ascii="Times New Roman" w:hAnsi="Times New Roman" w:eastAsia="宋体" w:cs="Times New Roman"/>
                <w:color w:val="000000" w:themeColor="text1"/>
                <w:sz w:val="21"/>
                <w:szCs w:val="21"/>
                <w:highlight w:val="none"/>
                <w14:textFill>
                  <w14:solidFill>
                    <w14:schemeClr w14:val="tx1"/>
                  </w14:solidFill>
                </w14:textFill>
              </w:rPr>
              <w:t>平皿计数法</w:t>
            </w:r>
          </w:p>
        </w:tc>
        <w:tc>
          <w:tcPr>
            <w:tcW w:w="828" w:type="pct"/>
            <w:noWrap w:val="0"/>
            <w:vAlign w:val="center"/>
          </w:tcPr>
          <w:p w14:paraId="7EB07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9D1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0EDFE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c>
          <w:tcPr>
            <w:tcW w:w="917" w:type="pct"/>
            <w:noWrap w:val="0"/>
            <w:vAlign w:val="center"/>
          </w:tcPr>
          <w:p w14:paraId="14773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亚硝酸盐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936" w:type="pct"/>
            <w:noWrap w:val="0"/>
            <w:vAlign w:val="center"/>
          </w:tcPr>
          <w:p w14:paraId="5DBE7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亚硝酸盐氮的测定 分光光度法》（</w:t>
            </w:r>
            <w:r>
              <w:rPr>
                <w:rFonts w:hint="eastAsia" w:cs="Times New Roman"/>
                <w:color w:val="000000" w:themeColor="text1"/>
                <w:sz w:val="21"/>
                <w:szCs w:val="21"/>
                <w:highlight w:val="none"/>
                <w:lang w:eastAsia="zh-CN"/>
                <w14:textFill>
                  <w14:solidFill>
                    <w14:schemeClr w14:val="tx1"/>
                  </w14:solidFill>
                </w14:textFill>
              </w:rPr>
              <w:t>GB/T 7493-1987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8" w:type="pct"/>
            <w:noWrap w:val="0"/>
            <w:vAlign w:val="center"/>
          </w:tcPr>
          <w:p w14:paraId="3BA02C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0.003 mg/L</w:t>
            </w:r>
          </w:p>
        </w:tc>
      </w:tr>
      <w:tr w14:paraId="24A0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302C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917" w:type="pct"/>
            <w:noWrap w:val="0"/>
            <w:vAlign w:val="center"/>
          </w:tcPr>
          <w:p w14:paraId="5A19AF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硝酸盐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936" w:type="pct"/>
            <w:noWrap w:val="0"/>
            <w:vAlign w:val="center"/>
          </w:tcPr>
          <w:p w14:paraId="59BEB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硝酸盐氮的测定 紫外分光光度法</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》（HJ/T 346-2007）</w:t>
            </w:r>
          </w:p>
        </w:tc>
        <w:tc>
          <w:tcPr>
            <w:tcW w:w="828" w:type="pct"/>
            <w:noWrap w:val="0"/>
            <w:vAlign w:val="center"/>
          </w:tcPr>
          <w:p w14:paraId="347FE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0.08 mg/L</w:t>
            </w:r>
          </w:p>
        </w:tc>
      </w:tr>
      <w:tr w14:paraId="2DA6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FD69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w:t>
            </w:r>
          </w:p>
        </w:tc>
        <w:tc>
          <w:tcPr>
            <w:tcW w:w="917" w:type="pct"/>
            <w:noWrap w:val="0"/>
            <w:vAlign w:val="center"/>
          </w:tcPr>
          <w:p w14:paraId="109A0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氰化物</w:t>
            </w:r>
          </w:p>
        </w:tc>
        <w:tc>
          <w:tcPr>
            <w:tcW w:w="2936" w:type="pct"/>
            <w:noWrap w:val="0"/>
            <w:vAlign w:val="center"/>
          </w:tcPr>
          <w:p w14:paraId="6930A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《生活饮用水标准检验方法 第5部分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无机非金属指标》（GB/T 5750.5-2023）7.1 异烟酸-吡唑啉酮分光光度法</w:t>
            </w:r>
          </w:p>
        </w:tc>
        <w:tc>
          <w:tcPr>
            <w:tcW w:w="828" w:type="pct"/>
            <w:noWrap w:val="0"/>
            <w:vAlign w:val="center"/>
          </w:tcPr>
          <w:p w14:paraId="3BD90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6C7E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0CD0B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w:t>
            </w:r>
          </w:p>
        </w:tc>
        <w:tc>
          <w:tcPr>
            <w:tcW w:w="917" w:type="pct"/>
            <w:noWrap w:val="0"/>
            <w:vAlign w:val="center"/>
          </w:tcPr>
          <w:p w14:paraId="3FC09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氟化物</w:t>
            </w:r>
          </w:p>
        </w:tc>
        <w:tc>
          <w:tcPr>
            <w:tcW w:w="2936" w:type="pct"/>
            <w:noWrap w:val="0"/>
            <w:vAlign w:val="center"/>
          </w:tcPr>
          <w:p w14:paraId="40D60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氟化物的测定 离子选择电极法》（</w:t>
            </w:r>
            <w:r>
              <w:rPr>
                <w:rFonts w:hint="eastAsia" w:cs="Times New Roman"/>
                <w:color w:val="000000" w:themeColor="text1"/>
                <w:sz w:val="21"/>
                <w:szCs w:val="21"/>
                <w:highlight w:val="none"/>
                <w:lang w:eastAsia="zh-CN"/>
                <w14:textFill>
                  <w14:solidFill>
                    <w14:schemeClr w14:val="tx1"/>
                  </w14:solidFill>
                </w14:textFill>
              </w:rPr>
              <w:t>GB/T 7484-1987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8" w:type="pct"/>
            <w:noWrap w:val="0"/>
            <w:vAlign w:val="center"/>
          </w:tcPr>
          <w:p w14:paraId="4DAD6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0.05 mg/L</w:t>
            </w:r>
          </w:p>
        </w:tc>
      </w:tr>
      <w:tr w14:paraId="7FD7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5AC0E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917" w:type="pct"/>
            <w:noWrap w:val="0"/>
            <w:vAlign w:val="center"/>
          </w:tcPr>
          <w:p w14:paraId="17671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2936" w:type="pct"/>
            <w:vMerge w:val="restart"/>
            <w:noWrap w:val="0"/>
            <w:vAlign w:val="center"/>
          </w:tcPr>
          <w:p w14:paraId="4F633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汞、砷、硒、铋和锑的测定 原子荧光法》（HJ 694-2014）</w:t>
            </w:r>
          </w:p>
        </w:tc>
        <w:tc>
          <w:tcPr>
            <w:tcW w:w="828" w:type="pct"/>
            <w:noWrap w:val="0"/>
            <w:vAlign w:val="center"/>
          </w:tcPr>
          <w:p w14:paraId="14BBA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45EB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52946B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w:t>
            </w:r>
          </w:p>
        </w:tc>
        <w:tc>
          <w:tcPr>
            <w:tcW w:w="917" w:type="pct"/>
            <w:noWrap w:val="0"/>
            <w:vAlign w:val="center"/>
          </w:tcPr>
          <w:p w14:paraId="21B685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2936" w:type="pct"/>
            <w:vMerge w:val="continue"/>
            <w:noWrap w:val="0"/>
            <w:vAlign w:val="center"/>
          </w:tcPr>
          <w:p w14:paraId="3C039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53F28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1328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67528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917" w:type="pct"/>
            <w:noWrap w:val="0"/>
            <w:vAlign w:val="center"/>
          </w:tcPr>
          <w:p w14:paraId="6446D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镉</w:t>
            </w:r>
          </w:p>
        </w:tc>
        <w:tc>
          <w:tcPr>
            <w:tcW w:w="2936" w:type="pct"/>
            <w:noWrap w:val="0"/>
            <w:vAlign w:val="center"/>
          </w:tcPr>
          <w:p w14:paraId="07CF8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《生活饮用水标准检验方法 第6部分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金属和类金属指标》（GB/T 5750.6-2023）12.1 无火焰原子吸收分光光度法</w:t>
            </w:r>
          </w:p>
        </w:tc>
        <w:tc>
          <w:tcPr>
            <w:tcW w:w="828" w:type="pct"/>
            <w:noWrap w:val="0"/>
            <w:vAlign w:val="center"/>
          </w:tcPr>
          <w:p w14:paraId="24936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5830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7344DE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w:t>
            </w:r>
          </w:p>
        </w:tc>
        <w:tc>
          <w:tcPr>
            <w:tcW w:w="917" w:type="pct"/>
            <w:noWrap w:val="0"/>
            <w:vAlign w:val="center"/>
          </w:tcPr>
          <w:p w14:paraId="6EDC4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六价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w:t>
            </w:r>
          </w:p>
        </w:tc>
        <w:tc>
          <w:tcPr>
            <w:tcW w:w="2936" w:type="pct"/>
            <w:noWrap w:val="0"/>
            <w:vAlign w:val="center"/>
          </w:tcPr>
          <w:p w14:paraId="6E6A8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六价铬的测定 二苯碳酰二肼分光光度法》（</w:t>
            </w:r>
            <w:r>
              <w:rPr>
                <w:rFonts w:hint="eastAsia" w:cs="Times New Roman"/>
                <w:color w:val="000000" w:themeColor="text1"/>
                <w:sz w:val="21"/>
                <w:szCs w:val="21"/>
                <w:highlight w:val="none"/>
                <w:lang w:eastAsia="zh-CN"/>
                <w14:textFill>
                  <w14:solidFill>
                    <w14:schemeClr w14:val="tx1"/>
                  </w14:solidFill>
                </w14:textFill>
              </w:rPr>
              <w:t>GB/T 7467-1987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8" w:type="pct"/>
            <w:noWrap w:val="0"/>
            <w:vAlign w:val="center"/>
          </w:tcPr>
          <w:p w14:paraId="6A353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0.004 mg/L</w:t>
            </w:r>
          </w:p>
        </w:tc>
      </w:tr>
      <w:tr w14:paraId="102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52ED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17</w:t>
            </w:r>
          </w:p>
        </w:tc>
        <w:tc>
          <w:tcPr>
            <w:tcW w:w="917" w:type="pct"/>
            <w:noWrap w:val="0"/>
            <w:vAlign w:val="center"/>
          </w:tcPr>
          <w:p w14:paraId="57C59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铅</w:t>
            </w:r>
          </w:p>
        </w:tc>
        <w:tc>
          <w:tcPr>
            <w:tcW w:w="2936" w:type="pct"/>
            <w:noWrap w:val="0"/>
            <w:vAlign w:val="center"/>
          </w:tcPr>
          <w:p w14:paraId="34586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《生活饮用水标准检验方法 第6部分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金属和类金属指标》（GB/T 5750.6-2023）14.1 无火焰原子吸收分光光度法</w:t>
            </w:r>
          </w:p>
        </w:tc>
        <w:tc>
          <w:tcPr>
            <w:tcW w:w="828" w:type="pct"/>
            <w:noWrap w:val="0"/>
            <w:vAlign w:val="center"/>
          </w:tcPr>
          <w:p w14:paraId="4E76C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59EC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0366B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w:t>
            </w:r>
          </w:p>
        </w:tc>
        <w:tc>
          <w:tcPr>
            <w:tcW w:w="917" w:type="pct"/>
            <w:noWrap w:val="0"/>
            <w:vAlign w:val="center"/>
          </w:tcPr>
          <w:p w14:paraId="698EA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钡</w:t>
            </w:r>
          </w:p>
        </w:tc>
        <w:tc>
          <w:tcPr>
            <w:tcW w:w="2936" w:type="pct"/>
            <w:noWrap w:val="0"/>
            <w:vAlign w:val="center"/>
          </w:tcPr>
          <w:p w14:paraId="48B33A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《生活饮用水标准检验方法 第6部分</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金属和类金属指标》（GB/T 5750.6-2023）19.1 无火焰原子吸收分光光度法</w:t>
            </w:r>
          </w:p>
        </w:tc>
        <w:tc>
          <w:tcPr>
            <w:tcW w:w="828" w:type="pct"/>
            <w:noWrap w:val="0"/>
            <w:vAlign w:val="center"/>
          </w:tcPr>
          <w:p w14:paraId="7AE89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1.0 </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r>
      <w:tr w14:paraId="1273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260B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w:t>
            </w:r>
          </w:p>
        </w:tc>
        <w:tc>
          <w:tcPr>
            <w:tcW w:w="917" w:type="pct"/>
            <w:noWrap w:val="0"/>
            <w:vAlign w:val="center"/>
          </w:tcPr>
          <w:p w14:paraId="2A321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硫酸根</w:t>
            </w:r>
          </w:p>
          <w:p w14:paraId="4EED6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（硫酸盐）</w:t>
            </w:r>
          </w:p>
        </w:tc>
        <w:tc>
          <w:tcPr>
            <w:tcW w:w="2936" w:type="pct"/>
            <w:vMerge w:val="restart"/>
            <w:noWrap w:val="0"/>
            <w:vAlign w:val="center"/>
          </w:tcPr>
          <w:p w14:paraId="2E5BA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《水质 无机阴离子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、Cl</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、Br</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的测定 离子色谱法》（HJ 84-2016）</w:t>
            </w:r>
          </w:p>
        </w:tc>
        <w:tc>
          <w:tcPr>
            <w:tcW w:w="828" w:type="pct"/>
            <w:noWrap w:val="0"/>
            <w:vAlign w:val="center"/>
          </w:tcPr>
          <w:p w14:paraId="2BD47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 xml:space="preserve">0.018 </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mg/L</w:t>
            </w:r>
          </w:p>
        </w:tc>
      </w:tr>
      <w:tr w14:paraId="0688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0F1F4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w:t>
            </w:r>
          </w:p>
        </w:tc>
        <w:tc>
          <w:tcPr>
            <w:tcW w:w="917" w:type="pct"/>
            <w:noWrap w:val="0"/>
            <w:vAlign w:val="center"/>
          </w:tcPr>
          <w:p w14:paraId="3A9B0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氯离子</w:t>
            </w:r>
          </w:p>
          <w:p w14:paraId="52DB8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（氯化物）</w:t>
            </w:r>
          </w:p>
        </w:tc>
        <w:tc>
          <w:tcPr>
            <w:tcW w:w="2936" w:type="pct"/>
            <w:vMerge w:val="continue"/>
            <w:noWrap w:val="0"/>
            <w:vAlign w:val="center"/>
          </w:tcPr>
          <w:p w14:paraId="7E1B5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286B6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 xml:space="preserve">0.007 </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mg/L</w:t>
            </w:r>
          </w:p>
        </w:tc>
      </w:tr>
      <w:tr w14:paraId="1F28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38659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21</w:t>
            </w:r>
          </w:p>
        </w:tc>
        <w:tc>
          <w:tcPr>
            <w:tcW w:w="917" w:type="pct"/>
            <w:noWrap w:val="0"/>
            <w:vAlign w:val="center"/>
          </w:tcPr>
          <w:p w14:paraId="6506F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钾离子</w:t>
            </w:r>
          </w:p>
        </w:tc>
        <w:tc>
          <w:tcPr>
            <w:tcW w:w="2936" w:type="pct"/>
            <w:vMerge w:val="restart"/>
            <w:noWrap w:val="0"/>
            <w:vAlign w:val="center"/>
          </w:tcPr>
          <w:p w14:paraId="3075E5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《水质 可溶性阳离子（Li</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、Na</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、Ca</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）的测定 离子色谱法》（HJ 812-2016）</w:t>
            </w:r>
          </w:p>
        </w:tc>
        <w:tc>
          <w:tcPr>
            <w:tcW w:w="828" w:type="pct"/>
            <w:noWrap w:val="0"/>
            <w:vAlign w:val="center"/>
          </w:tcPr>
          <w:p w14:paraId="77830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0.02 mg/L</w:t>
            </w:r>
          </w:p>
        </w:tc>
      </w:tr>
      <w:tr w14:paraId="63C8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4E4D0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w:t>
            </w:r>
          </w:p>
        </w:tc>
        <w:tc>
          <w:tcPr>
            <w:tcW w:w="917" w:type="pct"/>
            <w:noWrap w:val="0"/>
            <w:vAlign w:val="center"/>
          </w:tcPr>
          <w:p w14:paraId="1B37D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钠离子</w:t>
            </w:r>
          </w:p>
        </w:tc>
        <w:tc>
          <w:tcPr>
            <w:tcW w:w="2936" w:type="pct"/>
            <w:vMerge w:val="continue"/>
            <w:noWrap w:val="0"/>
            <w:vAlign w:val="center"/>
          </w:tcPr>
          <w:p w14:paraId="2AE66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3F1BD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0.02 mg/L</w:t>
            </w:r>
          </w:p>
        </w:tc>
      </w:tr>
      <w:tr w14:paraId="1050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45B8E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23</w:t>
            </w:r>
          </w:p>
        </w:tc>
        <w:tc>
          <w:tcPr>
            <w:tcW w:w="917" w:type="pct"/>
            <w:noWrap w:val="0"/>
            <w:vAlign w:val="center"/>
          </w:tcPr>
          <w:p w14:paraId="53998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钙离子</w:t>
            </w:r>
          </w:p>
        </w:tc>
        <w:tc>
          <w:tcPr>
            <w:tcW w:w="2936" w:type="pct"/>
            <w:vMerge w:val="continue"/>
            <w:noWrap w:val="0"/>
            <w:vAlign w:val="center"/>
          </w:tcPr>
          <w:p w14:paraId="64D5C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36EED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 xml:space="preserve">0.03 </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mg/L</w:t>
            </w:r>
          </w:p>
        </w:tc>
      </w:tr>
      <w:tr w14:paraId="0B6C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144FC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24</w:t>
            </w:r>
          </w:p>
        </w:tc>
        <w:tc>
          <w:tcPr>
            <w:tcW w:w="917" w:type="pct"/>
            <w:noWrap w:val="0"/>
            <w:vAlign w:val="center"/>
          </w:tcPr>
          <w:p w14:paraId="2C235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镁离子</w:t>
            </w:r>
          </w:p>
        </w:tc>
        <w:tc>
          <w:tcPr>
            <w:tcW w:w="2936" w:type="pct"/>
            <w:vMerge w:val="continue"/>
            <w:noWrap w:val="0"/>
            <w:vAlign w:val="center"/>
          </w:tcPr>
          <w:p w14:paraId="29C00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6C3C3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 xml:space="preserve">0.02 </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mg/L</w:t>
            </w:r>
          </w:p>
        </w:tc>
      </w:tr>
      <w:tr w14:paraId="0E73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6238C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p>
        </w:tc>
        <w:tc>
          <w:tcPr>
            <w:tcW w:w="917" w:type="pct"/>
            <w:noWrap w:val="0"/>
            <w:vAlign w:val="center"/>
          </w:tcPr>
          <w:p w14:paraId="30139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碳酸根</w:t>
            </w:r>
          </w:p>
        </w:tc>
        <w:tc>
          <w:tcPr>
            <w:tcW w:w="2936" w:type="pct"/>
            <w:vMerge w:val="restart"/>
            <w:noWrap w:val="0"/>
            <w:vAlign w:val="center"/>
          </w:tcPr>
          <w:p w14:paraId="47ADE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地下水质分析方法 第49部分：碳酸根、重碳酸根和氢氧根离子的测定 滴定法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DZ</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 xml:space="preserve">/T </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highlight w:val="none"/>
                <w14:textFill>
                  <w14:solidFill>
                    <w14:schemeClr w14:val="tx1"/>
                  </w14:solidFill>
                </w14:textFill>
              </w:rPr>
              <w:t>2021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828" w:type="pct"/>
            <w:vMerge w:val="restart"/>
            <w:noWrap w:val="0"/>
            <w:vAlign w:val="center"/>
          </w:tcPr>
          <w:p w14:paraId="2627C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 xml:space="preserve">1 </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mg/L</w:t>
            </w:r>
          </w:p>
        </w:tc>
      </w:tr>
      <w:tr w14:paraId="1A50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4CECF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26</w:t>
            </w:r>
          </w:p>
        </w:tc>
        <w:tc>
          <w:tcPr>
            <w:tcW w:w="917" w:type="pct"/>
            <w:noWrap w:val="0"/>
            <w:vAlign w:val="center"/>
          </w:tcPr>
          <w:p w14:paraId="60160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碳酸氢根</w:t>
            </w:r>
          </w:p>
        </w:tc>
        <w:tc>
          <w:tcPr>
            <w:tcW w:w="2936" w:type="pct"/>
            <w:vMerge w:val="continue"/>
            <w:noWrap w:val="0"/>
            <w:vAlign w:val="center"/>
          </w:tcPr>
          <w:p w14:paraId="7A33A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vMerge w:val="continue"/>
            <w:noWrap w:val="0"/>
            <w:vAlign w:val="center"/>
          </w:tcPr>
          <w:p w14:paraId="58A4A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E91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29240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27</w:t>
            </w:r>
          </w:p>
        </w:tc>
        <w:tc>
          <w:tcPr>
            <w:tcW w:w="917" w:type="pct"/>
            <w:noWrap w:val="0"/>
            <w:vAlign w:val="center"/>
          </w:tcPr>
          <w:p w14:paraId="5A0BC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铁</w:t>
            </w:r>
          </w:p>
        </w:tc>
        <w:tc>
          <w:tcPr>
            <w:tcW w:w="2936" w:type="pct"/>
            <w:vMerge w:val="restart"/>
            <w:noWrap w:val="0"/>
            <w:vAlign w:val="center"/>
          </w:tcPr>
          <w:p w14:paraId="6EC6E2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《水质 铁、锰的测定 火焰原子吸收分光光度法》（</w:t>
            </w:r>
            <w:r>
              <w:rPr>
                <w:rFonts w:hint="eastAsia" w:cs="Times New Roman"/>
                <w:color w:val="000000" w:themeColor="text1"/>
                <w:sz w:val="21"/>
                <w:szCs w:val="21"/>
                <w:highlight w:val="none"/>
                <w:lang w:eastAsia="zh-CN"/>
                <w14:textFill>
                  <w14:solidFill>
                    <w14:schemeClr w14:val="tx1"/>
                  </w14:solidFill>
                </w14:textFill>
              </w:rPr>
              <w:t>GB/T 11911-1989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8" w:type="pct"/>
            <w:noWrap w:val="0"/>
            <w:vAlign w:val="center"/>
          </w:tcPr>
          <w:p w14:paraId="394B1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0.03 mg/L</w:t>
            </w:r>
          </w:p>
        </w:tc>
      </w:tr>
      <w:tr w14:paraId="2B79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77B12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p>
        </w:tc>
        <w:tc>
          <w:tcPr>
            <w:tcW w:w="917" w:type="pct"/>
            <w:noWrap w:val="0"/>
            <w:vAlign w:val="center"/>
          </w:tcPr>
          <w:p w14:paraId="22CE32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锰</w:t>
            </w:r>
          </w:p>
        </w:tc>
        <w:tc>
          <w:tcPr>
            <w:tcW w:w="2936" w:type="pct"/>
            <w:vMerge w:val="continue"/>
            <w:noWrap w:val="0"/>
            <w:vAlign w:val="center"/>
          </w:tcPr>
          <w:p w14:paraId="68621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8" w:type="pct"/>
            <w:noWrap w:val="0"/>
            <w:vAlign w:val="center"/>
          </w:tcPr>
          <w:p w14:paraId="0BB04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0.01 mg/L</w:t>
            </w:r>
          </w:p>
        </w:tc>
      </w:tr>
      <w:tr w14:paraId="6F9D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3B043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29</w:t>
            </w:r>
          </w:p>
        </w:tc>
        <w:tc>
          <w:tcPr>
            <w:tcW w:w="917" w:type="pct"/>
            <w:noWrap w:val="0"/>
            <w:vAlign w:val="center"/>
          </w:tcPr>
          <w:p w14:paraId="384993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硫化物</w:t>
            </w:r>
          </w:p>
        </w:tc>
        <w:tc>
          <w:tcPr>
            <w:tcW w:w="2936" w:type="pct"/>
            <w:noWrap w:val="0"/>
            <w:vAlign w:val="center"/>
          </w:tcPr>
          <w:p w14:paraId="1F8D2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《水质 硫化物的测定 亚甲基蓝分光光度法》（HJ 1226-2021）</w:t>
            </w:r>
          </w:p>
        </w:tc>
        <w:tc>
          <w:tcPr>
            <w:tcW w:w="828" w:type="pct"/>
            <w:noWrap w:val="0"/>
            <w:vAlign w:val="center"/>
          </w:tcPr>
          <w:p w14:paraId="73BF36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0.003 mg/L</w:t>
            </w:r>
          </w:p>
        </w:tc>
      </w:tr>
      <w:tr w14:paraId="7B1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18" w:type="pct"/>
            <w:noWrap w:val="0"/>
            <w:vAlign w:val="center"/>
          </w:tcPr>
          <w:p w14:paraId="7AB5A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30</w:t>
            </w:r>
          </w:p>
        </w:tc>
        <w:tc>
          <w:tcPr>
            <w:tcW w:w="917" w:type="pct"/>
            <w:noWrap w:val="0"/>
            <w:vAlign w:val="center"/>
          </w:tcPr>
          <w:p w14:paraId="7B159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2936" w:type="pct"/>
            <w:noWrap w:val="0"/>
            <w:vAlign w:val="center"/>
          </w:tcPr>
          <w:p w14:paraId="2A184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《水质 石油类的测定 紫外分光光度法（试行）》（HJ 970-2018）</w:t>
            </w:r>
          </w:p>
        </w:tc>
        <w:tc>
          <w:tcPr>
            <w:tcW w:w="828" w:type="pct"/>
            <w:noWrap w:val="0"/>
            <w:vAlign w:val="center"/>
          </w:tcPr>
          <w:p w14:paraId="4BE54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 mg/L</w:t>
            </w:r>
          </w:p>
        </w:tc>
      </w:tr>
    </w:tbl>
    <w:p w14:paraId="1EE3D234">
      <w:pPr>
        <w:rPr>
          <w:rFonts w:hint="default"/>
          <w:color w:val="000000" w:themeColor="text1"/>
          <w:highlight w:val="none"/>
          <w14:textFill>
            <w14:solidFill>
              <w14:schemeClr w14:val="tx1"/>
            </w14:solidFill>
          </w14:textFill>
        </w:rPr>
      </w:pPr>
    </w:p>
    <w:p w14:paraId="369244C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地下水环境现状评价</w:t>
      </w:r>
    </w:p>
    <w:p w14:paraId="7247A29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（1）评价标准</w:t>
      </w:r>
    </w:p>
    <w:p w14:paraId="4F371A6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石油类参照《</w:t>
      </w:r>
      <w:bookmarkStart w:id="841" w:name="OLE_LINK535"/>
      <w:r>
        <w:rPr>
          <w:rFonts w:hint="default" w:ascii="Times New Roman" w:hAnsi="Times New Roman" w:eastAsia="宋体" w:cs="Times New Roman"/>
          <w:color w:val="000000" w:themeColor="text1"/>
          <w:sz w:val="24"/>
          <w:szCs w:val="24"/>
          <w:highlight w:val="none"/>
          <w14:textFill>
            <w14:solidFill>
              <w14:schemeClr w14:val="tx1"/>
            </w14:solidFill>
          </w14:textFill>
        </w:rPr>
        <w:t>地表水</w:t>
      </w:r>
      <w:r>
        <w:rPr>
          <w:rFonts w:hint="eastAsia" w:cs="Times New Roman"/>
          <w:color w:val="000000" w:themeColor="text1"/>
          <w:sz w:val="24"/>
          <w:szCs w:val="24"/>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14:textFill>
            <w14:solidFill>
              <w14:schemeClr w14:val="tx1"/>
            </w14:solidFill>
          </w14:textFill>
        </w:rPr>
        <w:t>质量标准</w:t>
      </w:r>
      <w:bookmarkEnd w:id="841"/>
      <w:r>
        <w:rPr>
          <w:rFonts w:hint="default" w:ascii="Times New Roman" w:hAnsi="Times New Roman" w:eastAsia="宋体" w:cs="Times New Roman"/>
          <w:color w:val="000000" w:themeColor="text1"/>
          <w:sz w:val="24"/>
          <w:szCs w:val="24"/>
          <w:highlight w:val="none"/>
          <w14:textFill>
            <w14:solidFill>
              <w14:schemeClr w14:val="tx1"/>
            </w14:solidFill>
          </w14:textFill>
        </w:rPr>
        <w:t>》（GB3838-2002）</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Ⅲ</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类标准；其他因子执行《地下水质量标准》（GB/T14848-2017）</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Ⅲ</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w:t>
      </w:r>
    </w:p>
    <w:p w14:paraId="31B6635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（2）评价方法</w:t>
      </w:r>
    </w:p>
    <w:p w14:paraId="7E45370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评价方法采用标准指数法。</w:t>
      </w:r>
    </w:p>
    <w:p w14:paraId="47350785">
      <w:pPr>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bookmarkStart w:id="842" w:name="OLE_LINK546"/>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①</w:t>
      </w:r>
      <w:bookmarkEnd w:id="842"/>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对于评价标准为定值的水质因子，其标准指数计算公式：</w:t>
      </w:r>
    </w:p>
    <w:p w14:paraId="569DB335">
      <w:pPr>
        <w:pageBreakBefore w:val="0"/>
        <w:widowControl w:val="0"/>
        <w:kinsoku/>
        <w:wordWrap/>
        <w:overflowPunct/>
        <w:topLinePunct w:val="0"/>
        <w:autoSpaceDE/>
        <w:autoSpaceDN/>
        <w:bidi w:val="0"/>
        <w:adjustRightInd w:val="0"/>
        <w:snapToGrid w:val="0"/>
        <w:spacing w:line="360" w:lineRule="auto"/>
        <w:ind w:right="524" w:firstLine="480" w:firstLineChars="0"/>
        <w:jc w:val="center"/>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656590" cy="465455"/>
            <wp:effectExtent l="0" t="0" r="10160" b="1206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2"/>
                    <a:stretch>
                      <a:fillRect/>
                    </a:stretch>
                  </pic:blipFill>
                  <pic:spPr>
                    <a:xfrm>
                      <a:off x="0" y="0"/>
                      <a:ext cx="656590" cy="46545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 xml:space="preserve"> </w:t>
      </w:r>
    </w:p>
    <w:p w14:paraId="19C86678">
      <w:pPr>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式中：</w:t>
      </w: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P</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——第</w:t>
      </w: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个水质因子的标准指数，无量纲；</w:t>
      </w:r>
    </w:p>
    <w:p w14:paraId="55053320">
      <w:pPr>
        <w:pageBreakBefore w:val="0"/>
        <w:widowControl w:val="0"/>
        <w:kinsoku/>
        <w:wordWrap/>
        <w:overflowPunct/>
        <w:topLinePunct w:val="0"/>
        <w:autoSpaceDE/>
        <w:autoSpaceDN/>
        <w:bidi w:val="0"/>
        <w:adjustRightInd w:val="0"/>
        <w:snapToGrid w:val="0"/>
        <w:spacing w:line="360" w:lineRule="auto"/>
        <w:ind w:firstLine="1250" w:firstLineChars="5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C</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——第</w:t>
      </w: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个水质因子的监测浓度，mg/L；</w:t>
      </w:r>
    </w:p>
    <w:p w14:paraId="1F7506D8">
      <w:pPr>
        <w:pageBreakBefore w:val="0"/>
        <w:widowControl w:val="0"/>
        <w:kinsoku/>
        <w:wordWrap/>
        <w:overflowPunct/>
        <w:topLinePunct w:val="0"/>
        <w:autoSpaceDE/>
        <w:autoSpaceDN/>
        <w:bidi w:val="0"/>
        <w:adjustRightInd w:val="0"/>
        <w:snapToGrid w:val="0"/>
        <w:spacing w:line="360" w:lineRule="auto"/>
        <w:ind w:firstLine="1250" w:firstLineChars="5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C</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si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——第</w:t>
      </w: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i</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个水质因子的标准浓度，mg/L。</w:t>
      </w:r>
    </w:p>
    <w:p w14:paraId="5AC09A0E">
      <w:pPr>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bookmarkStart w:id="843" w:name="OLE_LINK547"/>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②</w:t>
      </w:r>
      <w:bookmarkEnd w:id="843"/>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对于评价标准为区间值的水质因子（如</w:t>
      </w:r>
      <w:r>
        <w:rPr>
          <w:rFonts w:hint="default" w:ascii="Times New Roman" w:hAnsi="Times New Roman" w:eastAsia="宋体" w:cs="Times New Roman"/>
          <w:i w:val="0"/>
          <w:iCs w:val="0"/>
          <w:color w:val="000000" w:themeColor="text1"/>
          <w:spacing w:val="5"/>
          <w:sz w:val="24"/>
          <w:szCs w:val="24"/>
          <w:highlight w:val="none"/>
          <w14:textFill>
            <w14:solidFill>
              <w14:schemeClr w14:val="tx1"/>
            </w14:solidFill>
          </w14:textFill>
        </w:rPr>
        <w:t>pH</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值），其标准指数计算公式：</w:t>
      </w:r>
    </w:p>
    <w:p w14:paraId="2B367BE9">
      <w:pPr>
        <w:pageBreakBefore w:val="0"/>
        <w:widowControl w:val="0"/>
        <w:kinsoku/>
        <w:wordWrap/>
        <w:overflowPunct/>
        <w:topLinePunct w:val="0"/>
        <w:autoSpaceDE/>
        <w:autoSpaceDN/>
        <w:bidi w:val="0"/>
        <w:adjustRightInd w:val="0"/>
        <w:snapToGrid w:val="0"/>
        <w:spacing w:line="360" w:lineRule="auto"/>
        <w:ind w:right="522" w:firstLine="482" w:firstLineChars="0"/>
        <w:jc w:val="center"/>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1193165" cy="425450"/>
            <wp:effectExtent l="0" t="0" r="6985" b="1333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3"/>
                    <a:stretch>
                      <a:fillRect/>
                    </a:stretch>
                  </pic:blipFill>
                  <pic:spPr>
                    <a:xfrm>
                      <a:off x="0" y="0"/>
                      <a:ext cx="1193165" cy="42545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，pH≤7时；</w:t>
      </w:r>
    </w:p>
    <w:p w14:paraId="7C76A943">
      <w:pPr>
        <w:pageBreakBefore w:val="0"/>
        <w:widowControl w:val="0"/>
        <w:kinsoku/>
        <w:wordWrap/>
        <w:overflowPunct/>
        <w:topLinePunct w:val="0"/>
        <w:autoSpaceDE/>
        <w:autoSpaceDN/>
        <w:bidi w:val="0"/>
        <w:adjustRightInd w:val="0"/>
        <w:snapToGrid w:val="0"/>
        <w:spacing w:line="360" w:lineRule="auto"/>
        <w:ind w:right="524" w:firstLine="480" w:firstLineChars="0"/>
        <w:jc w:val="center"/>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1191895" cy="424815"/>
            <wp:effectExtent l="0" t="0" r="8255" b="13970"/>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24"/>
                    <a:stretch>
                      <a:fillRect/>
                    </a:stretch>
                  </pic:blipFill>
                  <pic:spPr>
                    <a:xfrm>
                      <a:off x="0" y="0"/>
                      <a:ext cx="1191895" cy="42481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，pH＞7时；</w:t>
      </w:r>
    </w:p>
    <w:p w14:paraId="39FDDF89">
      <w:pPr>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式中：</w:t>
      </w: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P</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pH</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pH的标准指数，无量纲；</w:t>
      </w:r>
    </w:p>
    <w:p w14:paraId="5CF333D5">
      <w:pPr>
        <w:pageBreakBefore w:val="0"/>
        <w:widowControl w:val="0"/>
        <w:kinsoku/>
        <w:wordWrap/>
        <w:overflowPunct/>
        <w:topLinePunct w:val="0"/>
        <w:autoSpaceDE/>
        <w:autoSpaceDN/>
        <w:bidi w:val="0"/>
        <w:adjustRightInd w:val="0"/>
        <w:snapToGrid w:val="0"/>
        <w:spacing w:line="360" w:lineRule="auto"/>
        <w:ind w:firstLine="1250" w:firstLineChars="5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pH</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pH监测值；</w:t>
      </w:r>
    </w:p>
    <w:p w14:paraId="1F4C0524">
      <w:pPr>
        <w:pageBreakBefore w:val="0"/>
        <w:widowControl w:val="0"/>
        <w:kinsoku/>
        <w:wordWrap/>
        <w:overflowPunct/>
        <w:topLinePunct w:val="0"/>
        <w:autoSpaceDE/>
        <w:autoSpaceDN/>
        <w:bidi w:val="0"/>
        <w:adjustRightInd w:val="0"/>
        <w:snapToGrid w:val="0"/>
        <w:spacing w:line="360" w:lineRule="auto"/>
        <w:ind w:firstLine="1250" w:firstLineChars="5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pH</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sd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标准中pH的下限值；</w:t>
      </w:r>
    </w:p>
    <w:p w14:paraId="49CFC789">
      <w:pPr>
        <w:pageBreakBefore w:val="0"/>
        <w:widowControl w:val="0"/>
        <w:kinsoku/>
        <w:wordWrap/>
        <w:overflowPunct/>
        <w:topLinePunct w:val="0"/>
        <w:autoSpaceDE/>
        <w:autoSpaceDN/>
        <w:bidi w:val="0"/>
        <w:adjustRightInd w:val="0"/>
        <w:snapToGrid w:val="0"/>
        <w:spacing w:line="360" w:lineRule="auto"/>
        <w:ind w:firstLine="1250" w:firstLineChars="500"/>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5"/>
          <w:sz w:val="24"/>
          <w:szCs w:val="24"/>
          <w:highlight w:val="none"/>
          <w14:textFill>
            <w14:solidFill>
              <w14:schemeClr w14:val="tx1"/>
            </w14:solidFill>
          </w14:textFill>
        </w:rPr>
        <w:t>pH</w:t>
      </w:r>
      <w:r>
        <w:rPr>
          <w:rFonts w:hint="default" w:ascii="Times New Roman" w:hAnsi="Times New Roman" w:eastAsia="宋体" w:cs="Times New Roman"/>
          <w:i/>
          <w:iCs/>
          <w:color w:val="000000" w:themeColor="text1"/>
          <w:spacing w:val="5"/>
          <w:sz w:val="24"/>
          <w:szCs w:val="24"/>
          <w:highlight w:val="none"/>
          <w:vertAlign w:val="subscript"/>
          <w14:textFill>
            <w14:solidFill>
              <w14:schemeClr w14:val="tx1"/>
            </w14:solidFill>
          </w14:textFill>
        </w:rPr>
        <w:t>su</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标准中pH的上限值。</w:t>
      </w:r>
    </w:p>
    <w:p w14:paraId="556A451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）监测及评价结果</w:t>
      </w:r>
    </w:p>
    <w:p w14:paraId="155D6CC5">
      <w:pPr>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①地下水离子监测结果与评价</w:t>
      </w:r>
    </w:p>
    <w:p w14:paraId="3FFEA78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表4.</w:t>
      </w:r>
      <w:r>
        <w:rPr>
          <w:rFonts w:hint="eastAsia" w:cs="Times New Roman"/>
          <w:b/>
          <w:color w:val="000000" w:themeColor="text1"/>
          <w:kern w:val="2"/>
          <w:sz w:val="21"/>
          <w:szCs w:val="21"/>
          <w:highlight w:val="none"/>
          <w:lang w:val="en-US" w:eastAsia="zh-CN"/>
          <w14:textFill>
            <w14:solidFill>
              <w14:schemeClr w14:val="tx1"/>
            </w14:solidFill>
          </w14:textFill>
        </w:rPr>
        <w:t>3-3</w:t>
      </w: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 xml:space="preserve">    </w:t>
      </w:r>
      <w:r>
        <w:rPr>
          <w:rFonts w:hint="eastAsia" w:cs="Times New Roman"/>
          <w:b/>
          <w:color w:val="000000" w:themeColor="text1"/>
          <w:kern w:val="2"/>
          <w:sz w:val="21"/>
          <w:szCs w:val="21"/>
          <w:highlight w:val="none"/>
          <w:lang w:eastAsia="zh-CN"/>
          <w14:textFill>
            <w14:solidFill>
              <w14:schemeClr w14:val="tx1"/>
            </w14:solidFill>
          </w14:textFill>
        </w:rPr>
        <w:t>地下水监测</w:t>
      </w: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分析因子分析结果一览表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633"/>
        <w:gridCol w:w="1633"/>
        <w:gridCol w:w="2676"/>
        <w:gridCol w:w="1922"/>
      </w:tblGrid>
      <w:tr w14:paraId="661D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43" w:type="pct"/>
            <w:gridSpan w:val="2"/>
            <w:shd w:val="clear" w:color="auto" w:fill="auto"/>
            <w:vAlign w:val="center"/>
          </w:tcPr>
          <w:p w14:paraId="276E2F87">
            <w:pPr>
              <w:widowControl/>
              <w:spacing w:line="240" w:lineRule="auto"/>
              <w:ind w:firstLine="0" w:firstLineChars="0"/>
              <w:jc w:val="center"/>
              <w:textAlignment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监测点</w:t>
            </w:r>
          </w:p>
        </w:tc>
        <w:tc>
          <w:tcPr>
            <w:tcW w:w="3656" w:type="pct"/>
            <w:gridSpan w:val="3"/>
            <w:shd w:val="clear" w:color="auto" w:fill="auto"/>
            <w:noWrap/>
            <w:vAlign w:val="center"/>
          </w:tcPr>
          <w:p w14:paraId="3B1C6068">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农户承压水地下水井</w:t>
            </w:r>
          </w:p>
        </w:tc>
      </w:tr>
      <w:tr w14:paraId="5311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3" w:type="pct"/>
            <w:gridSpan w:val="2"/>
            <w:shd w:val="clear" w:color="auto" w:fill="auto"/>
            <w:vAlign w:val="center"/>
          </w:tcPr>
          <w:p w14:paraId="7864205E">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监测因子</w:t>
            </w:r>
          </w:p>
        </w:tc>
        <w:tc>
          <w:tcPr>
            <w:tcW w:w="958" w:type="pct"/>
            <w:shd w:val="clear" w:color="auto" w:fill="auto"/>
            <w:vAlign w:val="center"/>
          </w:tcPr>
          <w:p w14:paraId="629969A2">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ρ(B)mg/L</w:t>
            </w:r>
          </w:p>
        </w:tc>
        <w:tc>
          <w:tcPr>
            <w:tcW w:w="1570" w:type="pct"/>
            <w:shd w:val="clear" w:color="auto" w:fill="auto"/>
            <w:vAlign w:val="center"/>
          </w:tcPr>
          <w:p w14:paraId="32765DE5">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c</w:t>
            </w:r>
            <w:r>
              <w:rPr>
                <w:rFonts w:hint="eastAsia"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1/zBz±</w:t>
            </w:r>
            <w:r>
              <w:rPr>
                <w:rFonts w:hint="eastAsia" w:cs="Times New Roman"/>
                <w:color w:val="000000" w:themeColor="text1"/>
                <w:kern w:val="2"/>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mmol/L</w:t>
            </w:r>
          </w:p>
        </w:tc>
        <w:tc>
          <w:tcPr>
            <w:tcW w:w="1127" w:type="pct"/>
            <w:shd w:val="clear" w:color="auto" w:fill="auto"/>
            <w:vAlign w:val="center"/>
          </w:tcPr>
          <w:p w14:paraId="01FCDF34">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x</w:t>
            </w:r>
            <w:r>
              <w:rPr>
                <w:rFonts w:hint="eastAsia"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1/zBz±</w:t>
            </w:r>
            <w:r>
              <w:rPr>
                <w:rFonts w:hint="eastAsia" w:cs="Times New Roman"/>
                <w:color w:val="000000" w:themeColor="text1"/>
                <w:kern w:val="2"/>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bidi="ar"/>
                <w14:textFill>
                  <w14:solidFill>
                    <w14:schemeClr w14:val="tx1"/>
                  </w14:solidFill>
                </w14:textFill>
              </w:rPr>
              <w:t>%</w:t>
            </w:r>
          </w:p>
        </w:tc>
      </w:tr>
      <w:tr w14:paraId="45A1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restart"/>
            <w:shd w:val="clear" w:color="auto" w:fill="auto"/>
            <w:vAlign w:val="center"/>
          </w:tcPr>
          <w:p w14:paraId="0983A4FB">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阳离子</w:t>
            </w:r>
          </w:p>
        </w:tc>
        <w:tc>
          <w:tcPr>
            <w:tcW w:w="958" w:type="pct"/>
            <w:shd w:val="clear" w:color="auto" w:fill="auto"/>
            <w:noWrap/>
            <w:vAlign w:val="center"/>
          </w:tcPr>
          <w:p w14:paraId="1A5CEFFA">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钾</w:t>
            </w:r>
          </w:p>
        </w:tc>
        <w:tc>
          <w:tcPr>
            <w:tcW w:w="958" w:type="pct"/>
            <w:shd w:val="clear" w:color="auto" w:fill="auto"/>
            <w:noWrap/>
            <w:vAlign w:val="center"/>
          </w:tcPr>
          <w:p w14:paraId="30AA046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1</w:t>
            </w:r>
          </w:p>
        </w:tc>
        <w:tc>
          <w:tcPr>
            <w:tcW w:w="1570" w:type="pct"/>
            <w:shd w:val="clear" w:color="auto" w:fill="auto"/>
            <w:noWrap/>
            <w:vAlign w:val="bottom"/>
          </w:tcPr>
          <w:p w14:paraId="05773857">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0.026 </w:t>
            </w:r>
          </w:p>
        </w:tc>
        <w:tc>
          <w:tcPr>
            <w:tcW w:w="1127" w:type="pct"/>
            <w:shd w:val="clear" w:color="auto" w:fill="auto"/>
            <w:noWrap/>
            <w:vAlign w:val="bottom"/>
          </w:tcPr>
          <w:p w14:paraId="49B90412">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0.27 </w:t>
            </w:r>
          </w:p>
        </w:tc>
      </w:tr>
      <w:tr w14:paraId="6375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0DDDF21B">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169DC04A">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钠</w:t>
            </w:r>
          </w:p>
        </w:tc>
        <w:tc>
          <w:tcPr>
            <w:tcW w:w="958" w:type="pct"/>
            <w:shd w:val="clear" w:color="auto" w:fill="auto"/>
            <w:noWrap/>
            <w:vAlign w:val="center"/>
          </w:tcPr>
          <w:p w14:paraId="1EAA28A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164</w:t>
            </w:r>
          </w:p>
        </w:tc>
        <w:tc>
          <w:tcPr>
            <w:tcW w:w="1570" w:type="pct"/>
            <w:shd w:val="clear" w:color="auto" w:fill="auto"/>
            <w:noWrap/>
            <w:vAlign w:val="bottom"/>
          </w:tcPr>
          <w:p w14:paraId="00E665BD">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7.13 </w:t>
            </w:r>
          </w:p>
        </w:tc>
        <w:tc>
          <w:tcPr>
            <w:tcW w:w="1127" w:type="pct"/>
            <w:shd w:val="clear" w:color="auto" w:fill="auto"/>
            <w:noWrap/>
            <w:vAlign w:val="bottom"/>
          </w:tcPr>
          <w:p w14:paraId="21D9B9B0">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shd w:val="clear" w:color="FFFFFF" w:fill="D9D9D9"/>
                <w:lang w:val="en-US" w:eastAsia="zh-CN" w:bidi="ar"/>
                <w14:textFill>
                  <w14:solidFill>
                    <w14:schemeClr w14:val="tx1"/>
                  </w14:solidFill>
                </w14:textFill>
              </w:rPr>
              <w:t xml:space="preserve">74.13 </w:t>
            </w:r>
          </w:p>
        </w:tc>
      </w:tr>
      <w:tr w14:paraId="2C48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53251BE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51AC892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钙</w:t>
            </w:r>
          </w:p>
        </w:tc>
        <w:tc>
          <w:tcPr>
            <w:tcW w:w="958" w:type="pct"/>
            <w:shd w:val="clear" w:color="auto" w:fill="auto"/>
            <w:noWrap/>
            <w:vAlign w:val="center"/>
          </w:tcPr>
          <w:p w14:paraId="785B820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37</w:t>
            </w:r>
          </w:p>
        </w:tc>
        <w:tc>
          <w:tcPr>
            <w:tcW w:w="1570" w:type="pct"/>
            <w:shd w:val="clear" w:color="auto" w:fill="auto"/>
            <w:noWrap/>
            <w:vAlign w:val="bottom"/>
          </w:tcPr>
          <w:p w14:paraId="69977DB6">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1.85 </w:t>
            </w:r>
          </w:p>
        </w:tc>
        <w:tc>
          <w:tcPr>
            <w:tcW w:w="1127" w:type="pct"/>
            <w:shd w:val="clear" w:color="auto" w:fill="auto"/>
            <w:noWrap/>
            <w:vAlign w:val="bottom"/>
          </w:tcPr>
          <w:p w14:paraId="73BE9A09">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19.19 </w:t>
            </w:r>
          </w:p>
        </w:tc>
      </w:tr>
      <w:tr w14:paraId="0B98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636368D8">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77BA1D01">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镁</w:t>
            </w:r>
          </w:p>
        </w:tc>
        <w:tc>
          <w:tcPr>
            <w:tcW w:w="958" w:type="pct"/>
            <w:shd w:val="clear" w:color="auto" w:fill="auto"/>
            <w:noWrap/>
            <w:vAlign w:val="center"/>
          </w:tcPr>
          <w:p w14:paraId="2796F86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7.5</w:t>
            </w:r>
          </w:p>
        </w:tc>
        <w:tc>
          <w:tcPr>
            <w:tcW w:w="1570" w:type="pct"/>
            <w:shd w:val="clear" w:color="auto" w:fill="auto"/>
            <w:noWrap/>
            <w:vAlign w:val="bottom"/>
          </w:tcPr>
          <w:p w14:paraId="65C4AB82">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0.62 </w:t>
            </w:r>
          </w:p>
        </w:tc>
        <w:tc>
          <w:tcPr>
            <w:tcW w:w="1127" w:type="pct"/>
            <w:shd w:val="clear" w:color="auto" w:fill="auto"/>
            <w:noWrap/>
            <w:vAlign w:val="bottom"/>
          </w:tcPr>
          <w:p w14:paraId="44F4927D">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6.41 </w:t>
            </w:r>
          </w:p>
        </w:tc>
      </w:tr>
      <w:tr w14:paraId="2C37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76256C52">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14B97968">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合计</w:t>
            </w:r>
          </w:p>
        </w:tc>
        <w:tc>
          <w:tcPr>
            <w:tcW w:w="958" w:type="pct"/>
            <w:shd w:val="clear" w:color="auto" w:fill="auto"/>
            <w:noWrap/>
            <w:vAlign w:val="bottom"/>
          </w:tcPr>
          <w:p w14:paraId="6932DF46">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209.50 </w:t>
            </w:r>
          </w:p>
        </w:tc>
        <w:tc>
          <w:tcPr>
            <w:tcW w:w="1570" w:type="pct"/>
            <w:shd w:val="clear" w:color="auto" w:fill="auto"/>
            <w:noWrap/>
            <w:vAlign w:val="bottom"/>
          </w:tcPr>
          <w:p w14:paraId="5FAC783D">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9.62 </w:t>
            </w:r>
          </w:p>
        </w:tc>
        <w:tc>
          <w:tcPr>
            <w:tcW w:w="1127" w:type="pct"/>
            <w:shd w:val="clear" w:color="auto" w:fill="auto"/>
            <w:noWrap/>
            <w:vAlign w:val="bottom"/>
          </w:tcPr>
          <w:p w14:paraId="768DA701">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100.00 </w:t>
            </w:r>
          </w:p>
        </w:tc>
      </w:tr>
      <w:tr w14:paraId="1BBE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restart"/>
            <w:shd w:val="clear" w:color="auto" w:fill="auto"/>
            <w:vAlign w:val="center"/>
          </w:tcPr>
          <w:p w14:paraId="23D3AEA9">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阴离子</w:t>
            </w:r>
          </w:p>
        </w:tc>
        <w:tc>
          <w:tcPr>
            <w:tcW w:w="958" w:type="pct"/>
            <w:shd w:val="clear" w:color="auto" w:fill="auto"/>
            <w:noWrap/>
            <w:vAlign w:val="center"/>
          </w:tcPr>
          <w:p w14:paraId="0AE056CD">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碳酸氢根</w:t>
            </w:r>
          </w:p>
        </w:tc>
        <w:tc>
          <w:tcPr>
            <w:tcW w:w="958" w:type="pct"/>
            <w:shd w:val="clear" w:color="auto" w:fill="auto"/>
            <w:noWrap/>
            <w:vAlign w:val="center"/>
          </w:tcPr>
          <w:p w14:paraId="22A6CF6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15</w:t>
            </w:r>
          </w:p>
        </w:tc>
        <w:tc>
          <w:tcPr>
            <w:tcW w:w="1570" w:type="pct"/>
            <w:shd w:val="clear" w:color="auto" w:fill="auto"/>
            <w:noWrap/>
            <w:vAlign w:val="bottom"/>
          </w:tcPr>
          <w:p w14:paraId="74708114">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0.25 </w:t>
            </w:r>
          </w:p>
        </w:tc>
        <w:tc>
          <w:tcPr>
            <w:tcW w:w="1127" w:type="pct"/>
            <w:shd w:val="clear" w:color="auto" w:fill="auto"/>
            <w:noWrap/>
            <w:vAlign w:val="bottom"/>
          </w:tcPr>
          <w:p w14:paraId="1B14DF78">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3.12 </w:t>
            </w:r>
          </w:p>
        </w:tc>
      </w:tr>
      <w:tr w14:paraId="2010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70A27697">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23AC823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氯化物</w:t>
            </w:r>
          </w:p>
        </w:tc>
        <w:tc>
          <w:tcPr>
            <w:tcW w:w="958" w:type="pct"/>
            <w:shd w:val="clear" w:color="auto" w:fill="auto"/>
            <w:noWrap/>
            <w:vAlign w:val="center"/>
          </w:tcPr>
          <w:p w14:paraId="1256B8A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247</w:t>
            </w:r>
          </w:p>
        </w:tc>
        <w:tc>
          <w:tcPr>
            <w:tcW w:w="1570" w:type="pct"/>
            <w:shd w:val="clear" w:color="auto" w:fill="auto"/>
            <w:noWrap/>
            <w:vAlign w:val="bottom"/>
          </w:tcPr>
          <w:p w14:paraId="23F66B55">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6.97 </w:t>
            </w:r>
          </w:p>
        </w:tc>
        <w:tc>
          <w:tcPr>
            <w:tcW w:w="1127" w:type="pct"/>
            <w:shd w:val="clear" w:color="auto" w:fill="auto"/>
            <w:noWrap/>
            <w:vAlign w:val="bottom"/>
          </w:tcPr>
          <w:p w14:paraId="3F806A1B">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shd w:val="clear" w:color="FFFFFF" w:fill="D9D9D9"/>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shd w:val="clear" w:color="FFFFFF" w:fill="D9D9D9"/>
                <w:lang w:val="en-US" w:eastAsia="zh-CN" w:bidi="ar"/>
                <w14:textFill>
                  <w14:solidFill>
                    <w14:schemeClr w14:val="tx1"/>
                  </w14:solidFill>
                </w14:textFill>
              </w:rPr>
              <w:t xml:space="preserve">88.42 </w:t>
            </w:r>
          </w:p>
        </w:tc>
      </w:tr>
      <w:tr w14:paraId="5016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250D421C">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08ADF71B">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硫酸盐</w:t>
            </w:r>
          </w:p>
        </w:tc>
        <w:tc>
          <w:tcPr>
            <w:tcW w:w="958" w:type="pct"/>
            <w:shd w:val="clear" w:color="auto" w:fill="auto"/>
            <w:noWrap/>
            <w:vAlign w:val="center"/>
          </w:tcPr>
          <w:p w14:paraId="1DAB01C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32</w:t>
            </w:r>
          </w:p>
        </w:tc>
        <w:tc>
          <w:tcPr>
            <w:tcW w:w="1570" w:type="pct"/>
            <w:shd w:val="clear" w:color="auto" w:fill="auto"/>
            <w:noWrap/>
            <w:vAlign w:val="bottom"/>
          </w:tcPr>
          <w:p w14:paraId="44709759">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0.67 </w:t>
            </w:r>
          </w:p>
        </w:tc>
        <w:tc>
          <w:tcPr>
            <w:tcW w:w="1127" w:type="pct"/>
            <w:shd w:val="clear" w:color="auto" w:fill="auto"/>
            <w:noWrap/>
            <w:vAlign w:val="bottom"/>
          </w:tcPr>
          <w:p w14:paraId="2E6AF990">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shd w:val="clear" w:color="FFFFFF" w:fill="D9D9D9"/>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8.46 </w:t>
            </w:r>
          </w:p>
        </w:tc>
      </w:tr>
      <w:tr w14:paraId="7487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03488F28">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11A8A17D">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碳酸根</w:t>
            </w:r>
          </w:p>
        </w:tc>
        <w:tc>
          <w:tcPr>
            <w:tcW w:w="958" w:type="pct"/>
            <w:shd w:val="clear" w:color="auto" w:fill="auto"/>
            <w:noWrap/>
            <w:vAlign w:val="center"/>
          </w:tcPr>
          <w:p w14:paraId="3D90456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0</w:t>
            </w:r>
          </w:p>
        </w:tc>
        <w:tc>
          <w:tcPr>
            <w:tcW w:w="1570" w:type="pct"/>
            <w:shd w:val="clear" w:color="auto" w:fill="auto"/>
            <w:noWrap/>
            <w:vAlign w:val="bottom"/>
          </w:tcPr>
          <w:p w14:paraId="62C41593">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0.00 </w:t>
            </w:r>
          </w:p>
        </w:tc>
        <w:tc>
          <w:tcPr>
            <w:tcW w:w="1127" w:type="pct"/>
            <w:shd w:val="clear" w:color="auto" w:fill="auto"/>
            <w:noWrap/>
            <w:vAlign w:val="bottom"/>
          </w:tcPr>
          <w:p w14:paraId="177CA456">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0.00 </w:t>
            </w:r>
          </w:p>
        </w:tc>
      </w:tr>
      <w:tr w14:paraId="02FC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5" w:type="pct"/>
            <w:vMerge w:val="continue"/>
            <w:shd w:val="clear" w:color="auto" w:fill="auto"/>
            <w:vAlign w:val="center"/>
          </w:tcPr>
          <w:p w14:paraId="2E35F7DF">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958" w:type="pct"/>
            <w:shd w:val="clear" w:color="auto" w:fill="auto"/>
            <w:noWrap/>
            <w:vAlign w:val="center"/>
          </w:tcPr>
          <w:p w14:paraId="677303BF">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合计</w:t>
            </w:r>
          </w:p>
        </w:tc>
        <w:tc>
          <w:tcPr>
            <w:tcW w:w="958" w:type="pct"/>
            <w:shd w:val="clear" w:color="auto" w:fill="auto"/>
            <w:noWrap/>
            <w:vAlign w:val="bottom"/>
          </w:tcPr>
          <w:p w14:paraId="0B13A4DE">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294.00 </w:t>
            </w:r>
          </w:p>
        </w:tc>
        <w:tc>
          <w:tcPr>
            <w:tcW w:w="1570" w:type="pct"/>
            <w:shd w:val="clear" w:color="auto" w:fill="auto"/>
            <w:noWrap/>
            <w:vAlign w:val="bottom"/>
          </w:tcPr>
          <w:p w14:paraId="0BA897F7">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7.88 </w:t>
            </w:r>
          </w:p>
        </w:tc>
        <w:tc>
          <w:tcPr>
            <w:tcW w:w="1127" w:type="pct"/>
            <w:shd w:val="clear" w:color="auto" w:fill="auto"/>
            <w:noWrap/>
            <w:vAlign w:val="bottom"/>
          </w:tcPr>
          <w:p w14:paraId="5DDAA4DD">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 xml:space="preserve">100.00 </w:t>
            </w:r>
          </w:p>
        </w:tc>
      </w:tr>
    </w:tbl>
    <w:p w14:paraId="26D0283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44" w:name="_Ref272098635"/>
      <w:r>
        <w:rPr>
          <w:rFonts w:hint="default" w:ascii="Times New Roman" w:hAnsi="Times New Roman" w:eastAsia="宋体" w:cs="Times New Roman"/>
          <w:color w:val="000000" w:themeColor="text1"/>
          <w:sz w:val="24"/>
          <w:szCs w:val="24"/>
          <w:highlight w:val="none"/>
          <w14:textFill>
            <w14:solidFill>
              <w14:schemeClr w14:val="tx1"/>
            </w14:solidFill>
          </w14:textFill>
        </w:rPr>
        <w:t>根据地下水离子检测结果，评价区地下水阴离子以Cl-为主，阳离子以Na+为主，水化学类型主要以Cl-Na型为主。</w:t>
      </w:r>
    </w:p>
    <w:p w14:paraId="1AA2E22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②地下水质量现状监测与评价</w:t>
      </w:r>
    </w:p>
    <w:bookmarkEnd w:id="844"/>
    <w:p w14:paraId="1D4C08AE">
      <w:pPr>
        <w:pStyle w:val="27"/>
        <w:jc w:val="center"/>
        <w:rPr>
          <w:rFonts w:hint="eastAsia"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表4.3-4   地下水水质现状监测及评价结果一览表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8"/>
        <w:gridCol w:w="690"/>
        <w:gridCol w:w="680"/>
        <w:gridCol w:w="735"/>
        <w:gridCol w:w="735"/>
        <w:gridCol w:w="735"/>
        <w:gridCol w:w="735"/>
        <w:gridCol w:w="735"/>
        <w:gridCol w:w="735"/>
        <w:gridCol w:w="735"/>
        <w:gridCol w:w="735"/>
        <w:gridCol w:w="784"/>
      </w:tblGrid>
      <w:tr w14:paraId="7390DF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vMerge w:val="restart"/>
            <w:tcBorders>
              <w:top w:val="single" w:color="auto" w:sz="4" w:space="0"/>
              <w:left w:val="single" w:color="auto" w:sz="4" w:space="0"/>
              <w:right w:val="single" w:color="auto" w:sz="4" w:space="0"/>
            </w:tcBorders>
            <w:noWrap/>
            <w:vAlign w:val="center"/>
          </w:tcPr>
          <w:p w14:paraId="76FE6F2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序号</w:t>
            </w:r>
          </w:p>
        </w:tc>
        <w:tc>
          <w:tcPr>
            <w:tcW w:w="404" w:type="pct"/>
            <w:vMerge w:val="restart"/>
            <w:tcBorders>
              <w:top w:val="single" w:color="auto" w:sz="4" w:space="0"/>
              <w:left w:val="single" w:color="auto" w:sz="4" w:space="0"/>
              <w:bottom w:val="single" w:color="auto" w:sz="4" w:space="0"/>
              <w:right w:val="single" w:color="auto" w:sz="4" w:space="0"/>
            </w:tcBorders>
            <w:noWrap/>
            <w:vAlign w:val="center"/>
          </w:tcPr>
          <w:p w14:paraId="2152B8A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检测项目</w:t>
            </w:r>
          </w:p>
        </w:tc>
        <w:tc>
          <w:tcPr>
            <w:tcW w:w="398" w:type="pct"/>
            <w:vMerge w:val="restart"/>
            <w:tcBorders>
              <w:top w:val="single" w:color="auto" w:sz="4" w:space="0"/>
              <w:left w:val="nil"/>
              <w:bottom w:val="single" w:color="auto" w:sz="4" w:space="0"/>
              <w:right w:val="single" w:color="auto" w:sz="4" w:space="0"/>
            </w:tcBorders>
            <w:noWrap/>
            <w:vAlign w:val="center"/>
          </w:tcPr>
          <w:p w14:paraId="50F7240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单位</w:t>
            </w:r>
          </w:p>
        </w:tc>
        <w:tc>
          <w:tcPr>
            <w:tcW w:w="3449" w:type="pct"/>
            <w:gridSpan w:val="8"/>
            <w:tcBorders>
              <w:top w:val="single" w:color="auto" w:sz="4" w:space="0"/>
              <w:left w:val="nil"/>
              <w:bottom w:val="single" w:color="auto" w:sz="4" w:space="0"/>
              <w:right w:val="single" w:color="auto" w:sz="4" w:space="0"/>
            </w:tcBorders>
            <w:vAlign w:val="center"/>
          </w:tcPr>
          <w:p w14:paraId="7E603DE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监测及评价结果</w:t>
            </w:r>
          </w:p>
        </w:tc>
        <w:tc>
          <w:tcPr>
            <w:tcW w:w="459" w:type="pct"/>
            <w:vMerge w:val="restart"/>
            <w:tcBorders>
              <w:top w:val="single" w:color="auto" w:sz="4" w:space="0"/>
              <w:left w:val="nil"/>
              <w:bottom w:val="single" w:color="auto" w:sz="4" w:space="0"/>
              <w:right w:val="single" w:color="auto" w:sz="4" w:space="0"/>
            </w:tcBorders>
            <w:vAlign w:val="center"/>
          </w:tcPr>
          <w:p w14:paraId="50150CF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标准限值（</w:t>
            </w:r>
            <w:r>
              <w:rPr>
                <w:rFonts w:hint="eastAsia"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Ⅲ类</w:t>
            </w: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w:t>
            </w:r>
          </w:p>
        </w:tc>
      </w:tr>
      <w:tr w14:paraId="737734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86" w:type="pct"/>
            <w:vMerge w:val="continue"/>
            <w:tcBorders>
              <w:left w:val="single" w:color="auto" w:sz="4" w:space="0"/>
              <w:right w:val="single" w:color="auto" w:sz="4" w:space="0"/>
            </w:tcBorders>
            <w:vAlign w:val="center"/>
          </w:tcPr>
          <w:p w14:paraId="1B486045">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4" w:type="pct"/>
            <w:vMerge w:val="continue"/>
            <w:tcBorders>
              <w:top w:val="single" w:color="auto" w:sz="4" w:space="0"/>
              <w:left w:val="single" w:color="auto" w:sz="4" w:space="0"/>
              <w:bottom w:val="single" w:color="auto" w:sz="4" w:space="0"/>
              <w:right w:val="single" w:color="auto" w:sz="4" w:space="0"/>
            </w:tcBorders>
            <w:vAlign w:val="center"/>
          </w:tcPr>
          <w:p w14:paraId="58B05AB4">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98" w:type="pct"/>
            <w:vMerge w:val="continue"/>
            <w:tcBorders>
              <w:top w:val="single" w:color="auto" w:sz="4" w:space="0"/>
              <w:left w:val="nil"/>
              <w:bottom w:val="single" w:color="auto" w:sz="4" w:space="0"/>
              <w:right w:val="single" w:color="auto" w:sz="4" w:space="0"/>
            </w:tcBorders>
            <w:vAlign w:val="center"/>
          </w:tcPr>
          <w:p w14:paraId="68239BC3">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62" w:type="pct"/>
            <w:gridSpan w:val="2"/>
            <w:tcBorders>
              <w:top w:val="single" w:color="auto" w:sz="4" w:space="0"/>
              <w:left w:val="nil"/>
              <w:bottom w:val="single" w:color="auto" w:sz="4" w:space="0"/>
              <w:right w:val="single" w:color="auto" w:sz="4" w:space="0"/>
            </w:tcBorders>
            <w:noWrap/>
            <w:vAlign w:val="center"/>
          </w:tcPr>
          <w:p w14:paraId="08EFE1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项目区上游</w:t>
            </w:r>
          </w:p>
        </w:tc>
        <w:tc>
          <w:tcPr>
            <w:tcW w:w="862" w:type="pct"/>
            <w:gridSpan w:val="2"/>
            <w:tcBorders>
              <w:top w:val="single" w:color="auto" w:sz="4" w:space="0"/>
              <w:left w:val="nil"/>
              <w:bottom w:val="single" w:color="auto" w:sz="4" w:space="0"/>
              <w:right w:val="single" w:color="auto" w:sz="4" w:space="0"/>
            </w:tcBorders>
            <w:noWrap/>
            <w:vAlign w:val="center"/>
          </w:tcPr>
          <w:p w14:paraId="12405C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项目区附近</w:t>
            </w:r>
          </w:p>
        </w:tc>
        <w:tc>
          <w:tcPr>
            <w:tcW w:w="862" w:type="pct"/>
            <w:gridSpan w:val="2"/>
            <w:tcBorders>
              <w:top w:val="single" w:color="auto" w:sz="4" w:space="0"/>
              <w:left w:val="nil"/>
              <w:bottom w:val="single" w:color="auto" w:sz="4" w:space="0"/>
              <w:right w:val="single" w:color="auto" w:sz="4" w:space="0"/>
            </w:tcBorders>
            <w:noWrap/>
            <w:vAlign w:val="center"/>
          </w:tcPr>
          <w:p w14:paraId="101FF4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项目区下游</w:t>
            </w:r>
          </w:p>
        </w:tc>
        <w:tc>
          <w:tcPr>
            <w:tcW w:w="862" w:type="pct"/>
            <w:gridSpan w:val="2"/>
            <w:tcBorders>
              <w:top w:val="single" w:color="auto" w:sz="4" w:space="0"/>
              <w:left w:val="nil"/>
              <w:bottom w:val="single" w:color="auto" w:sz="4" w:space="0"/>
              <w:right w:val="single" w:color="auto" w:sz="4" w:space="0"/>
            </w:tcBorders>
            <w:vAlign w:val="center"/>
          </w:tcPr>
          <w:p w14:paraId="2217BE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承压水井</w:t>
            </w:r>
          </w:p>
        </w:tc>
        <w:tc>
          <w:tcPr>
            <w:tcW w:w="459" w:type="pct"/>
            <w:vMerge w:val="continue"/>
            <w:tcBorders>
              <w:top w:val="single" w:color="auto" w:sz="4" w:space="0"/>
              <w:left w:val="nil"/>
              <w:bottom w:val="single" w:color="auto" w:sz="4" w:space="0"/>
              <w:right w:val="single" w:color="auto" w:sz="4" w:space="0"/>
            </w:tcBorders>
            <w:vAlign w:val="center"/>
          </w:tcPr>
          <w:p w14:paraId="2D166EA2">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30DE7F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vMerge w:val="continue"/>
            <w:tcBorders>
              <w:left w:val="single" w:color="auto" w:sz="4" w:space="0"/>
              <w:bottom w:val="single" w:color="auto" w:sz="4" w:space="0"/>
              <w:right w:val="single" w:color="auto" w:sz="4" w:space="0"/>
            </w:tcBorders>
            <w:vAlign w:val="center"/>
          </w:tcPr>
          <w:p w14:paraId="0CBCB194">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04" w:type="pct"/>
            <w:vMerge w:val="continue"/>
            <w:tcBorders>
              <w:top w:val="single" w:color="auto" w:sz="4" w:space="0"/>
              <w:left w:val="single" w:color="auto" w:sz="4" w:space="0"/>
              <w:bottom w:val="single" w:color="auto" w:sz="4" w:space="0"/>
              <w:right w:val="single" w:color="auto" w:sz="4" w:space="0"/>
            </w:tcBorders>
            <w:vAlign w:val="center"/>
          </w:tcPr>
          <w:p w14:paraId="6223606B">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98" w:type="pct"/>
            <w:vMerge w:val="continue"/>
            <w:tcBorders>
              <w:top w:val="single" w:color="auto" w:sz="4" w:space="0"/>
              <w:left w:val="nil"/>
              <w:bottom w:val="single" w:color="auto" w:sz="4" w:space="0"/>
              <w:right w:val="single" w:color="auto" w:sz="4" w:space="0"/>
            </w:tcBorders>
            <w:vAlign w:val="center"/>
          </w:tcPr>
          <w:p w14:paraId="0A65DDB5">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31" w:type="pct"/>
            <w:tcBorders>
              <w:top w:val="single" w:color="auto" w:sz="4" w:space="0"/>
              <w:left w:val="nil"/>
              <w:bottom w:val="single" w:color="auto" w:sz="4" w:space="0"/>
              <w:right w:val="single" w:color="auto" w:sz="4" w:space="0"/>
            </w:tcBorders>
            <w:noWrap/>
            <w:vAlign w:val="center"/>
          </w:tcPr>
          <w:p w14:paraId="56F6F15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监测值</w:t>
            </w:r>
          </w:p>
        </w:tc>
        <w:tc>
          <w:tcPr>
            <w:tcW w:w="431" w:type="pct"/>
            <w:tcBorders>
              <w:top w:val="single" w:color="auto" w:sz="4" w:space="0"/>
              <w:left w:val="nil"/>
              <w:bottom w:val="single" w:color="auto" w:sz="4" w:space="0"/>
              <w:right w:val="single" w:color="auto" w:sz="4" w:space="0"/>
            </w:tcBorders>
            <w:noWrap/>
            <w:vAlign w:val="center"/>
          </w:tcPr>
          <w:p w14:paraId="117B8F9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标准指数</w:t>
            </w:r>
          </w:p>
        </w:tc>
        <w:tc>
          <w:tcPr>
            <w:tcW w:w="431" w:type="pct"/>
            <w:tcBorders>
              <w:top w:val="single" w:color="auto" w:sz="4" w:space="0"/>
              <w:left w:val="nil"/>
              <w:bottom w:val="single" w:color="auto" w:sz="4" w:space="0"/>
              <w:right w:val="single" w:color="auto" w:sz="4" w:space="0"/>
            </w:tcBorders>
            <w:noWrap/>
            <w:vAlign w:val="center"/>
          </w:tcPr>
          <w:p w14:paraId="06CB0E8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监测值</w:t>
            </w:r>
          </w:p>
        </w:tc>
        <w:tc>
          <w:tcPr>
            <w:tcW w:w="431" w:type="pct"/>
            <w:tcBorders>
              <w:top w:val="single" w:color="auto" w:sz="4" w:space="0"/>
              <w:left w:val="nil"/>
              <w:bottom w:val="single" w:color="auto" w:sz="4" w:space="0"/>
              <w:right w:val="single" w:color="auto" w:sz="4" w:space="0"/>
            </w:tcBorders>
            <w:noWrap/>
            <w:vAlign w:val="center"/>
          </w:tcPr>
          <w:p w14:paraId="4C6D9F2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标准指数</w:t>
            </w:r>
          </w:p>
        </w:tc>
        <w:tc>
          <w:tcPr>
            <w:tcW w:w="431" w:type="pct"/>
            <w:tcBorders>
              <w:top w:val="single" w:color="auto" w:sz="4" w:space="0"/>
              <w:left w:val="nil"/>
              <w:bottom w:val="single" w:color="auto" w:sz="4" w:space="0"/>
              <w:right w:val="single" w:color="auto" w:sz="4" w:space="0"/>
            </w:tcBorders>
            <w:noWrap/>
            <w:vAlign w:val="center"/>
          </w:tcPr>
          <w:p w14:paraId="510E2EA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监测值</w:t>
            </w:r>
          </w:p>
        </w:tc>
        <w:tc>
          <w:tcPr>
            <w:tcW w:w="431" w:type="pct"/>
            <w:tcBorders>
              <w:top w:val="single" w:color="auto" w:sz="4" w:space="0"/>
              <w:left w:val="nil"/>
              <w:bottom w:val="single" w:color="auto" w:sz="4" w:space="0"/>
              <w:right w:val="single" w:color="auto" w:sz="4" w:space="0"/>
            </w:tcBorders>
            <w:noWrap/>
            <w:vAlign w:val="center"/>
          </w:tcPr>
          <w:p w14:paraId="7EE60C5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标准指数</w:t>
            </w:r>
          </w:p>
        </w:tc>
        <w:tc>
          <w:tcPr>
            <w:tcW w:w="431" w:type="pct"/>
            <w:tcBorders>
              <w:top w:val="single" w:color="auto" w:sz="4" w:space="0"/>
              <w:left w:val="nil"/>
              <w:bottom w:val="single" w:color="auto" w:sz="4" w:space="0"/>
              <w:right w:val="single" w:color="auto" w:sz="4" w:space="0"/>
            </w:tcBorders>
            <w:shd w:val="clear" w:color="auto" w:fill="auto"/>
            <w:vAlign w:val="center"/>
          </w:tcPr>
          <w:p w14:paraId="65D7853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监测值</w:t>
            </w:r>
          </w:p>
        </w:tc>
        <w:tc>
          <w:tcPr>
            <w:tcW w:w="431" w:type="pct"/>
            <w:tcBorders>
              <w:top w:val="single" w:color="auto" w:sz="4" w:space="0"/>
              <w:left w:val="nil"/>
              <w:bottom w:val="single" w:color="auto" w:sz="4" w:space="0"/>
              <w:right w:val="single" w:color="auto" w:sz="4" w:space="0"/>
            </w:tcBorders>
            <w:shd w:val="clear" w:color="auto" w:fill="auto"/>
            <w:vAlign w:val="center"/>
          </w:tcPr>
          <w:p w14:paraId="7B875B8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标准指数</w:t>
            </w:r>
          </w:p>
        </w:tc>
        <w:tc>
          <w:tcPr>
            <w:tcW w:w="459" w:type="pct"/>
            <w:vMerge w:val="continue"/>
            <w:tcBorders>
              <w:top w:val="single" w:color="auto" w:sz="4" w:space="0"/>
              <w:left w:val="nil"/>
              <w:bottom w:val="single" w:color="auto" w:sz="4" w:space="0"/>
              <w:right w:val="single" w:color="auto" w:sz="4" w:space="0"/>
            </w:tcBorders>
            <w:vAlign w:val="center"/>
          </w:tcPr>
          <w:p w14:paraId="50F85270">
            <w:pPr>
              <w:keepNext w:val="0"/>
              <w:keepLines w:val="0"/>
              <w:pageBreakBefore w:val="0"/>
              <w:widowControl/>
              <w:kinsoku/>
              <w:wordWrap/>
              <w:overflowPunct/>
              <w:topLinePunct w:val="0"/>
              <w:autoSpaceDN/>
              <w:bidi w:val="0"/>
              <w:adjustRightInd/>
              <w:snapToGrid/>
              <w:spacing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14:paraId="5A0183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560CFBD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404" w:type="pct"/>
            <w:tcBorders>
              <w:top w:val="single" w:color="auto" w:sz="4" w:space="0"/>
              <w:left w:val="single" w:color="auto" w:sz="4" w:space="0"/>
              <w:bottom w:val="single" w:color="auto" w:sz="4" w:space="0"/>
              <w:right w:val="single" w:color="auto" w:sz="4" w:space="0"/>
            </w:tcBorders>
            <w:noWrap/>
            <w:vAlign w:val="center"/>
          </w:tcPr>
          <w:p w14:paraId="27031C9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pH值</w:t>
            </w:r>
          </w:p>
        </w:tc>
        <w:tc>
          <w:tcPr>
            <w:tcW w:w="398" w:type="pct"/>
            <w:tcBorders>
              <w:top w:val="single" w:color="auto" w:sz="4" w:space="0"/>
              <w:left w:val="nil"/>
              <w:bottom w:val="single" w:color="auto" w:sz="4" w:space="0"/>
              <w:right w:val="single" w:color="auto" w:sz="4" w:space="0"/>
            </w:tcBorders>
            <w:noWrap/>
            <w:vAlign w:val="center"/>
          </w:tcPr>
          <w:p w14:paraId="13DE634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无量纲</w:t>
            </w:r>
          </w:p>
        </w:tc>
        <w:tc>
          <w:tcPr>
            <w:tcW w:w="431" w:type="pct"/>
            <w:tcBorders>
              <w:top w:val="single" w:color="auto" w:sz="4" w:space="0"/>
              <w:left w:val="nil"/>
              <w:bottom w:val="single" w:color="auto" w:sz="4" w:space="0"/>
              <w:right w:val="single" w:color="auto" w:sz="4" w:space="0"/>
            </w:tcBorders>
            <w:noWrap/>
            <w:vAlign w:val="center"/>
          </w:tcPr>
          <w:p w14:paraId="1B1295A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7.3</w:t>
            </w:r>
          </w:p>
        </w:tc>
        <w:tc>
          <w:tcPr>
            <w:tcW w:w="431" w:type="pct"/>
            <w:tcBorders>
              <w:top w:val="single" w:color="auto" w:sz="4" w:space="0"/>
              <w:left w:val="nil"/>
              <w:bottom w:val="single" w:color="auto" w:sz="4" w:space="0"/>
              <w:right w:val="single" w:color="auto" w:sz="4" w:space="0"/>
            </w:tcBorders>
            <w:vAlign w:val="center"/>
          </w:tcPr>
          <w:p w14:paraId="54F843F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0.20</w:t>
            </w:r>
          </w:p>
        </w:tc>
        <w:tc>
          <w:tcPr>
            <w:tcW w:w="431" w:type="pct"/>
            <w:tcBorders>
              <w:top w:val="single" w:color="auto" w:sz="4" w:space="0"/>
              <w:left w:val="nil"/>
              <w:bottom w:val="single" w:color="auto" w:sz="4" w:space="0"/>
              <w:right w:val="single" w:color="auto" w:sz="4" w:space="0"/>
            </w:tcBorders>
            <w:noWrap/>
            <w:vAlign w:val="center"/>
          </w:tcPr>
          <w:p w14:paraId="1BEBDA7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6.9</w:t>
            </w:r>
          </w:p>
        </w:tc>
        <w:tc>
          <w:tcPr>
            <w:tcW w:w="431" w:type="pct"/>
            <w:tcBorders>
              <w:top w:val="single" w:color="auto" w:sz="4" w:space="0"/>
              <w:left w:val="nil"/>
              <w:bottom w:val="single" w:color="auto" w:sz="4" w:space="0"/>
              <w:right w:val="single" w:color="auto" w:sz="4" w:space="0"/>
            </w:tcBorders>
            <w:vAlign w:val="center"/>
          </w:tcPr>
          <w:p w14:paraId="24AC19C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0.20</w:t>
            </w:r>
          </w:p>
        </w:tc>
        <w:tc>
          <w:tcPr>
            <w:tcW w:w="431" w:type="pct"/>
            <w:tcBorders>
              <w:top w:val="single" w:color="auto" w:sz="4" w:space="0"/>
              <w:left w:val="nil"/>
              <w:bottom w:val="single" w:color="auto" w:sz="4" w:space="0"/>
              <w:right w:val="single" w:color="auto" w:sz="4" w:space="0"/>
            </w:tcBorders>
            <w:noWrap/>
            <w:vAlign w:val="center"/>
          </w:tcPr>
          <w:p w14:paraId="7019401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6.8</w:t>
            </w:r>
          </w:p>
        </w:tc>
        <w:tc>
          <w:tcPr>
            <w:tcW w:w="431" w:type="pct"/>
            <w:tcBorders>
              <w:top w:val="single" w:color="auto" w:sz="4" w:space="0"/>
              <w:left w:val="nil"/>
              <w:bottom w:val="single" w:color="auto" w:sz="4" w:space="0"/>
              <w:right w:val="single" w:color="auto" w:sz="4" w:space="0"/>
            </w:tcBorders>
            <w:noWrap/>
            <w:vAlign w:val="center"/>
          </w:tcPr>
          <w:p w14:paraId="718C7F9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w:t>
            </w:r>
          </w:p>
        </w:tc>
        <w:tc>
          <w:tcPr>
            <w:tcW w:w="431" w:type="pct"/>
            <w:tcBorders>
              <w:top w:val="single" w:color="auto" w:sz="4" w:space="0"/>
              <w:left w:val="nil"/>
              <w:bottom w:val="single" w:color="auto" w:sz="4" w:space="0"/>
              <w:right w:val="single" w:color="auto" w:sz="4" w:space="0"/>
            </w:tcBorders>
            <w:noWrap/>
            <w:vAlign w:val="center"/>
          </w:tcPr>
          <w:p w14:paraId="37A5C65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431" w:type="pct"/>
            <w:tcBorders>
              <w:top w:val="single" w:color="auto" w:sz="4" w:space="0"/>
              <w:left w:val="nil"/>
              <w:bottom w:val="single" w:color="auto" w:sz="4" w:space="0"/>
              <w:right w:val="single" w:color="auto" w:sz="4" w:space="0"/>
            </w:tcBorders>
            <w:noWrap/>
            <w:vAlign w:val="center"/>
          </w:tcPr>
          <w:p w14:paraId="6179F7F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w:t>
            </w:r>
          </w:p>
        </w:tc>
        <w:tc>
          <w:tcPr>
            <w:tcW w:w="459" w:type="pct"/>
            <w:tcBorders>
              <w:top w:val="single" w:color="auto" w:sz="4" w:space="0"/>
              <w:left w:val="nil"/>
              <w:bottom w:val="single" w:color="auto" w:sz="4" w:space="0"/>
              <w:right w:val="single" w:color="auto" w:sz="4" w:space="0"/>
            </w:tcBorders>
            <w:noWrap/>
            <w:vAlign w:val="center"/>
          </w:tcPr>
          <w:p w14:paraId="6E65A62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6.5~8.5</w:t>
            </w:r>
          </w:p>
        </w:tc>
      </w:tr>
      <w:tr w14:paraId="1D3C33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41C505A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04" w:type="pct"/>
            <w:tcBorders>
              <w:top w:val="single" w:color="auto" w:sz="4" w:space="0"/>
              <w:left w:val="single" w:color="auto" w:sz="4" w:space="0"/>
              <w:bottom w:val="single" w:color="auto" w:sz="4" w:space="0"/>
              <w:right w:val="single" w:color="auto" w:sz="4" w:space="0"/>
            </w:tcBorders>
            <w:noWrap/>
            <w:vAlign w:val="center"/>
          </w:tcPr>
          <w:p w14:paraId="7C810D8E">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398" w:type="pct"/>
            <w:tcBorders>
              <w:top w:val="single" w:color="auto" w:sz="4" w:space="0"/>
              <w:left w:val="nil"/>
              <w:bottom w:val="single" w:color="auto" w:sz="4" w:space="0"/>
              <w:right w:val="single" w:color="auto" w:sz="4" w:space="0"/>
            </w:tcBorders>
            <w:noWrap/>
            <w:vAlign w:val="center"/>
          </w:tcPr>
          <w:p w14:paraId="0F360A4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5978D33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0.296</w:t>
            </w:r>
          </w:p>
        </w:tc>
        <w:tc>
          <w:tcPr>
            <w:tcW w:w="431" w:type="pct"/>
            <w:tcBorders>
              <w:top w:val="single" w:color="auto" w:sz="4" w:space="0"/>
              <w:left w:val="nil"/>
              <w:bottom w:val="single" w:color="auto" w:sz="4" w:space="0"/>
              <w:right w:val="single" w:color="auto" w:sz="4" w:space="0"/>
            </w:tcBorders>
            <w:vAlign w:val="center"/>
          </w:tcPr>
          <w:p w14:paraId="0E64688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0.592</w:t>
            </w:r>
          </w:p>
        </w:tc>
        <w:tc>
          <w:tcPr>
            <w:tcW w:w="431" w:type="pct"/>
            <w:tcBorders>
              <w:top w:val="single" w:color="auto" w:sz="4" w:space="0"/>
              <w:left w:val="nil"/>
              <w:bottom w:val="single" w:color="auto" w:sz="4" w:space="0"/>
              <w:right w:val="single" w:color="auto" w:sz="4" w:space="0"/>
            </w:tcBorders>
            <w:noWrap/>
            <w:vAlign w:val="center"/>
          </w:tcPr>
          <w:p w14:paraId="6E73A94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0.277</w:t>
            </w:r>
          </w:p>
        </w:tc>
        <w:tc>
          <w:tcPr>
            <w:tcW w:w="431" w:type="pct"/>
            <w:tcBorders>
              <w:top w:val="single" w:color="auto" w:sz="4" w:space="0"/>
              <w:left w:val="nil"/>
              <w:bottom w:val="single" w:color="auto" w:sz="4" w:space="0"/>
              <w:right w:val="single" w:color="auto" w:sz="4" w:space="0"/>
            </w:tcBorders>
            <w:vAlign w:val="center"/>
          </w:tcPr>
          <w:p w14:paraId="24270A2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0.554</w:t>
            </w:r>
          </w:p>
        </w:tc>
        <w:tc>
          <w:tcPr>
            <w:tcW w:w="431" w:type="pct"/>
            <w:tcBorders>
              <w:top w:val="single" w:color="auto" w:sz="4" w:space="0"/>
              <w:left w:val="nil"/>
              <w:bottom w:val="single" w:color="auto" w:sz="4" w:space="0"/>
              <w:right w:val="single" w:color="auto" w:sz="4" w:space="0"/>
            </w:tcBorders>
            <w:noWrap/>
            <w:vAlign w:val="center"/>
          </w:tcPr>
          <w:p w14:paraId="2BC68E6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0.253</w:t>
            </w:r>
          </w:p>
        </w:tc>
        <w:tc>
          <w:tcPr>
            <w:tcW w:w="431" w:type="pct"/>
            <w:tcBorders>
              <w:top w:val="single" w:color="auto" w:sz="4" w:space="0"/>
              <w:left w:val="nil"/>
              <w:bottom w:val="single" w:color="auto" w:sz="4" w:space="0"/>
              <w:right w:val="single" w:color="auto" w:sz="4" w:space="0"/>
            </w:tcBorders>
            <w:noWrap/>
            <w:vAlign w:val="center"/>
          </w:tcPr>
          <w:p w14:paraId="527BEC6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0.506</w:t>
            </w:r>
          </w:p>
        </w:tc>
        <w:tc>
          <w:tcPr>
            <w:tcW w:w="431" w:type="pct"/>
            <w:tcBorders>
              <w:top w:val="single" w:color="auto" w:sz="4" w:space="0"/>
              <w:left w:val="nil"/>
              <w:bottom w:val="single" w:color="auto" w:sz="4" w:space="0"/>
              <w:right w:val="single" w:color="auto" w:sz="4" w:space="0"/>
            </w:tcBorders>
            <w:noWrap/>
            <w:vAlign w:val="center"/>
          </w:tcPr>
          <w:p w14:paraId="7932752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0.241</w:t>
            </w:r>
          </w:p>
        </w:tc>
        <w:tc>
          <w:tcPr>
            <w:tcW w:w="431" w:type="pct"/>
            <w:tcBorders>
              <w:top w:val="single" w:color="auto" w:sz="4" w:space="0"/>
              <w:left w:val="nil"/>
              <w:bottom w:val="single" w:color="auto" w:sz="4" w:space="0"/>
              <w:right w:val="single" w:color="auto" w:sz="4" w:space="0"/>
            </w:tcBorders>
            <w:noWrap/>
            <w:vAlign w:val="center"/>
          </w:tcPr>
          <w:p w14:paraId="2D6F280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0.482</w:t>
            </w:r>
          </w:p>
        </w:tc>
        <w:tc>
          <w:tcPr>
            <w:tcW w:w="459" w:type="pct"/>
            <w:tcBorders>
              <w:top w:val="single" w:color="auto" w:sz="4" w:space="0"/>
              <w:left w:val="nil"/>
              <w:bottom w:val="single" w:color="auto" w:sz="4" w:space="0"/>
              <w:right w:val="single" w:color="auto" w:sz="4" w:space="0"/>
            </w:tcBorders>
            <w:noWrap/>
            <w:vAlign w:val="center"/>
          </w:tcPr>
          <w:p w14:paraId="6D78EAB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w:t>
            </w:r>
          </w:p>
        </w:tc>
      </w:tr>
      <w:tr w14:paraId="58B84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38022D1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404" w:type="pct"/>
            <w:tcBorders>
              <w:top w:val="single" w:color="auto" w:sz="4" w:space="0"/>
              <w:left w:val="single" w:color="auto" w:sz="4" w:space="0"/>
              <w:bottom w:val="single" w:color="auto" w:sz="4" w:space="0"/>
              <w:right w:val="single" w:color="auto" w:sz="4" w:space="0"/>
            </w:tcBorders>
            <w:noWrap/>
            <w:vAlign w:val="center"/>
          </w:tcPr>
          <w:p w14:paraId="5B3F543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亚硝酸盐氮</w:t>
            </w:r>
          </w:p>
        </w:tc>
        <w:tc>
          <w:tcPr>
            <w:tcW w:w="398" w:type="pct"/>
            <w:tcBorders>
              <w:top w:val="single" w:color="auto" w:sz="4" w:space="0"/>
              <w:left w:val="nil"/>
              <w:bottom w:val="single" w:color="auto" w:sz="4" w:space="0"/>
              <w:right w:val="single" w:color="auto" w:sz="4" w:space="0"/>
            </w:tcBorders>
            <w:noWrap/>
            <w:vAlign w:val="center"/>
          </w:tcPr>
          <w:p w14:paraId="1240A76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5ACD4AB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0.017</w:t>
            </w:r>
          </w:p>
        </w:tc>
        <w:tc>
          <w:tcPr>
            <w:tcW w:w="431" w:type="pct"/>
            <w:tcBorders>
              <w:top w:val="single" w:color="auto" w:sz="4" w:space="0"/>
              <w:left w:val="nil"/>
              <w:bottom w:val="single" w:color="auto" w:sz="4" w:space="0"/>
              <w:right w:val="single" w:color="auto" w:sz="4" w:space="0"/>
            </w:tcBorders>
            <w:vAlign w:val="center"/>
          </w:tcPr>
          <w:p w14:paraId="5E12F5C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0.017</w:t>
            </w:r>
          </w:p>
        </w:tc>
        <w:tc>
          <w:tcPr>
            <w:tcW w:w="431" w:type="pct"/>
            <w:tcBorders>
              <w:top w:val="single" w:color="auto" w:sz="4" w:space="0"/>
              <w:left w:val="nil"/>
              <w:bottom w:val="single" w:color="auto" w:sz="4" w:space="0"/>
              <w:right w:val="single" w:color="auto" w:sz="4" w:space="0"/>
            </w:tcBorders>
            <w:noWrap/>
            <w:vAlign w:val="center"/>
          </w:tcPr>
          <w:p w14:paraId="17EA5E4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0.015</w:t>
            </w:r>
          </w:p>
        </w:tc>
        <w:tc>
          <w:tcPr>
            <w:tcW w:w="431" w:type="pct"/>
            <w:tcBorders>
              <w:top w:val="single" w:color="auto" w:sz="4" w:space="0"/>
              <w:left w:val="nil"/>
              <w:bottom w:val="single" w:color="auto" w:sz="4" w:space="0"/>
              <w:right w:val="single" w:color="auto" w:sz="4" w:space="0"/>
            </w:tcBorders>
            <w:vAlign w:val="center"/>
          </w:tcPr>
          <w:p w14:paraId="218932E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w:t>
            </w:r>
          </w:p>
        </w:tc>
        <w:tc>
          <w:tcPr>
            <w:tcW w:w="431" w:type="pct"/>
            <w:tcBorders>
              <w:top w:val="single" w:color="auto" w:sz="4" w:space="0"/>
              <w:left w:val="nil"/>
              <w:bottom w:val="single" w:color="auto" w:sz="4" w:space="0"/>
              <w:right w:val="single" w:color="auto" w:sz="4" w:space="0"/>
            </w:tcBorders>
            <w:noWrap/>
            <w:vAlign w:val="center"/>
          </w:tcPr>
          <w:p w14:paraId="2D8F9B6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c>
          <w:tcPr>
            <w:tcW w:w="431" w:type="pct"/>
            <w:tcBorders>
              <w:top w:val="single" w:color="auto" w:sz="4" w:space="0"/>
              <w:left w:val="nil"/>
              <w:bottom w:val="single" w:color="auto" w:sz="4" w:space="0"/>
              <w:right w:val="single" w:color="auto" w:sz="4" w:space="0"/>
            </w:tcBorders>
            <w:noWrap/>
            <w:vAlign w:val="center"/>
          </w:tcPr>
          <w:p w14:paraId="28EF0C0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0.014</w:t>
            </w:r>
          </w:p>
        </w:tc>
        <w:tc>
          <w:tcPr>
            <w:tcW w:w="431" w:type="pct"/>
            <w:tcBorders>
              <w:top w:val="single" w:color="auto" w:sz="4" w:space="0"/>
              <w:left w:val="nil"/>
              <w:bottom w:val="single" w:color="auto" w:sz="4" w:space="0"/>
              <w:right w:val="single" w:color="auto" w:sz="4" w:space="0"/>
            </w:tcBorders>
            <w:noWrap/>
            <w:vAlign w:val="center"/>
          </w:tcPr>
          <w:p w14:paraId="62D7A0E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431" w:type="pct"/>
            <w:tcBorders>
              <w:top w:val="single" w:color="auto" w:sz="4" w:space="0"/>
              <w:left w:val="nil"/>
              <w:bottom w:val="single" w:color="auto" w:sz="4" w:space="0"/>
              <w:right w:val="single" w:color="auto" w:sz="4" w:space="0"/>
            </w:tcBorders>
            <w:noWrap/>
            <w:vAlign w:val="center"/>
          </w:tcPr>
          <w:p w14:paraId="3726C50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w:t>
            </w:r>
          </w:p>
        </w:tc>
        <w:tc>
          <w:tcPr>
            <w:tcW w:w="459" w:type="pct"/>
            <w:tcBorders>
              <w:top w:val="single" w:color="auto" w:sz="4" w:space="0"/>
              <w:left w:val="nil"/>
              <w:bottom w:val="single" w:color="auto" w:sz="4" w:space="0"/>
              <w:right w:val="single" w:color="auto" w:sz="4" w:space="0"/>
            </w:tcBorders>
            <w:noWrap/>
            <w:vAlign w:val="center"/>
          </w:tcPr>
          <w:p w14:paraId="1FF6EED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r>
      <w:tr w14:paraId="617AC4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6CB3B0A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04" w:type="pct"/>
            <w:tcBorders>
              <w:top w:val="single" w:color="auto" w:sz="4" w:space="0"/>
              <w:left w:val="single" w:color="auto" w:sz="4" w:space="0"/>
              <w:bottom w:val="single" w:color="auto" w:sz="4" w:space="0"/>
              <w:right w:val="single" w:color="auto" w:sz="4" w:space="0"/>
            </w:tcBorders>
            <w:noWrap/>
            <w:vAlign w:val="center"/>
          </w:tcPr>
          <w:p w14:paraId="172AD76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硝酸盐氮</w:t>
            </w:r>
          </w:p>
        </w:tc>
        <w:tc>
          <w:tcPr>
            <w:tcW w:w="398" w:type="pct"/>
            <w:tcBorders>
              <w:top w:val="single" w:color="auto" w:sz="4" w:space="0"/>
              <w:left w:val="nil"/>
              <w:bottom w:val="single" w:color="auto" w:sz="4" w:space="0"/>
              <w:right w:val="single" w:color="auto" w:sz="4" w:space="0"/>
            </w:tcBorders>
            <w:noWrap/>
            <w:vAlign w:val="center"/>
          </w:tcPr>
          <w:p w14:paraId="773FD73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568F912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1.92</w:t>
            </w:r>
          </w:p>
        </w:tc>
        <w:tc>
          <w:tcPr>
            <w:tcW w:w="431" w:type="pct"/>
            <w:tcBorders>
              <w:top w:val="single" w:color="auto" w:sz="4" w:space="0"/>
              <w:left w:val="nil"/>
              <w:bottom w:val="single" w:color="auto" w:sz="4" w:space="0"/>
              <w:right w:val="single" w:color="auto" w:sz="4" w:space="0"/>
            </w:tcBorders>
            <w:vAlign w:val="center"/>
          </w:tcPr>
          <w:p w14:paraId="614D526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w:t>
            </w:r>
          </w:p>
        </w:tc>
        <w:tc>
          <w:tcPr>
            <w:tcW w:w="431" w:type="pct"/>
            <w:tcBorders>
              <w:top w:val="single" w:color="auto" w:sz="4" w:space="0"/>
              <w:left w:val="nil"/>
              <w:bottom w:val="single" w:color="auto" w:sz="4" w:space="0"/>
              <w:right w:val="single" w:color="auto" w:sz="4" w:space="0"/>
            </w:tcBorders>
            <w:noWrap/>
            <w:vAlign w:val="center"/>
          </w:tcPr>
          <w:p w14:paraId="779DCDB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0.78</w:t>
            </w:r>
          </w:p>
        </w:tc>
        <w:tc>
          <w:tcPr>
            <w:tcW w:w="431" w:type="pct"/>
            <w:tcBorders>
              <w:top w:val="single" w:color="auto" w:sz="4" w:space="0"/>
              <w:left w:val="nil"/>
              <w:bottom w:val="single" w:color="auto" w:sz="4" w:space="0"/>
              <w:right w:val="single" w:color="auto" w:sz="4" w:space="0"/>
            </w:tcBorders>
            <w:vAlign w:val="center"/>
          </w:tcPr>
          <w:p w14:paraId="2EDB876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0.039</w:t>
            </w:r>
          </w:p>
        </w:tc>
        <w:tc>
          <w:tcPr>
            <w:tcW w:w="431" w:type="pct"/>
            <w:tcBorders>
              <w:top w:val="single" w:color="auto" w:sz="4" w:space="0"/>
              <w:left w:val="nil"/>
              <w:bottom w:val="single" w:color="auto" w:sz="4" w:space="0"/>
              <w:right w:val="single" w:color="auto" w:sz="4" w:space="0"/>
            </w:tcBorders>
            <w:noWrap/>
            <w:vAlign w:val="center"/>
          </w:tcPr>
          <w:p w14:paraId="05064EC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1.24</w:t>
            </w:r>
          </w:p>
        </w:tc>
        <w:tc>
          <w:tcPr>
            <w:tcW w:w="431" w:type="pct"/>
            <w:tcBorders>
              <w:top w:val="single" w:color="auto" w:sz="4" w:space="0"/>
              <w:left w:val="nil"/>
              <w:bottom w:val="single" w:color="auto" w:sz="4" w:space="0"/>
              <w:right w:val="single" w:color="auto" w:sz="4" w:space="0"/>
            </w:tcBorders>
            <w:noWrap/>
            <w:vAlign w:val="center"/>
          </w:tcPr>
          <w:p w14:paraId="711C9B0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0.062</w:t>
            </w:r>
          </w:p>
        </w:tc>
        <w:tc>
          <w:tcPr>
            <w:tcW w:w="431" w:type="pct"/>
            <w:tcBorders>
              <w:top w:val="single" w:color="auto" w:sz="4" w:space="0"/>
              <w:left w:val="nil"/>
              <w:bottom w:val="single" w:color="auto" w:sz="4" w:space="0"/>
              <w:right w:val="single" w:color="auto" w:sz="4" w:space="0"/>
            </w:tcBorders>
            <w:noWrap/>
            <w:vAlign w:val="center"/>
          </w:tcPr>
          <w:p w14:paraId="40B4195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w:t>
            </w:r>
          </w:p>
        </w:tc>
        <w:tc>
          <w:tcPr>
            <w:tcW w:w="431" w:type="pct"/>
            <w:tcBorders>
              <w:top w:val="single" w:color="auto" w:sz="4" w:space="0"/>
              <w:left w:val="nil"/>
              <w:bottom w:val="single" w:color="auto" w:sz="4" w:space="0"/>
              <w:right w:val="single" w:color="auto" w:sz="4" w:space="0"/>
            </w:tcBorders>
            <w:noWrap/>
            <w:vAlign w:val="center"/>
          </w:tcPr>
          <w:p w14:paraId="5D6AD72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0.051</w:t>
            </w:r>
          </w:p>
        </w:tc>
        <w:tc>
          <w:tcPr>
            <w:tcW w:w="459" w:type="pct"/>
            <w:tcBorders>
              <w:top w:val="single" w:color="auto" w:sz="4" w:space="0"/>
              <w:left w:val="nil"/>
              <w:bottom w:val="single" w:color="auto" w:sz="4" w:space="0"/>
              <w:right w:val="single" w:color="auto" w:sz="4" w:space="0"/>
            </w:tcBorders>
            <w:noWrap/>
            <w:vAlign w:val="center"/>
          </w:tcPr>
          <w:p w14:paraId="16EC597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r>
      <w:tr w14:paraId="379FDF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31FCF53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404" w:type="pct"/>
            <w:tcBorders>
              <w:top w:val="single" w:color="auto" w:sz="4" w:space="0"/>
              <w:left w:val="single" w:color="auto" w:sz="4" w:space="0"/>
              <w:bottom w:val="single" w:color="auto" w:sz="4" w:space="0"/>
              <w:right w:val="single" w:color="auto" w:sz="4" w:space="0"/>
            </w:tcBorders>
            <w:noWrap/>
            <w:vAlign w:val="center"/>
          </w:tcPr>
          <w:p w14:paraId="58F0D0B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氰化物</w:t>
            </w:r>
          </w:p>
        </w:tc>
        <w:tc>
          <w:tcPr>
            <w:tcW w:w="398" w:type="pct"/>
            <w:tcBorders>
              <w:top w:val="single" w:color="auto" w:sz="4" w:space="0"/>
              <w:left w:val="nil"/>
              <w:bottom w:val="single" w:color="auto" w:sz="4" w:space="0"/>
              <w:right w:val="single" w:color="auto" w:sz="4" w:space="0"/>
            </w:tcBorders>
            <w:noWrap/>
            <w:vAlign w:val="center"/>
          </w:tcPr>
          <w:p w14:paraId="3A26DB6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17FA90F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0.003</w:t>
            </w:r>
          </w:p>
        </w:tc>
        <w:tc>
          <w:tcPr>
            <w:tcW w:w="431" w:type="pct"/>
            <w:tcBorders>
              <w:top w:val="single" w:color="auto" w:sz="4" w:space="0"/>
              <w:left w:val="nil"/>
              <w:bottom w:val="single" w:color="auto" w:sz="4" w:space="0"/>
              <w:right w:val="single" w:color="auto" w:sz="4" w:space="0"/>
            </w:tcBorders>
            <w:noWrap/>
            <w:vAlign w:val="center"/>
          </w:tcPr>
          <w:p w14:paraId="4A65818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0.060</w:t>
            </w:r>
          </w:p>
        </w:tc>
        <w:tc>
          <w:tcPr>
            <w:tcW w:w="431" w:type="pct"/>
            <w:tcBorders>
              <w:top w:val="single" w:color="auto" w:sz="4" w:space="0"/>
              <w:left w:val="nil"/>
              <w:bottom w:val="single" w:color="auto" w:sz="4" w:space="0"/>
              <w:right w:val="single" w:color="auto" w:sz="4" w:space="0"/>
            </w:tcBorders>
            <w:noWrap/>
            <w:vAlign w:val="center"/>
          </w:tcPr>
          <w:p w14:paraId="3275FD2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0.002L</w:t>
            </w:r>
          </w:p>
        </w:tc>
        <w:tc>
          <w:tcPr>
            <w:tcW w:w="431" w:type="pct"/>
            <w:tcBorders>
              <w:top w:val="single" w:color="auto" w:sz="4" w:space="0"/>
              <w:left w:val="nil"/>
              <w:bottom w:val="single" w:color="auto" w:sz="4" w:space="0"/>
              <w:right w:val="single" w:color="auto" w:sz="4" w:space="0"/>
            </w:tcBorders>
            <w:noWrap/>
            <w:vAlign w:val="center"/>
          </w:tcPr>
          <w:p w14:paraId="1350394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3F2FC0E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0.002L</w:t>
            </w:r>
          </w:p>
        </w:tc>
        <w:tc>
          <w:tcPr>
            <w:tcW w:w="431" w:type="pct"/>
            <w:tcBorders>
              <w:top w:val="single" w:color="auto" w:sz="4" w:space="0"/>
              <w:left w:val="nil"/>
              <w:bottom w:val="single" w:color="auto" w:sz="4" w:space="0"/>
              <w:right w:val="single" w:color="auto" w:sz="4" w:space="0"/>
            </w:tcBorders>
            <w:noWrap/>
            <w:vAlign w:val="center"/>
          </w:tcPr>
          <w:p w14:paraId="18E5CE0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21B311E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0.002L</w:t>
            </w:r>
          </w:p>
        </w:tc>
        <w:tc>
          <w:tcPr>
            <w:tcW w:w="431" w:type="pct"/>
            <w:tcBorders>
              <w:top w:val="single" w:color="auto" w:sz="4" w:space="0"/>
              <w:left w:val="nil"/>
              <w:bottom w:val="single" w:color="auto" w:sz="4" w:space="0"/>
              <w:right w:val="single" w:color="auto" w:sz="4" w:space="0"/>
            </w:tcBorders>
            <w:noWrap/>
            <w:vAlign w:val="center"/>
          </w:tcPr>
          <w:p w14:paraId="152B9F4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noWrap/>
            <w:vAlign w:val="center"/>
          </w:tcPr>
          <w:p w14:paraId="7CC828D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0.05</w:t>
            </w:r>
          </w:p>
        </w:tc>
      </w:tr>
      <w:tr w14:paraId="5E3A3A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275D6B56">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404" w:type="pct"/>
            <w:tcBorders>
              <w:top w:val="single" w:color="auto" w:sz="4" w:space="0"/>
              <w:left w:val="single" w:color="auto" w:sz="4" w:space="0"/>
              <w:bottom w:val="single" w:color="auto" w:sz="4" w:space="0"/>
              <w:right w:val="single" w:color="auto" w:sz="4" w:space="0"/>
            </w:tcBorders>
            <w:noWrap/>
            <w:vAlign w:val="center"/>
          </w:tcPr>
          <w:p w14:paraId="616CC30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挥发酚</w:t>
            </w:r>
          </w:p>
        </w:tc>
        <w:tc>
          <w:tcPr>
            <w:tcW w:w="398" w:type="pct"/>
            <w:tcBorders>
              <w:top w:val="single" w:color="auto" w:sz="4" w:space="0"/>
              <w:left w:val="nil"/>
              <w:bottom w:val="single" w:color="auto" w:sz="4" w:space="0"/>
              <w:right w:val="single" w:color="auto" w:sz="4" w:space="0"/>
            </w:tcBorders>
            <w:noWrap/>
            <w:vAlign w:val="center"/>
          </w:tcPr>
          <w:p w14:paraId="6A38F3D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6522C1D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0.0018</w:t>
            </w:r>
          </w:p>
        </w:tc>
        <w:tc>
          <w:tcPr>
            <w:tcW w:w="431" w:type="pct"/>
            <w:tcBorders>
              <w:top w:val="single" w:color="auto" w:sz="4" w:space="0"/>
              <w:left w:val="nil"/>
              <w:bottom w:val="single" w:color="auto" w:sz="4" w:space="0"/>
              <w:right w:val="single" w:color="auto" w:sz="4" w:space="0"/>
            </w:tcBorders>
            <w:noWrap/>
            <w:vAlign w:val="center"/>
          </w:tcPr>
          <w:p w14:paraId="104B9B8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0.900</w:t>
            </w:r>
          </w:p>
        </w:tc>
        <w:tc>
          <w:tcPr>
            <w:tcW w:w="431" w:type="pct"/>
            <w:tcBorders>
              <w:top w:val="single" w:color="auto" w:sz="4" w:space="0"/>
              <w:left w:val="nil"/>
              <w:bottom w:val="single" w:color="auto" w:sz="4" w:space="0"/>
              <w:right w:val="single" w:color="auto" w:sz="4" w:space="0"/>
            </w:tcBorders>
            <w:noWrap/>
            <w:vAlign w:val="center"/>
          </w:tcPr>
          <w:p w14:paraId="6261208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0.0003L</w:t>
            </w:r>
          </w:p>
        </w:tc>
        <w:tc>
          <w:tcPr>
            <w:tcW w:w="431" w:type="pct"/>
            <w:tcBorders>
              <w:top w:val="single" w:color="auto" w:sz="4" w:space="0"/>
              <w:left w:val="nil"/>
              <w:bottom w:val="single" w:color="auto" w:sz="4" w:space="0"/>
              <w:right w:val="single" w:color="auto" w:sz="4" w:space="0"/>
            </w:tcBorders>
            <w:noWrap/>
            <w:vAlign w:val="center"/>
          </w:tcPr>
          <w:p w14:paraId="28B2B25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5E24FC8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0.0003L</w:t>
            </w:r>
          </w:p>
        </w:tc>
        <w:tc>
          <w:tcPr>
            <w:tcW w:w="431" w:type="pct"/>
            <w:tcBorders>
              <w:top w:val="single" w:color="auto" w:sz="4" w:space="0"/>
              <w:left w:val="nil"/>
              <w:bottom w:val="single" w:color="auto" w:sz="4" w:space="0"/>
              <w:right w:val="single" w:color="auto" w:sz="4" w:space="0"/>
            </w:tcBorders>
            <w:noWrap/>
            <w:vAlign w:val="center"/>
          </w:tcPr>
          <w:p w14:paraId="389922C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53989D9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0.0003L</w:t>
            </w:r>
          </w:p>
        </w:tc>
        <w:tc>
          <w:tcPr>
            <w:tcW w:w="431" w:type="pct"/>
            <w:tcBorders>
              <w:top w:val="single" w:color="auto" w:sz="4" w:space="0"/>
              <w:left w:val="nil"/>
              <w:bottom w:val="single" w:color="auto" w:sz="4" w:space="0"/>
              <w:right w:val="single" w:color="auto" w:sz="4" w:space="0"/>
            </w:tcBorders>
            <w:noWrap/>
            <w:vAlign w:val="center"/>
          </w:tcPr>
          <w:p w14:paraId="546B0CA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noWrap/>
            <w:vAlign w:val="center"/>
          </w:tcPr>
          <w:p w14:paraId="52A57B6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0.002</w:t>
            </w:r>
          </w:p>
        </w:tc>
      </w:tr>
      <w:tr w14:paraId="07C4C5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59ECF9F7">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404" w:type="pct"/>
            <w:tcBorders>
              <w:top w:val="single" w:color="auto" w:sz="4" w:space="0"/>
              <w:left w:val="single" w:color="auto" w:sz="4" w:space="0"/>
              <w:bottom w:val="single" w:color="auto" w:sz="4" w:space="0"/>
              <w:right w:val="single" w:color="auto" w:sz="4" w:space="0"/>
            </w:tcBorders>
            <w:noWrap/>
            <w:vAlign w:val="center"/>
          </w:tcPr>
          <w:p w14:paraId="74D3F43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汞</w:t>
            </w:r>
          </w:p>
        </w:tc>
        <w:tc>
          <w:tcPr>
            <w:tcW w:w="398" w:type="pct"/>
            <w:tcBorders>
              <w:top w:val="single" w:color="auto" w:sz="4" w:space="0"/>
              <w:left w:val="nil"/>
              <w:bottom w:val="single" w:color="auto" w:sz="4" w:space="0"/>
              <w:right w:val="single" w:color="auto" w:sz="4" w:space="0"/>
            </w:tcBorders>
            <w:noWrap/>
            <w:vAlign w:val="center"/>
          </w:tcPr>
          <w:p w14:paraId="10F1A31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45E80D3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0.0006</w:t>
            </w:r>
          </w:p>
        </w:tc>
        <w:tc>
          <w:tcPr>
            <w:tcW w:w="431" w:type="pct"/>
            <w:tcBorders>
              <w:top w:val="single" w:color="auto" w:sz="4" w:space="0"/>
              <w:left w:val="nil"/>
              <w:bottom w:val="single" w:color="auto" w:sz="4" w:space="0"/>
              <w:right w:val="single" w:color="auto" w:sz="4" w:space="0"/>
            </w:tcBorders>
            <w:vAlign w:val="center"/>
          </w:tcPr>
          <w:p w14:paraId="71F7A78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31" w:type="pct"/>
            <w:tcBorders>
              <w:top w:val="single" w:color="auto" w:sz="4" w:space="0"/>
              <w:left w:val="nil"/>
              <w:bottom w:val="single" w:color="auto" w:sz="4" w:space="0"/>
              <w:right w:val="single" w:color="auto" w:sz="4" w:space="0"/>
            </w:tcBorders>
            <w:noWrap/>
            <w:vAlign w:val="center"/>
          </w:tcPr>
          <w:p w14:paraId="4ACB1FD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0.0005</w:t>
            </w:r>
          </w:p>
        </w:tc>
        <w:tc>
          <w:tcPr>
            <w:tcW w:w="431" w:type="pct"/>
            <w:tcBorders>
              <w:top w:val="single" w:color="auto" w:sz="4" w:space="0"/>
              <w:left w:val="nil"/>
              <w:bottom w:val="single" w:color="auto" w:sz="4" w:space="0"/>
              <w:right w:val="single" w:color="auto" w:sz="4" w:space="0"/>
            </w:tcBorders>
            <w:vAlign w:val="center"/>
          </w:tcPr>
          <w:p w14:paraId="15427AF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431" w:type="pct"/>
            <w:tcBorders>
              <w:top w:val="single" w:color="auto" w:sz="4" w:space="0"/>
              <w:left w:val="nil"/>
              <w:bottom w:val="single" w:color="auto" w:sz="4" w:space="0"/>
              <w:right w:val="single" w:color="auto" w:sz="4" w:space="0"/>
            </w:tcBorders>
            <w:noWrap/>
            <w:vAlign w:val="center"/>
          </w:tcPr>
          <w:p w14:paraId="1CC4E68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0.0007</w:t>
            </w:r>
          </w:p>
        </w:tc>
        <w:tc>
          <w:tcPr>
            <w:tcW w:w="431" w:type="pct"/>
            <w:tcBorders>
              <w:top w:val="single" w:color="auto" w:sz="4" w:space="0"/>
              <w:left w:val="nil"/>
              <w:bottom w:val="single" w:color="auto" w:sz="4" w:space="0"/>
              <w:right w:val="single" w:color="auto" w:sz="4" w:space="0"/>
            </w:tcBorders>
            <w:noWrap/>
            <w:vAlign w:val="center"/>
          </w:tcPr>
          <w:p w14:paraId="2B8167B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431" w:type="pct"/>
            <w:tcBorders>
              <w:top w:val="single" w:color="auto" w:sz="4" w:space="0"/>
              <w:left w:val="nil"/>
              <w:bottom w:val="single" w:color="auto" w:sz="4" w:space="0"/>
              <w:right w:val="single" w:color="auto" w:sz="4" w:space="0"/>
            </w:tcBorders>
            <w:noWrap/>
            <w:vAlign w:val="center"/>
          </w:tcPr>
          <w:p w14:paraId="7B8EC97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0.0006</w:t>
            </w:r>
          </w:p>
        </w:tc>
        <w:tc>
          <w:tcPr>
            <w:tcW w:w="431" w:type="pct"/>
            <w:tcBorders>
              <w:top w:val="single" w:color="auto" w:sz="4" w:space="0"/>
              <w:left w:val="nil"/>
              <w:bottom w:val="single" w:color="auto" w:sz="4" w:space="0"/>
              <w:right w:val="single" w:color="auto" w:sz="4" w:space="0"/>
            </w:tcBorders>
            <w:noWrap/>
            <w:vAlign w:val="center"/>
          </w:tcPr>
          <w:p w14:paraId="1B7D53C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59" w:type="pct"/>
            <w:tcBorders>
              <w:top w:val="single" w:color="auto" w:sz="4" w:space="0"/>
              <w:left w:val="nil"/>
              <w:bottom w:val="single" w:color="auto" w:sz="4" w:space="0"/>
              <w:right w:val="single" w:color="auto" w:sz="4" w:space="0"/>
            </w:tcBorders>
            <w:noWrap/>
            <w:vAlign w:val="center"/>
          </w:tcPr>
          <w:p w14:paraId="2CD6CC6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0.001</w:t>
            </w:r>
          </w:p>
        </w:tc>
      </w:tr>
      <w:tr w14:paraId="650DC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68DA999C">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404" w:type="pct"/>
            <w:tcBorders>
              <w:top w:val="single" w:color="auto" w:sz="4" w:space="0"/>
              <w:left w:val="single" w:color="auto" w:sz="4" w:space="0"/>
              <w:bottom w:val="single" w:color="auto" w:sz="4" w:space="0"/>
              <w:right w:val="single" w:color="auto" w:sz="4" w:space="0"/>
            </w:tcBorders>
            <w:noWrap/>
            <w:vAlign w:val="center"/>
          </w:tcPr>
          <w:p w14:paraId="17A0E5D4">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砷</w:t>
            </w:r>
          </w:p>
        </w:tc>
        <w:tc>
          <w:tcPr>
            <w:tcW w:w="398" w:type="pct"/>
            <w:tcBorders>
              <w:top w:val="single" w:color="auto" w:sz="4" w:space="0"/>
              <w:left w:val="nil"/>
              <w:bottom w:val="single" w:color="auto" w:sz="4" w:space="0"/>
              <w:right w:val="single" w:color="auto" w:sz="4" w:space="0"/>
            </w:tcBorders>
            <w:noWrap/>
            <w:vAlign w:val="center"/>
          </w:tcPr>
          <w:p w14:paraId="2ABAD44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4FDE929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0.007</w:t>
            </w:r>
          </w:p>
        </w:tc>
        <w:tc>
          <w:tcPr>
            <w:tcW w:w="431" w:type="pct"/>
            <w:tcBorders>
              <w:top w:val="single" w:color="auto" w:sz="4" w:space="0"/>
              <w:left w:val="nil"/>
              <w:bottom w:val="single" w:color="auto" w:sz="4" w:space="0"/>
              <w:right w:val="single" w:color="auto" w:sz="4" w:space="0"/>
            </w:tcBorders>
            <w:vAlign w:val="center"/>
          </w:tcPr>
          <w:p w14:paraId="2BF4871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431" w:type="pct"/>
            <w:tcBorders>
              <w:top w:val="single" w:color="auto" w:sz="4" w:space="0"/>
              <w:left w:val="nil"/>
              <w:bottom w:val="single" w:color="auto" w:sz="4" w:space="0"/>
              <w:right w:val="single" w:color="auto" w:sz="4" w:space="0"/>
            </w:tcBorders>
            <w:noWrap/>
            <w:vAlign w:val="center"/>
          </w:tcPr>
          <w:p w14:paraId="7DAD6C6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0.007</w:t>
            </w:r>
          </w:p>
        </w:tc>
        <w:tc>
          <w:tcPr>
            <w:tcW w:w="431" w:type="pct"/>
            <w:tcBorders>
              <w:top w:val="single" w:color="auto" w:sz="4" w:space="0"/>
              <w:left w:val="nil"/>
              <w:bottom w:val="single" w:color="auto" w:sz="4" w:space="0"/>
              <w:right w:val="single" w:color="auto" w:sz="4" w:space="0"/>
            </w:tcBorders>
            <w:vAlign w:val="center"/>
          </w:tcPr>
          <w:p w14:paraId="1BCB1F8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w:t>
            </w:r>
          </w:p>
        </w:tc>
        <w:tc>
          <w:tcPr>
            <w:tcW w:w="431" w:type="pct"/>
            <w:tcBorders>
              <w:top w:val="single" w:color="auto" w:sz="4" w:space="0"/>
              <w:left w:val="nil"/>
              <w:bottom w:val="single" w:color="auto" w:sz="4" w:space="0"/>
              <w:right w:val="single" w:color="auto" w:sz="4" w:space="0"/>
            </w:tcBorders>
            <w:noWrap/>
            <w:vAlign w:val="center"/>
          </w:tcPr>
          <w:p w14:paraId="3978154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0.001</w:t>
            </w:r>
          </w:p>
        </w:tc>
        <w:tc>
          <w:tcPr>
            <w:tcW w:w="431" w:type="pct"/>
            <w:tcBorders>
              <w:top w:val="single" w:color="auto" w:sz="4" w:space="0"/>
              <w:left w:val="nil"/>
              <w:bottom w:val="single" w:color="auto" w:sz="4" w:space="0"/>
              <w:right w:val="single" w:color="auto" w:sz="4" w:space="0"/>
            </w:tcBorders>
            <w:noWrap/>
            <w:vAlign w:val="center"/>
          </w:tcPr>
          <w:p w14:paraId="5060672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431" w:type="pct"/>
            <w:tcBorders>
              <w:top w:val="single" w:color="auto" w:sz="4" w:space="0"/>
              <w:left w:val="nil"/>
              <w:bottom w:val="single" w:color="auto" w:sz="4" w:space="0"/>
              <w:right w:val="single" w:color="auto" w:sz="4" w:space="0"/>
            </w:tcBorders>
            <w:noWrap/>
            <w:vAlign w:val="center"/>
          </w:tcPr>
          <w:p w14:paraId="25E73B4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431" w:type="pct"/>
            <w:tcBorders>
              <w:top w:val="single" w:color="auto" w:sz="4" w:space="0"/>
              <w:left w:val="nil"/>
              <w:bottom w:val="single" w:color="auto" w:sz="4" w:space="0"/>
              <w:right w:val="single" w:color="auto" w:sz="4" w:space="0"/>
            </w:tcBorders>
            <w:noWrap/>
            <w:vAlign w:val="center"/>
          </w:tcPr>
          <w:p w14:paraId="57324B2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59" w:type="pct"/>
            <w:tcBorders>
              <w:top w:val="single" w:color="auto" w:sz="4" w:space="0"/>
              <w:left w:val="nil"/>
              <w:bottom w:val="single" w:color="auto" w:sz="4" w:space="0"/>
              <w:right w:val="single" w:color="auto" w:sz="4" w:space="0"/>
            </w:tcBorders>
            <w:noWrap/>
            <w:vAlign w:val="center"/>
          </w:tcPr>
          <w:p w14:paraId="647F757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0.01</w:t>
            </w:r>
          </w:p>
        </w:tc>
      </w:tr>
      <w:tr w14:paraId="1890AD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3CD79AE5">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4"/>
                <w:position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404" w:type="pct"/>
            <w:tcBorders>
              <w:top w:val="single" w:color="auto" w:sz="4" w:space="0"/>
              <w:left w:val="single" w:color="auto" w:sz="4" w:space="0"/>
              <w:bottom w:val="single" w:color="auto" w:sz="4" w:space="0"/>
              <w:right w:val="single" w:color="auto" w:sz="4" w:space="0"/>
            </w:tcBorders>
            <w:noWrap/>
            <w:vAlign w:val="center"/>
          </w:tcPr>
          <w:p w14:paraId="427879D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铬（六价）</w:t>
            </w:r>
          </w:p>
        </w:tc>
        <w:tc>
          <w:tcPr>
            <w:tcW w:w="398" w:type="pct"/>
            <w:tcBorders>
              <w:top w:val="single" w:color="auto" w:sz="4" w:space="0"/>
              <w:left w:val="nil"/>
              <w:bottom w:val="single" w:color="auto" w:sz="4" w:space="0"/>
              <w:right w:val="single" w:color="auto" w:sz="4" w:space="0"/>
            </w:tcBorders>
            <w:noWrap/>
            <w:vAlign w:val="center"/>
          </w:tcPr>
          <w:p w14:paraId="632639A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310F28C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0.022</w:t>
            </w:r>
          </w:p>
        </w:tc>
        <w:tc>
          <w:tcPr>
            <w:tcW w:w="431" w:type="pct"/>
            <w:tcBorders>
              <w:top w:val="single" w:color="auto" w:sz="4" w:space="0"/>
              <w:left w:val="nil"/>
              <w:bottom w:val="single" w:color="auto" w:sz="4" w:space="0"/>
              <w:right w:val="single" w:color="auto" w:sz="4" w:space="0"/>
            </w:tcBorders>
            <w:vAlign w:val="center"/>
          </w:tcPr>
          <w:p w14:paraId="34FE791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0.440</w:t>
            </w:r>
          </w:p>
        </w:tc>
        <w:tc>
          <w:tcPr>
            <w:tcW w:w="431" w:type="pct"/>
            <w:tcBorders>
              <w:top w:val="single" w:color="auto" w:sz="4" w:space="0"/>
              <w:left w:val="nil"/>
              <w:bottom w:val="single" w:color="auto" w:sz="4" w:space="0"/>
              <w:right w:val="single" w:color="auto" w:sz="4" w:space="0"/>
            </w:tcBorders>
            <w:noWrap/>
            <w:vAlign w:val="center"/>
          </w:tcPr>
          <w:p w14:paraId="0E75ECA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0.015</w:t>
            </w:r>
          </w:p>
        </w:tc>
        <w:tc>
          <w:tcPr>
            <w:tcW w:w="431" w:type="pct"/>
            <w:tcBorders>
              <w:top w:val="single" w:color="auto" w:sz="4" w:space="0"/>
              <w:left w:val="nil"/>
              <w:bottom w:val="single" w:color="auto" w:sz="4" w:space="0"/>
              <w:right w:val="single" w:color="auto" w:sz="4" w:space="0"/>
            </w:tcBorders>
            <w:vAlign w:val="center"/>
          </w:tcPr>
          <w:p w14:paraId="3E0BB36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0.300</w:t>
            </w:r>
          </w:p>
        </w:tc>
        <w:tc>
          <w:tcPr>
            <w:tcW w:w="431" w:type="pct"/>
            <w:tcBorders>
              <w:top w:val="single" w:color="auto" w:sz="4" w:space="0"/>
              <w:left w:val="nil"/>
              <w:bottom w:val="single" w:color="auto" w:sz="4" w:space="0"/>
              <w:right w:val="single" w:color="auto" w:sz="4" w:space="0"/>
            </w:tcBorders>
            <w:noWrap/>
            <w:vAlign w:val="center"/>
          </w:tcPr>
          <w:p w14:paraId="5F66237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0.018</w:t>
            </w:r>
          </w:p>
        </w:tc>
        <w:tc>
          <w:tcPr>
            <w:tcW w:w="431" w:type="pct"/>
            <w:tcBorders>
              <w:top w:val="single" w:color="auto" w:sz="4" w:space="0"/>
              <w:left w:val="nil"/>
              <w:bottom w:val="single" w:color="auto" w:sz="4" w:space="0"/>
              <w:right w:val="single" w:color="auto" w:sz="4" w:space="0"/>
            </w:tcBorders>
            <w:noWrap/>
            <w:vAlign w:val="center"/>
          </w:tcPr>
          <w:p w14:paraId="4234F44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431" w:type="pct"/>
            <w:tcBorders>
              <w:top w:val="single" w:color="auto" w:sz="4" w:space="0"/>
              <w:left w:val="nil"/>
              <w:bottom w:val="single" w:color="auto" w:sz="4" w:space="0"/>
              <w:right w:val="single" w:color="auto" w:sz="4" w:space="0"/>
            </w:tcBorders>
            <w:noWrap/>
            <w:vAlign w:val="center"/>
          </w:tcPr>
          <w:p w14:paraId="224B2BD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0.020</w:t>
            </w:r>
          </w:p>
        </w:tc>
        <w:tc>
          <w:tcPr>
            <w:tcW w:w="431" w:type="pct"/>
            <w:tcBorders>
              <w:top w:val="single" w:color="auto" w:sz="4" w:space="0"/>
              <w:left w:val="nil"/>
              <w:bottom w:val="single" w:color="auto" w:sz="4" w:space="0"/>
              <w:right w:val="single" w:color="auto" w:sz="4" w:space="0"/>
            </w:tcBorders>
            <w:noWrap/>
            <w:vAlign w:val="center"/>
          </w:tcPr>
          <w:p w14:paraId="7572B0F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0.400</w:t>
            </w:r>
          </w:p>
        </w:tc>
        <w:tc>
          <w:tcPr>
            <w:tcW w:w="459" w:type="pct"/>
            <w:tcBorders>
              <w:top w:val="single" w:color="auto" w:sz="4" w:space="0"/>
              <w:left w:val="nil"/>
              <w:bottom w:val="single" w:color="auto" w:sz="4" w:space="0"/>
              <w:right w:val="single" w:color="auto" w:sz="4" w:space="0"/>
            </w:tcBorders>
            <w:noWrap/>
            <w:vAlign w:val="center"/>
          </w:tcPr>
          <w:p w14:paraId="0F72ADC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0.05</w:t>
            </w:r>
          </w:p>
        </w:tc>
      </w:tr>
      <w:tr w14:paraId="5D990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14FCBA">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89FC7B">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总硬度</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10368A6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4A8B94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426</w:t>
            </w:r>
          </w:p>
        </w:tc>
        <w:tc>
          <w:tcPr>
            <w:tcW w:w="431" w:type="pct"/>
            <w:tcBorders>
              <w:top w:val="single" w:color="auto" w:sz="4" w:space="0"/>
              <w:left w:val="nil"/>
              <w:bottom w:val="single" w:color="auto" w:sz="4" w:space="0"/>
              <w:right w:val="single" w:color="auto" w:sz="4" w:space="0"/>
            </w:tcBorders>
            <w:shd w:val="clear" w:color="auto" w:fill="auto"/>
            <w:vAlign w:val="center"/>
          </w:tcPr>
          <w:p w14:paraId="7A0C9DB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0.947</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0555C2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178</w:t>
            </w:r>
          </w:p>
        </w:tc>
        <w:tc>
          <w:tcPr>
            <w:tcW w:w="431" w:type="pct"/>
            <w:tcBorders>
              <w:top w:val="single" w:color="auto" w:sz="4" w:space="0"/>
              <w:left w:val="nil"/>
              <w:bottom w:val="single" w:color="auto" w:sz="4" w:space="0"/>
              <w:right w:val="single" w:color="auto" w:sz="4" w:space="0"/>
            </w:tcBorders>
            <w:shd w:val="clear" w:color="auto" w:fill="auto"/>
            <w:vAlign w:val="center"/>
          </w:tcPr>
          <w:p w14:paraId="7364F03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0.396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AA090F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CF8D43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0.413</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7769BA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8A6162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0.431</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6A4A592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450</w:t>
            </w:r>
          </w:p>
        </w:tc>
      </w:tr>
      <w:tr w14:paraId="50CAD7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607B9F">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AA18CB">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铅</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2F33E11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8F36D6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0.2L</w:t>
            </w:r>
          </w:p>
        </w:tc>
        <w:tc>
          <w:tcPr>
            <w:tcW w:w="431" w:type="pct"/>
            <w:tcBorders>
              <w:top w:val="single" w:color="auto" w:sz="4" w:space="0"/>
              <w:left w:val="nil"/>
              <w:bottom w:val="single" w:color="auto" w:sz="4" w:space="0"/>
              <w:right w:val="single" w:color="auto" w:sz="4" w:space="0"/>
            </w:tcBorders>
            <w:shd w:val="clear" w:color="auto" w:fill="auto"/>
            <w:vAlign w:val="center"/>
          </w:tcPr>
          <w:p w14:paraId="75216FF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FDFB30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0.2L</w:t>
            </w:r>
          </w:p>
        </w:tc>
        <w:tc>
          <w:tcPr>
            <w:tcW w:w="431" w:type="pct"/>
            <w:tcBorders>
              <w:top w:val="single" w:color="auto" w:sz="4" w:space="0"/>
              <w:left w:val="nil"/>
              <w:bottom w:val="single" w:color="auto" w:sz="4" w:space="0"/>
              <w:right w:val="single" w:color="auto" w:sz="4" w:space="0"/>
            </w:tcBorders>
            <w:shd w:val="clear" w:color="auto" w:fill="auto"/>
            <w:vAlign w:val="center"/>
          </w:tcPr>
          <w:p w14:paraId="4465471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537058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A6EDFF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973C0B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290D5C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47F044B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0.01</w:t>
            </w:r>
          </w:p>
        </w:tc>
      </w:tr>
      <w:tr w14:paraId="43BF0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28A2CC">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ACD05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7C75676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C3922F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0.89</w:t>
            </w:r>
          </w:p>
        </w:tc>
        <w:tc>
          <w:tcPr>
            <w:tcW w:w="431" w:type="pct"/>
            <w:tcBorders>
              <w:top w:val="single" w:color="auto" w:sz="4" w:space="0"/>
              <w:left w:val="nil"/>
              <w:bottom w:val="single" w:color="auto" w:sz="4" w:space="0"/>
              <w:right w:val="single" w:color="auto" w:sz="4" w:space="0"/>
            </w:tcBorders>
            <w:shd w:val="clear" w:color="auto" w:fill="auto"/>
            <w:vAlign w:val="center"/>
          </w:tcPr>
          <w:p w14:paraId="3BEA6D3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0.890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EF59A0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0.78</w:t>
            </w:r>
          </w:p>
        </w:tc>
        <w:tc>
          <w:tcPr>
            <w:tcW w:w="431" w:type="pct"/>
            <w:tcBorders>
              <w:top w:val="single" w:color="auto" w:sz="4" w:space="0"/>
              <w:left w:val="nil"/>
              <w:bottom w:val="single" w:color="auto" w:sz="4" w:space="0"/>
              <w:right w:val="single" w:color="auto" w:sz="4" w:space="0"/>
            </w:tcBorders>
            <w:shd w:val="clear" w:color="auto" w:fill="auto"/>
            <w:vAlign w:val="center"/>
          </w:tcPr>
          <w:p w14:paraId="60EAAAB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0.780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F4E4BF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8EC1F2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F0E5EB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28866A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0.660</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5AF5767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2E7603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80D1BB">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2B0354">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镉</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22C5148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7DAAD9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1DDB0A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343932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B86390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0F1B77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52BB50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B233AD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55DB608">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258D6CD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0.005</w:t>
            </w:r>
          </w:p>
        </w:tc>
      </w:tr>
      <w:tr w14:paraId="7A24B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E1873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6E9A0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铁</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202BC2B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4E071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0.03L</w:t>
            </w:r>
          </w:p>
        </w:tc>
        <w:tc>
          <w:tcPr>
            <w:tcW w:w="431" w:type="pct"/>
            <w:tcBorders>
              <w:top w:val="single" w:color="auto" w:sz="4" w:space="0"/>
              <w:left w:val="nil"/>
              <w:bottom w:val="single" w:color="auto" w:sz="4" w:space="0"/>
              <w:right w:val="single" w:color="auto" w:sz="4" w:space="0"/>
            </w:tcBorders>
            <w:shd w:val="clear" w:color="auto" w:fill="auto"/>
            <w:vAlign w:val="center"/>
          </w:tcPr>
          <w:p w14:paraId="0E3667D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1B27F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0.03L</w:t>
            </w:r>
          </w:p>
        </w:tc>
        <w:tc>
          <w:tcPr>
            <w:tcW w:w="431" w:type="pct"/>
            <w:tcBorders>
              <w:top w:val="single" w:color="auto" w:sz="4" w:space="0"/>
              <w:left w:val="nil"/>
              <w:bottom w:val="single" w:color="auto" w:sz="4" w:space="0"/>
              <w:right w:val="single" w:color="auto" w:sz="4" w:space="0"/>
            </w:tcBorders>
            <w:shd w:val="clear" w:color="auto" w:fill="auto"/>
            <w:vAlign w:val="center"/>
          </w:tcPr>
          <w:p w14:paraId="76A9142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14960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0.03L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C4A6DC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67E688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F487F4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4479907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0.3</w:t>
            </w:r>
          </w:p>
        </w:tc>
      </w:tr>
      <w:tr w14:paraId="4364D9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A0B75B">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3B355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锰</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5E6A4D0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F09091F">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p>
        </w:tc>
        <w:tc>
          <w:tcPr>
            <w:tcW w:w="431" w:type="pct"/>
            <w:tcBorders>
              <w:top w:val="single" w:color="auto" w:sz="4" w:space="0"/>
              <w:left w:val="nil"/>
              <w:bottom w:val="single" w:color="auto" w:sz="4" w:space="0"/>
              <w:right w:val="single" w:color="auto" w:sz="4" w:space="0"/>
            </w:tcBorders>
            <w:shd w:val="clear" w:color="auto" w:fill="auto"/>
            <w:vAlign w:val="center"/>
          </w:tcPr>
          <w:p w14:paraId="75FF8D2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14927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0.01L</w:t>
            </w:r>
          </w:p>
        </w:tc>
        <w:tc>
          <w:tcPr>
            <w:tcW w:w="431" w:type="pct"/>
            <w:tcBorders>
              <w:top w:val="single" w:color="auto" w:sz="4" w:space="0"/>
              <w:left w:val="nil"/>
              <w:bottom w:val="single" w:color="auto" w:sz="4" w:space="0"/>
              <w:right w:val="single" w:color="auto" w:sz="4" w:space="0"/>
            </w:tcBorders>
            <w:shd w:val="clear" w:color="auto" w:fill="auto"/>
            <w:vAlign w:val="center"/>
          </w:tcPr>
          <w:p w14:paraId="6B80C1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80D20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99EB0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BEC68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631FD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29FB6D6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0.1</w:t>
            </w:r>
          </w:p>
        </w:tc>
      </w:tr>
      <w:tr w14:paraId="3EE4C2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DF4BAC">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B7359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溶解性总固体</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296E663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1252ACD">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967</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DEA271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0.967</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13CF187">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795</w:t>
            </w:r>
          </w:p>
        </w:tc>
        <w:tc>
          <w:tcPr>
            <w:tcW w:w="431" w:type="pct"/>
            <w:tcBorders>
              <w:top w:val="single" w:color="auto" w:sz="4" w:space="0"/>
              <w:left w:val="nil"/>
              <w:bottom w:val="single" w:color="auto" w:sz="4" w:space="0"/>
              <w:right w:val="single" w:color="auto" w:sz="4" w:space="0"/>
            </w:tcBorders>
            <w:shd w:val="clear" w:color="auto" w:fill="auto"/>
            <w:vAlign w:val="center"/>
          </w:tcPr>
          <w:p w14:paraId="359D5F1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0.795</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32DCD0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824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E781B1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0.824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B98516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5DE741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0.876</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7D34CB2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1000</w:t>
            </w:r>
          </w:p>
        </w:tc>
      </w:tr>
      <w:tr w14:paraId="3BCCCF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6D154B">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29221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耗氧量</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798386A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9CC791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1.66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70DC7A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0.553</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1EFB80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1.58</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2B2066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0.527</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0B8453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1.42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27C928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0.473</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9C0C65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1.38</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D996A8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0.460</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2748C0E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r>
      <w:tr w14:paraId="547941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07F51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24"/>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D78E6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硫酸盐</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0CCB250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194C86C">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185</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93A563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0.740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E42E75D">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D2EDB3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6775D4C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31</w:t>
            </w:r>
          </w:p>
        </w:tc>
        <w:tc>
          <w:tcPr>
            <w:tcW w:w="431" w:type="pct"/>
            <w:tcBorders>
              <w:top w:val="single" w:color="auto" w:sz="4" w:space="0"/>
              <w:left w:val="nil"/>
              <w:bottom w:val="single" w:color="auto" w:sz="4" w:space="0"/>
              <w:right w:val="single" w:color="auto" w:sz="4" w:space="0"/>
            </w:tcBorders>
            <w:shd w:val="clear" w:color="auto" w:fill="auto"/>
            <w:vAlign w:val="center"/>
          </w:tcPr>
          <w:p w14:paraId="41F968B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538E8B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89F540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0.128</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798EB24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w:t>
            </w:r>
          </w:p>
        </w:tc>
      </w:tr>
      <w:tr w14:paraId="65D3D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CD4A9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24"/>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D4D1A3">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氯化物</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461ABAF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mg</w:t>
            </w:r>
            <w:r>
              <w:rPr>
                <w:rFonts w:hint="default" w:ascii="Times New Roman" w:hAnsi="Times New Roman" w:eastAsia="宋体" w:cs="Times New Roman"/>
                <w:color w:val="000000" w:themeColor="text1"/>
                <w:spacing w:val="16"/>
                <w:position w:val="4"/>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E072CC3">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244</w:t>
            </w:r>
          </w:p>
        </w:tc>
        <w:tc>
          <w:tcPr>
            <w:tcW w:w="431" w:type="pct"/>
            <w:tcBorders>
              <w:top w:val="single" w:color="auto" w:sz="4" w:space="0"/>
              <w:left w:val="nil"/>
              <w:bottom w:val="single" w:color="auto" w:sz="4" w:space="0"/>
              <w:right w:val="single" w:color="auto" w:sz="4" w:space="0"/>
            </w:tcBorders>
            <w:shd w:val="clear" w:color="auto" w:fill="auto"/>
            <w:vAlign w:val="center"/>
          </w:tcPr>
          <w:p w14:paraId="6BE1B78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0.976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3C43056">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234</w:t>
            </w:r>
          </w:p>
        </w:tc>
        <w:tc>
          <w:tcPr>
            <w:tcW w:w="431" w:type="pct"/>
            <w:tcBorders>
              <w:top w:val="single" w:color="auto" w:sz="4" w:space="0"/>
              <w:left w:val="nil"/>
              <w:bottom w:val="single" w:color="auto" w:sz="4" w:space="0"/>
              <w:right w:val="single" w:color="auto" w:sz="4" w:space="0"/>
            </w:tcBorders>
            <w:shd w:val="clear" w:color="auto" w:fill="auto"/>
            <w:vAlign w:val="center"/>
          </w:tcPr>
          <w:p w14:paraId="40D3959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0.936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6B2090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245</w:t>
            </w:r>
          </w:p>
        </w:tc>
        <w:tc>
          <w:tcPr>
            <w:tcW w:w="431" w:type="pct"/>
            <w:tcBorders>
              <w:top w:val="single" w:color="auto" w:sz="4" w:space="0"/>
              <w:left w:val="nil"/>
              <w:bottom w:val="single" w:color="auto" w:sz="4" w:space="0"/>
              <w:right w:val="single" w:color="auto" w:sz="4" w:space="0"/>
            </w:tcBorders>
            <w:shd w:val="clear" w:color="auto" w:fill="auto"/>
            <w:vAlign w:val="center"/>
          </w:tcPr>
          <w:p w14:paraId="4457FC8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0.980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81E104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247</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8FC7A5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0.988</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37F4FD4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w:t>
            </w:r>
          </w:p>
        </w:tc>
      </w:tr>
      <w:tr w14:paraId="2C6658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83C4E4">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666F05">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总大肠菌群</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0AC37D8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1"/>
                <w:position w:val="2"/>
                <w:sz w:val="21"/>
                <w:szCs w:val="21"/>
                <w:highlight w:val="none"/>
                <w:lang w:val="en-US" w:eastAsia="zh-CN"/>
                <w14:textFill>
                  <w14:solidFill>
                    <w14:schemeClr w14:val="tx1"/>
                  </w14:solidFill>
                </w14:textFill>
              </w:rPr>
              <w:t>MPN</w:t>
            </w:r>
            <w:r>
              <w:rPr>
                <w:rFonts w:hint="default" w:ascii="Times New Roman" w:hAnsi="Times New Roman" w:eastAsia="宋体" w:cs="Times New Roman"/>
                <w:color w:val="000000" w:themeColor="text1"/>
                <w:spacing w:val="-1"/>
                <w:position w:val="2"/>
                <w:sz w:val="21"/>
                <w:szCs w:val="21"/>
                <w:highlight w:val="none"/>
                <w14:textFill>
                  <w14:solidFill>
                    <w14:schemeClr w14:val="tx1"/>
                  </w14:solidFill>
                </w14:textFill>
              </w:rPr>
              <w:t>/L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401ECF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未检出</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940AB6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6CB718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未检出</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E1888C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9CB950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未检出</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2E6443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E89107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02F73F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15589C7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r>
      <w:tr w14:paraId="40A5C2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6BE48E">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42C172">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菌</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落</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总数</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3D8B4BD1">
            <w:pPr>
              <w:keepNext w:val="0"/>
              <w:keepLines w:val="0"/>
              <w:pageBreakBefore w:val="0"/>
              <w:widowControl/>
              <w:kinsoku/>
              <w:wordWrap/>
              <w:overflowPunct/>
              <w:topLinePunct w:val="0"/>
              <w:autoSpaceDE w:val="0"/>
              <w:autoSpaceDN/>
              <w:bidi w:val="0"/>
              <w:adjustRightInd/>
              <w:snapToGrid/>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6"/>
                <w:position w:val="2"/>
                <w:sz w:val="21"/>
                <w:szCs w:val="21"/>
                <w:highlight w:val="none"/>
                <w:lang w:val="en-US" w:eastAsia="zh-CN"/>
                <w14:textFill>
                  <w14:solidFill>
                    <w14:schemeClr w14:val="tx1"/>
                  </w14:solidFill>
                </w14:textFill>
              </w:rPr>
              <w:t>CFU</w:t>
            </w:r>
            <w:r>
              <w:rPr>
                <w:rFonts w:hint="default" w:ascii="Times New Roman" w:hAnsi="Times New Roman" w:eastAsia="宋体" w:cs="Times New Roman"/>
                <w:color w:val="000000" w:themeColor="text1"/>
                <w:spacing w:val="26"/>
                <w:position w:val="2"/>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26"/>
                <w:position w:val="2"/>
                <w:sz w:val="21"/>
                <w:szCs w:val="21"/>
                <w:highlight w:val="none"/>
                <w:lang w:val="en-US" w:eastAsia="zh-CN"/>
                <w14:textFill>
                  <w14:solidFill>
                    <w14:schemeClr w14:val="tx1"/>
                  </w14:solidFill>
                </w14:textFill>
              </w:rPr>
              <w:t>皿</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BE46FDE">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47</w:t>
            </w:r>
          </w:p>
        </w:tc>
        <w:tc>
          <w:tcPr>
            <w:tcW w:w="431" w:type="pct"/>
            <w:tcBorders>
              <w:top w:val="single" w:color="auto" w:sz="4" w:space="0"/>
              <w:left w:val="nil"/>
              <w:bottom w:val="single" w:color="auto" w:sz="4" w:space="0"/>
              <w:right w:val="single" w:color="auto" w:sz="4" w:space="0"/>
            </w:tcBorders>
            <w:shd w:val="clear" w:color="auto" w:fill="auto"/>
            <w:vAlign w:val="center"/>
          </w:tcPr>
          <w:p w14:paraId="5DE9591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EEA3F01">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23</w:t>
            </w:r>
          </w:p>
        </w:tc>
        <w:tc>
          <w:tcPr>
            <w:tcW w:w="431" w:type="pct"/>
            <w:tcBorders>
              <w:top w:val="single" w:color="auto" w:sz="4" w:space="0"/>
              <w:left w:val="nil"/>
              <w:bottom w:val="single" w:color="auto" w:sz="4" w:space="0"/>
              <w:right w:val="single" w:color="auto" w:sz="4" w:space="0"/>
            </w:tcBorders>
            <w:shd w:val="clear" w:color="auto" w:fill="auto"/>
            <w:vAlign w:val="center"/>
          </w:tcPr>
          <w:p w14:paraId="157C432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9A44DB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w:t>
            </w:r>
          </w:p>
        </w:tc>
        <w:tc>
          <w:tcPr>
            <w:tcW w:w="431" w:type="pct"/>
            <w:tcBorders>
              <w:top w:val="single" w:color="auto" w:sz="4" w:space="0"/>
              <w:left w:val="nil"/>
              <w:bottom w:val="single" w:color="auto" w:sz="4" w:space="0"/>
              <w:right w:val="single" w:color="auto" w:sz="4" w:space="0"/>
            </w:tcBorders>
            <w:shd w:val="clear" w:color="auto" w:fill="auto"/>
            <w:vAlign w:val="center"/>
          </w:tcPr>
          <w:p w14:paraId="42503B0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2A6F8C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8B38BD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1DB0F36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r>
      <w:tr w14:paraId="4068E6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8825C1">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C0D7AA">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硫化物</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55A883B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mg</w:t>
            </w:r>
            <w:r>
              <w:rPr>
                <w:rFonts w:hint="default" w:ascii="Times New Roman" w:hAnsi="Times New Roman" w:eastAsia="宋体" w:cs="Times New Roman"/>
                <w:color w:val="000000" w:themeColor="text1"/>
                <w:spacing w:val="16"/>
                <w:position w:val="4"/>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0214CF9">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0.018</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E3E278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D16BE12">
            <w:pPr>
              <w:keepNext w:val="0"/>
              <w:keepLines w:val="0"/>
              <w:pageBreakBefore w:val="0"/>
              <w:widowControl/>
              <w:suppressLineNumbers w:val="0"/>
              <w:kinsoku/>
              <w:wordWrap/>
              <w:overflowPunct/>
              <w:topLinePunct w:val="0"/>
              <w:autoSpaceDN/>
              <w:bidi w:val="0"/>
              <w:adjustRightInd/>
              <w:snapToGrid/>
              <w:spacing w:line="240" w:lineRule="auto"/>
              <w:ind w:left="0" w:leftChars="0" w:firstLine="0" w:firstLineChars="0"/>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0.018</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66AB579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A6D361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0.016</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3DD395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4E2E0B22">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0.018</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0FA8B3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0.900</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35A3A46B">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0.02</w:t>
            </w:r>
          </w:p>
        </w:tc>
      </w:tr>
      <w:tr w14:paraId="31DD3D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50395AC8">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c>
          <w:tcPr>
            <w:tcW w:w="404" w:type="pct"/>
            <w:tcBorders>
              <w:top w:val="single" w:color="auto" w:sz="4" w:space="0"/>
              <w:left w:val="single" w:color="auto" w:sz="4" w:space="0"/>
              <w:bottom w:val="single" w:color="auto" w:sz="4" w:space="0"/>
              <w:right w:val="single" w:color="auto" w:sz="4" w:space="0"/>
            </w:tcBorders>
            <w:noWrap/>
            <w:vAlign w:val="center"/>
          </w:tcPr>
          <w:p w14:paraId="36A680B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阴离子表面活性剂</w:t>
            </w:r>
          </w:p>
        </w:tc>
        <w:tc>
          <w:tcPr>
            <w:tcW w:w="398" w:type="pct"/>
            <w:tcBorders>
              <w:top w:val="single" w:color="auto" w:sz="4" w:space="0"/>
              <w:left w:val="nil"/>
              <w:bottom w:val="single" w:color="auto" w:sz="4" w:space="0"/>
              <w:right w:val="single" w:color="auto" w:sz="4" w:space="0"/>
            </w:tcBorders>
            <w:noWrap/>
            <w:vAlign w:val="center"/>
          </w:tcPr>
          <w:p w14:paraId="0C3C332A">
            <w:pPr>
              <w:keepNext w:val="0"/>
              <w:keepLines w:val="0"/>
              <w:pageBreakBefore w:val="0"/>
              <w:widowControl/>
              <w:kinsoku/>
              <w:wordWrap/>
              <w:overflowPunct/>
              <w:topLinePunct w:val="0"/>
              <w:autoSpaceDE w:val="0"/>
              <w:autoSpaceDN/>
              <w:bidi w:val="0"/>
              <w:adjustRightInd/>
              <w:snapToGrid/>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379DA86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0.15</w:t>
            </w:r>
          </w:p>
        </w:tc>
        <w:tc>
          <w:tcPr>
            <w:tcW w:w="431" w:type="pct"/>
            <w:tcBorders>
              <w:top w:val="single" w:color="auto" w:sz="4" w:space="0"/>
              <w:left w:val="nil"/>
              <w:bottom w:val="single" w:color="auto" w:sz="4" w:space="0"/>
              <w:right w:val="single" w:color="auto" w:sz="4" w:space="0"/>
            </w:tcBorders>
            <w:noWrap/>
            <w:vAlign w:val="center"/>
          </w:tcPr>
          <w:p w14:paraId="335EE0D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0.500</w:t>
            </w:r>
          </w:p>
        </w:tc>
        <w:tc>
          <w:tcPr>
            <w:tcW w:w="431" w:type="pct"/>
            <w:tcBorders>
              <w:top w:val="single" w:color="auto" w:sz="4" w:space="0"/>
              <w:left w:val="nil"/>
              <w:bottom w:val="single" w:color="auto" w:sz="4" w:space="0"/>
              <w:right w:val="single" w:color="auto" w:sz="4" w:space="0"/>
            </w:tcBorders>
            <w:noWrap/>
            <w:vAlign w:val="center"/>
          </w:tcPr>
          <w:p w14:paraId="41E49B7F">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545F08D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6D0784F4">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42BAAA7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451EE1E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5B8FF9A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noWrap/>
            <w:vAlign w:val="center"/>
          </w:tcPr>
          <w:p w14:paraId="506F78F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w:t>
            </w:r>
          </w:p>
        </w:tc>
      </w:tr>
      <w:tr w14:paraId="4EFD56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2AEF298A">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404" w:type="pct"/>
            <w:tcBorders>
              <w:top w:val="single" w:color="auto" w:sz="4" w:space="0"/>
              <w:left w:val="single" w:color="auto" w:sz="4" w:space="0"/>
              <w:bottom w:val="single" w:color="auto" w:sz="4" w:space="0"/>
              <w:right w:val="single" w:color="auto" w:sz="4" w:space="0"/>
            </w:tcBorders>
            <w:noWrap/>
            <w:vAlign w:val="center"/>
          </w:tcPr>
          <w:p w14:paraId="76D8D4F0">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镍</w:t>
            </w:r>
          </w:p>
        </w:tc>
        <w:tc>
          <w:tcPr>
            <w:tcW w:w="398" w:type="pct"/>
            <w:tcBorders>
              <w:top w:val="single" w:color="auto" w:sz="4" w:space="0"/>
              <w:left w:val="nil"/>
              <w:bottom w:val="single" w:color="auto" w:sz="4" w:space="0"/>
              <w:right w:val="single" w:color="auto" w:sz="4" w:space="0"/>
            </w:tcBorders>
            <w:noWrap/>
            <w:vAlign w:val="center"/>
          </w:tcPr>
          <w:p w14:paraId="1226DFF7">
            <w:pPr>
              <w:keepNext w:val="0"/>
              <w:keepLines w:val="0"/>
              <w:pageBreakBefore w:val="0"/>
              <w:widowControl/>
              <w:kinsoku/>
              <w:wordWrap/>
              <w:overflowPunct/>
              <w:topLinePunct w:val="0"/>
              <w:autoSpaceDE w:val="0"/>
              <w:autoSpaceDN/>
              <w:bidi w:val="0"/>
              <w:adjustRightInd/>
              <w:snapToGrid/>
              <w:spacing w:line="240" w:lineRule="auto"/>
              <w:jc w:val="center"/>
              <w:rPr>
                <w:rFonts w:hint="eastAsia" w:ascii="Times New Roman" w:hAnsi="Times New Roman" w:eastAsia="宋体" w:cs="Times New Roman"/>
                <w:color w:val="000000" w:themeColor="text1"/>
                <w:position w:val="4"/>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position w:val="4"/>
                <w:sz w:val="21"/>
                <w:szCs w:val="21"/>
                <w:highlight w:val="none"/>
                <w:lang w:val="en-US" w:eastAsia="zh-CN"/>
                <w14:textFill>
                  <w14:solidFill>
                    <w14:schemeClr w14:val="tx1"/>
                  </w14:solidFill>
                </w14:textFill>
              </w:rPr>
              <w:t>mg/l</w:t>
            </w:r>
          </w:p>
        </w:tc>
        <w:tc>
          <w:tcPr>
            <w:tcW w:w="431" w:type="pct"/>
            <w:tcBorders>
              <w:top w:val="single" w:color="auto" w:sz="4" w:space="0"/>
              <w:left w:val="nil"/>
              <w:bottom w:val="single" w:color="auto" w:sz="4" w:space="0"/>
              <w:right w:val="single" w:color="auto" w:sz="4" w:space="0"/>
            </w:tcBorders>
            <w:noWrap/>
            <w:vAlign w:val="center"/>
          </w:tcPr>
          <w:p w14:paraId="112573C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333AA00E">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02DD398C">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5D5A9D8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6638ADD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5F7E584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1" w:type="pct"/>
            <w:tcBorders>
              <w:top w:val="single" w:color="auto" w:sz="4" w:space="0"/>
              <w:left w:val="nil"/>
              <w:bottom w:val="single" w:color="auto" w:sz="4" w:space="0"/>
              <w:right w:val="single" w:color="auto" w:sz="4" w:space="0"/>
            </w:tcBorders>
            <w:noWrap/>
            <w:vAlign w:val="center"/>
          </w:tcPr>
          <w:p w14:paraId="7F172B2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0.05L</w:t>
            </w:r>
          </w:p>
        </w:tc>
        <w:tc>
          <w:tcPr>
            <w:tcW w:w="431" w:type="pct"/>
            <w:tcBorders>
              <w:top w:val="single" w:color="auto" w:sz="4" w:space="0"/>
              <w:left w:val="nil"/>
              <w:bottom w:val="single" w:color="auto" w:sz="4" w:space="0"/>
              <w:right w:val="single" w:color="auto" w:sz="4" w:space="0"/>
            </w:tcBorders>
            <w:noWrap/>
            <w:vAlign w:val="center"/>
          </w:tcPr>
          <w:p w14:paraId="4E68170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9" w:type="pct"/>
            <w:tcBorders>
              <w:top w:val="single" w:color="auto" w:sz="4" w:space="0"/>
              <w:left w:val="nil"/>
              <w:bottom w:val="single" w:color="auto" w:sz="4" w:space="0"/>
              <w:right w:val="single" w:color="auto" w:sz="4" w:space="0"/>
            </w:tcBorders>
            <w:noWrap/>
            <w:vAlign w:val="center"/>
          </w:tcPr>
          <w:p w14:paraId="2FD38706">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0.02</w:t>
            </w:r>
          </w:p>
        </w:tc>
      </w:tr>
      <w:tr w14:paraId="37006D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6" w:type="pct"/>
            <w:tcBorders>
              <w:top w:val="single" w:color="auto" w:sz="4" w:space="0"/>
              <w:left w:val="single" w:color="auto" w:sz="4" w:space="0"/>
              <w:bottom w:val="single" w:color="auto" w:sz="4" w:space="0"/>
              <w:right w:val="single" w:color="auto" w:sz="4" w:space="0"/>
            </w:tcBorders>
            <w:noWrap/>
            <w:vAlign w:val="center"/>
          </w:tcPr>
          <w:p w14:paraId="40F42FAD">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62D3DE">
            <w:pPr>
              <w:keepNext w:val="0"/>
              <w:keepLines w:val="0"/>
              <w:pageBreakBefore w:val="0"/>
              <w:widowControl/>
              <w:suppressLineNumbers w:val="0"/>
              <w:kinsoku/>
              <w:wordWrap/>
              <w:overflowPunct/>
              <w:topLinePunct w:val="0"/>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石油类</w:t>
            </w:r>
          </w:p>
        </w:tc>
        <w:tc>
          <w:tcPr>
            <w:tcW w:w="398" w:type="pct"/>
            <w:tcBorders>
              <w:top w:val="single" w:color="auto" w:sz="4" w:space="0"/>
              <w:left w:val="nil"/>
              <w:bottom w:val="single" w:color="auto" w:sz="4" w:space="0"/>
              <w:right w:val="single" w:color="auto" w:sz="4" w:space="0"/>
            </w:tcBorders>
            <w:shd w:val="clear" w:color="auto" w:fill="auto"/>
            <w:noWrap/>
            <w:vAlign w:val="center"/>
          </w:tcPr>
          <w:p w14:paraId="79BDD665">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mg</w:t>
            </w:r>
            <w:r>
              <w:rPr>
                <w:rFonts w:hint="default" w:ascii="Times New Roman" w:hAnsi="Times New Roman" w:eastAsia="宋体" w:cs="Times New Roman"/>
                <w:color w:val="000000" w:themeColor="text1"/>
                <w:spacing w:val="16"/>
                <w:position w:val="4"/>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4"/>
                <w:sz w:val="21"/>
                <w:szCs w:val="21"/>
                <w:highlight w:val="none"/>
                <w14:textFill>
                  <w14:solidFill>
                    <w14:schemeClr w14:val="tx1"/>
                  </w14:solidFill>
                </w14:textFill>
              </w:rPr>
              <w:t>L</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798687B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0.04</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20E84B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2D2A5F0A">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32022359">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52B90C71">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621C5D7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0.400</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1D6D0150">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431" w:type="pct"/>
            <w:tcBorders>
              <w:top w:val="single" w:color="auto" w:sz="4" w:space="0"/>
              <w:left w:val="nil"/>
              <w:bottom w:val="single" w:color="auto" w:sz="4" w:space="0"/>
              <w:right w:val="single" w:color="auto" w:sz="4" w:space="0"/>
            </w:tcBorders>
            <w:shd w:val="clear" w:color="auto" w:fill="auto"/>
            <w:noWrap/>
            <w:vAlign w:val="center"/>
          </w:tcPr>
          <w:p w14:paraId="05EF59D3">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0.400</w:t>
            </w:r>
          </w:p>
        </w:tc>
        <w:tc>
          <w:tcPr>
            <w:tcW w:w="459" w:type="pct"/>
            <w:tcBorders>
              <w:top w:val="single" w:color="auto" w:sz="4" w:space="0"/>
              <w:left w:val="nil"/>
              <w:bottom w:val="single" w:color="auto" w:sz="4" w:space="0"/>
              <w:right w:val="single" w:color="auto" w:sz="4" w:space="0"/>
            </w:tcBorders>
            <w:shd w:val="clear" w:color="auto" w:fill="auto"/>
            <w:noWrap/>
            <w:vAlign w:val="center"/>
          </w:tcPr>
          <w:p w14:paraId="54B8DB17">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r>
    </w:tbl>
    <w:p w14:paraId="7E9F7C0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由上表分析可知，监测点因子均满足《地下水质量标准》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GB/T14848-2017</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Ⅲ类标准，石油类满足《地表水环境质量标准》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GB3838-2002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Ⅲ类标准要求。</w:t>
      </w:r>
    </w:p>
    <w:p w14:paraId="24DCA6B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③地下水质量现状监测结果统计分析</w:t>
      </w:r>
    </w:p>
    <w:p w14:paraId="60F6DDF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本次监测</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口井各监测因子最大值、最小值、均值、标准差、检出率和超标率见表4.</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D68D657">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潜水监测井</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 xml:space="preserve">监测统计分析结果一览表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mg/L  pH</w:t>
      </w:r>
      <w:r>
        <w:rPr>
          <w:rFonts w:hint="eastAsia"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无量纲</w:t>
      </w:r>
      <w:r>
        <w:rPr>
          <w:rFonts w:hint="eastAsia" w:cs="Times New Roman"/>
          <w:b/>
          <w:bCs/>
          <w:color w:val="000000" w:themeColor="text1"/>
          <w:sz w:val="21"/>
          <w:szCs w:val="21"/>
          <w:highlight w:val="none"/>
          <w:lang w:eastAsia="zh-CN"/>
          <w14:textFill>
            <w14:solidFill>
              <w14:schemeClr w14:val="tx1"/>
            </w14:solidFill>
          </w14:textFill>
        </w:rPr>
        <w:t>）</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585"/>
        <w:gridCol w:w="937"/>
        <w:gridCol w:w="1187"/>
        <w:gridCol w:w="1192"/>
        <w:gridCol w:w="1124"/>
        <w:gridCol w:w="1184"/>
        <w:gridCol w:w="1148"/>
      </w:tblGrid>
      <w:tr w14:paraId="12E3D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042C4C1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项目</w:t>
            </w:r>
          </w:p>
        </w:tc>
        <w:tc>
          <w:tcPr>
            <w:tcW w:w="560" w:type="pct"/>
            <w:noWrap w:val="0"/>
            <w:vAlign w:val="center"/>
          </w:tcPr>
          <w:p w14:paraId="0D46078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最大值</w:t>
            </w:r>
          </w:p>
        </w:tc>
        <w:tc>
          <w:tcPr>
            <w:tcW w:w="710" w:type="pct"/>
            <w:noWrap w:val="0"/>
            <w:vAlign w:val="center"/>
          </w:tcPr>
          <w:p w14:paraId="6C3D96A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最小值</w:t>
            </w:r>
          </w:p>
        </w:tc>
        <w:tc>
          <w:tcPr>
            <w:tcW w:w="713" w:type="pct"/>
            <w:noWrap w:val="0"/>
            <w:vAlign w:val="center"/>
          </w:tcPr>
          <w:p w14:paraId="7B94BD3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均值</w:t>
            </w:r>
          </w:p>
        </w:tc>
        <w:tc>
          <w:tcPr>
            <w:tcW w:w="672" w:type="pct"/>
            <w:noWrap w:val="0"/>
            <w:vAlign w:val="center"/>
          </w:tcPr>
          <w:p w14:paraId="2E40377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标准差</w:t>
            </w:r>
          </w:p>
        </w:tc>
        <w:tc>
          <w:tcPr>
            <w:tcW w:w="708" w:type="pct"/>
            <w:noWrap w:val="0"/>
            <w:vAlign w:val="center"/>
          </w:tcPr>
          <w:p w14:paraId="5E16B7B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检出率</w:t>
            </w:r>
            <w:r>
              <w:rPr>
                <w:rFonts w:hint="eastAsia" w:cs="Times New Roman"/>
                <w:b/>
                <w:bCs/>
                <w:color w:val="000000" w:themeColor="text1"/>
                <w:spacing w:val="-10"/>
                <w:kern w:val="2"/>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w:t>
            </w:r>
            <w:r>
              <w:rPr>
                <w:rFonts w:hint="eastAsia" w:cs="Times New Roman"/>
                <w:b/>
                <w:bCs/>
                <w:color w:val="000000" w:themeColor="text1"/>
                <w:spacing w:val="-10"/>
                <w:kern w:val="2"/>
                <w:sz w:val="21"/>
                <w:szCs w:val="21"/>
                <w:highlight w:val="none"/>
                <w:lang w:eastAsia="zh-CN"/>
                <w14:textFill>
                  <w14:solidFill>
                    <w14:schemeClr w14:val="tx1"/>
                  </w14:solidFill>
                </w14:textFill>
              </w:rPr>
              <w:t>）</w:t>
            </w:r>
          </w:p>
        </w:tc>
        <w:tc>
          <w:tcPr>
            <w:tcW w:w="686" w:type="pct"/>
            <w:noWrap w:val="0"/>
            <w:vAlign w:val="center"/>
          </w:tcPr>
          <w:p w14:paraId="40A87BE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超标率</w:t>
            </w:r>
            <w:r>
              <w:rPr>
                <w:rFonts w:hint="eastAsia" w:cs="Times New Roman"/>
                <w:b/>
                <w:bCs/>
                <w:color w:val="000000" w:themeColor="text1"/>
                <w:spacing w:val="-10"/>
                <w:kern w:val="2"/>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w:t>
            </w:r>
            <w:r>
              <w:rPr>
                <w:rFonts w:hint="eastAsia" w:cs="Times New Roman"/>
                <w:b/>
                <w:bCs/>
                <w:color w:val="000000" w:themeColor="text1"/>
                <w:spacing w:val="-10"/>
                <w:kern w:val="2"/>
                <w:sz w:val="21"/>
                <w:szCs w:val="21"/>
                <w:highlight w:val="none"/>
                <w:lang w:eastAsia="zh-CN"/>
                <w14:textFill>
                  <w14:solidFill>
                    <w14:schemeClr w14:val="tx1"/>
                  </w14:solidFill>
                </w14:textFill>
              </w:rPr>
              <w:t>）</w:t>
            </w:r>
          </w:p>
        </w:tc>
      </w:tr>
      <w:tr w14:paraId="23F26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30FEF03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pH值</w:t>
            </w:r>
          </w:p>
        </w:tc>
        <w:tc>
          <w:tcPr>
            <w:tcW w:w="560" w:type="pct"/>
            <w:noWrap w:val="0"/>
            <w:vAlign w:val="center"/>
          </w:tcPr>
          <w:p w14:paraId="7D19CD3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7.3</w:t>
            </w:r>
          </w:p>
        </w:tc>
        <w:tc>
          <w:tcPr>
            <w:tcW w:w="710" w:type="pct"/>
            <w:noWrap w:val="0"/>
            <w:vAlign w:val="center"/>
          </w:tcPr>
          <w:p w14:paraId="03B4939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6.8</w:t>
            </w:r>
          </w:p>
        </w:tc>
        <w:tc>
          <w:tcPr>
            <w:tcW w:w="713" w:type="pct"/>
            <w:noWrap w:val="0"/>
            <w:vAlign w:val="center"/>
          </w:tcPr>
          <w:p w14:paraId="437F1BD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7.0</w:t>
            </w:r>
          </w:p>
        </w:tc>
        <w:tc>
          <w:tcPr>
            <w:tcW w:w="672" w:type="pct"/>
            <w:noWrap w:val="0"/>
            <w:vAlign w:val="center"/>
          </w:tcPr>
          <w:p w14:paraId="7577C66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0.22</w:t>
            </w:r>
          </w:p>
        </w:tc>
        <w:tc>
          <w:tcPr>
            <w:tcW w:w="708" w:type="pct"/>
            <w:noWrap w:val="0"/>
            <w:vAlign w:val="center"/>
          </w:tcPr>
          <w:p w14:paraId="060887A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08917E8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6732D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6B9046A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总硬度</w:t>
            </w:r>
          </w:p>
        </w:tc>
        <w:tc>
          <w:tcPr>
            <w:tcW w:w="560" w:type="pct"/>
            <w:noWrap w:val="0"/>
            <w:vAlign w:val="center"/>
          </w:tcPr>
          <w:p w14:paraId="26BF432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426</w:t>
            </w:r>
          </w:p>
        </w:tc>
        <w:tc>
          <w:tcPr>
            <w:tcW w:w="710" w:type="pct"/>
            <w:noWrap w:val="0"/>
            <w:vAlign w:val="center"/>
          </w:tcPr>
          <w:p w14:paraId="2B7035C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178</w:t>
            </w:r>
          </w:p>
        </w:tc>
        <w:tc>
          <w:tcPr>
            <w:tcW w:w="713" w:type="pct"/>
            <w:noWrap w:val="0"/>
            <w:vAlign w:val="center"/>
          </w:tcPr>
          <w:p w14:paraId="387FF58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246</w:t>
            </w:r>
          </w:p>
        </w:tc>
        <w:tc>
          <w:tcPr>
            <w:tcW w:w="672" w:type="pct"/>
            <w:noWrap w:val="0"/>
            <w:vAlign w:val="center"/>
          </w:tcPr>
          <w:p w14:paraId="62B4734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120.18</w:t>
            </w:r>
          </w:p>
        </w:tc>
        <w:tc>
          <w:tcPr>
            <w:tcW w:w="708" w:type="pct"/>
            <w:noWrap w:val="0"/>
            <w:vAlign w:val="center"/>
          </w:tcPr>
          <w:p w14:paraId="39B1D73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31CAC3E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4B393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48" w:type="pct"/>
            <w:noWrap w:val="0"/>
            <w:vAlign w:val="center"/>
          </w:tcPr>
          <w:p w14:paraId="41C2AF4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溶解性总固体</w:t>
            </w:r>
          </w:p>
        </w:tc>
        <w:tc>
          <w:tcPr>
            <w:tcW w:w="560" w:type="pct"/>
            <w:noWrap w:val="0"/>
            <w:vAlign w:val="center"/>
          </w:tcPr>
          <w:p w14:paraId="018BE00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967</w:t>
            </w:r>
          </w:p>
        </w:tc>
        <w:tc>
          <w:tcPr>
            <w:tcW w:w="710" w:type="pct"/>
            <w:noWrap w:val="0"/>
            <w:vAlign w:val="center"/>
          </w:tcPr>
          <w:p w14:paraId="248DECA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795</w:t>
            </w:r>
          </w:p>
        </w:tc>
        <w:tc>
          <w:tcPr>
            <w:tcW w:w="713" w:type="pct"/>
            <w:noWrap w:val="0"/>
            <w:vAlign w:val="center"/>
          </w:tcPr>
          <w:p w14:paraId="58E89F7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866</w:t>
            </w:r>
          </w:p>
        </w:tc>
        <w:tc>
          <w:tcPr>
            <w:tcW w:w="672" w:type="pct"/>
            <w:noWrap w:val="0"/>
            <w:vAlign w:val="center"/>
          </w:tcPr>
          <w:p w14:paraId="5BA309D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75.5</w:t>
            </w:r>
          </w:p>
        </w:tc>
        <w:tc>
          <w:tcPr>
            <w:tcW w:w="708" w:type="pct"/>
            <w:noWrap w:val="0"/>
            <w:vAlign w:val="center"/>
          </w:tcPr>
          <w:p w14:paraId="014CBE3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04141D8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64E18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24D0A56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硫酸盐</w:t>
            </w:r>
          </w:p>
        </w:tc>
        <w:tc>
          <w:tcPr>
            <w:tcW w:w="560" w:type="pct"/>
            <w:noWrap w:val="0"/>
            <w:vAlign w:val="center"/>
          </w:tcPr>
          <w:p w14:paraId="573FDBE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185</w:t>
            </w:r>
          </w:p>
        </w:tc>
        <w:tc>
          <w:tcPr>
            <w:tcW w:w="710" w:type="pct"/>
            <w:noWrap w:val="0"/>
            <w:vAlign w:val="center"/>
          </w:tcPr>
          <w:p w14:paraId="7EAF1DE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31</w:t>
            </w:r>
          </w:p>
        </w:tc>
        <w:tc>
          <w:tcPr>
            <w:tcW w:w="713" w:type="pct"/>
            <w:noWrap w:val="0"/>
            <w:vAlign w:val="center"/>
          </w:tcPr>
          <w:p w14:paraId="00529BF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70.5</w:t>
            </w:r>
          </w:p>
        </w:tc>
        <w:tc>
          <w:tcPr>
            <w:tcW w:w="672" w:type="pct"/>
            <w:noWrap w:val="0"/>
            <w:vAlign w:val="center"/>
          </w:tcPr>
          <w:p w14:paraId="6850142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76.34</w:t>
            </w:r>
          </w:p>
        </w:tc>
        <w:tc>
          <w:tcPr>
            <w:tcW w:w="708" w:type="pct"/>
            <w:noWrap w:val="0"/>
            <w:vAlign w:val="center"/>
          </w:tcPr>
          <w:p w14:paraId="2D73B99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46F5A31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53571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107DBE1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氯化物</w:t>
            </w:r>
          </w:p>
        </w:tc>
        <w:tc>
          <w:tcPr>
            <w:tcW w:w="560" w:type="pct"/>
            <w:noWrap w:val="0"/>
            <w:vAlign w:val="center"/>
          </w:tcPr>
          <w:p w14:paraId="5AF86E6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247</w:t>
            </w:r>
          </w:p>
        </w:tc>
        <w:tc>
          <w:tcPr>
            <w:tcW w:w="710" w:type="pct"/>
            <w:noWrap w:val="0"/>
            <w:vAlign w:val="center"/>
          </w:tcPr>
          <w:p w14:paraId="7532EB7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234</w:t>
            </w:r>
          </w:p>
        </w:tc>
        <w:tc>
          <w:tcPr>
            <w:tcW w:w="713" w:type="pct"/>
            <w:noWrap w:val="0"/>
            <w:vAlign w:val="center"/>
          </w:tcPr>
          <w:p w14:paraId="20D10D1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242.5</w:t>
            </w:r>
          </w:p>
        </w:tc>
        <w:tc>
          <w:tcPr>
            <w:tcW w:w="672" w:type="pct"/>
            <w:noWrap w:val="0"/>
            <w:vAlign w:val="center"/>
          </w:tcPr>
          <w:p w14:paraId="50FE2B3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5.8</w:t>
            </w:r>
          </w:p>
        </w:tc>
        <w:tc>
          <w:tcPr>
            <w:tcW w:w="708" w:type="pct"/>
            <w:noWrap w:val="0"/>
            <w:vAlign w:val="center"/>
          </w:tcPr>
          <w:p w14:paraId="57583BA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3D382DE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6D137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52BD0A7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铁</w:t>
            </w:r>
          </w:p>
        </w:tc>
        <w:tc>
          <w:tcPr>
            <w:tcW w:w="560" w:type="pct"/>
            <w:noWrap w:val="0"/>
            <w:vAlign w:val="center"/>
          </w:tcPr>
          <w:p w14:paraId="2F5AB67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0" w:type="pct"/>
            <w:noWrap w:val="0"/>
            <w:vAlign w:val="center"/>
          </w:tcPr>
          <w:p w14:paraId="714EC16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0AC6419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highlight w:val="none"/>
                <w:lang w:eastAsia="zh-CN"/>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7974884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highlight w:val="none"/>
                <w:lang w:eastAsia="zh-CN"/>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66712BC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4DCFC4F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50804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0279F44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锰</w:t>
            </w:r>
          </w:p>
        </w:tc>
        <w:tc>
          <w:tcPr>
            <w:tcW w:w="560" w:type="pct"/>
            <w:noWrap w:val="0"/>
            <w:vAlign w:val="center"/>
          </w:tcPr>
          <w:p w14:paraId="111E327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w:t>
            </w:r>
          </w:p>
        </w:tc>
        <w:tc>
          <w:tcPr>
            <w:tcW w:w="710" w:type="pct"/>
            <w:noWrap w:val="0"/>
            <w:vAlign w:val="center"/>
          </w:tcPr>
          <w:p w14:paraId="704EC97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49752B3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643735F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67F2968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2AFB171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7407A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39EFAAF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挥发性酚类</w:t>
            </w:r>
          </w:p>
        </w:tc>
        <w:tc>
          <w:tcPr>
            <w:tcW w:w="560" w:type="pct"/>
            <w:noWrap w:val="0"/>
            <w:vAlign w:val="center"/>
          </w:tcPr>
          <w:p w14:paraId="42EE482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0.0018</w:t>
            </w:r>
          </w:p>
        </w:tc>
        <w:tc>
          <w:tcPr>
            <w:tcW w:w="710" w:type="pct"/>
            <w:noWrap w:val="0"/>
            <w:vAlign w:val="center"/>
          </w:tcPr>
          <w:p w14:paraId="6895827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1045743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1004B06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01CC233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1BA0A86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6A4F4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575C270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阴离子表面活性剂</w:t>
            </w:r>
          </w:p>
        </w:tc>
        <w:tc>
          <w:tcPr>
            <w:tcW w:w="560" w:type="pct"/>
            <w:noWrap w:val="0"/>
            <w:vAlign w:val="center"/>
          </w:tcPr>
          <w:p w14:paraId="7FCB9B1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0.15</w:t>
            </w:r>
          </w:p>
        </w:tc>
        <w:tc>
          <w:tcPr>
            <w:tcW w:w="710" w:type="pct"/>
            <w:noWrap w:val="0"/>
            <w:vAlign w:val="center"/>
          </w:tcPr>
          <w:p w14:paraId="1A4862D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6B869FC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11307EF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3AAF790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602C687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0CBE5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3CC1C58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耗氧量</w:t>
            </w:r>
          </w:p>
        </w:tc>
        <w:tc>
          <w:tcPr>
            <w:tcW w:w="560" w:type="pct"/>
            <w:noWrap w:val="0"/>
            <w:vAlign w:val="center"/>
          </w:tcPr>
          <w:p w14:paraId="3B8C26D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1.66</w:t>
            </w:r>
          </w:p>
        </w:tc>
        <w:tc>
          <w:tcPr>
            <w:tcW w:w="710" w:type="pct"/>
            <w:noWrap w:val="0"/>
            <w:vAlign w:val="center"/>
          </w:tcPr>
          <w:p w14:paraId="23AB98F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1.38</w:t>
            </w:r>
          </w:p>
        </w:tc>
        <w:tc>
          <w:tcPr>
            <w:tcW w:w="713" w:type="pct"/>
            <w:noWrap w:val="0"/>
            <w:vAlign w:val="center"/>
          </w:tcPr>
          <w:p w14:paraId="33FB060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1.51</w:t>
            </w:r>
          </w:p>
        </w:tc>
        <w:tc>
          <w:tcPr>
            <w:tcW w:w="672" w:type="pct"/>
            <w:noWrap w:val="0"/>
            <w:vAlign w:val="center"/>
          </w:tcPr>
          <w:p w14:paraId="314DE09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0.13</w:t>
            </w:r>
          </w:p>
        </w:tc>
        <w:tc>
          <w:tcPr>
            <w:tcW w:w="708" w:type="pct"/>
            <w:noWrap w:val="0"/>
            <w:vAlign w:val="center"/>
          </w:tcPr>
          <w:p w14:paraId="584B4B8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0D8E313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41D7C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0C46B07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氨氮</w:t>
            </w:r>
          </w:p>
        </w:tc>
        <w:tc>
          <w:tcPr>
            <w:tcW w:w="560" w:type="pct"/>
            <w:noWrap w:val="0"/>
            <w:vAlign w:val="center"/>
          </w:tcPr>
          <w:p w14:paraId="1810887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0.296</w:t>
            </w:r>
          </w:p>
        </w:tc>
        <w:tc>
          <w:tcPr>
            <w:tcW w:w="710" w:type="pct"/>
            <w:noWrap w:val="0"/>
            <w:vAlign w:val="center"/>
          </w:tcPr>
          <w:p w14:paraId="24619ED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0.241</w:t>
            </w:r>
          </w:p>
        </w:tc>
        <w:tc>
          <w:tcPr>
            <w:tcW w:w="713" w:type="pct"/>
            <w:noWrap w:val="0"/>
            <w:vAlign w:val="center"/>
          </w:tcPr>
          <w:p w14:paraId="4A5C9D9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0.27</w:t>
            </w:r>
          </w:p>
        </w:tc>
        <w:tc>
          <w:tcPr>
            <w:tcW w:w="672" w:type="pct"/>
            <w:noWrap w:val="0"/>
            <w:vAlign w:val="center"/>
          </w:tcPr>
          <w:p w14:paraId="6C5D4EA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w:t>
            </w:r>
          </w:p>
        </w:tc>
        <w:tc>
          <w:tcPr>
            <w:tcW w:w="708" w:type="pct"/>
            <w:noWrap w:val="0"/>
            <w:vAlign w:val="center"/>
          </w:tcPr>
          <w:p w14:paraId="190B62F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75C31F4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3BE49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23856C3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硫化物</w:t>
            </w:r>
          </w:p>
        </w:tc>
        <w:tc>
          <w:tcPr>
            <w:tcW w:w="560" w:type="pct"/>
            <w:noWrap w:val="0"/>
            <w:vAlign w:val="center"/>
          </w:tcPr>
          <w:p w14:paraId="597A230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0.018</w:t>
            </w:r>
          </w:p>
        </w:tc>
        <w:tc>
          <w:tcPr>
            <w:tcW w:w="710" w:type="pct"/>
            <w:noWrap w:val="0"/>
            <w:vAlign w:val="center"/>
          </w:tcPr>
          <w:p w14:paraId="2F9E315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0.016</w:t>
            </w:r>
          </w:p>
        </w:tc>
        <w:tc>
          <w:tcPr>
            <w:tcW w:w="713" w:type="pct"/>
            <w:noWrap w:val="0"/>
            <w:vAlign w:val="center"/>
          </w:tcPr>
          <w:p w14:paraId="255F1C4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0.020</w:t>
            </w:r>
          </w:p>
        </w:tc>
        <w:tc>
          <w:tcPr>
            <w:tcW w:w="672" w:type="pct"/>
            <w:noWrap w:val="0"/>
            <w:vAlign w:val="center"/>
          </w:tcPr>
          <w:p w14:paraId="0110751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w:t>
            </w:r>
          </w:p>
        </w:tc>
        <w:tc>
          <w:tcPr>
            <w:tcW w:w="708" w:type="pct"/>
            <w:noWrap w:val="0"/>
            <w:vAlign w:val="center"/>
          </w:tcPr>
          <w:p w14:paraId="7ACA9AC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c>
          <w:tcPr>
            <w:tcW w:w="686" w:type="pct"/>
            <w:noWrap w:val="0"/>
            <w:vAlign w:val="center"/>
          </w:tcPr>
          <w:p w14:paraId="59612A9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49B48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489CC6C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总大肠菌群</w:t>
            </w:r>
          </w:p>
        </w:tc>
        <w:tc>
          <w:tcPr>
            <w:tcW w:w="560" w:type="pct"/>
            <w:noWrap w:val="0"/>
            <w:vAlign w:val="center"/>
          </w:tcPr>
          <w:p w14:paraId="4028257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0" w:type="pct"/>
            <w:noWrap w:val="0"/>
            <w:vAlign w:val="center"/>
          </w:tcPr>
          <w:p w14:paraId="4653F61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727741D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00CC2F3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2BA049D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554D959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7EB5E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080BDA0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细菌总数</w:t>
            </w:r>
          </w:p>
        </w:tc>
        <w:tc>
          <w:tcPr>
            <w:tcW w:w="560" w:type="pct"/>
            <w:noWrap w:val="0"/>
            <w:vAlign w:val="center"/>
          </w:tcPr>
          <w:p w14:paraId="0BD3FD2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47</w:t>
            </w:r>
          </w:p>
        </w:tc>
        <w:tc>
          <w:tcPr>
            <w:tcW w:w="710" w:type="pct"/>
            <w:noWrap w:val="0"/>
            <w:vAlign w:val="center"/>
          </w:tcPr>
          <w:p w14:paraId="67A2EBF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21</w:t>
            </w:r>
          </w:p>
        </w:tc>
        <w:tc>
          <w:tcPr>
            <w:tcW w:w="713" w:type="pct"/>
            <w:noWrap w:val="0"/>
            <w:vAlign w:val="center"/>
          </w:tcPr>
          <w:p w14:paraId="7AB3757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29</w:t>
            </w:r>
          </w:p>
        </w:tc>
        <w:tc>
          <w:tcPr>
            <w:tcW w:w="672" w:type="pct"/>
            <w:noWrap w:val="0"/>
            <w:vAlign w:val="center"/>
          </w:tcPr>
          <w:p w14:paraId="69BD456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12.11</w:t>
            </w:r>
          </w:p>
        </w:tc>
        <w:tc>
          <w:tcPr>
            <w:tcW w:w="708" w:type="pct"/>
            <w:noWrap w:val="0"/>
            <w:vAlign w:val="center"/>
          </w:tcPr>
          <w:p w14:paraId="514755B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t>0</w:t>
            </w:r>
          </w:p>
        </w:tc>
        <w:tc>
          <w:tcPr>
            <w:tcW w:w="686" w:type="pct"/>
            <w:noWrap w:val="0"/>
            <w:vAlign w:val="center"/>
          </w:tcPr>
          <w:p w14:paraId="55EBA60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23B60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46E5ACB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亚硝酸盐</w:t>
            </w:r>
          </w:p>
        </w:tc>
        <w:tc>
          <w:tcPr>
            <w:tcW w:w="560" w:type="pct"/>
            <w:noWrap w:val="0"/>
            <w:vAlign w:val="center"/>
          </w:tcPr>
          <w:p w14:paraId="438E3F6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0.017</w:t>
            </w:r>
          </w:p>
        </w:tc>
        <w:tc>
          <w:tcPr>
            <w:tcW w:w="710" w:type="pct"/>
            <w:noWrap w:val="0"/>
            <w:vAlign w:val="center"/>
          </w:tcPr>
          <w:p w14:paraId="5C140CD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0.013</w:t>
            </w:r>
          </w:p>
        </w:tc>
        <w:tc>
          <w:tcPr>
            <w:tcW w:w="713" w:type="pct"/>
            <w:noWrap w:val="0"/>
            <w:vAlign w:val="center"/>
          </w:tcPr>
          <w:p w14:paraId="2024B32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w:t>
            </w:r>
          </w:p>
        </w:tc>
        <w:tc>
          <w:tcPr>
            <w:tcW w:w="672" w:type="pct"/>
            <w:noWrap w:val="0"/>
            <w:vAlign w:val="center"/>
          </w:tcPr>
          <w:p w14:paraId="10E6775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w:t>
            </w:r>
          </w:p>
        </w:tc>
        <w:tc>
          <w:tcPr>
            <w:tcW w:w="708" w:type="pct"/>
            <w:noWrap w:val="0"/>
            <w:vAlign w:val="center"/>
          </w:tcPr>
          <w:p w14:paraId="17F1350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100</w:t>
            </w:r>
          </w:p>
        </w:tc>
        <w:tc>
          <w:tcPr>
            <w:tcW w:w="686" w:type="pct"/>
            <w:noWrap w:val="0"/>
            <w:vAlign w:val="center"/>
          </w:tcPr>
          <w:p w14:paraId="5CFB87B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716B7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1230F18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硝酸盐</w:t>
            </w:r>
          </w:p>
        </w:tc>
        <w:tc>
          <w:tcPr>
            <w:tcW w:w="560" w:type="pct"/>
            <w:noWrap w:val="0"/>
            <w:vAlign w:val="center"/>
          </w:tcPr>
          <w:p w14:paraId="6F8A265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1.92</w:t>
            </w:r>
          </w:p>
        </w:tc>
        <w:tc>
          <w:tcPr>
            <w:tcW w:w="710" w:type="pct"/>
            <w:noWrap w:val="0"/>
            <w:vAlign w:val="center"/>
          </w:tcPr>
          <w:p w14:paraId="2DB8F8F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0.78</w:t>
            </w:r>
          </w:p>
        </w:tc>
        <w:tc>
          <w:tcPr>
            <w:tcW w:w="713" w:type="pct"/>
            <w:noWrap w:val="0"/>
            <w:vAlign w:val="center"/>
          </w:tcPr>
          <w:p w14:paraId="2581C4C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1.24</w:t>
            </w:r>
          </w:p>
        </w:tc>
        <w:tc>
          <w:tcPr>
            <w:tcW w:w="672" w:type="pct"/>
            <w:noWrap w:val="0"/>
            <w:vAlign w:val="center"/>
          </w:tcPr>
          <w:p w14:paraId="26B7C2D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0.49</w:t>
            </w:r>
          </w:p>
        </w:tc>
        <w:tc>
          <w:tcPr>
            <w:tcW w:w="708" w:type="pct"/>
            <w:noWrap w:val="0"/>
            <w:vAlign w:val="center"/>
          </w:tcPr>
          <w:p w14:paraId="5E268E9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100</w:t>
            </w:r>
          </w:p>
        </w:tc>
        <w:tc>
          <w:tcPr>
            <w:tcW w:w="686" w:type="pct"/>
            <w:noWrap w:val="0"/>
            <w:vAlign w:val="center"/>
          </w:tcPr>
          <w:p w14:paraId="5B746E0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4BF94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0C6E122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氰化物</w:t>
            </w:r>
          </w:p>
        </w:tc>
        <w:tc>
          <w:tcPr>
            <w:tcW w:w="560" w:type="pct"/>
            <w:noWrap w:val="0"/>
            <w:vAlign w:val="center"/>
          </w:tcPr>
          <w:p w14:paraId="675095E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0.003</w:t>
            </w:r>
          </w:p>
        </w:tc>
        <w:tc>
          <w:tcPr>
            <w:tcW w:w="710" w:type="pct"/>
            <w:noWrap w:val="0"/>
            <w:vAlign w:val="center"/>
          </w:tcPr>
          <w:p w14:paraId="7836417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0BAF8A8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299B7CF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30DC2BB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52785C9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0F0C1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6F0E2DA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氟化物</w:t>
            </w:r>
          </w:p>
        </w:tc>
        <w:tc>
          <w:tcPr>
            <w:tcW w:w="560" w:type="pct"/>
            <w:noWrap w:val="0"/>
            <w:vAlign w:val="center"/>
          </w:tcPr>
          <w:p w14:paraId="60F3A1D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0.89</w:t>
            </w:r>
          </w:p>
        </w:tc>
        <w:tc>
          <w:tcPr>
            <w:tcW w:w="710" w:type="pct"/>
            <w:noWrap w:val="0"/>
            <w:vAlign w:val="center"/>
          </w:tcPr>
          <w:p w14:paraId="3841EDD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0.66</w:t>
            </w:r>
          </w:p>
        </w:tc>
        <w:tc>
          <w:tcPr>
            <w:tcW w:w="713" w:type="pct"/>
            <w:noWrap w:val="0"/>
            <w:vAlign w:val="center"/>
          </w:tcPr>
          <w:p w14:paraId="0DE8950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0.76</w:t>
            </w:r>
          </w:p>
        </w:tc>
        <w:tc>
          <w:tcPr>
            <w:tcW w:w="672" w:type="pct"/>
            <w:noWrap w:val="0"/>
            <w:vAlign w:val="center"/>
          </w:tcPr>
          <w:p w14:paraId="3ADE51A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0.10</w:t>
            </w:r>
          </w:p>
        </w:tc>
        <w:tc>
          <w:tcPr>
            <w:tcW w:w="708" w:type="pct"/>
            <w:noWrap w:val="0"/>
            <w:vAlign w:val="center"/>
          </w:tcPr>
          <w:p w14:paraId="406FC04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100</w:t>
            </w:r>
          </w:p>
        </w:tc>
        <w:tc>
          <w:tcPr>
            <w:tcW w:w="686" w:type="pct"/>
            <w:noWrap w:val="0"/>
            <w:vAlign w:val="center"/>
          </w:tcPr>
          <w:p w14:paraId="33D500E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themeColor="text1"/>
                <w:spacing w:val="-10"/>
                <w:kern w:val="2"/>
                <w:sz w:val="21"/>
                <w:szCs w:val="21"/>
                <w:highlight w:val="none"/>
                <w:lang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w:t>
            </w:r>
          </w:p>
        </w:tc>
      </w:tr>
      <w:tr w14:paraId="478C6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4296F56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汞</w:t>
            </w:r>
          </w:p>
        </w:tc>
        <w:tc>
          <w:tcPr>
            <w:tcW w:w="560" w:type="pct"/>
            <w:noWrap w:val="0"/>
            <w:vAlign w:val="center"/>
          </w:tcPr>
          <w:p w14:paraId="440C41D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0.0007</w:t>
            </w:r>
          </w:p>
        </w:tc>
        <w:tc>
          <w:tcPr>
            <w:tcW w:w="710" w:type="pct"/>
            <w:noWrap w:val="0"/>
            <w:vAlign w:val="center"/>
          </w:tcPr>
          <w:p w14:paraId="5DC477A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0.0005</w:t>
            </w:r>
          </w:p>
        </w:tc>
        <w:tc>
          <w:tcPr>
            <w:tcW w:w="713" w:type="pct"/>
            <w:noWrap w:val="0"/>
            <w:vAlign w:val="center"/>
          </w:tcPr>
          <w:p w14:paraId="220A7FE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0.0006</w:t>
            </w:r>
          </w:p>
        </w:tc>
        <w:tc>
          <w:tcPr>
            <w:tcW w:w="672" w:type="pct"/>
            <w:noWrap w:val="0"/>
            <w:vAlign w:val="center"/>
          </w:tcPr>
          <w:p w14:paraId="33125B3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w:t>
            </w:r>
          </w:p>
        </w:tc>
        <w:tc>
          <w:tcPr>
            <w:tcW w:w="708" w:type="pct"/>
            <w:noWrap w:val="0"/>
            <w:vAlign w:val="center"/>
          </w:tcPr>
          <w:p w14:paraId="2712290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c>
          <w:tcPr>
            <w:tcW w:w="686" w:type="pct"/>
            <w:noWrap w:val="0"/>
            <w:vAlign w:val="center"/>
          </w:tcPr>
          <w:p w14:paraId="15EC0D7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21CF8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3CB993B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砷</w:t>
            </w:r>
          </w:p>
        </w:tc>
        <w:tc>
          <w:tcPr>
            <w:tcW w:w="560" w:type="pct"/>
            <w:noWrap w:val="0"/>
            <w:vAlign w:val="center"/>
          </w:tcPr>
          <w:p w14:paraId="7D337AC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0.007</w:t>
            </w:r>
          </w:p>
        </w:tc>
        <w:tc>
          <w:tcPr>
            <w:tcW w:w="710" w:type="pct"/>
            <w:noWrap w:val="0"/>
            <w:vAlign w:val="center"/>
          </w:tcPr>
          <w:p w14:paraId="30A4CF3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0.001</w:t>
            </w:r>
          </w:p>
        </w:tc>
        <w:tc>
          <w:tcPr>
            <w:tcW w:w="713" w:type="pct"/>
            <w:noWrap w:val="0"/>
            <w:vAlign w:val="center"/>
          </w:tcPr>
          <w:p w14:paraId="7FF3E5F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0.005</w:t>
            </w:r>
          </w:p>
        </w:tc>
        <w:tc>
          <w:tcPr>
            <w:tcW w:w="672" w:type="pct"/>
            <w:noWrap w:val="0"/>
            <w:vAlign w:val="center"/>
          </w:tcPr>
          <w:p w14:paraId="07BAE7F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0.003</w:t>
            </w:r>
          </w:p>
        </w:tc>
        <w:tc>
          <w:tcPr>
            <w:tcW w:w="708" w:type="pct"/>
            <w:noWrap w:val="0"/>
            <w:vAlign w:val="center"/>
          </w:tcPr>
          <w:p w14:paraId="416DF1E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t>0</w:t>
            </w:r>
          </w:p>
        </w:tc>
        <w:tc>
          <w:tcPr>
            <w:tcW w:w="686" w:type="pct"/>
            <w:noWrap w:val="0"/>
            <w:vAlign w:val="center"/>
          </w:tcPr>
          <w:p w14:paraId="1F428E1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17610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4E10A99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镉</w:t>
            </w:r>
          </w:p>
        </w:tc>
        <w:tc>
          <w:tcPr>
            <w:tcW w:w="560" w:type="pct"/>
            <w:noWrap w:val="0"/>
            <w:vAlign w:val="center"/>
          </w:tcPr>
          <w:p w14:paraId="6B0170E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0" w:type="pct"/>
            <w:noWrap w:val="0"/>
            <w:vAlign w:val="center"/>
          </w:tcPr>
          <w:p w14:paraId="640D672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1C187DE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1189D55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2E15074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08DC9B0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552DB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58431F8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铬</w:t>
            </w:r>
            <w:r>
              <w:rPr>
                <w:rFonts w:hint="eastAsia" w:cs="Times New Roman"/>
                <w:color w:val="000000" w:themeColor="text1"/>
                <w:spacing w:val="-10"/>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六价</w:t>
            </w: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560" w:type="pct"/>
            <w:noWrap w:val="0"/>
            <w:vAlign w:val="center"/>
          </w:tcPr>
          <w:p w14:paraId="0B8945D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0.022</w:t>
            </w:r>
          </w:p>
        </w:tc>
        <w:tc>
          <w:tcPr>
            <w:tcW w:w="710" w:type="pct"/>
            <w:noWrap w:val="0"/>
            <w:vAlign w:val="center"/>
          </w:tcPr>
          <w:p w14:paraId="5A3CD80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0.015</w:t>
            </w:r>
          </w:p>
        </w:tc>
        <w:tc>
          <w:tcPr>
            <w:tcW w:w="713" w:type="pct"/>
            <w:noWrap w:val="0"/>
            <w:vAlign w:val="center"/>
          </w:tcPr>
          <w:p w14:paraId="098BD7B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w:t>
            </w:r>
          </w:p>
        </w:tc>
        <w:tc>
          <w:tcPr>
            <w:tcW w:w="672" w:type="pct"/>
            <w:noWrap w:val="0"/>
            <w:vAlign w:val="center"/>
          </w:tcPr>
          <w:p w14:paraId="3DAA5E1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0.00</w:t>
            </w:r>
          </w:p>
        </w:tc>
        <w:tc>
          <w:tcPr>
            <w:tcW w:w="708" w:type="pct"/>
            <w:noWrap w:val="0"/>
            <w:vAlign w:val="center"/>
          </w:tcPr>
          <w:p w14:paraId="581A71F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c>
          <w:tcPr>
            <w:tcW w:w="686" w:type="pct"/>
            <w:noWrap w:val="0"/>
            <w:vAlign w:val="center"/>
          </w:tcPr>
          <w:p w14:paraId="04706C2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7E52E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2C8E876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铅</w:t>
            </w:r>
          </w:p>
        </w:tc>
        <w:tc>
          <w:tcPr>
            <w:tcW w:w="560" w:type="pct"/>
            <w:noWrap w:val="0"/>
            <w:vAlign w:val="center"/>
          </w:tcPr>
          <w:p w14:paraId="565F220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0" w:type="pct"/>
            <w:noWrap w:val="0"/>
            <w:vAlign w:val="center"/>
          </w:tcPr>
          <w:p w14:paraId="2769194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未检出</w:t>
            </w:r>
          </w:p>
        </w:tc>
        <w:tc>
          <w:tcPr>
            <w:tcW w:w="713" w:type="pct"/>
            <w:noWrap w:val="0"/>
            <w:vAlign w:val="center"/>
          </w:tcPr>
          <w:p w14:paraId="155901E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672" w:type="pct"/>
            <w:noWrap w:val="0"/>
            <w:vAlign w:val="center"/>
          </w:tcPr>
          <w:p w14:paraId="0EC1C99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eastAsia="zh-CN"/>
                <w14:textFill>
                  <w14:solidFill>
                    <w14:schemeClr w14:val="tx1"/>
                  </w14:solidFill>
                </w14:textFill>
              </w:rPr>
              <w:t>——</w:t>
            </w:r>
          </w:p>
        </w:tc>
        <w:tc>
          <w:tcPr>
            <w:tcW w:w="708" w:type="pct"/>
            <w:noWrap w:val="0"/>
            <w:vAlign w:val="center"/>
          </w:tcPr>
          <w:p w14:paraId="4B12245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w:t>
            </w:r>
          </w:p>
        </w:tc>
        <w:tc>
          <w:tcPr>
            <w:tcW w:w="686" w:type="pct"/>
            <w:noWrap w:val="0"/>
            <w:vAlign w:val="center"/>
          </w:tcPr>
          <w:p w14:paraId="5FAAACC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r w14:paraId="66701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48" w:type="pct"/>
            <w:noWrap w:val="0"/>
            <w:vAlign w:val="center"/>
          </w:tcPr>
          <w:p w14:paraId="64363AC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石油类</w:t>
            </w:r>
          </w:p>
        </w:tc>
        <w:tc>
          <w:tcPr>
            <w:tcW w:w="560" w:type="pct"/>
            <w:noWrap w:val="0"/>
            <w:vAlign w:val="center"/>
          </w:tcPr>
          <w:p w14:paraId="0F8B7ED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0.04</w:t>
            </w:r>
          </w:p>
        </w:tc>
        <w:tc>
          <w:tcPr>
            <w:tcW w:w="710" w:type="pct"/>
            <w:noWrap w:val="0"/>
            <w:vAlign w:val="center"/>
          </w:tcPr>
          <w:p w14:paraId="40E368D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0.02</w:t>
            </w:r>
          </w:p>
        </w:tc>
        <w:tc>
          <w:tcPr>
            <w:tcW w:w="713" w:type="pct"/>
            <w:noWrap w:val="0"/>
            <w:vAlign w:val="center"/>
          </w:tcPr>
          <w:p w14:paraId="6946EC8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0.03</w:t>
            </w:r>
          </w:p>
        </w:tc>
        <w:tc>
          <w:tcPr>
            <w:tcW w:w="672" w:type="pct"/>
            <w:noWrap w:val="0"/>
            <w:vAlign w:val="center"/>
          </w:tcPr>
          <w:p w14:paraId="7F3FE24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lang w:val="en-US" w:eastAsia="zh-CN"/>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0.01</w:t>
            </w:r>
          </w:p>
        </w:tc>
        <w:tc>
          <w:tcPr>
            <w:tcW w:w="708" w:type="pct"/>
            <w:noWrap w:val="0"/>
            <w:vAlign w:val="center"/>
          </w:tcPr>
          <w:p w14:paraId="762EDAA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eastAsia" w:cs="Times New Roman"/>
                <w:color w:val="000000" w:themeColor="text1"/>
                <w:spacing w:val="-10"/>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c>
          <w:tcPr>
            <w:tcW w:w="686" w:type="pct"/>
            <w:noWrap w:val="0"/>
            <w:vAlign w:val="center"/>
          </w:tcPr>
          <w:p w14:paraId="30B8F00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w:t>
            </w:r>
          </w:p>
        </w:tc>
      </w:tr>
    </w:tbl>
    <w:p w14:paraId="6358271C">
      <w:pPr>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地下水水位现状监测</w:t>
      </w:r>
    </w:p>
    <w:p w14:paraId="77198C16">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eastAsia" w:cs="Times New Roman"/>
          <w:b/>
          <w:bCs/>
          <w:color w:val="000000" w:themeColor="text1"/>
          <w:sz w:val="21"/>
          <w:szCs w:val="21"/>
          <w:highlight w:val="none"/>
          <w:lang w:val="en-US" w:eastAsia="zh-CN"/>
          <w14:textFill>
            <w14:solidFill>
              <w14:schemeClr w14:val="tx1"/>
            </w14:solidFill>
          </w14:textFill>
        </w:rPr>
        <w:t>3-6</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 xml:space="preserve">     地下水水位统测点统计表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63"/>
        <w:gridCol w:w="2383"/>
        <w:gridCol w:w="1047"/>
        <w:gridCol w:w="1199"/>
        <w:gridCol w:w="1665"/>
      </w:tblGrid>
      <w:tr w14:paraId="4EB36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34" w:type="pct"/>
            <w:noWrap w:val="0"/>
            <w:vAlign w:val="center"/>
          </w:tcPr>
          <w:p w14:paraId="3FA86A9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lang w:val="en-US" w:eastAsia="zh-CN"/>
                <w14:textFill>
                  <w14:solidFill>
                    <w14:schemeClr w14:val="tx1"/>
                  </w14:solidFill>
                </w14:textFill>
              </w:rPr>
              <w:t>监测点位</w:t>
            </w:r>
          </w:p>
        </w:tc>
        <w:tc>
          <w:tcPr>
            <w:tcW w:w="1425" w:type="pct"/>
            <w:noWrap w:val="0"/>
            <w:vAlign w:val="center"/>
          </w:tcPr>
          <w:p w14:paraId="403AA52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坐标</w:t>
            </w:r>
          </w:p>
        </w:tc>
        <w:tc>
          <w:tcPr>
            <w:tcW w:w="626" w:type="pct"/>
            <w:noWrap w:val="0"/>
            <w:vAlign w:val="center"/>
          </w:tcPr>
          <w:p w14:paraId="44690CD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井深</w:t>
            </w:r>
            <w:r>
              <w:rPr>
                <w:rFonts w:hint="eastAsia" w:cs="Times New Roman"/>
                <w:b/>
                <w:bCs/>
                <w:color w:val="000000" w:themeColor="text1"/>
                <w:spacing w:val="-10"/>
                <w:kern w:val="2"/>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m</w:t>
            </w:r>
            <w:r>
              <w:rPr>
                <w:rFonts w:hint="eastAsia" w:cs="Times New Roman"/>
                <w:b/>
                <w:bCs/>
                <w:color w:val="000000" w:themeColor="text1"/>
                <w:spacing w:val="-10"/>
                <w:kern w:val="2"/>
                <w:sz w:val="21"/>
                <w:szCs w:val="21"/>
                <w:highlight w:val="none"/>
                <w:lang w:eastAsia="zh-CN"/>
                <w14:textFill>
                  <w14:solidFill>
                    <w14:schemeClr w14:val="tx1"/>
                  </w14:solidFill>
                </w14:textFill>
              </w:rPr>
              <w:t>）</w:t>
            </w:r>
          </w:p>
        </w:tc>
        <w:tc>
          <w:tcPr>
            <w:tcW w:w="717" w:type="pct"/>
            <w:noWrap w:val="0"/>
            <w:vAlign w:val="center"/>
          </w:tcPr>
          <w:p w14:paraId="7E5CFCF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水位埋深</w:t>
            </w:r>
            <w:r>
              <w:rPr>
                <w:rFonts w:hint="eastAsia" w:cs="Times New Roman"/>
                <w:b/>
                <w:bCs/>
                <w:color w:val="000000" w:themeColor="text1"/>
                <w:spacing w:val="-10"/>
                <w:kern w:val="2"/>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0"/>
                <w:kern w:val="2"/>
                <w:sz w:val="21"/>
                <w:szCs w:val="21"/>
                <w:highlight w:val="none"/>
                <w14:textFill>
                  <w14:solidFill>
                    <w14:schemeClr w14:val="tx1"/>
                  </w14:solidFill>
                </w14:textFill>
              </w:rPr>
              <w:t>m</w:t>
            </w:r>
            <w:r>
              <w:rPr>
                <w:rFonts w:hint="eastAsia" w:cs="Times New Roman"/>
                <w:b/>
                <w:bCs/>
                <w:color w:val="000000" w:themeColor="text1"/>
                <w:spacing w:val="-10"/>
                <w:kern w:val="2"/>
                <w:sz w:val="21"/>
                <w:szCs w:val="21"/>
                <w:highlight w:val="none"/>
                <w:lang w:eastAsia="zh-CN"/>
                <w14:textFill>
                  <w14:solidFill>
                    <w14:schemeClr w14:val="tx1"/>
                  </w14:solidFill>
                </w14:textFill>
              </w:rPr>
              <w:t>）</w:t>
            </w:r>
          </w:p>
        </w:tc>
        <w:tc>
          <w:tcPr>
            <w:tcW w:w="996" w:type="pct"/>
            <w:noWrap w:val="0"/>
            <w:vAlign w:val="center"/>
          </w:tcPr>
          <w:p w14:paraId="1CA32D5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000000" w:themeColor="text1"/>
                <w:spacing w:val="-1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10"/>
                <w:kern w:val="2"/>
                <w:sz w:val="21"/>
                <w:szCs w:val="21"/>
                <w:highlight w:val="none"/>
                <w:lang w:val="en-US" w:eastAsia="zh-CN"/>
                <w14:textFill>
                  <w14:solidFill>
                    <w14:schemeClr w14:val="tx1"/>
                  </w14:solidFill>
                </w14:textFill>
              </w:rPr>
              <w:t>日期</w:t>
            </w:r>
          </w:p>
        </w:tc>
      </w:tr>
      <w:tr w14:paraId="6AC97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34" w:type="pct"/>
            <w:shd w:val="clear" w:color="auto" w:fill="auto"/>
            <w:noWrap w:val="0"/>
            <w:vAlign w:val="center"/>
          </w:tcPr>
          <w:p w14:paraId="2BE16187">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项目区上游</w:t>
            </w:r>
            <w:r>
              <w:rPr>
                <w:rFonts w:hint="eastAsia" w:cs="Times New Roman"/>
                <w:color w:val="000000" w:themeColor="text1"/>
                <w:sz w:val="21"/>
                <w:szCs w:val="21"/>
                <w:highlight w:val="none"/>
                <w:u w:val="none"/>
                <w:lang w:val="en-US" w:eastAsia="zh-CN" w:bidi="en-US"/>
                <w14:textFill>
                  <w14:solidFill>
                    <w14:schemeClr w14:val="tx1"/>
                  </w14:solidFill>
                </w14:textFill>
              </w:rPr>
              <w:t>地下水井</w:t>
            </w:r>
          </w:p>
        </w:tc>
        <w:tc>
          <w:tcPr>
            <w:tcW w:w="1425" w:type="pct"/>
            <w:shd w:val="clear" w:color="auto" w:fill="auto"/>
            <w:noWrap w:val="0"/>
            <w:vAlign w:val="center"/>
          </w:tcPr>
          <w:p w14:paraId="3BCC701F">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p>
        </w:tc>
        <w:tc>
          <w:tcPr>
            <w:tcW w:w="626" w:type="pct"/>
            <w:shd w:val="clear" w:color="auto" w:fill="auto"/>
            <w:noWrap w:val="0"/>
            <w:vAlign w:val="center"/>
          </w:tcPr>
          <w:p w14:paraId="6D94518E">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86.9</w:t>
            </w:r>
          </w:p>
        </w:tc>
        <w:tc>
          <w:tcPr>
            <w:tcW w:w="717" w:type="pct"/>
            <w:shd w:val="clear" w:color="auto" w:fill="auto"/>
            <w:noWrap w:val="0"/>
            <w:vAlign w:val="center"/>
          </w:tcPr>
          <w:p w14:paraId="4D16CBBA">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33.7</w:t>
            </w:r>
          </w:p>
        </w:tc>
        <w:tc>
          <w:tcPr>
            <w:tcW w:w="996" w:type="pct"/>
            <w:noWrap w:val="0"/>
            <w:vAlign w:val="center"/>
          </w:tcPr>
          <w:p w14:paraId="40D68DB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202</w:t>
            </w:r>
            <w:r>
              <w:rPr>
                <w:rFonts w:hint="eastAsia" w:cs="Times New Roman"/>
                <w:color w:val="000000" w:themeColor="text1"/>
                <w:spacing w:val="-1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r>
              <w:rPr>
                <w:rFonts w:hint="eastAsia" w:cs="Times New Roman"/>
                <w:color w:val="000000" w:themeColor="text1"/>
                <w:spacing w:val="-10"/>
                <w:kern w:val="2"/>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月</w:t>
            </w:r>
            <w:r>
              <w:rPr>
                <w:rFonts w:hint="eastAsia" w:cs="Times New Roman"/>
                <w:color w:val="000000" w:themeColor="text1"/>
                <w:spacing w:val="-10"/>
                <w:kern w:val="2"/>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日</w:t>
            </w:r>
          </w:p>
        </w:tc>
      </w:tr>
      <w:tr w14:paraId="3987E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34" w:type="pct"/>
            <w:shd w:val="clear" w:color="auto" w:fill="auto"/>
            <w:noWrap w:val="0"/>
            <w:vAlign w:val="center"/>
          </w:tcPr>
          <w:p w14:paraId="6AD87145">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w:t>
            </w:r>
            <w:r>
              <w:rPr>
                <w:rFonts w:hint="eastAsia" w:cs="Times New Roman"/>
                <w:color w:val="000000" w:themeColor="text1"/>
                <w:sz w:val="21"/>
                <w:szCs w:val="21"/>
                <w:highlight w:val="none"/>
                <w:u w:val="none"/>
                <w:lang w:val="en-US" w:eastAsia="zh-CN" w:bidi="en-US"/>
                <w14:textFill>
                  <w14:solidFill>
                    <w14:schemeClr w14:val="tx1"/>
                  </w14:solidFill>
                </w14:textFill>
              </w:rPr>
              <w:t>地下水井</w:t>
            </w:r>
          </w:p>
        </w:tc>
        <w:tc>
          <w:tcPr>
            <w:tcW w:w="1425" w:type="pct"/>
            <w:shd w:val="clear" w:color="auto" w:fill="auto"/>
            <w:noWrap w:val="0"/>
            <w:vAlign w:val="center"/>
          </w:tcPr>
          <w:p w14:paraId="27DB303D">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26" w:type="pct"/>
            <w:shd w:val="clear" w:color="auto" w:fill="auto"/>
            <w:noWrap w:val="0"/>
            <w:vAlign w:val="center"/>
          </w:tcPr>
          <w:p w14:paraId="1098EBFD">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26.9</w:t>
            </w:r>
          </w:p>
        </w:tc>
        <w:tc>
          <w:tcPr>
            <w:tcW w:w="717" w:type="pct"/>
            <w:shd w:val="clear" w:color="auto" w:fill="auto"/>
            <w:noWrap w:val="0"/>
            <w:vAlign w:val="center"/>
          </w:tcPr>
          <w:p w14:paraId="7D22FAB4">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11.3</w:t>
            </w:r>
          </w:p>
        </w:tc>
        <w:tc>
          <w:tcPr>
            <w:tcW w:w="996" w:type="pct"/>
            <w:noWrap w:val="0"/>
            <w:vAlign w:val="center"/>
          </w:tcPr>
          <w:p w14:paraId="7E3BFB3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202</w:t>
            </w:r>
            <w:r>
              <w:rPr>
                <w:rFonts w:hint="eastAsia" w:cs="Times New Roman"/>
                <w:color w:val="000000" w:themeColor="text1"/>
                <w:spacing w:val="-1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r>
              <w:rPr>
                <w:rFonts w:hint="eastAsia" w:cs="Times New Roman"/>
                <w:color w:val="000000" w:themeColor="text1"/>
                <w:spacing w:val="-10"/>
                <w:kern w:val="2"/>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月</w:t>
            </w:r>
            <w:r>
              <w:rPr>
                <w:rFonts w:hint="eastAsia" w:cs="Times New Roman"/>
                <w:color w:val="000000" w:themeColor="text1"/>
                <w:spacing w:val="-10"/>
                <w:kern w:val="2"/>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日</w:t>
            </w:r>
          </w:p>
        </w:tc>
      </w:tr>
      <w:tr w14:paraId="44451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34" w:type="pct"/>
            <w:shd w:val="clear" w:color="auto" w:fill="auto"/>
            <w:noWrap w:val="0"/>
            <w:vAlign w:val="center"/>
          </w:tcPr>
          <w:p w14:paraId="71A1ED3F">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bidi="en-US"/>
                <w14:textFill>
                  <w14:solidFill>
                    <w14:schemeClr w14:val="tx1"/>
                  </w14:solidFill>
                </w14:textFill>
              </w:rPr>
              <w:t>项目区</w:t>
            </w:r>
            <w:r>
              <w:rPr>
                <w:rFonts w:hint="eastAsia" w:cs="Times New Roman"/>
                <w:color w:val="000000" w:themeColor="text1"/>
                <w:sz w:val="21"/>
                <w:szCs w:val="21"/>
                <w:highlight w:val="none"/>
                <w:u w:val="none"/>
                <w:lang w:val="en-US" w:eastAsia="zh-CN" w:bidi="en-US"/>
                <w14:textFill>
                  <w14:solidFill>
                    <w14:schemeClr w14:val="tx1"/>
                  </w14:solidFill>
                </w14:textFill>
              </w:rPr>
              <w:t>下游地下水井</w:t>
            </w:r>
          </w:p>
        </w:tc>
        <w:tc>
          <w:tcPr>
            <w:tcW w:w="1425" w:type="pct"/>
            <w:shd w:val="clear" w:color="auto" w:fill="auto"/>
            <w:noWrap w:val="0"/>
            <w:vAlign w:val="center"/>
          </w:tcPr>
          <w:p w14:paraId="257321EC">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p>
        </w:tc>
        <w:tc>
          <w:tcPr>
            <w:tcW w:w="626" w:type="pct"/>
            <w:shd w:val="clear" w:color="auto" w:fill="auto"/>
            <w:noWrap w:val="0"/>
            <w:vAlign w:val="center"/>
          </w:tcPr>
          <w:p w14:paraId="74C7CDB7">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90.3</w:t>
            </w:r>
          </w:p>
        </w:tc>
        <w:tc>
          <w:tcPr>
            <w:tcW w:w="717" w:type="pct"/>
            <w:shd w:val="clear" w:color="auto" w:fill="auto"/>
            <w:noWrap w:val="0"/>
            <w:vAlign w:val="center"/>
          </w:tcPr>
          <w:p w14:paraId="2B47C4C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35.8</w:t>
            </w:r>
          </w:p>
        </w:tc>
        <w:tc>
          <w:tcPr>
            <w:tcW w:w="996" w:type="pct"/>
            <w:noWrap w:val="0"/>
            <w:vAlign w:val="center"/>
          </w:tcPr>
          <w:p w14:paraId="269AE44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202</w:t>
            </w:r>
            <w:r>
              <w:rPr>
                <w:rFonts w:hint="eastAsia" w:cs="Times New Roman"/>
                <w:color w:val="000000" w:themeColor="text1"/>
                <w:spacing w:val="-1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r>
              <w:rPr>
                <w:rFonts w:hint="eastAsia" w:cs="Times New Roman"/>
                <w:color w:val="000000" w:themeColor="text1"/>
                <w:spacing w:val="-10"/>
                <w:kern w:val="2"/>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月</w:t>
            </w:r>
            <w:r>
              <w:rPr>
                <w:rFonts w:hint="eastAsia" w:cs="Times New Roman"/>
                <w:color w:val="000000" w:themeColor="text1"/>
                <w:spacing w:val="-10"/>
                <w:kern w:val="2"/>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日</w:t>
            </w:r>
          </w:p>
        </w:tc>
      </w:tr>
      <w:tr w14:paraId="45A34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34" w:type="pct"/>
            <w:shd w:val="clear" w:color="auto" w:fill="auto"/>
            <w:noWrap w:val="0"/>
            <w:vAlign w:val="center"/>
          </w:tcPr>
          <w:p w14:paraId="2CFF2A23">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u w:val="none"/>
                <w:lang w:val="en-US" w:eastAsia="zh-CN" w:bidi="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农户承压水地下水井</w:t>
            </w:r>
          </w:p>
        </w:tc>
        <w:tc>
          <w:tcPr>
            <w:tcW w:w="1425" w:type="pct"/>
            <w:shd w:val="clear" w:color="auto" w:fill="auto"/>
            <w:noWrap w:val="0"/>
            <w:vAlign w:val="center"/>
          </w:tcPr>
          <w:p w14:paraId="3F299D92">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26" w:type="pct"/>
            <w:shd w:val="clear" w:color="auto" w:fill="auto"/>
            <w:noWrap w:val="0"/>
            <w:vAlign w:val="center"/>
          </w:tcPr>
          <w:p w14:paraId="05E5371E">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146.5</w:t>
            </w:r>
          </w:p>
        </w:tc>
        <w:tc>
          <w:tcPr>
            <w:tcW w:w="717" w:type="pct"/>
            <w:shd w:val="clear" w:color="auto" w:fill="auto"/>
            <w:noWrap w:val="0"/>
            <w:vAlign w:val="center"/>
          </w:tcPr>
          <w:p w14:paraId="2C5E09CB">
            <w:pPr>
              <w:keepNext w:val="0"/>
              <w:keepLines/>
              <w:pageBreakBefore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32.6</w:t>
            </w:r>
          </w:p>
        </w:tc>
        <w:tc>
          <w:tcPr>
            <w:tcW w:w="996" w:type="pct"/>
            <w:noWrap w:val="0"/>
            <w:vAlign w:val="center"/>
          </w:tcPr>
          <w:p w14:paraId="31F2F79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zh-CN" w:eastAsia="zh-CN" w:bidi="ar"/>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202</w:t>
            </w:r>
            <w:r>
              <w:rPr>
                <w:rFonts w:hint="eastAsia" w:cs="Times New Roman"/>
                <w:color w:val="000000" w:themeColor="text1"/>
                <w:spacing w:val="-1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r>
              <w:rPr>
                <w:rFonts w:hint="eastAsia" w:cs="Times New Roman"/>
                <w:color w:val="000000" w:themeColor="text1"/>
                <w:spacing w:val="-10"/>
                <w:kern w:val="2"/>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月</w:t>
            </w:r>
            <w:r>
              <w:rPr>
                <w:rFonts w:hint="eastAsia" w:cs="Times New Roman"/>
                <w:color w:val="000000" w:themeColor="text1"/>
                <w:spacing w:val="-10"/>
                <w:kern w:val="2"/>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日</w:t>
            </w:r>
          </w:p>
        </w:tc>
      </w:tr>
    </w:tbl>
    <w:p w14:paraId="057152C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16811487">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845" w:name="_Toc23860"/>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4地表水环境现状调查与评价</w:t>
      </w:r>
      <w:bookmarkEnd w:id="845"/>
    </w:p>
    <w:p w14:paraId="502AA83F">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bookmarkStart w:id="846" w:name="OLE_LINK527"/>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不涉及地表水体。因此，本评价不进行地表水环境质量现状评价，仅对地下水进行评价</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End w:id="846"/>
    </w:p>
    <w:bookmarkEnd w:id="772"/>
    <w:bookmarkEnd w:id="773"/>
    <w:bookmarkEnd w:id="774"/>
    <w:bookmarkEnd w:id="827"/>
    <w:p w14:paraId="44D6174C">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47" w:name="_Toc27908"/>
      <w:bookmarkStart w:id="848" w:name="_Toc361761832"/>
      <w:bookmarkStart w:id="849" w:name="_Toc42981109"/>
      <w:bookmarkStart w:id="850" w:name="_Toc508291888"/>
      <w:bookmarkStart w:id="851" w:name="_Toc353966740"/>
      <w:bookmarkStart w:id="852" w:name="_Toc374724185"/>
      <w:bookmarkStart w:id="853" w:name="_Toc10770"/>
      <w:bookmarkStart w:id="854" w:name="_Toc75438893"/>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土壤环境现状调查与评价</w:t>
      </w:r>
      <w:bookmarkEnd w:id="847"/>
    </w:p>
    <w:p w14:paraId="44479C8A">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55" w:name="_Toc20324"/>
      <w:bookmarkStart w:id="856" w:name="_Toc17428"/>
      <w:bookmarkStart w:id="857" w:name="_Toc19650"/>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.1</w:t>
      </w:r>
      <w:bookmarkEnd w:id="855"/>
      <w:bookmarkEnd w:id="856"/>
      <w:bookmarkEnd w:id="857"/>
      <w:r>
        <w:rPr>
          <w:rFonts w:hint="default" w:ascii="Times New Roman" w:hAnsi="Times New Roman" w:cs="Times New Roman"/>
          <w:color w:val="000000" w:themeColor="text1"/>
          <w:highlight w:val="none"/>
          <w14:textFill>
            <w14:solidFill>
              <w14:schemeClr w14:val="tx1"/>
            </w14:solidFill>
          </w14:textFill>
        </w:rPr>
        <w:t>土壤类型及分布调查</w:t>
      </w:r>
    </w:p>
    <w:p w14:paraId="15AC76A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根据遥感影像图、土壤类型图、《新疆土壤》及现场踏勘结果，本工程所在区域土壤类型主要以</w:t>
      </w:r>
      <w:r>
        <w:rPr>
          <w:rFonts w:hint="eastAsia" w:cs="Times New Roman"/>
          <w:color w:val="000000" w:themeColor="text1"/>
          <w:highlight w:val="none"/>
          <w:lang w:val="en-US" w:eastAsia="zh-CN"/>
          <w14:textFill>
            <w14:solidFill>
              <w14:schemeClr w14:val="tx1"/>
            </w14:solidFill>
          </w14:textFill>
        </w:rPr>
        <w:t>盐土</w:t>
      </w:r>
      <w:r>
        <w:rPr>
          <w:rFonts w:hint="default" w:ascii="Times New Roman" w:hAnsi="Times New Roman" w:eastAsia="宋体" w:cs="Times New Roman"/>
          <w:color w:val="000000" w:themeColor="text1"/>
          <w:highlight w:val="none"/>
          <w14:textFill>
            <w14:solidFill>
              <w14:schemeClr w14:val="tx1"/>
            </w14:solidFill>
          </w14:textFill>
        </w:rPr>
        <w:t>为主。评价区土壤类型见</w:t>
      </w:r>
      <w:r>
        <w:rPr>
          <w:rFonts w:hint="eastAsia" w:cs="Times New Roman"/>
          <w:color w:val="000000" w:themeColor="text1"/>
          <w:highlight w:val="none"/>
          <w:lang w:val="en-US" w:eastAsia="zh-CN"/>
          <w14:textFill>
            <w14:solidFill>
              <w14:schemeClr w14:val="tx1"/>
            </w14:solidFill>
          </w14:textFill>
        </w:rPr>
        <w:t>附图6</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0AFE4BD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58" w:name="_Toc775"/>
      <w:bookmarkStart w:id="859" w:name="_Toc14591"/>
      <w:r>
        <w:rPr>
          <w:rFonts w:hint="default" w:ascii="Times New Roman" w:hAnsi="Times New Roman" w:cs="Times New Roman"/>
          <w:color w:val="000000" w:themeColor="text1"/>
          <w:highlight w:val="none"/>
          <w14:textFill>
            <w14:solidFill>
              <w14:schemeClr w14:val="tx1"/>
            </w14:solidFill>
          </w14:textFill>
        </w:rPr>
        <w:t>4.</w:t>
      </w:r>
      <w:bookmarkEnd w:id="858"/>
      <w:bookmarkEnd w:id="859"/>
      <w:r>
        <w:rPr>
          <w:rFonts w:hint="eastAsia" w:ascii="Times New Roman" w:hAnsi="Times New Roman" w:cs="Times New Roman"/>
          <w:color w:val="000000" w:themeColor="text1"/>
          <w:highlight w:val="none"/>
          <w:lang w:val="en-US" w:eastAsia="zh-CN"/>
          <w14:textFill>
            <w14:solidFill>
              <w14:schemeClr w14:val="tx1"/>
            </w14:solidFill>
          </w14:textFill>
        </w:rPr>
        <w:t>5.2</w:t>
      </w:r>
      <w:r>
        <w:rPr>
          <w:rFonts w:hint="default" w:ascii="Times New Roman" w:hAnsi="Times New Roman" w:cs="Times New Roman"/>
          <w:color w:val="000000" w:themeColor="text1"/>
          <w:highlight w:val="none"/>
          <w14:textFill>
            <w14:solidFill>
              <w14:schemeClr w14:val="tx1"/>
            </w14:solidFill>
          </w14:textFill>
        </w:rPr>
        <w:t>土壤理化性质调查</w:t>
      </w:r>
    </w:p>
    <w:p w14:paraId="3520DF0E">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本工程同时按照生态影响型项目和污染影响型项目考虑，根据项目工程分析情况，针对项目占地的土壤理化性质进行分析，主要包括土体结构、土壤结构、土壤质地、阳离子交换量、</w:t>
      </w:r>
      <w:r>
        <w:rPr>
          <w:rFonts w:hint="eastAsia" w:cs="Times New Roman"/>
          <w:b w:val="0"/>
          <w:color w:val="000000" w:themeColor="text1"/>
          <w:kern w:val="0"/>
          <w:sz w:val="24"/>
          <w:szCs w:val="24"/>
          <w:highlight w:val="none"/>
          <w:lang w:val="en-US" w:eastAsia="zh-CN" w:bidi="ar-SA"/>
          <w14:textFill>
            <w14:solidFill>
              <w14:schemeClr w14:val="tx1"/>
            </w14:solidFill>
          </w14:textFill>
        </w:rPr>
        <w:t>氧化还原电位</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、饱和导水率、土壤容重、孔隙度等。取样点位为本工程附近土壤表层样（0-0.2</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m）。分析结果如表4.5-1所示</w:t>
      </w:r>
      <w:r>
        <w:rPr>
          <w:rFonts w:hint="eastAsia" w:eastAsia="宋体" w:cs="Times New Roman"/>
          <w:b w:val="0"/>
          <w:bCs w:val="0"/>
          <w:color w:val="000000" w:themeColor="text1"/>
          <w:kern w:val="0"/>
          <w:sz w:val="24"/>
          <w:szCs w:val="24"/>
          <w:highlight w:val="none"/>
          <w:lang w:val="en-US" w:eastAsia="zh-CN" w:bidi="ar-SA"/>
          <w14:textFill>
            <w14:solidFill>
              <w14:schemeClr w14:val="tx1"/>
            </w14:solidFill>
          </w14:textFill>
        </w:rPr>
        <w:t>。</w:t>
      </w:r>
    </w:p>
    <w:p w14:paraId="1F936FA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t>表4.5-1   土壤理化性质表</w:t>
      </w:r>
    </w:p>
    <w:tbl>
      <w:tblPr>
        <w:tblStyle w:val="3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5"/>
        <w:gridCol w:w="3653"/>
        <w:gridCol w:w="1449"/>
        <w:gridCol w:w="1449"/>
        <w:gridCol w:w="1450"/>
      </w:tblGrid>
      <w:tr w14:paraId="3C46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0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B420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点号</w:t>
            </w:r>
          </w:p>
        </w:tc>
        <w:tc>
          <w:tcPr>
            <w:tcW w:w="43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F2F76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星火701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井口</w:t>
            </w:r>
          </w:p>
        </w:tc>
      </w:tr>
      <w:tr w14:paraId="2163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0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7285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点位坐标</w:t>
            </w:r>
          </w:p>
        </w:tc>
        <w:tc>
          <w:tcPr>
            <w:tcW w:w="43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47A5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24E0E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07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010017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采样深度</w:t>
            </w:r>
          </w:p>
        </w:tc>
        <w:tc>
          <w:tcPr>
            <w:tcW w:w="1449" w:type="dxa"/>
            <w:tcBorders>
              <w:top w:val="single" w:color="000000" w:sz="4" w:space="0"/>
              <w:left w:val="single" w:color="000000" w:sz="4" w:space="0"/>
              <w:bottom w:val="single" w:color="auto" w:sz="4" w:space="0"/>
              <w:right w:val="single" w:color="000000" w:sz="4" w:space="0"/>
            </w:tcBorders>
            <w:shd w:val="clear" w:color="auto" w:fill="auto"/>
            <w:vAlign w:val="center"/>
          </w:tcPr>
          <w:p w14:paraId="665493A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color w:val="000000" w:themeColor="text1"/>
                <w:kern w:val="0"/>
                <w:sz w:val="21"/>
                <w:szCs w:val="21"/>
                <w:highlight w:val="none"/>
                <w:lang w:val="en-US" w:eastAsia="zh-CN" w:bidi="en-US"/>
                <w14:textFill>
                  <w14:solidFill>
                    <w14:schemeClr w14:val="tx1"/>
                  </w14:solidFill>
                </w14:textFill>
              </w:rPr>
              <w:t>0.2m</w:t>
            </w:r>
          </w:p>
        </w:tc>
        <w:tc>
          <w:tcPr>
            <w:tcW w:w="1449" w:type="dxa"/>
            <w:tcBorders>
              <w:top w:val="single" w:color="000000" w:sz="4" w:space="0"/>
              <w:left w:val="single" w:color="000000" w:sz="4" w:space="0"/>
              <w:bottom w:val="single" w:color="auto" w:sz="4" w:space="0"/>
              <w:right w:val="single" w:color="000000" w:sz="4" w:space="0"/>
            </w:tcBorders>
            <w:shd w:val="clear" w:color="auto" w:fill="auto"/>
            <w:vAlign w:val="center"/>
          </w:tcPr>
          <w:p w14:paraId="4197D69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0.7m</w:t>
            </w:r>
          </w:p>
        </w:tc>
        <w:tc>
          <w:tcPr>
            <w:tcW w:w="1450" w:type="dxa"/>
            <w:tcBorders>
              <w:top w:val="single" w:color="000000" w:sz="4" w:space="0"/>
              <w:left w:val="single" w:color="000000" w:sz="4" w:space="0"/>
              <w:bottom w:val="single" w:color="auto" w:sz="4" w:space="0"/>
              <w:right w:val="single" w:color="000000" w:sz="4" w:space="0"/>
            </w:tcBorders>
            <w:shd w:val="clear" w:color="auto" w:fill="auto"/>
            <w:vAlign w:val="center"/>
          </w:tcPr>
          <w:p w14:paraId="394D785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en-US"/>
                <w14:textFill>
                  <w14:solidFill>
                    <w14:schemeClr w14:val="tx1"/>
                  </w14:solidFill>
                </w14:textFill>
              </w:rPr>
            </w:pPr>
            <w:r>
              <w:rPr>
                <w:rFonts w:hint="eastAsia" w:cs="Times New Roman"/>
                <w:color w:val="000000" w:themeColor="text1"/>
                <w:kern w:val="0"/>
                <w:sz w:val="21"/>
                <w:szCs w:val="21"/>
                <w:highlight w:val="none"/>
                <w:lang w:val="en-US" w:eastAsia="zh-CN" w:bidi="en-US"/>
                <w14:textFill>
                  <w14:solidFill>
                    <w14:schemeClr w14:val="tx1"/>
                  </w14:solidFill>
                </w14:textFill>
              </w:rPr>
              <w:t>1.5m</w:t>
            </w:r>
          </w:p>
        </w:tc>
      </w:tr>
      <w:tr w14:paraId="0FD5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restart"/>
            <w:tcBorders>
              <w:top w:val="single" w:color="auto" w:sz="4" w:space="0"/>
              <w:left w:val="single" w:color="auto" w:sz="4" w:space="0"/>
              <w:right w:val="single" w:color="auto" w:sz="4" w:space="0"/>
            </w:tcBorders>
            <w:shd w:val="clear" w:color="auto" w:fill="auto"/>
            <w:vAlign w:val="center"/>
          </w:tcPr>
          <w:p w14:paraId="32E0E29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现场记录</w:t>
            </w: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10FBA43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颜色</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0D05506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黄棕色</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3C4314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黄棕色</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EFAB5A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黄棕色</w:t>
            </w:r>
          </w:p>
        </w:tc>
      </w:tr>
      <w:tr w14:paraId="2B7AA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continue"/>
            <w:tcBorders>
              <w:left w:val="single" w:color="auto" w:sz="4" w:space="0"/>
              <w:right w:val="single" w:color="auto" w:sz="4" w:space="0"/>
            </w:tcBorders>
            <w:shd w:val="clear" w:color="auto" w:fill="auto"/>
            <w:vAlign w:val="center"/>
          </w:tcPr>
          <w:p w14:paraId="7D5085CF">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26EDD29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土壤结构</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3C2446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团粒</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54EF72A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团粒</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C7333C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团粒</w:t>
            </w:r>
          </w:p>
        </w:tc>
      </w:tr>
      <w:tr w14:paraId="41E36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continue"/>
            <w:tcBorders>
              <w:left w:val="single" w:color="auto" w:sz="4" w:space="0"/>
              <w:right w:val="single" w:color="auto" w:sz="4" w:space="0"/>
            </w:tcBorders>
            <w:shd w:val="clear" w:color="auto" w:fill="auto"/>
            <w:vAlign w:val="center"/>
          </w:tcPr>
          <w:p w14:paraId="7A82C12E">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6936042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土壤质地</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7CAF148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壤土</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7152060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壤土</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20686E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壤土</w:t>
            </w:r>
          </w:p>
        </w:tc>
      </w:tr>
      <w:tr w14:paraId="6EB9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continue"/>
            <w:tcBorders>
              <w:left w:val="single" w:color="auto" w:sz="4" w:space="0"/>
              <w:right w:val="single" w:color="auto" w:sz="4" w:space="0"/>
            </w:tcBorders>
            <w:shd w:val="clear" w:color="auto" w:fill="auto"/>
            <w:vAlign w:val="center"/>
          </w:tcPr>
          <w:p w14:paraId="65AF129D">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13D4F8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砂砾含量</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0E09890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9.6</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7588244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4.2</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C47C3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w:t>
            </w:r>
          </w:p>
        </w:tc>
      </w:tr>
      <w:tr w14:paraId="1D147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continue"/>
            <w:tcBorders>
              <w:left w:val="single" w:color="auto" w:sz="4" w:space="0"/>
              <w:bottom w:val="single" w:color="auto" w:sz="4" w:space="0"/>
              <w:right w:val="single" w:color="auto" w:sz="4" w:space="0"/>
            </w:tcBorders>
            <w:shd w:val="clear" w:color="auto" w:fill="auto"/>
            <w:vAlign w:val="center"/>
          </w:tcPr>
          <w:p w14:paraId="64C4401A">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7F6ED09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其他异物</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04B966D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无</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12AEF7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无</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57BE5D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无</w:t>
            </w:r>
          </w:p>
        </w:tc>
      </w:tr>
      <w:tr w14:paraId="26844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425" w:type="dxa"/>
            <w:vMerge w:val="restart"/>
            <w:tcBorders>
              <w:top w:val="single" w:color="auto" w:sz="4" w:space="0"/>
              <w:left w:val="single" w:color="auto" w:sz="4" w:space="0"/>
              <w:right w:val="single" w:color="auto" w:sz="4" w:space="0"/>
            </w:tcBorders>
            <w:shd w:val="clear" w:color="auto" w:fill="auto"/>
            <w:vAlign w:val="center"/>
          </w:tcPr>
          <w:p w14:paraId="704EB015">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实验室测定</w:t>
            </w: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4AD46F4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pH值（无量纲）</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4D5FFCB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7.3</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2CED2A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7.3</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1C297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7.3</w:t>
            </w:r>
          </w:p>
        </w:tc>
      </w:tr>
      <w:tr w14:paraId="51221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425" w:type="dxa"/>
            <w:vMerge w:val="continue"/>
            <w:tcBorders>
              <w:left w:val="single" w:color="auto" w:sz="4" w:space="0"/>
              <w:right w:val="single" w:color="auto" w:sz="4" w:space="0"/>
            </w:tcBorders>
            <w:shd w:val="clear" w:color="auto" w:fill="auto"/>
            <w:vAlign w:val="center"/>
          </w:tcPr>
          <w:p w14:paraId="7CD9919F">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2A1DC0B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860" w:name="OLE_LINK551"/>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阳离子交换量</w:t>
            </w:r>
            <w:bookmarkEnd w:id="860"/>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en-US"/>
                <w14:textFill>
                  <w14:solidFill>
                    <w14:schemeClr w14:val="tx1"/>
                  </w14:solidFill>
                </w14:textFill>
              </w:rPr>
              <w:t>cmol</w:t>
            </w:r>
            <w:r>
              <w:rPr>
                <w:rFonts w:hint="default" w:ascii="Times New Roman" w:hAnsi="Times New Roman" w:eastAsia="宋体" w:cs="Times New Roman"/>
                <w:color w:val="000000" w:themeColor="text1"/>
                <w:kern w:val="0"/>
                <w:sz w:val="21"/>
                <w:szCs w:val="21"/>
                <w:highlight w:val="none"/>
                <w:vertAlign w:val="superscript"/>
                <w:lang w:val="en-US" w:eastAsia="zh-CN" w:bidi="en-US"/>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en-US"/>
                <w14:textFill>
                  <w14:solidFill>
                    <w14:schemeClr w14:val="tx1"/>
                  </w14:solidFill>
                </w14:textFill>
              </w:rPr>
              <w:t>/kg</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111BD9A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0868B83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C31A8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r>
      <w:tr w14:paraId="2C73F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425" w:type="dxa"/>
            <w:vMerge w:val="continue"/>
            <w:tcBorders>
              <w:left w:val="single" w:color="auto" w:sz="4" w:space="0"/>
              <w:right w:val="single" w:color="auto" w:sz="4" w:space="0"/>
            </w:tcBorders>
            <w:shd w:val="clear" w:color="auto" w:fill="auto"/>
            <w:vAlign w:val="center"/>
          </w:tcPr>
          <w:p w14:paraId="4D3F0616">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7892056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氧化还原电位</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（mV）</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7B7E38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294</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1D90AC6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268</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C180C3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386</w:t>
            </w:r>
          </w:p>
        </w:tc>
      </w:tr>
      <w:tr w14:paraId="0914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425" w:type="dxa"/>
            <w:vMerge w:val="continue"/>
            <w:tcBorders>
              <w:left w:val="single" w:color="auto" w:sz="4" w:space="0"/>
              <w:right w:val="single" w:color="auto" w:sz="4" w:space="0"/>
            </w:tcBorders>
            <w:shd w:val="clear" w:color="auto" w:fill="auto"/>
            <w:vAlign w:val="center"/>
          </w:tcPr>
          <w:p w14:paraId="14CF8153">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50928EE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土壤容重（g/cm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63B8F42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1.12</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0762FA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1.23</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8C54DE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1.25</w:t>
            </w:r>
          </w:p>
        </w:tc>
      </w:tr>
      <w:tr w14:paraId="13D4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425" w:type="dxa"/>
            <w:vMerge w:val="continue"/>
            <w:tcBorders>
              <w:left w:val="single" w:color="auto" w:sz="4" w:space="0"/>
              <w:right w:val="single" w:color="auto" w:sz="4" w:space="0"/>
            </w:tcBorders>
            <w:shd w:val="clear" w:color="auto" w:fill="auto"/>
            <w:vAlign w:val="center"/>
          </w:tcPr>
          <w:p w14:paraId="55BC98EA">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861" w:name="OLE_LINK550" w:colFirst="3" w:colLast="3"/>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0516DE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饱和导水率</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渗透率K</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10</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（mm/min）</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4C9304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0.526</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3DF7805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0.504</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2AD3B7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0.568</w:t>
            </w:r>
          </w:p>
        </w:tc>
      </w:tr>
      <w:tr w14:paraId="39343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25" w:type="dxa"/>
            <w:vMerge w:val="continue"/>
            <w:tcBorders>
              <w:left w:val="single" w:color="auto" w:sz="4" w:space="0"/>
              <w:bottom w:val="single" w:color="auto" w:sz="4" w:space="0"/>
              <w:right w:val="single" w:color="auto" w:sz="4" w:space="0"/>
            </w:tcBorders>
            <w:shd w:val="clear" w:color="auto" w:fill="auto"/>
            <w:vAlign w:val="center"/>
          </w:tcPr>
          <w:p w14:paraId="646C7D9F">
            <w:pPr>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653" w:type="dxa"/>
            <w:tcBorders>
              <w:top w:val="single" w:color="auto" w:sz="4" w:space="0"/>
              <w:left w:val="single" w:color="auto" w:sz="4" w:space="0"/>
              <w:bottom w:val="single" w:color="auto" w:sz="4" w:space="0"/>
              <w:right w:val="single" w:color="auto" w:sz="4" w:space="0"/>
            </w:tcBorders>
            <w:shd w:val="clear" w:color="auto" w:fill="auto"/>
            <w:vAlign w:val="center"/>
          </w:tcPr>
          <w:p w14:paraId="3F1277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孔隙度（%）</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4E293F6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40.8</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14:paraId="24E4A25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46.3</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AFE225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42.4</w:t>
            </w:r>
          </w:p>
        </w:tc>
      </w:tr>
      <w:bookmarkEnd w:id="861"/>
    </w:tbl>
    <w:p w14:paraId="24A0BCF1">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62" w:name="_Toc10791"/>
      <w:bookmarkStart w:id="863" w:name="_Toc19935"/>
      <w:bookmarkStart w:id="864" w:name="_Toc214"/>
      <w:bookmarkStart w:id="865" w:name="OLE_LINK278"/>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bookmarkEnd w:id="862"/>
      <w:bookmarkEnd w:id="863"/>
      <w:bookmarkEnd w:id="864"/>
      <w:r>
        <w:rPr>
          <w:rFonts w:hint="default" w:ascii="Times New Roman" w:hAnsi="Times New Roman" w:cs="Times New Roman"/>
          <w:color w:val="000000" w:themeColor="text1"/>
          <w:highlight w:val="none"/>
          <w14:textFill>
            <w14:solidFill>
              <w14:schemeClr w14:val="tx1"/>
            </w14:solidFill>
          </w14:textFill>
        </w:rPr>
        <w:t>土壤环境现状监测</w:t>
      </w:r>
    </w:p>
    <w:bookmarkEnd w:id="865"/>
    <w:p w14:paraId="363531CE">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bookmarkStart w:id="866" w:name="OLE_LINK552"/>
      <w:bookmarkStart w:id="867" w:name="OLE_LINK562"/>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根据</w:t>
      </w:r>
      <w:bookmarkStart w:id="868" w:name="OLE_LINK553"/>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《环境影响评价技术导则 土壤环境（试行）》（HJ964-2018）</w:t>
      </w:r>
      <w:bookmarkEnd w:id="866"/>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和《环境影响评价技术导则 陆地石油天然气开发建设项目》（HJ349-2023）</w:t>
      </w:r>
      <w:bookmarkEnd w:id="867"/>
      <w:bookmarkEnd w:id="868"/>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，本工程所在区域属于土壤盐化地区，本工程项目类别应按照土壤污染影响型和生态影响型考虑</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《环境影响评价技术导则 土壤环境（试行）》（HJ964-2018）</w:t>
      </w:r>
      <w:r>
        <w:rPr>
          <w:color w:val="000000" w:themeColor="text1"/>
          <w:highlight w:val="none"/>
          <w14:textFill>
            <w14:solidFill>
              <w14:schemeClr w14:val="tx1"/>
            </w14:solidFill>
          </w14:textFill>
        </w:rPr>
        <w:t>布点要求，本评价在占地范围内设置</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个柱状样和</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个表层样，占地范围外设置</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个表层样；</w:t>
      </w:r>
      <w:bookmarkStart w:id="869" w:name="OLE_LINK993"/>
      <w:r>
        <w:rPr>
          <w:color w:val="000000" w:themeColor="text1"/>
          <w:highlight w:val="none"/>
          <w14:textFill>
            <w14:solidFill>
              <w14:schemeClr w14:val="tx1"/>
            </w14:solidFill>
          </w14:textFill>
        </w:rPr>
        <w:t>土壤类型</w:t>
      </w:r>
      <w:bookmarkEnd w:id="869"/>
      <w:r>
        <w:rPr>
          <w:rFonts w:hint="eastAsia"/>
          <w:color w:val="000000" w:themeColor="text1"/>
          <w:highlight w:val="none"/>
          <w14:textFill>
            <w14:solidFill>
              <w14:schemeClr w14:val="tx1"/>
            </w14:solidFill>
          </w14:textFill>
        </w:rPr>
        <w:t>主要</w:t>
      </w:r>
      <w:r>
        <w:rPr>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盐土</w:t>
      </w:r>
      <w:r>
        <w:rPr>
          <w:color w:val="000000" w:themeColor="text1"/>
          <w:highlight w:val="none"/>
          <w14:textFill>
            <w14:solidFill>
              <w14:schemeClr w14:val="tx1"/>
            </w14:solidFill>
          </w14:textFill>
        </w:rPr>
        <w:t>。土壤监测布点符合</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《环境影响评价技术导则 土壤环境（试行）》（HJ964-2018）和《环境影响评价技术导则 陆地石油天然气开发建设项目》（HJ349-2023）</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中</w:t>
      </w:r>
      <w:r>
        <w:rPr>
          <w:color w:val="000000" w:themeColor="text1"/>
          <w:highlight w:val="none"/>
          <w14:textFill>
            <w14:solidFill>
              <w14:schemeClr w14:val="tx1"/>
            </w14:solidFill>
          </w14:textFill>
        </w:rPr>
        <w:t>污染影响型和生态影响型项目布点要求。</w:t>
      </w:r>
    </w:p>
    <w:p w14:paraId="78BEBDAA">
      <w:pPr>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bookmarkStart w:id="870" w:name="OLE_LINK561"/>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监测布点</w:t>
      </w:r>
      <w:bookmarkEnd w:id="870"/>
    </w:p>
    <w:p w14:paraId="23FAAB3A">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根据项目区域土壤类型的特点，以及土地利用方式，分为建设用地和农用地进行评价。</w:t>
      </w:r>
    </w:p>
    <w:p w14:paraId="5697D393">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①占地范围内：</w:t>
      </w:r>
    </w:p>
    <w:p w14:paraId="1C786D0F">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bookmarkStart w:id="871" w:name="OLE_LINK554"/>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占地范围内共</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布设3</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个柱状样监测点：</w:t>
      </w:r>
      <w:bookmarkStart w:id="872" w:name="OLE_LINK574"/>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T1（</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星火7斜井井口</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星火701井口</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）、T3（XH7-2X井口）</w:t>
      </w:r>
      <w:bookmarkEnd w:id="872"/>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w:t>
      </w:r>
    </w:p>
    <w:bookmarkEnd w:id="871"/>
    <w:p w14:paraId="3765E2C2">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bookmarkStart w:id="873" w:name="OLE_LINK555"/>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占地范围内共</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布设3</w:t>
      </w:r>
      <w:bookmarkStart w:id="874" w:name="OLE_LINK556"/>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个</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表层</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样监测点</w:t>
      </w:r>
      <w:bookmarkEnd w:id="874"/>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（星火7斜井西侧）、T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（星火7斜井南侧）、T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（星火7斜井东侧）</w:t>
      </w:r>
      <w:bookmarkEnd w:id="873"/>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w:t>
      </w:r>
    </w:p>
    <w:p w14:paraId="31D9076E">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②占地范围外：</w:t>
      </w:r>
    </w:p>
    <w:p w14:paraId="737B4CCF">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占地范围外</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共</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布设</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个</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表层</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样监测点：</w:t>
      </w:r>
      <w:bookmarkStart w:id="875" w:name="OLE_LINK559"/>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（星火7斜井井场外南侧200m范围内）、T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（星火7斜井井场外东侧200m范围内）、T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（星火7斜井井场外西侧200m范围内）、T</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（星火7斜井井场外北侧200m范围内）</w:t>
      </w:r>
      <w:bookmarkEnd w:id="875"/>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w:t>
      </w:r>
    </w:p>
    <w:p w14:paraId="616AEECA">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具体监测点位及监测因子见表4.5-</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2</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附图13</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w:t>
      </w:r>
    </w:p>
    <w:p w14:paraId="5FAFDDD3">
      <w:pPr>
        <w:pStyle w:val="1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t>表4.5-</w:t>
      </w:r>
      <w:r>
        <w:rPr>
          <w:rFonts w:hint="eastAsia"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10"/>
          <w:sz w:val="21"/>
          <w:szCs w:val="21"/>
          <w:highlight w:val="none"/>
          <w:lang w:val="en-US" w:eastAsia="zh-CN" w:bidi="ar-SA"/>
          <w14:textFill>
            <w14:solidFill>
              <w14:schemeClr w14:val="tx1"/>
            </w14:solidFill>
          </w14:textFill>
        </w:rPr>
        <w:t xml:space="preserve">   土壤监测点位及监测项目表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2"/>
        <w:gridCol w:w="813"/>
        <w:gridCol w:w="1914"/>
        <w:gridCol w:w="1919"/>
        <w:gridCol w:w="3201"/>
      </w:tblGrid>
      <w:tr w14:paraId="1B78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6" w:hRule="atLeast"/>
          <w:jc w:val="center"/>
        </w:trPr>
        <w:tc>
          <w:tcPr>
            <w:tcW w:w="394" w:type="pct"/>
            <w:shd w:val="clear" w:color="auto" w:fill="auto"/>
            <w:vAlign w:val="center"/>
          </w:tcPr>
          <w:p w14:paraId="4265E3FF">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分类</w:t>
            </w:r>
          </w:p>
        </w:tc>
        <w:tc>
          <w:tcPr>
            <w:tcW w:w="477" w:type="pct"/>
            <w:shd w:val="clear" w:color="auto" w:fill="auto"/>
            <w:vAlign w:val="center"/>
          </w:tcPr>
          <w:p w14:paraId="5AEE3839">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采样层位</w:t>
            </w:r>
          </w:p>
        </w:tc>
        <w:tc>
          <w:tcPr>
            <w:tcW w:w="1123" w:type="pct"/>
            <w:shd w:val="clear" w:color="auto" w:fill="auto"/>
            <w:vAlign w:val="center"/>
          </w:tcPr>
          <w:p w14:paraId="2397AAF8">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采样区名称</w:t>
            </w:r>
          </w:p>
        </w:tc>
        <w:tc>
          <w:tcPr>
            <w:tcW w:w="1126" w:type="pct"/>
            <w:shd w:val="clear" w:color="auto" w:fill="auto"/>
            <w:vAlign w:val="center"/>
          </w:tcPr>
          <w:p w14:paraId="01A57567">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地理坐标</w:t>
            </w:r>
          </w:p>
        </w:tc>
        <w:tc>
          <w:tcPr>
            <w:tcW w:w="1878" w:type="pct"/>
            <w:shd w:val="clear" w:color="auto" w:fill="auto"/>
            <w:vAlign w:val="center"/>
          </w:tcPr>
          <w:p w14:paraId="02EF529B">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监测因子</w:t>
            </w:r>
          </w:p>
        </w:tc>
      </w:tr>
      <w:tr w14:paraId="5CA2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restart"/>
            <w:shd w:val="clear" w:color="auto" w:fill="auto"/>
            <w:vAlign w:val="center"/>
          </w:tcPr>
          <w:p w14:paraId="2CBA1599">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76" w:name="OLE_LINK548" w:colFirst="3" w:colLast="3"/>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占地范围内（建设用地标准）</w:t>
            </w:r>
          </w:p>
        </w:tc>
        <w:tc>
          <w:tcPr>
            <w:tcW w:w="477" w:type="pct"/>
            <w:vMerge w:val="restart"/>
            <w:shd w:val="clear" w:color="auto" w:fill="auto"/>
            <w:vAlign w:val="center"/>
          </w:tcPr>
          <w:p w14:paraId="23D4BD13">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柱状样</w:t>
            </w:r>
          </w:p>
        </w:tc>
        <w:tc>
          <w:tcPr>
            <w:tcW w:w="1123" w:type="pct"/>
            <w:shd w:val="clear" w:color="auto" w:fill="auto"/>
            <w:vAlign w:val="center"/>
          </w:tcPr>
          <w:p w14:paraId="3C383BEB">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T1（星火7斜井井口）</w:t>
            </w:r>
          </w:p>
        </w:tc>
        <w:tc>
          <w:tcPr>
            <w:tcW w:w="1126" w:type="pct"/>
            <w:shd w:val="clear" w:color="auto" w:fill="auto"/>
            <w:vAlign w:val="center"/>
          </w:tcPr>
          <w:p w14:paraId="3552567C">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878" w:type="pct"/>
            <w:vMerge w:val="restart"/>
            <w:shd w:val="clear" w:color="auto" w:fill="auto"/>
            <w:vAlign w:val="center"/>
          </w:tcPr>
          <w:p w14:paraId="7E2171BB">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H+石油烃+土壤盐分含量</w:t>
            </w:r>
          </w:p>
        </w:tc>
      </w:tr>
      <w:tr w14:paraId="6D1B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continue"/>
            <w:shd w:val="clear" w:color="auto" w:fill="auto"/>
            <w:vAlign w:val="center"/>
          </w:tcPr>
          <w:p w14:paraId="5F946091">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279BB93B">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278873CE">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T2（星火701井口）</w:t>
            </w:r>
          </w:p>
        </w:tc>
        <w:tc>
          <w:tcPr>
            <w:tcW w:w="1126" w:type="pct"/>
            <w:shd w:val="clear" w:color="auto" w:fill="auto"/>
            <w:vAlign w:val="center"/>
          </w:tcPr>
          <w:p w14:paraId="4DFE5D17">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878" w:type="pct"/>
            <w:vMerge w:val="continue"/>
            <w:shd w:val="clear" w:color="auto" w:fill="auto"/>
            <w:vAlign w:val="center"/>
          </w:tcPr>
          <w:p w14:paraId="1AD4D219">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14:paraId="279E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continue"/>
            <w:shd w:val="clear" w:color="auto" w:fill="auto"/>
            <w:vAlign w:val="center"/>
          </w:tcPr>
          <w:p w14:paraId="3EC1A58C">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5F28D2D0">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071CC1A1">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T3（XH7-2X井口）</w:t>
            </w:r>
          </w:p>
        </w:tc>
        <w:tc>
          <w:tcPr>
            <w:tcW w:w="1126" w:type="pct"/>
            <w:shd w:val="clear" w:color="auto" w:fill="auto"/>
            <w:vAlign w:val="center"/>
          </w:tcPr>
          <w:p w14:paraId="11F5E32C">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878" w:type="pct"/>
            <w:vMerge w:val="continue"/>
            <w:shd w:val="clear" w:color="auto" w:fill="auto"/>
            <w:vAlign w:val="center"/>
          </w:tcPr>
          <w:p w14:paraId="084C0990">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14:paraId="224C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continue"/>
            <w:shd w:val="clear" w:color="auto" w:fill="auto"/>
            <w:vAlign w:val="center"/>
          </w:tcPr>
          <w:p w14:paraId="7A26CB91">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restart"/>
            <w:shd w:val="clear" w:color="auto" w:fill="auto"/>
            <w:vAlign w:val="center"/>
          </w:tcPr>
          <w:p w14:paraId="15208B6F">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表层样</w:t>
            </w:r>
          </w:p>
        </w:tc>
        <w:tc>
          <w:tcPr>
            <w:tcW w:w="1123" w:type="pct"/>
            <w:shd w:val="clear" w:color="auto" w:fill="auto"/>
            <w:vAlign w:val="center"/>
          </w:tcPr>
          <w:p w14:paraId="4E7506CD">
            <w:pPr>
              <w:pStyle w:val="140"/>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t>T4（星火7斜井西侧）</w:t>
            </w:r>
          </w:p>
        </w:tc>
        <w:tc>
          <w:tcPr>
            <w:tcW w:w="1126" w:type="pct"/>
            <w:shd w:val="clear" w:color="auto" w:fill="auto"/>
            <w:vAlign w:val="center"/>
          </w:tcPr>
          <w:p w14:paraId="5027D254">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1878" w:type="pct"/>
            <w:shd w:val="clear" w:color="auto" w:fill="auto"/>
            <w:vAlign w:val="center"/>
          </w:tcPr>
          <w:p w14:paraId="145EB513">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H+石油烃+土壤盐分含量</w:t>
            </w:r>
          </w:p>
        </w:tc>
      </w:tr>
      <w:tr w14:paraId="6346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continue"/>
            <w:shd w:val="clear" w:color="auto" w:fill="auto"/>
            <w:vAlign w:val="center"/>
          </w:tcPr>
          <w:p w14:paraId="59433742">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7C13F9DC">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653BB086">
            <w:pPr>
              <w:pStyle w:val="140"/>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pacing w:val="0"/>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highlight w:val="none"/>
                <w:lang w:val="en-US" w:eastAsia="zh-CN"/>
                <w14:textFill>
                  <w14:solidFill>
                    <w14:schemeClr w14:val="tx1"/>
                  </w14:solidFill>
                </w14:textFill>
              </w:rPr>
              <w:t>T5（星火7斜井南侧）</w:t>
            </w:r>
          </w:p>
        </w:tc>
        <w:tc>
          <w:tcPr>
            <w:tcW w:w="1126" w:type="pct"/>
            <w:shd w:val="clear" w:color="auto" w:fill="auto"/>
            <w:vAlign w:val="center"/>
          </w:tcPr>
          <w:p w14:paraId="0CF72899">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pacing w:val="0"/>
                <w:kern w:val="0"/>
                <w:sz w:val="21"/>
                <w:szCs w:val="24"/>
                <w:highlight w:val="none"/>
                <w14:textFill>
                  <w14:solidFill>
                    <w14:schemeClr w14:val="tx1"/>
                  </w14:solidFill>
                </w14:textFill>
              </w:rPr>
            </w:pPr>
          </w:p>
        </w:tc>
        <w:tc>
          <w:tcPr>
            <w:tcW w:w="1878" w:type="pct"/>
            <w:shd w:val="clear" w:color="auto" w:fill="auto"/>
            <w:vAlign w:val="center"/>
          </w:tcPr>
          <w:p w14:paraId="246D0ACE">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877" w:name="OLE_LINK570"/>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《土壤环境质量 建设用地土壤污染风险管控标准（试行）》（GB36600-2018）第二类用地的45项基本因子+特征因子：石油烃+土壤盐分含量+</w:t>
            </w:r>
            <w:r>
              <w:rPr>
                <w:rFonts w:hint="eastAsia" w:eastAsia="宋体" w:cs="Times New Roman"/>
                <w:color w:val="000000" w:themeColor="text1"/>
                <w:kern w:val="0"/>
                <w:sz w:val="21"/>
                <w:szCs w:val="21"/>
                <w:highlight w:val="none"/>
                <w:lang w:val="en-US" w:eastAsia="zh-CN" w:bidi="ar-SA"/>
                <w14:textFill>
                  <w14:solidFill>
                    <w14:schemeClr w14:val="tx1"/>
                  </w14:solidFill>
                </w14:textFill>
              </w:rPr>
              <w:t>p</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w:t>
            </w:r>
            <w:bookmarkEnd w:id="877"/>
          </w:p>
        </w:tc>
      </w:tr>
      <w:tr w14:paraId="316A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94" w:type="pct"/>
            <w:vMerge w:val="continue"/>
            <w:shd w:val="clear" w:color="auto" w:fill="auto"/>
            <w:vAlign w:val="center"/>
          </w:tcPr>
          <w:p w14:paraId="1F5F7992">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40DAC2CD">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497DE626">
            <w:pPr>
              <w:pStyle w:val="140"/>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pacing w:val="0"/>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highlight w:val="none"/>
                <w:lang w:val="en-US" w:eastAsia="zh-CN"/>
                <w14:textFill>
                  <w14:solidFill>
                    <w14:schemeClr w14:val="tx1"/>
                  </w14:solidFill>
                </w14:textFill>
              </w:rPr>
              <w:t>T6（星火7斜井东侧）</w:t>
            </w:r>
          </w:p>
        </w:tc>
        <w:tc>
          <w:tcPr>
            <w:tcW w:w="1126" w:type="pct"/>
            <w:shd w:val="clear" w:color="auto" w:fill="auto"/>
            <w:vAlign w:val="center"/>
          </w:tcPr>
          <w:p w14:paraId="48854380">
            <w:pPr>
              <w:pStyle w:val="140"/>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pacing w:val="0"/>
                <w:kern w:val="0"/>
                <w:sz w:val="21"/>
                <w:szCs w:val="24"/>
                <w:highlight w:val="none"/>
                <w14:textFill>
                  <w14:solidFill>
                    <w14:schemeClr w14:val="tx1"/>
                  </w14:solidFill>
                </w14:textFill>
              </w:rPr>
            </w:pPr>
          </w:p>
        </w:tc>
        <w:tc>
          <w:tcPr>
            <w:tcW w:w="1878" w:type="pct"/>
            <w:shd w:val="clear" w:color="auto" w:fill="auto"/>
            <w:vAlign w:val="center"/>
          </w:tcPr>
          <w:p w14:paraId="03ACC4DF">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H+石油烃+土壤盐分含量</w:t>
            </w:r>
          </w:p>
        </w:tc>
      </w:tr>
      <w:bookmarkEnd w:id="876"/>
      <w:tr w14:paraId="78CA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 w:hRule="atLeast"/>
          <w:jc w:val="center"/>
        </w:trPr>
        <w:tc>
          <w:tcPr>
            <w:tcW w:w="394" w:type="pct"/>
            <w:vMerge w:val="restart"/>
            <w:shd w:val="clear" w:color="auto" w:fill="auto"/>
            <w:vAlign w:val="center"/>
          </w:tcPr>
          <w:p w14:paraId="5CEB2378">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占地范围外（农用地标准）</w:t>
            </w:r>
          </w:p>
        </w:tc>
        <w:tc>
          <w:tcPr>
            <w:tcW w:w="477" w:type="pct"/>
            <w:vMerge w:val="restart"/>
            <w:shd w:val="clear" w:color="auto" w:fill="auto"/>
            <w:vAlign w:val="center"/>
          </w:tcPr>
          <w:p w14:paraId="2ED51E9F">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表层样</w:t>
            </w:r>
          </w:p>
        </w:tc>
        <w:tc>
          <w:tcPr>
            <w:tcW w:w="1123" w:type="pct"/>
            <w:shd w:val="clear" w:color="auto" w:fill="auto"/>
            <w:vAlign w:val="center"/>
          </w:tcPr>
          <w:p w14:paraId="54D985CD">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T7（星火7斜井井场外南侧200m范围内）</w:t>
            </w:r>
          </w:p>
        </w:tc>
        <w:tc>
          <w:tcPr>
            <w:tcW w:w="1126" w:type="pct"/>
            <w:shd w:val="clear" w:color="auto" w:fill="auto"/>
            <w:vAlign w:val="center"/>
          </w:tcPr>
          <w:p w14:paraId="3D1E094C">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878" w:type="pct"/>
            <w:vMerge w:val="restart"/>
            <w:shd w:val="clear" w:color="auto" w:fill="auto"/>
            <w:vAlign w:val="center"/>
          </w:tcPr>
          <w:p w14:paraId="2781B4E1">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PH、石油烃、含盐量</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、砷、镉、铜、铅、汞、镍、铬、锌</w:t>
            </w:r>
          </w:p>
        </w:tc>
      </w:tr>
      <w:tr w14:paraId="706F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1" w:hRule="atLeast"/>
          <w:jc w:val="center"/>
        </w:trPr>
        <w:tc>
          <w:tcPr>
            <w:tcW w:w="394" w:type="pct"/>
            <w:vMerge w:val="continue"/>
            <w:shd w:val="clear" w:color="auto" w:fill="auto"/>
            <w:vAlign w:val="center"/>
          </w:tcPr>
          <w:p w14:paraId="73232175">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477" w:type="pct"/>
            <w:vMerge w:val="continue"/>
            <w:shd w:val="clear" w:color="auto" w:fill="auto"/>
            <w:vAlign w:val="center"/>
          </w:tcPr>
          <w:p w14:paraId="42A4799B">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123" w:type="pct"/>
            <w:shd w:val="clear" w:color="auto" w:fill="auto"/>
            <w:vAlign w:val="center"/>
          </w:tcPr>
          <w:p w14:paraId="59F4763A">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T8（星火7斜井井场外东侧200m范围内）</w:t>
            </w:r>
          </w:p>
        </w:tc>
        <w:tc>
          <w:tcPr>
            <w:tcW w:w="1126" w:type="pct"/>
            <w:shd w:val="clear" w:color="auto" w:fill="auto"/>
            <w:vAlign w:val="center"/>
          </w:tcPr>
          <w:p w14:paraId="25178305">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878" w:type="pct"/>
            <w:vMerge w:val="continue"/>
            <w:shd w:val="clear" w:color="auto" w:fill="auto"/>
            <w:vAlign w:val="center"/>
          </w:tcPr>
          <w:p w14:paraId="1B55197C">
            <w:pPr>
              <w:pStyle w:val="140"/>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p>
        </w:tc>
      </w:tr>
      <w:tr w14:paraId="0CA0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1" w:hRule="atLeast"/>
          <w:jc w:val="center"/>
        </w:trPr>
        <w:tc>
          <w:tcPr>
            <w:tcW w:w="394" w:type="pct"/>
            <w:vMerge w:val="continue"/>
            <w:shd w:val="clear" w:color="auto" w:fill="auto"/>
            <w:vAlign w:val="center"/>
          </w:tcPr>
          <w:p w14:paraId="04BA0F11">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04DF8ABB">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34F097EE">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T9（星火7斜井井场外西侧200m范围内）</w:t>
            </w:r>
          </w:p>
        </w:tc>
        <w:tc>
          <w:tcPr>
            <w:tcW w:w="1126" w:type="pct"/>
            <w:shd w:val="clear" w:color="auto" w:fill="auto"/>
            <w:vAlign w:val="center"/>
          </w:tcPr>
          <w:p w14:paraId="6F245ADC">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878" w:type="pct"/>
            <w:vMerge w:val="continue"/>
            <w:shd w:val="clear" w:color="auto" w:fill="auto"/>
            <w:vAlign w:val="center"/>
          </w:tcPr>
          <w:p w14:paraId="53F8C683">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r>
      <w:tr w14:paraId="755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1" w:hRule="atLeast"/>
          <w:jc w:val="center"/>
        </w:trPr>
        <w:tc>
          <w:tcPr>
            <w:tcW w:w="394" w:type="pct"/>
            <w:vMerge w:val="continue"/>
            <w:shd w:val="clear" w:color="auto" w:fill="auto"/>
            <w:vAlign w:val="center"/>
          </w:tcPr>
          <w:p w14:paraId="6E888401">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c>
          <w:tcPr>
            <w:tcW w:w="477" w:type="pct"/>
            <w:vMerge w:val="continue"/>
            <w:shd w:val="clear" w:color="auto" w:fill="auto"/>
            <w:vAlign w:val="center"/>
          </w:tcPr>
          <w:p w14:paraId="29106C55">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c>
          <w:tcPr>
            <w:tcW w:w="1123" w:type="pct"/>
            <w:shd w:val="clear" w:color="auto" w:fill="auto"/>
            <w:vAlign w:val="center"/>
          </w:tcPr>
          <w:p w14:paraId="27AFBDD1">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T10（星火7斜井井场外北侧200m范围内）</w:t>
            </w:r>
          </w:p>
        </w:tc>
        <w:tc>
          <w:tcPr>
            <w:tcW w:w="1126" w:type="pct"/>
            <w:shd w:val="clear" w:color="auto" w:fill="auto"/>
            <w:vAlign w:val="center"/>
          </w:tcPr>
          <w:p w14:paraId="7DCD9837">
            <w:pPr>
              <w:pStyle w:val="14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878" w:type="pct"/>
            <w:vMerge w:val="continue"/>
            <w:shd w:val="clear" w:color="auto" w:fill="auto"/>
            <w:vAlign w:val="center"/>
          </w:tcPr>
          <w:p w14:paraId="28F44FFD">
            <w:pPr>
              <w:pStyle w:val="140"/>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p>
        </w:tc>
      </w:tr>
    </w:tbl>
    <w:p w14:paraId="2B8FA5FF">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监测频率</w:t>
      </w:r>
    </w:p>
    <w:p w14:paraId="3CC97773">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监测1天，</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监测1次。</w:t>
      </w:r>
    </w:p>
    <w:p w14:paraId="4EBE2074">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）监测单位</w:t>
      </w:r>
    </w:p>
    <w:p w14:paraId="59982AA9">
      <w:pPr>
        <w:pageBreakBefore w:val="0"/>
        <w:widowControl/>
        <w:kinsoku/>
        <w:wordWrap/>
        <w:overflowPunct/>
        <w:topLinePunct w:val="0"/>
        <w:autoSpaceDE/>
        <w:autoSpaceDN/>
        <w:bidi w:val="0"/>
        <w:adjustRightInd w:val="0"/>
        <w:snapToGrid w:val="0"/>
        <w:spacing w:line="360" w:lineRule="auto"/>
        <w:ind w:firstLine="496" w:firstLineChars="200"/>
        <w:jc w:val="both"/>
        <w:textAlignment w:val="auto"/>
        <w:rPr>
          <w:rFonts w:hint="eastAsia" w:cs="Times New Roman"/>
          <w:color w:val="000000" w:themeColor="text1"/>
          <w:spacing w:val="4"/>
          <w:kern w:val="0"/>
          <w:sz w:val="24"/>
          <w:szCs w:val="24"/>
          <w:highlight w:val="none"/>
          <w:lang w:val="en-US" w:eastAsia="zh-CN" w:bidi="ar-SA"/>
          <w14:textFill>
            <w14:solidFill>
              <w14:schemeClr w14:val="tx1"/>
            </w14:solidFill>
          </w14:textFill>
        </w:rPr>
      </w:pPr>
      <w:bookmarkStart w:id="878" w:name="OLE_LINK424"/>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本次评价土壤检测委托</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巴州康安职业环境检测评价有限公司</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对土壤环境质量现状进行了监测，监测时间为202</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年</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月</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w:t>
      </w:r>
    </w:p>
    <w:bookmarkEnd w:id="878"/>
    <w:p w14:paraId="5CCC7E92">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w:t>
      </w:r>
      <w:r>
        <w:rPr>
          <w:rFonts w:hint="eastAsia" w:cs="宋体"/>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监测项目及分析</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方法</w:t>
      </w:r>
    </w:p>
    <w:p w14:paraId="02F2C83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监测项目</w:t>
      </w:r>
    </w:p>
    <w:p w14:paraId="68D65560">
      <w:pPr>
        <w:keepNext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根据</w:t>
      </w:r>
      <w:bookmarkStart w:id="879" w:name="OLE_LINK567"/>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w:t>
      </w:r>
      <w:bookmarkStart w:id="880" w:name="OLE_LINK563"/>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环境影响评价技术导则 土壤环境（试行）</w:t>
      </w:r>
      <w:bookmarkEnd w:id="880"/>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w:t>
      </w:r>
      <w:bookmarkEnd w:id="879"/>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（HJ964-2018）和《环境影响</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评价技术导则 陆地石油天然气开发建设项目》（HJ349-2023）</w:t>
      </w:r>
      <w:r>
        <w:rPr>
          <w:rFonts w:hint="default" w:ascii="Times New Roman" w:hAnsi="Times New Roman" w:eastAsia="宋体" w:cs="Times New Roman"/>
          <w:color w:val="000000" w:themeColor="text1"/>
          <w:sz w:val="24"/>
          <w:szCs w:val="20"/>
          <w:highlight w:val="none"/>
          <w14:textFill>
            <w14:solidFill>
              <w14:schemeClr w14:val="tx1"/>
            </w14:solidFill>
          </w14:textFill>
        </w:rPr>
        <w:t>，本次评价</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的监测项目包括：</w:t>
      </w:r>
    </w:p>
    <w:p w14:paraId="24A07E01">
      <w:pPr>
        <w:keepNext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w:t>
      </w:r>
      <w:bookmarkStart w:id="881" w:name="OLE_LINK1074"/>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土壤环境质量 农用地土壤污染风险管控标准（试行）</w:t>
      </w:r>
      <w:bookmarkEnd w:id="881"/>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》（GB15618-2018）中表1规定的基</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本工程</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：镉、汞、砷、</w:t>
      </w:r>
      <w:bookmarkStart w:id="882" w:name="OLE_LINK1020"/>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铅</w:t>
      </w:r>
      <w:bookmarkEnd w:id="882"/>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、铬、铜、镍、锌</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、pH、土壤盐分含量、石油烃</w:t>
      </w:r>
      <w:bookmarkStart w:id="883" w:name="OLE_LINK571"/>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共计11项。</w:t>
      </w:r>
      <w:bookmarkEnd w:id="883"/>
    </w:p>
    <w:p w14:paraId="16111D3A">
      <w:pPr>
        <w:keepNext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pP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《土壤环境质量 建设用地土壤污染风险管控标准（试行）》（GB36600-2018）第二类用地的基本因子+特征因子：砷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镉</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铬</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六价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铜</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铅</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汞</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镍</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四氯化碳</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氯仿</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氯甲烷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1，1-二氯乙烷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1，2-二氯乙烷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1，1-二氯乙烯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顺式-1，2-二氯乙烯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反式-1，2-二氯乙烯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二氯甲烷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1，2-二氯丙烷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1，1，1，2-四氯乙烷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1，1，2，2-四氯乙烷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四氯乙烯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1，1，1-三氯乙烷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1，1，2-三氯乙烷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三氯乙烯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1，2，3-三氯丙烷</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氯苯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1，2-二氯苯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1，4-二氯苯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乙苯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苯乙烯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甲苯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间/对二甲苯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邻二甲苯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硝基苯</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苯胺</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2-氯苯酚</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苯并〔a〕蒽</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苯并〔a〕芘</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苯并〔b〕荧蒽</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苯并〔k〕荧蒽</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䓛</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二苯并〔a，h〕蒽</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茚并〔1，2，3-cd〕芘</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萘</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pH</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石油烃</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w:t>
      </w:r>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土壤盐分含量</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共计48项。</w:t>
      </w:r>
    </w:p>
    <w:p w14:paraId="22D74E8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0"/>
          <w:highlight w:val="none"/>
          <w14:textFill>
            <w14:solidFill>
              <w14:schemeClr w14:val="tx1"/>
            </w14:solidFill>
          </w14:textFill>
        </w:rPr>
        <w:t>②</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分析方法</w:t>
      </w:r>
    </w:p>
    <w:p w14:paraId="7698015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采样</w:t>
      </w:r>
      <w:bookmarkStart w:id="884" w:name="OLE_LINK566"/>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按照</w:t>
      </w:r>
      <w:bookmarkEnd w:id="884"/>
      <w:r>
        <w:rPr>
          <w:rFonts w:hint="default" w:eastAsia="宋体" w:cs="Times New Roman"/>
          <w:color w:val="000000" w:themeColor="text1"/>
          <w:spacing w:val="4"/>
          <w:kern w:val="0"/>
          <w:sz w:val="24"/>
          <w:szCs w:val="24"/>
          <w:highlight w:val="none"/>
          <w:lang w:val="en-US" w:eastAsia="zh-CN" w:bidi="ar-SA"/>
          <w14:textFill>
            <w14:solidFill>
              <w14:schemeClr w14:val="tx1"/>
            </w14:solidFill>
          </w14:textFill>
        </w:rPr>
        <w:t>《环境影响评价技术导则 土壤环境（试行）》</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执行，</w:t>
      </w:r>
      <w:r>
        <w:rPr>
          <w:rFonts w:hint="default" w:ascii="Times New Roman" w:hAnsi="Times New Roman" w:eastAsia="宋体" w:cs="Times New Roman"/>
          <w:color w:val="000000" w:themeColor="text1"/>
          <w:sz w:val="24"/>
          <w:szCs w:val="20"/>
          <w:highlight w:val="none"/>
          <w14:textFill>
            <w14:solidFill>
              <w14:schemeClr w14:val="tx1"/>
            </w14:solidFill>
          </w14:textFill>
        </w:rPr>
        <w:t>监测分析方法</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按照</w:t>
      </w:r>
      <w:r>
        <w:rPr>
          <w:rFonts w:hint="eastAsia" w:eastAsia="宋体" w:cs="Times New Roman"/>
          <w:color w:val="000000" w:themeColor="text1"/>
          <w:sz w:val="24"/>
          <w:szCs w:val="20"/>
          <w:highlight w:val="none"/>
          <w:lang w:val="en-US" w:eastAsia="zh-CN"/>
          <w14:textFill>
            <w14:solidFill>
              <w14:schemeClr w14:val="tx1"/>
            </w14:solidFill>
          </w14:textFill>
        </w:rPr>
        <w:t>《</w:t>
      </w:r>
      <w:bookmarkStart w:id="885" w:name="OLE_LINK564"/>
      <w:r>
        <w:rPr>
          <w:rFonts w:hint="eastAsia" w:eastAsia="宋体" w:cs="Times New Roman"/>
          <w:color w:val="000000" w:themeColor="text1"/>
          <w:sz w:val="24"/>
          <w:szCs w:val="20"/>
          <w:highlight w:val="none"/>
          <w:lang w:val="en-US" w:eastAsia="zh-CN"/>
          <w14:textFill>
            <w14:solidFill>
              <w14:schemeClr w14:val="tx1"/>
            </w14:solidFill>
          </w14:textFill>
        </w:rPr>
        <w:t>土壤环境监测技术规范</w:t>
      </w:r>
      <w:bookmarkEnd w:id="885"/>
      <w:r>
        <w:rPr>
          <w:rFonts w:hint="eastAsia" w:eastAsia="宋体" w:cs="Times New Roman"/>
          <w:color w:val="000000" w:themeColor="text1"/>
          <w:sz w:val="24"/>
          <w:szCs w:val="20"/>
          <w:highlight w:val="none"/>
          <w:lang w:val="en-US" w:eastAsia="zh-CN"/>
          <w14:textFill>
            <w14:solidFill>
              <w14:schemeClr w14:val="tx1"/>
            </w14:solidFill>
          </w14:textFill>
        </w:rPr>
        <w:t>》（HJ/T166-2004）《</w:t>
      </w:r>
      <w:bookmarkStart w:id="886" w:name="OLE_LINK565"/>
      <w:r>
        <w:rPr>
          <w:rFonts w:hint="eastAsia" w:eastAsia="宋体" w:cs="Times New Roman"/>
          <w:color w:val="000000" w:themeColor="text1"/>
          <w:sz w:val="24"/>
          <w:szCs w:val="20"/>
          <w:highlight w:val="none"/>
          <w:lang w:val="en-US" w:eastAsia="zh-CN"/>
          <w14:textFill>
            <w14:solidFill>
              <w14:schemeClr w14:val="tx1"/>
            </w14:solidFill>
          </w14:textFill>
        </w:rPr>
        <w:t>建设用地土壤污染状况调查 技术导则</w:t>
      </w:r>
      <w:bookmarkEnd w:id="886"/>
      <w:r>
        <w:rPr>
          <w:rFonts w:hint="eastAsia" w:eastAsia="宋体" w:cs="Times New Roman"/>
          <w:color w:val="000000" w:themeColor="text1"/>
          <w:sz w:val="24"/>
          <w:szCs w:val="20"/>
          <w:highlight w:val="none"/>
          <w:lang w:val="en-US" w:eastAsia="zh-CN"/>
          <w14:textFill>
            <w14:solidFill>
              <w14:schemeClr w14:val="tx1"/>
            </w14:solidFill>
          </w14:textFill>
        </w:rPr>
        <w:t>》（HJ25.1-2019）有关标准和规范执行</w:t>
      </w:r>
      <w:r>
        <w:rPr>
          <w:rFonts w:hint="eastAsia" w:cs="Times New Roman"/>
          <w:color w:val="000000" w:themeColor="text1"/>
          <w:sz w:val="24"/>
          <w:szCs w:val="20"/>
          <w:highlight w:val="none"/>
          <w:lang w:eastAsia="zh-CN"/>
          <w14:textFill>
            <w14:solidFill>
              <w14:schemeClr w14:val="tx1"/>
            </w14:solidFill>
          </w14:textFill>
        </w:rPr>
        <w:t>。</w:t>
      </w:r>
    </w:p>
    <w:p w14:paraId="72F567A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土壤环境现状评价</w:t>
      </w:r>
    </w:p>
    <w:p w14:paraId="70AEA7E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（1）评价标准</w:t>
      </w:r>
    </w:p>
    <w:p w14:paraId="57656255">
      <w:pPr>
        <w:spacing w:line="360" w:lineRule="auto"/>
        <w:ind w:firstLine="480" w:firstLineChars="200"/>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占地范围内执行《土壤环境质量</w:t>
      </w:r>
      <w:r>
        <w:rPr>
          <w:rFonts w:hint="eastAsia" w:cs="Times New Roman"/>
          <w:snapToGrid w:val="0"/>
          <w:color w:val="000000" w:themeColor="text1"/>
          <w:kern w:val="2"/>
          <w:sz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建设用地土壤污染风险管控标准（试行）》（GB36600-2018）第二类用地风险筛选值标准。</w:t>
      </w:r>
    </w:p>
    <w:p w14:paraId="30D1C26F">
      <w:pPr>
        <w:spacing w:line="360" w:lineRule="auto"/>
        <w:ind w:firstLine="480" w:firstLineChars="200"/>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占地范围外执行《土壤环境质量 农用地土壤污染风险管控标准（试行）》（GB15618-2018）中</w:t>
      </w:r>
      <w:r>
        <w:rPr>
          <w:rFonts w:hint="eastAsia" w:eastAsia="宋体" w:cs="Times New Roman"/>
          <w:snapToGrid w:val="0"/>
          <w:color w:val="000000" w:themeColor="text1"/>
          <w:kern w:val="2"/>
          <w:sz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表1农用地土壤污染风险筛选值（基</w:t>
      </w:r>
      <w:r>
        <w:rPr>
          <w:rFonts w:hint="eastAsia" w:cs="Times New Roman"/>
          <w:snapToGrid w:val="0"/>
          <w:color w:val="000000" w:themeColor="text1"/>
          <w:kern w:val="2"/>
          <w:sz w:val="24"/>
          <w:highlight w:val="none"/>
          <w:lang w:val="en-US" w:eastAsia="zh-CN" w:bidi="ar-SA"/>
          <w14:textFill>
            <w14:solidFill>
              <w14:schemeClr w14:val="tx1"/>
            </w14:solidFill>
          </w14:textFill>
        </w:rPr>
        <w:t>本工程</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w:t>
      </w:r>
      <w:r>
        <w:rPr>
          <w:rFonts w:hint="eastAsia" w:eastAsia="宋体" w:cs="Times New Roman"/>
          <w:snapToGrid w:val="0"/>
          <w:color w:val="000000" w:themeColor="text1"/>
          <w:kern w:val="2"/>
          <w:sz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6.5&lt;pH</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7.5</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所列标准；石油烃参考《</w:t>
      </w:r>
      <w:bookmarkStart w:id="887" w:name="OLE_LINK572"/>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土壤环境质量 建设用地土壤污染风险管控标准</w:t>
      </w:r>
      <w:bookmarkEnd w:id="887"/>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（试行）》（GB36600-2018）</w:t>
      </w:r>
      <w:r>
        <w:rPr>
          <w:rFonts w:hint="eastAsia" w:eastAsia="宋体" w:cs="Times New Roman"/>
          <w:snapToGrid w:val="0"/>
          <w:color w:val="000000" w:themeColor="text1"/>
          <w:kern w:val="2"/>
          <w:sz w:val="24"/>
          <w:highlight w:val="none"/>
          <w:lang w:val="en-US" w:eastAsia="zh-CN" w:bidi="ar-SA"/>
          <w14:textFill>
            <w14:solidFill>
              <w14:schemeClr w14:val="tx1"/>
            </w14:solidFill>
          </w14:textFill>
        </w:rPr>
        <w:t>“表2建设用地土壤污染风险筛选值和管制值（其他项目）”</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第二类用地风险筛选值。</w:t>
      </w:r>
    </w:p>
    <w:p w14:paraId="5607358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88" w:name="OLE_LINK573"/>
      <w:r>
        <w:rPr>
          <w:rFonts w:hint="default" w:ascii="Times New Roman" w:hAnsi="Times New Roman" w:eastAsia="宋体" w:cs="Times New Roman"/>
          <w:color w:val="000000" w:themeColor="text1"/>
          <w:sz w:val="24"/>
          <w:szCs w:val="24"/>
          <w:highlight w:val="none"/>
          <w14:textFill>
            <w14:solidFill>
              <w14:schemeClr w14:val="tx1"/>
            </w14:solidFill>
          </w14:textFill>
        </w:rPr>
        <w:t>（2）评价方法</w:t>
      </w:r>
    </w:p>
    <w:bookmarkEnd w:id="888"/>
    <w:p w14:paraId="31573D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评价方法采用标准指数法。</w:t>
      </w:r>
    </w:p>
    <w:p w14:paraId="74F231F5">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color w:val="000000" w:themeColor="text1"/>
          <w:highlight w:val="none"/>
          <w14:textFill>
            <w14:solidFill>
              <w14:schemeClr w14:val="tx1"/>
            </w14:solidFill>
          </w14:textFill>
        </w:rPr>
      </w:pPr>
      <w:bookmarkStart w:id="889" w:name="OLE_LINK589"/>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w:t>
      </w:r>
      <w:r>
        <w:rPr>
          <w:rFonts w:hint="eastAsia" w:cs="宋体"/>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监测及评价结果</w:t>
      </w:r>
    </w:p>
    <w:bookmarkEnd w:id="889"/>
    <w:p w14:paraId="0237F812">
      <w:pPr>
        <w:spacing w:line="240" w:lineRule="auto"/>
        <w:ind w:firstLine="422"/>
        <w:jc w:val="cente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5-</w:t>
      </w:r>
      <w:r>
        <w:rPr>
          <w:rFonts w:hint="eastAsia" w:cs="Times New Roman"/>
          <w:b/>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占地范围内的表层样</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土壤监测结果统计表  单位：mg/kg  pH无量纲</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1043"/>
        <w:gridCol w:w="1607"/>
        <w:gridCol w:w="968"/>
        <w:gridCol w:w="2492"/>
        <w:gridCol w:w="689"/>
      </w:tblGrid>
      <w:tr w14:paraId="344F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83480CA">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检测项目</w:t>
            </w:r>
          </w:p>
        </w:tc>
        <w:tc>
          <w:tcPr>
            <w:tcW w:w="612" w:type="pct"/>
            <w:vAlign w:val="center"/>
          </w:tcPr>
          <w:p w14:paraId="513D8C57">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943" w:type="pct"/>
            <w:vAlign w:val="center"/>
          </w:tcPr>
          <w:p w14:paraId="413DD6F9">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井场内土壤监测结果</w:t>
            </w:r>
          </w:p>
        </w:tc>
        <w:tc>
          <w:tcPr>
            <w:tcW w:w="568" w:type="pct"/>
            <w:vAlign w:val="center"/>
          </w:tcPr>
          <w:p w14:paraId="7C6CE179">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标准指数</w:t>
            </w:r>
          </w:p>
        </w:tc>
        <w:tc>
          <w:tcPr>
            <w:tcW w:w="1462" w:type="pct"/>
            <w:vAlign w:val="center"/>
          </w:tcPr>
          <w:p w14:paraId="7812E90C">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（GB36600-2018）二类筛选值（mg/kg）</w:t>
            </w:r>
          </w:p>
        </w:tc>
        <w:tc>
          <w:tcPr>
            <w:tcW w:w="404" w:type="pct"/>
            <w:vAlign w:val="center"/>
          </w:tcPr>
          <w:p w14:paraId="08836893">
            <w:pPr>
              <w:pStyle w:val="47"/>
              <w:spacing w:line="240" w:lineRule="auto"/>
              <w:rPr>
                <w:rFonts w:hint="default" w:ascii="Times New Roman" w:hAnsi="Times New Roman" w:eastAsia="宋体" w:cs="Times New Roman"/>
                <w:b/>
                <w:bCs/>
                <w:color w:val="000000" w:themeColor="text1"/>
                <w:spacing w:val="-10"/>
                <w:kern w:val="2"/>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评价结果</w:t>
            </w:r>
          </w:p>
        </w:tc>
      </w:tr>
      <w:tr w14:paraId="7B1A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95143ED">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氯乙烯</w:t>
            </w:r>
          </w:p>
        </w:tc>
        <w:tc>
          <w:tcPr>
            <w:tcW w:w="612" w:type="pct"/>
            <w:vAlign w:val="center"/>
          </w:tcPr>
          <w:p w14:paraId="6DA7C4F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583C512F">
            <w:pPr>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D0351E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236A4FAF">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0.43</w:t>
            </w:r>
          </w:p>
        </w:tc>
        <w:tc>
          <w:tcPr>
            <w:tcW w:w="404" w:type="pct"/>
            <w:vAlign w:val="center"/>
          </w:tcPr>
          <w:p w14:paraId="407F9F9A">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B17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83F54BD">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1,1-二氯乙烯</w:t>
            </w:r>
          </w:p>
        </w:tc>
        <w:tc>
          <w:tcPr>
            <w:tcW w:w="612" w:type="pct"/>
            <w:vAlign w:val="center"/>
          </w:tcPr>
          <w:p w14:paraId="40A2A2B6">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3A4907F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EC3857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DE508CA">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≤66</w:t>
            </w:r>
          </w:p>
        </w:tc>
        <w:tc>
          <w:tcPr>
            <w:tcW w:w="404" w:type="pct"/>
            <w:vAlign w:val="center"/>
          </w:tcPr>
          <w:p w14:paraId="668F1B4D">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727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6B42853">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二氯甲烷</w:t>
            </w:r>
          </w:p>
        </w:tc>
        <w:tc>
          <w:tcPr>
            <w:tcW w:w="612" w:type="pct"/>
            <w:vAlign w:val="center"/>
          </w:tcPr>
          <w:p w14:paraId="287BDE0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33029A2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05DF8BB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BFF3634">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≤616</w:t>
            </w:r>
          </w:p>
        </w:tc>
        <w:tc>
          <w:tcPr>
            <w:tcW w:w="404" w:type="pct"/>
            <w:vAlign w:val="center"/>
          </w:tcPr>
          <w:p w14:paraId="38CF637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58F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38BC2EB">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反-1,2-二氯乙烯</w:t>
            </w:r>
          </w:p>
        </w:tc>
        <w:tc>
          <w:tcPr>
            <w:tcW w:w="612" w:type="pct"/>
            <w:vAlign w:val="center"/>
          </w:tcPr>
          <w:p w14:paraId="43C189D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72D2AA9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6E8463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7DB8014">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≤54</w:t>
            </w:r>
          </w:p>
        </w:tc>
        <w:tc>
          <w:tcPr>
            <w:tcW w:w="404" w:type="pct"/>
            <w:vAlign w:val="center"/>
          </w:tcPr>
          <w:p w14:paraId="6ACD6B03">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590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1BA4E04">
            <w:pPr>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1,1-二氯乙烷</w:t>
            </w:r>
          </w:p>
        </w:tc>
        <w:tc>
          <w:tcPr>
            <w:tcW w:w="612" w:type="pct"/>
            <w:vAlign w:val="center"/>
          </w:tcPr>
          <w:p w14:paraId="234FD176">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482365D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1060DD9">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304DE82B">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≤9</w:t>
            </w:r>
          </w:p>
        </w:tc>
        <w:tc>
          <w:tcPr>
            <w:tcW w:w="404" w:type="pct"/>
            <w:vAlign w:val="center"/>
          </w:tcPr>
          <w:p w14:paraId="37D08526">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559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1F77168">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顺-1,2-二氯乙烯</w:t>
            </w:r>
          </w:p>
        </w:tc>
        <w:tc>
          <w:tcPr>
            <w:tcW w:w="612" w:type="pct"/>
            <w:vAlign w:val="center"/>
          </w:tcPr>
          <w:p w14:paraId="7CC6762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64B07C8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1A7361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6D3F144">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≤596</w:t>
            </w:r>
          </w:p>
        </w:tc>
        <w:tc>
          <w:tcPr>
            <w:tcW w:w="404" w:type="pct"/>
            <w:vAlign w:val="center"/>
          </w:tcPr>
          <w:p w14:paraId="6BDBABC5">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14F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A18D67E">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氯仿</w:t>
            </w:r>
          </w:p>
        </w:tc>
        <w:tc>
          <w:tcPr>
            <w:tcW w:w="612" w:type="pct"/>
            <w:vAlign w:val="center"/>
          </w:tcPr>
          <w:p w14:paraId="65E9600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451719C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2245E56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E7F6E85">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≤0.9</w:t>
            </w:r>
          </w:p>
        </w:tc>
        <w:tc>
          <w:tcPr>
            <w:tcW w:w="404" w:type="pct"/>
            <w:vAlign w:val="center"/>
          </w:tcPr>
          <w:p w14:paraId="29BFE20C">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7EC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A6243A7">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1,1,1-三氯乙烷</w:t>
            </w:r>
          </w:p>
        </w:tc>
        <w:tc>
          <w:tcPr>
            <w:tcW w:w="612" w:type="pct"/>
            <w:vAlign w:val="center"/>
          </w:tcPr>
          <w:p w14:paraId="16CA174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61EC3F8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3F4D3EF6">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117529F4">
            <w:pPr>
              <w:spacing w:line="240" w:lineRule="auto"/>
              <w:ind w:firstLine="0" w:firstLineChars="0"/>
              <w:jc w:val="cente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≤840</w:t>
            </w:r>
          </w:p>
        </w:tc>
        <w:tc>
          <w:tcPr>
            <w:tcW w:w="404" w:type="pct"/>
            <w:vAlign w:val="center"/>
          </w:tcPr>
          <w:p w14:paraId="56D72D2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93B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45B5186">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四氯化碳</w:t>
            </w:r>
          </w:p>
        </w:tc>
        <w:tc>
          <w:tcPr>
            <w:tcW w:w="612" w:type="pct"/>
            <w:vAlign w:val="center"/>
          </w:tcPr>
          <w:p w14:paraId="1E536423">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035601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AB52AB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3334F485">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404" w:type="pct"/>
            <w:vAlign w:val="center"/>
          </w:tcPr>
          <w:p w14:paraId="1195571B">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435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38DC500">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1,2-二氯乙烷</w:t>
            </w:r>
          </w:p>
        </w:tc>
        <w:tc>
          <w:tcPr>
            <w:tcW w:w="612" w:type="pct"/>
            <w:vAlign w:val="center"/>
          </w:tcPr>
          <w:p w14:paraId="50CB8F67">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2C494CA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30F055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24C2CC0">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404" w:type="pct"/>
            <w:vAlign w:val="center"/>
          </w:tcPr>
          <w:p w14:paraId="7F5D954B">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B5E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BC072C4">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苯</w:t>
            </w:r>
          </w:p>
        </w:tc>
        <w:tc>
          <w:tcPr>
            <w:tcW w:w="612" w:type="pct"/>
            <w:vAlign w:val="center"/>
          </w:tcPr>
          <w:p w14:paraId="30FFAC4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5B803EC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1F4900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7E478BC0">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404" w:type="pct"/>
            <w:vAlign w:val="center"/>
          </w:tcPr>
          <w:p w14:paraId="19C95211">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A41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4F7F70F">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三氯乙烯</w:t>
            </w:r>
          </w:p>
        </w:tc>
        <w:tc>
          <w:tcPr>
            <w:tcW w:w="612" w:type="pct"/>
            <w:vAlign w:val="center"/>
          </w:tcPr>
          <w:p w14:paraId="77CDDBA1">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2F6F9FE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855664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2F40E4EB">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404" w:type="pct"/>
            <w:vAlign w:val="center"/>
          </w:tcPr>
          <w:p w14:paraId="679AD745">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EB5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BCC729B">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1,2-二氯丙烷</w:t>
            </w:r>
          </w:p>
        </w:tc>
        <w:tc>
          <w:tcPr>
            <w:tcW w:w="612" w:type="pct"/>
            <w:vAlign w:val="center"/>
          </w:tcPr>
          <w:p w14:paraId="6D559FF0">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8E5AF4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E82F336">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30B96171">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404" w:type="pct"/>
            <w:vAlign w:val="center"/>
          </w:tcPr>
          <w:p w14:paraId="52DC0B95">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33B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AF1F094">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甲苯</w:t>
            </w:r>
          </w:p>
        </w:tc>
        <w:tc>
          <w:tcPr>
            <w:tcW w:w="612" w:type="pct"/>
            <w:vAlign w:val="center"/>
          </w:tcPr>
          <w:p w14:paraId="5EA74876">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5293C9E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0AB4B5F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1B5E740">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1200</w:t>
            </w:r>
          </w:p>
        </w:tc>
        <w:tc>
          <w:tcPr>
            <w:tcW w:w="404" w:type="pct"/>
            <w:vAlign w:val="center"/>
          </w:tcPr>
          <w:p w14:paraId="4A755B44">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88E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5C19492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1,1,2-三氯乙烷</w:t>
            </w:r>
          </w:p>
        </w:tc>
        <w:tc>
          <w:tcPr>
            <w:tcW w:w="612" w:type="pct"/>
            <w:vAlign w:val="center"/>
          </w:tcPr>
          <w:p w14:paraId="51178DD1">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FA87D6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4DE03A5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2E2A74CB">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404" w:type="pct"/>
            <w:vAlign w:val="center"/>
          </w:tcPr>
          <w:p w14:paraId="2DCF6624">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D0A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52E52AAD">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四氯乙烯</w:t>
            </w:r>
          </w:p>
        </w:tc>
        <w:tc>
          <w:tcPr>
            <w:tcW w:w="612" w:type="pct"/>
            <w:vAlign w:val="center"/>
          </w:tcPr>
          <w:p w14:paraId="3CA31234">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56FE292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F7ED72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7011B0C9">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53</w:t>
            </w:r>
          </w:p>
        </w:tc>
        <w:tc>
          <w:tcPr>
            <w:tcW w:w="404" w:type="pct"/>
            <w:vAlign w:val="center"/>
          </w:tcPr>
          <w:p w14:paraId="71B80E52">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33F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FD27EE2">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氯苯</w:t>
            </w:r>
          </w:p>
        </w:tc>
        <w:tc>
          <w:tcPr>
            <w:tcW w:w="612" w:type="pct"/>
            <w:vAlign w:val="center"/>
          </w:tcPr>
          <w:p w14:paraId="595A970A">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3614CE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46CFED7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31D5ED3C">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270</w:t>
            </w:r>
          </w:p>
        </w:tc>
        <w:tc>
          <w:tcPr>
            <w:tcW w:w="404" w:type="pct"/>
            <w:vAlign w:val="center"/>
          </w:tcPr>
          <w:p w14:paraId="76FAEC10">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F82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6599899">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1,1,1,2-四氯乙烷</w:t>
            </w:r>
          </w:p>
        </w:tc>
        <w:tc>
          <w:tcPr>
            <w:tcW w:w="612" w:type="pct"/>
            <w:vAlign w:val="center"/>
          </w:tcPr>
          <w:p w14:paraId="66400A49">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41D7712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011CCED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937061C">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10</w:t>
            </w:r>
          </w:p>
        </w:tc>
        <w:tc>
          <w:tcPr>
            <w:tcW w:w="404" w:type="pct"/>
            <w:vAlign w:val="center"/>
          </w:tcPr>
          <w:p w14:paraId="5EF24660">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0E9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32F5C67">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乙苯</w:t>
            </w:r>
          </w:p>
        </w:tc>
        <w:tc>
          <w:tcPr>
            <w:tcW w:w="612" w:type="pct"/>
            <w:vAlign w:val="center"/>
          </w:tcPr>
          <w:p w14:paraId="6AF8B06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61939F0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7749B4D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1ACD894">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404" w:type="pct"/>
            <w:vAlign w:val="center"/>
          </w:tcPr>
          <w:p w14:paraId="3EFD927D">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C78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B086905">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间，对-二甲苯</w:t>
            </w:r>
          </w:p>
        </w:tc>
        <w:tc>
          <w:tcPr>
            <w:tcW w:w="612" w:type="pct"/>
            <w:vAlign w:val="center"/>
          </w:tcPr>
          <w:p w14:paraId="4CB1C4B9">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5AD4DA3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32C4C7E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236954E">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570</w:t>
            </w:r>
          </w:p>
        </w:tc>
        <w:tc>
          <w:tcPr>
            <w:tcW w:w="404" w:type="pct"/>
            <w:vAlign w:val="center"/>
          </w:tcPr>
          <w:p w14:paraId="430AB2BE">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2AD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2EFF329">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邻-二甲苯</w:t>
            </w:r>
          </w:p>
        </w:tc>
        <w:tc>
          <w:tcPr>
            <w:tcW w:w="612" w:type="pct"/>
            <w:vAlign w:val="center"/>
          </w:tcPr>
          <w:p w14:paraId="7A505FF5">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787E21C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9E2BF2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2ACC6914">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640</w:t>
            </w:r>
          </w:p>
        </w:tc>
        <w:tc>
          <w:tcPr>
            <w:tcW w:w="404" w:type="pct"/>
            <w:vAlign w:val="center"/>
          </w:tcPr>
          <w:p w14:paraId="7EE7EE4B">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C80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9B0B837">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苯乙烯</w:t>
            </w:r>
          </w:p>
        </w:tc>
        <w:tc>
          <w:tcPr>
            <w:tcW w:w="612" w:type="pct"/>
            <w:vAlign w:val="center"/>
          </w:tcPr>
          <w:p w14:paraId="0B980F38">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638C86E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2120F2B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080B1372">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1290</w:t>
            </w:r>
          </w:p>
        </w:tc>
        <w:tc>
          <w:tcPr>
            <w:tcW w:w="404" w:type="pct"/>
            <w:vAlign w:val="center"/>
          </w:tcPr>
          <w:p w14:paraId="2BF5B729">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D6D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4611A4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1,1,2,2-四氯乙烷</w:t>
            </w:r>
          </w:p>
        </w:tc>
        <w:tc>
          <w:tcPr>
            <w:tcW w:w="612" w:type="pct"/>
            <w:vAlign w:val="center"/>
          </w:tcPr>
          <w:p w14:paraId="0C3A2EBA">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2F1F3EA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5CB2950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A0B447E">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6.8</w:t>
            </w:r>
          </w:p>
        </w:tc>
        <w:tc>
          <w:tcPr>
            <w:tcW w:w="404" w:type="pct"/>
            <w:vAlign w:val="center"/>
          </w:tcPr>
          <w:p w14:paraId="2D4F7CA7">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2E5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5999111E">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1,2,3-三氯丙烷</w:t>
            </w:r>
          </w:p>
        </w:tc>
        <w:tc>
          <w:tcPr>
            <w:tcW w:w="612" w:type="pct"/>
            <w:vAlign w:val="center"/>
          </w:tcPr>
          <w:p w14:paraId="603294F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F88FB1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5150F13">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3F01974">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0.5</w:t>
            </w:r>
          </w:p>
        </w:tc>
        <w:tc>
          <w:tcPr>
            <w:tcW w:w="404" w:type="pct"/>
            <w:vAlign w:val="center"/>
          </w:tcPr>
          <w:p w14:paraId="0D0D50E8">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A3D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E11070F">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1,4-二氯苯</w:t>
            </w:r>
          </w:p>
        </w:tc>
        <w:tc>
          <w:tcPr>
            <w:tcW w:w="612" w:type="pct"/>
            <w:vAlign w:val="center"/>
          </w:tcPr>
          <w:p w14:paraId="7E48984C">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4207913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375BFE9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F43E058">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20</w:t>
            </w:r>
          </w:p>
        </w:tc>
        <w:tc>
          <w:tcPr>
            <w:tcW w:w="404" w:type="pct"/>
            <w:vAlign w:val="center"/>
          </w:tcPr>
          <w:p w14:paraId="4A026DDB">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A33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922C97E">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1,2-二氯苯</w:t>
            </w:r>
          </w:p>
        </w:tc>
        <w:tc>
          <w:tcPr>
            <w:tcW w:w="612" w:type="pct"/>
            <w:vAlign w:val="center"/>
          </w:tcPr>
          <w:p w14:paraId="4698EF98">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742C67C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6695CA5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1B7FE9BC">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560</w:t>
            </w:r>
          </w:p>
        </w:tc>
        <w:tc>
          <w:tcPr>
            <w:tcW w:w="404" w:type="pct"/>
            <w:vAlign w:val="center"/>
          </w:tcPr>
          <w:p w14:paraId="15369662">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8EA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6062EA3">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氯甲烷</w:t>
            </w:r>
          </w:p>
        </w:tc>
        <w:tc>
          <w:tcPr>
            <w:tcW w:w="612" w:type="pct"/>
            <w:vAlign w:val="center"/>
          </w:tcPr>
          <w:p w14:paraId="1638231F">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μg/kg</w:t>
            </w:r>
          </w:p>
        </w:tc>
        <w:tc>
          <w:tcPr>
            <w:tcW w:w="943" w:type="pct"/>
            <w:shd w:val="clear" w:color="auto" w:fill="auto"/>
            <w:vAlign w:val="center"/>
          </w:tcPr>
          <w:p w14:paraId="02A8121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04C9B35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8F143E2">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37</w:t>
            </w:r>
          </w:p>
        </w:tc>
        <w:tc>
          <w:tcPr>
            <w:tcW w:w="404" w:type="pct"/>
            <w:vAlign w:val="center"/>
          </w:tcPr>
          <w:p w14:paraId="6AC5FF92">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B7D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3008865">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硝基苯</w:t>
            </w:r>
          </w:p>
        </w:tc>
        <w:tc>
          <w:tcPr>
            <w:tcW w:w="612" w:type="pct"/>
            <w:vAlign w:val="center"/>
          </w:tcPr>
          <w:p w14:paraId="267D82E1">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3812B2B4">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405E696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00FD5462">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76</w:t>
            </w:r>
          </w:p>
        </w:tc>
        <w:tc>
          <w:tcPr>
            <w:tcW w:w="404" w:type="pct"/>
            <w:vAlign w:val="center"/>
          </w:tcPr>
          <w:p w14:paraId="119AD22D">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9F1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23C6396">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苯胺</w:t>
            </w:r>
          </w:p>
        </w:tc>
        <w:tc>
          <w:tcPr>
            <w:tcW w:w="612" w:type="pct"/>
            <w:vAlign w:val="center"/>
          </w:tcPr>
          <w:p w14:paraId="01C5329C">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0533383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900F3B3">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491D057">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260</w:t>
            </w:r>
          </w:p>
        </w:tc>
        <w:tc>
          <w:tcPr>
            <w:tcW w:w="404" w:type="pct"/>
            <w:vAlign w:val="center"/>
          </w:tcPr>
          <w:p w14:paraId="78F27EA5">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B50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0D9AA220">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2-氯苯酚</w:t>
            </w:r>
          </w:p>
        </w:tc>
        <w:tc>
          <w:tcPr>
            <w:tcW w:w="612" w:type="pct"/>
            <w:vAlign w:val="center"/>
          </w:tcPr>
          <w:p w14:paraId="004A57D5">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3F182E51">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DB5AC2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D9A040C">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2256</w:t>
            </w:r>
          </w:p>
        </w:tc>
        <w:tc>
          <w:tcPr>
            <w:tcW w:w="404" w:type="pct"/>
            <w:vAlign w:val="center"/>
          </w:tcPr>
          <w:p w14:paraId="789A1CD1">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593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AD8402A">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苯并[a]蒽</w:t>
            </w:r>
          </w:p>
        </w:tc>
        <w:tc>
          <w:tcPr>
            <w:tcW w:w="612" w:type="pct"/>
            <w:vAlign w:val="center"/>
          </w:tcPr>
          <w:p w14:paraId="05226D91">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14D2132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5A35202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31F2400">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404" w:type="pct"/>
            <w:vAlign w:val="center"/>
          </w:tcPr>
          <w:p w14:paraId="1CB4F7CF">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584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4790924">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苯并[a]芘</w:t>
            </w:r>
          </w:p>
        </w:tc>
        <w:tc>
          <w:tcPr>
            <w:tcW w:w="612" w:type="pct"/>
            <w:vAlign w:val="center"/>
          </w:tcPr>
          <w:p w14:paraId="126083C5">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1BABE04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2BC8CB9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137C6C9">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404" w:type="pct"/>
            <w:vAlign w:val="center"/>
          </w:tcPr>
          <w:p w14:paraId="63D1DFD0">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436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95C59E3">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苯并[b]荧蒽</w:t>
            </w:r>
          </w:p>
        </w:tc>
        <w:tc>
          <w:tcPr>
            <w:tcW w:w="612" w:type="pct"/>
            <w:vAlign w:val="center"/>
          </w:tcPr>
          <w:p w14:paraId="26F12AD7">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0D0537A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1C33AD79">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0592C537">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404" w:type="pct"/>
            <w:vAlign w:val="center"/>
          </w:tcPr>
          <w:p w14:paraId="6AA482AE">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48A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E6D9968">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苯并[k]荧蒽</w:t>
            </w:r>
          </w:p>
        </w:tc>
        <w:tc>
          <w:tcPr>
            <w:tcW w:w="612" w:type="pct"/>
            <w:vAlign w:val="center"/>
          </w:tcPr>
          <w:p w14:paraId="7DA3207D">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7622696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21324FF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22335FF9">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151</w:t>
            </w:r>
          </w:p>
        </w:tc>
        <w:tc>
          <w:tcPr>
            <w:tcW w:w="404" w:type="pct"/>
            <w:vAlign w:val="center"/>
          </w:tcPr>
          <w:p w14:paraId="27F59CBD">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4FE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B954FB6">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䓛</w:t>
            </w:r>
          </w:p>
        </w:tc>
        <w:tc>
          <w:tcPr>
            <w:tcW w:w="612" w:type="pct"/>
            <w:vAlign w:val="center"/>
          </w:tcPr>
          <w:p w14:paraId="1A1FC147">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4F46713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5C71720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0730D289">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1293</w:t>
            </w:r>
          </w:p>
        </w:tc>
        <w:tc>
          <w:tcPr>
            <w:tcW w:w="404" w:type="pct"/>
            <w:vAlign w:val="center"/>
          </w:tcPr>
          <w:p w14:paraId="770990A2">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1EF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27D8DDE">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二苯并[a,h]蒽</w:t>
            </w:r>
          </w:p>
        </w:tc>
        <w:tc>
          <w:tcPr>
            <w:tcW w:w="612" w:type="pct"/>
            <w:vAlign w:val="center"/>
          </w:tcPr>
          <w:p w14:paraId="55B86C64">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1F23242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222EAE4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73DFD564">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404" w:type="pct"/>
            <w:vAlign w:val="center"/>
          </w:tcPr>
          <w:p w14:paraId="6D0A5F1A">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778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16441470">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茚并[1,2,3-cd]芘</w:t>
            </w:r>
          </w:p>
        </w:tc>
        <w:tc>
          <w:tcPr>
            <w:tcW w:w="612" w:type="pct"/>
            <w:vAlign w:val="center"/>
          </w:tcPr>
          <w:p w14:paraId="4CD0C36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7FE4775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7AC4392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54D14523">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404" w:type="pct"/>
            <w:vAlign w:val="center"/>
          </w:tcPr>
          <w:p w14:paraId="7B5643ED">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15D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0EC9D08">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萘</w:t>
            </w:r>
          </w:p>
        </w:tc>
        <w:tc>
          <w:tcPr>
            <w:tcW w:w="612" w:type="pct"/>
            <w:vAlign w:val="center"/>
          </w:tcPr>
          <w:p w14:paraId="0051027E">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3ED9534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325D54F1">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41906A9B">
            <w:pPr>
              <w:pStyle w:val="50"/>
              <w:adjustRightInd/>
              <w:spacing w:line="240" w:lineRule="auto"/>
              <w:rPr>
                <w:rFonts w:hint="default" w:ascii="Times New Roman" w:hAnsi="Times New Roman" w:eastAsia="宋体" w:cs="Times New Roman"/>
                <w:color w:val="000000" w:themeColor="text1"/>
                <w:spacing w:val="-10"/>
                <w:kern w:val="2"/>
                <w:szCs w:val="21"/>
                <w:highlight w:val="none"/>
                <w14:textFill>
                  <w14:solidFill>
                    <w14:schemeClr w14:val="tx1"/>
                  </w14:solidFill>
                </w14:textFill>
              </w:rPr>
            </w:pPr>
            <w:r>
              <w:rPr>
                <w:rFonts w:hint="default" w:ascii="Times New Roman" w:hAnsi="Times New Roman" w:eastAsia="宋体" w:cs="Times New Roman"/>
                <w:color w:val="000000" w:themeColor="text1"/>
                <w:spacing w:val="-10"/>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70</w:t>
            </w:r>
          </w:p>
        </w:tc>
        <w:tc>
          <w:tcPr>
            <w:tcW w:w="404" w:type="pct"/>
            <w:vAlign w:val="center"/>
          </w:tcPr>
          <w:p w14:paraId="5C5699F8">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D95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F0B9721">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612" w:type="pct"/>
            <w:vAlign w:val="center"/>
          </w:tcPr>
          <w:p w14:paraId="7AB1D4A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无量纲</w:t>
            </w:r>
          </w:p>
        </w:tc>
        <w:tc>
          <w:tcPr>
            <w:tcW w:w="943" w:type="pct"/>
            <w:shd w:val="clear" w:color="auto" w:fill="auto"/>
            <w:vAlign w:val="center"/>
          </w:tcPr>
          <w:p w14:paraId="1339212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7.3</w:t>
            </w:r>
          </w:p>
        </w:tc>
        <w:tc>
          <w:tcPr>
            <w:tcW w:w="568" w:type="pct"/>
            <w:vAlign w:val="center"/>
          </w:tcPr>
          <w:p w14:paraId="11B9BE7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1DCBD6C2">
            <w:pPr>
              <w:spacing w:line="240" w:lineRule="auto"/>
              <w:ind w:firstLine="0" w:firstLineChars="0"/>
              <w:jc w:val="center"/>
              <w:rPr>
                <w:rFonts w:hint="default" w:ascii="Times New Roman" w:hAnsi="Times New Roman" w:eastAsia="宋体" w:cs="Times New Roman"/>
                <w:color w:val="000000" w:themeColor="text1"/>
                <w:spacing w:val="-10"/>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4" w:type="pct"/>
            <w:vAlign w:val="center"/>
          </w:tcPr>
          <w:p w14:paraId="2FFAA4E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456C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5034B58">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含盐量</w:t>
            </w:r>
          </w:p>
        </w:tc>
        <w:tc>
          <w:tcPr>
            <w:tcW w:w="612" w:type="pct"/>
            <w:vAlign w:val="center"/>
          </w:tcPr>
          <w:p w14:paraId="5A6E489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g/kg</w:t>
            </w:r>
          </w:p>
        </w:tc>
        <w:tc>
          <w:tcPr>
            <w:tcW w:w="943" w:type="pct"/>
            <w:shd w:val="clear" w:color="auto" w:fill="auto"/>
            <w:vAlign w:val="center"/>
          </w:tcPr>
          <w:p w14:paraId="53E35F42">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6.4</w:t>
            </w:r>
          </w:p>
        </w:tc>
        <w:tc>
          <w:tcPr>
            <w:tcW w:w="568" w:type="pct"/>
            <w:vAlign w:val="center"/>
          </w:tcPr>
          <w:p w14:paraId="54CA4CBA">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62" w:type="pct"/>
            <w:vAlign w:val="center"/>
          </w:tcPr>
          <w:p w14:paraId="6FEE6F08">
            <w:pPr>
              <w:spacing w:line="240" w:lineRule="auto"/>
              <w:ind w:firstLine="0" w:firstLineChars="0"/>
              <w:jc w:val="center"/>
              <w:rPr>
                <w:rFonts w:hint="default" w:ascii="Times New Roman" w:hAnsi="Times New Roman" w:eastAsia="宋体" w:cs="Times New Roman"/>
                <w:color w:val="000000" w:themeColor="text1"/>
                <w:spacing w:val="-10"/>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4" w:type="pct"/>
            <w:vAlign w:val="center"/>
          </w:tcPr>
          <w:p w14:paraId="2926829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534E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20D13FF">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石油烃（C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40</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612" w:type="pct"/>
            <w:vAlign w:val="center"/>
          </w:tcPr>
          <w:p w14:paraId="7AC5009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72B58549">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vAlign w:val="center"/>
          </w:tcPr>
          <w:p w14:paraId="38C7444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462" w:type="pct"/>
            <w:vAlign w:val="center"/>
          </w:tcPr>
          <w:p w14:paraId="4F92E38E">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≤4500</w:t>
            </w:r>
          </w:p>
        </w:tc>
        <w:tc>
          <w:tcPr>
            <w:tcW w:w="404" w:type="pct"/>
            <w:vAlign w:val="center"/>
          </w:tcPr>
          <w:p w14:paraId="5130AC48">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DE9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76BB507B">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612" w:type="pct"/>
            <w:vAlign w:val="center"/>
          </w:tcPr>
          <w:p w14:paraId="0B0B6377">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4EF38B8B">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17.9</w:t>
            </w:r>
          </w:p>
        </w:tc>
        <w:tc>
          <w:tcPr>
            <w:tcW w:w="568" w:type="pct"/>
            <w:vAlign w:val="center"/>
          </w:tcPr>
          <w:p w14:paraId="703D3FFD">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0.298</w:t>
            </w:r>
          </w:p>
        </w:tc>
        <w:tc>
          <w:tcPr>
            <w:tcW w:w="1462" w:type="pct"/>
            <w:vAlign w:val="center"/>
          </w:tcPr>
          <w:p w14:paraId="78CCCDB5">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404" w:type="pct"/>
            <w:vAlign w:val="center"/>
          </w:tcPr>
          <w:p w14:paraId="63FCA23F">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1FE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25FEB08D">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铅</w:t>
            </w:r>
          </w:p>
        </w:tc>
        <w:tc>
          <w:tcPr>
            <w:tcW w:w="612" w:type="pct"/>
            <w:vAlign w:val="center"/>
          </w:tcPr>
          <w:p w14:paraId="36C7E39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2D72236B">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30</w:t>
            </w:r>
          </w:p>
        </w:tc>
        <w:tc>
          <w:tcPr>
            <w:tcW w:w="568" w:type="pct"/>
            <w:vAlign w:val="center"/>
          </w:tcPr>
          <w:p w14:paraId="0EC58F60">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0.038</w:t>
            </w:r>
          </w:p>
        </w:tc>
        <w:tc>
          <w:tcPr>
            <w:tcW w:w="1462" w:type="pct"/>
            <w:vAlign w:val="center"/>
          </w:tcPr>
          <w:p w14:paraId="4C19FEA3">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≤800</w:t>
            </w:r>
          </w:p>
        </w:tc>
        <w:tc>
          <w:tcPr>
            <w:tcW w:w="404" w:type="pct"/>
            <w:vAlign w:val="center"/>
          </w:tcPr>
          <w:p w14:paraId="1C4A85DD">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15F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3F8AED5D">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612" w:type="pct"/>
            <w:vAlign w:val="center"/>
          </w:tcPr>
          <w:p w14:paraId="4FC0D97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34643593">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0.461</w:t>
            </w:r>
          </w:p>
        </w:tc>
        <w:tc>
          <w:tcPr>
            <w:tcW w:w="568" w:type="pct"/>
            <w:vAlign w:val="center"/>
          </w:tcPr>
          <w:p w14:paraId="036825D8">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0.012</w:t>
            </w:r>
          </w:p>
        </w:tc>
        <w:tc>
          <w:tcPr>
            <w:tcW w:w="1462" w:type="pct"/>
            <w:vAlign w:val="center"/>
          </w:tcPr>
          <w:p w14:paraId="4D806FFD">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w:t>
            </w:r>
          </w:p>
        </w:tc>
        <w:tc>
          <w:tcPr>
            <w:tcW w:w="404" w:type="pct"/>
            <w:vAlign w:val="center"/>
          </w:tcPr>
          <w:p w14:paraId="5355104E">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16B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3079707">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镉</w:t>
            </w:r>
          </w:p>
        </w:tc>
        <w:tc>
          <w:tcPr>
            <w:tcW w:w="612" w:type="pct"/>
            <w:vAlign w:val="center"/>
          </w:tcPr>
          <w:p w14:paraId="1539BBEB">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62EAD32D">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27</w:t>
            </w:r>
          </w:p>
        </w:tc>
        <w:tc>
          <w:tcPr>
            <w:tcW w:w="568" w:type="pct"/>
            <w:vAlign w:val="center"/>
          </w:tcPr>
          <w:p w14:paraId="65B45703">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0.415</w:t>
            </w:r>
          </w:p>
        </w:tc>
        <w:tc>
          <w:tcPr>
            <w:tcW w:w="1462" w:type="pct"/>
            <w:vAlign w:val="center"/>
          </w:tcPr>
          <w:p w14:paraId="527AFCFC">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c>
          <w:tcPr>
            <w:tcW w:w="404" w:type="pct"/>
            <w:vAlign w:val="center"/>
          </w:tcPr>
          <w:p w14:paraId="534822CB">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520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7B3BC3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612" w:type="pct"/>
            <w:vAlign w:val="center"/>
          </w:tcPr>
          <w:p w14:paraId="7548D0B0">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057AE50E">
            <w:pPr>
              <w:widowControl/>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29</w:t>
            </w:r>
          </w:p>
        </w:tc>
        <w:tc>
          <w:tcPr>
            <w:tcW w:w="568" w:type="pct"/>
            <w:shd w:val="clear" w:color="auto" w:fill="auto"/>
            <w:vAlign w:val="center"/>
          </w:tcPr>
          <w:p w14:paraId="56B1F9F7">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0.002</w:t>
            </w:r>
          </w:p>
        </w:tc>
        <w:tc>
          <w:tcPr>
            <w:tcW w:w="1462" w:type="pct"/>
            <w:vAlign w:val="center"/>
          </w:tcPr>
          <w:p w14:paraId="04CF553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≤18000</w:t>
            </w:r>
          </w:p>
        </w:tc>
        <w:tc>
          <w:tcPr>
            <w:tcW w:w="404" w:type="pct"/>
            <w:vAlign w:val="center"/>
          </w:tcPr>
          <w:p w14:paraId="21041830">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333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4080DF8C">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镍</w:t>
            </w:r>
          </w:p>
        </w:tc>
        <w:tc>
          <w:tcPr>
            <w:tcW w:w="612" w:type="pct"/>
            <w:vAlign w:val="center"/>
          </w:tcPr>
          <w:p w14:paraId="2B0CE7C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2925C3E5">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27</w:t>
            </w:r>
          </w:p>
        </w:tc>
        <w:tc>
          <w:tcPr>
            <w:tcW w:w="568" w:type="pct"/>
            <w:shd w:val="clear" w:color="auto" w:fill="auto"/>
            <w:vAlign w:val="center"/>
          </w:tcPr>
          <w:p w14:paraId="28D8FDE9">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0.030</w:t>
            </w:r>
          </w:p>
        </w:tc>
        <w:tc>
          <w:tcPr>
            <w:tcW w:w="1462" w:type="pct"/>
            <w:vAlign w:val="center"/>
          </w:tcPr>
          <w:p w14:paraId="2791A5B1">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w:t>
            </w:r>
          </w:p>
        </w:tc>
        <w:tc>
          <w:tcPr>
            <w:tcW w:w="404" w:type="pct"/>
            <w:vAlign w:val="center"/>
          </w:tcPr>
          <w:p w14:paraId="198E4D2C">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E2C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pct"/>
            <w:vAlign w:val="center"/>
          </w:tcPr>
          <w:p w14:paraId="61C1E9EF">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六价铬</w:t>
            </w:r>
          </w:p>
        </w:tc>
        <w:tc>
          <w:tcPr>
            <w:tcW w:w="612" w:type="pct"/>
            <w:vAlign w:val="center"/>
          </w:tcPr>
          <w:p w14:paraId="6738568F">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943" w:type="pct"/>
            <w:shd w:val="clear" w:color="auto" w:fill="auto"/>
            <w:vAlign w:val="center"/>
          </w:tcPr>
          <w:p w14:paraId="775D8988">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68" w:type="pct"/>
            <w:shd w:val="clear" w:color="auto" w:fill="auto"/>
            <w:vAlign w:val="center"/>
          </w:tcPr>
          <w:p w14:paraId="5A722196">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462" w:type="pct"/>
            <w:vAlign w:val="center"/>
          </w:tcPr>
          <w:p w14:paraId="677F6902">
            <w:pPr>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≤5.7</w:t>
            </w:r>
          </w:p>
        </w:tc>
        <w:tc>
          <w:tcPr>
            <w:tcW w:w="404" w:type="pct"/>
            <w:vAlign w:val="center"/>
          </w:tcPr>
          <w:p w14:paraId="1DEC52B0">
            <w:pPr>
              <w:spacing w:line="240" w:lineRule="auto"/>
              <w:ind w:firstLine="0" w:firstLineChars="0"/>
              <w:jc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6A763A55">
      <w:pPr>
        <w:spacing w:line="240" w:lineRule="auto"/>
        <w:ind w:firstLine="0" w:firstLineChars="0"/>
        <w:jc w:val="cente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5</w:t>
      </w:r>
      <w:r>
        <w:rPr>
          <w:rFonts w:hint="eastAsia" w:cs="Times New Roman"/>
          <w:b/>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占地范围内的</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土壤监测及评价结果  单位：mg/kg（</w:t>
      </w:r>
      <w:r>
        <w:rPr>
          <w:rFonts w:hint="default" w:ascii="Times New Roman" w:hAnsi="Times New Roman" w:eastAsia="宋体" w:cs="Times New Roman"/>
          <w:b/>
          <w:color w:val="000000" w:themeColor="text1"/>
          <w:sz w:val="21"/>
          <w:szCs w:val="21"/>
          <w:highlight w:val="none"/>
          <w14:textFill>
            <w14:solidFill>
              <w14:schemeClr w14:val="tx1"/>
            </w14:solidFill>
          </w14:textFill>
        </w:rPr>
        <w:t>pH无量纲</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932"/>
        <w:gridCol w:w="1046"/>
        <w:gridCol w:w="937"/>
        <w:gridCol w:w="1155"/>
        <w:gridCol w:w="1225"/>
        <w:gridCol w:w="888"/>
        <w:gridCol w:w="1271"/>
      </w:tblGrid>
      <w:tr w14:paraId="15F5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vAlign w:val="center"/>
          </w:tcPr>
          <w:p w14:paraId="54A8C0B2">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4374" w:type="pct"/>
            <w:gridSpan w:val="7"/>
            <w:vAlign w:val="center"/>
          </w:tcPr>
          <w:p w14:paraId="10548815">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监测因子及结果</w:t>
            </w:r>
          </w:p>
        </w:tc>
      </w:tr>
      <w:tr w14:paraId="715B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7E4AE968">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161" w:type="pct"/>
            <w:gridSpan w:val="2"/>
            <w:vAlign w:val="center"/>
          </w:tcPr>
          <w:p w14:paraId="5E923F51">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pH（无量纲）</w:t>
            </w:r>
          </w:p>
        </w:tc>
        <w:tc>
          <w:tcPr>
            <w:tcW w:w="1947" w:type="pct"/>
            <w:gridSpan w:val="3"/>
            <w:vAlign w:val="center"/>
          </w:tcPr>
          <w:p w14:paraId="2B93F88B">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石油烃（C</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40</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）（mg/kg）</w:t>
            </w:r>
          </w:p>
        </w:tc>
        <w:tc>
          <w:tcPr>
            <w:tcW w:w="1265" w:type="pct"/>
            <w:gridSpan w:val="2"/>
            <w:vAlign w:val="center"/>
          </w:tcPr>
          <w:p w14:paraId="66B2B879">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含盐量（g/kg）</w:t>
            </w:r>
          </w:p>
        </w:tc>
      </w:tr>
      <w:tr w14:paraId="4CC6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4577A8BD">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47" w:type="pct"/>
            <w:vAlign w:val="center"/>
          </w:tcPr>
          <w:p w14:paraId="40B91CCD">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监测值</w:t>
            </w:r>
          </w:p>
        </w:tc>
        <w:tc>
          <w:tcPr>
            <w:tcW w:w="614" w:type="pct"/>
            <w:vAlign w:val="center"/>
          </w:tcPr>
          <w:p w14:paraId="70D493DF">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级别</w:t>
            </w:r>
          </w:p>
        </w:tc>
        <w:tc>
          <w:tcPr>
            <w:tcW w:w="550" w:type="pct"/>
            <w:vAlign w:val="center"/>
          </w:tcPr>
          <w:p w14:paraId="24933A5C">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监测值</w:t>
            </w:r>
          </w:p>
        </w:tc>
        <w:tc>
          <w:tcPr>
            <w:tcW w:w="678" w:type="pct"/>
            <w:vAlign w:val="center"/>
          </w:tcPr>
          <w:p w14:paraId="051F7411">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筛选值</w:t>
            </w:r>
          </w:p>
        </w:tc>
        <w:tc>
          <w:tcPr>
            <w:tcW w:w="719" w:type="pct"/>
            <w:vAlign w:val="center"/>
          </w:tcPr>
          <w:p w14:paraId="2E5EA974">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标准指数</w:t>
            </w:r>
          </w:p>
        </w:tc>
        <w:tc>
          <w:tcPr>
            <w:tcW w:w="521" w:type="pct"/>
            <w:vAlign w:val="center"/>
          </w:tcPr>
          <w:p w14:paraId="36D3E1C8">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监测值</w:t>
            </w:r>
          </w:p>
        </w:tc>
        <w:tc>
          <w:tcPr>
            <w:tcW w:w="744" w:type="pct"/>
            <w:vAlign w:val="center"/>
          </w:tcPr>
          <w:p w14:paraId="2F26CB3E">
            <w:pPr>
              <w:widowControl/>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级别</w:t>
            </w:r>
          </w:p>
        </w:tc>
      </w:tr>
      <w:tr w14:paraId="07E9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vAlign w:val="center"/>
          </w:tcPr>
          <w:p w14:paraId="5236FCC9">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zh-CN"/>
                <w14:textFill>
                  <w14:solidFill>
                    <w14:schemeClr w14:val="tx1"/>
                  </w14:solidFill>
                </w14:textFill>
              </w:rPr>
              <w:t>星火7斜井井口</w:t>
            </w:r>
          </w:p>
        </w:tc>
        <w:tc>
          <w:tcPr>
            <w:tcW w:w="547" w:type="pct"/>
            <w:vAlign w:val="center"/>
          </w:tcPr>
          <w:p w14:paraId="0363D3F7">
            <w:pPr>
              <w:tabs>
                <w:tab w:val="left" w:pos="414"/>
              </w:tabs>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w:t>
            </w:r>
          </w:p>
        </w:tc>
        <w:tc>
          <w:tcPr>
            <w:tcW w:w="614" w:type="pct"/>
            <w:vAlign w:val="center"/>
          </w:tcPr>
          <w:p w14:paraId="3D4CB13D">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550" w:type="pct"/>
            <w:vAlign w:val="center"/>
          </w:tcPr>
          <w:p w14:paraId="27C755E4">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678" w:type="pct"/>
            <w:vAlign w:val="center"/>
          </w:tcPr>
          <w:p w14:paraId="2536D74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719" w:type="pct"/>
            <w:vAlign w:val="center"/>
          </w:tcPr>
          <w:p w14:paraId="04619BF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7524B689">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744" w:type="pct"/>
            <w:vAlign w:val="center"/>
          </w:tcPr>
          <w:p w14:paraId="03EA3B41">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2777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4A622902">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450F1833">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w:t>
            </w:r>
          </w:p>
        </w:tc>
        <w:tc>
          <w:tcPr>
            <w:tcW w:w="614" w:type="pct"/>
            <w:vAlign w:val="center"/>
          </w:tcPr>
          <w:p w14:paraId="021E3E50">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6F2023C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3F09A5E5">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0364526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728B0CE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6.4</w:t>
            </w:r>
          </w:p>
        </w:tc>
        <w:tc>
          <w:tcPr>
            <w:tcW w:w="744" w:type="pct"/>
            <w:vAlign w:val="center"/>
          </w:tcPr>
          <w:p w14:paraId="0F4B88AE">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1828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0AFCB3DD">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3146D6B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w:t>
            </w:r>
          </w:p>
        </w:tc>
        <w:tc>
          <w:tcPr>
            <w:tcW w:w="614" w:type="pct"/>
            <w:vAlign w:val="center"/>
          </w:tcPr>
          <w:p w14:paraId="065F357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05A87A5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2B69E3C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5FE4E857">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75AFED8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w:t>
            </w:r>
          </w:p>
        </w:tc>
        <w:tc>
          <w:tcPr>
            <w:tcW w:w="744" w:type="pct"/>
            <w:vAlign w:val="center"/>
          </w:tcPr>
          <w:p w14:paraId="0B639BD2">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中度盐化</w:t>
            </w:r>
          </w:p>
        </w:tc>
      </w:tr>
      <w:tr w14:paraId="2C3F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vAlign w:val="center"/>
          </w:tcPr>
          <w:p w14:paraId="0309D9D1">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星火701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井口</w:t>
            </w:r>
          </w:p>
        </w:tc>
        <w:tc>
          <w:tcPr>
            <w:tcW w:w="547" w:type="pct"/>
            <w:vAlign w:val="center"/>
          </w:tcPr>
          <w:p w14:paraId="15D8EFE0">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7.3</w:t>
            </w:r>
          </w:p>
        </w:tc>
        <w:tc>
          <w:tcPr>
            <w:tcW w:w="614" w:type="pct"/>
            <w:vAlign w:val="center"/>
          </w:tcPr>
          <w:p w14:paraId="3BD133DC">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3E771DEC">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7AC3AD63">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0411844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4D5F4DC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744" w:type="pct"/>
            <w:vAlign w:val="center"/>
          </w:tcPr>
          <w:p w14:paraId="5C581E78">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107E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7B51624D">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185539B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7.3</w:t>
            </w:r>
          </w:p>
        </w:tc>
        <w:tc>
          <w:tcPr>
            <w:tcW w:w="614" w:type="pct"/>
            <w:vAlign w:val="center"/>
          </w:tcPr>
          <w:p w14:paraId="1D440981">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18945709">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0DDBAC2B">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5B1291AB">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02ACC7F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744" w:type="pct"/>
            <w:vAlign w:val="center"/>
          </w:tcPr>
          <w:p w14:paraId="10F07BCF">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47AD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2F88364C">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08D5BB8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7.3</w:t>
            </w:r>
          </w:p>
        </w:tc>
        <w:tc>
          <w:tcPr>
            <w:tcW w:w="614" w:type="pct"/>
            <w:vAlign w:val="center"/>
          </w:tcPr>
          <w:p w14:paraId="1B521F9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0A88619F">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2D15C4FD">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26EB7DD7">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4BAB9B1D">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744" w:type="pct"/>
            <w:vAlign w:val="center"/>
          </w:tcPr>
          <w:p w14:paraId="33FFA315">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2758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vAlign w:val="center"/>
          </w:tcPr>
          <w:p w14:paraId="742BDAD1">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XH7-2X</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井口</w:t>
            </w:r>
          </w:p>
        </w:tc>
        <w:tc>
          <w:tcPr>
            <w:tcW w:w="547" w:type="pct"/>
            <w:vAlign w:val="center"/>
          </w:tcPr>
          <w:p w14:paraId="04AB4489">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w:t>
            </w:r>
          </w:p>
        </w:tc>
        <w:tc>
          <w:tcPr>
            <w:tcW w:w="614" w:type="pct"/>
            <w:vAlign w:val="center"/>
          </w:tcPr>
          <w:p w14:paraId="2420F067">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3970F0F8">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3CD9329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359D3F1C">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5F6108B5">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w:t>
            </w:r>
          </w:p>
        </w:tc>
        <w:tc>
          <w:tcPr>
            <w:tcW w:w="744" w:type="pct"/>
            <w:vAlign w:val="center"/>
          </w:tcPr>
          <w:p w14:paraId="129635B6">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5756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7D9D53B1">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395BB38C">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w:t>
            </w:r>
          </w:p>
        </w:tc>
        <w:tc>
          <w:tcPr>
            <w:tcW w:w="614" w:type="pct"/>
            <w:vAlign w:val="center"/>
          </w:tcPr>
          <w:p w14:paraId="1801A92D">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shd w:val="clear" w:color="auto" w:fill="auto"/>
            <w:vAlign w:val="center"/>
          </w:tcPr>
          <w:p w14:paraId="0E03D0B0">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4369A6B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38D3F31F">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shd w:val="clear" w:color="auto" w:fill="auto"/>
            <w:vAlign w:val="center"/>
          </w:tcPr>
          <w:p w14:paraId="39243CD9">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744" w:type="pct"/>
            <w:vAlign w:val="center"/>
          </w:tcPr>
          <w:p w14:paraId="5A90DD33">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28FA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vAlign w:val="center"/>
          </w:tcPr>
          <w:p w14:paraId="68640597">
            <w:pPr>
              <w:widowControl/>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vAlign w:val="center"/>
          </w:tcPr>
          <w:p w14:paraId="10BA03B9">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7.2</w:t>
            </w:r>
          </w:p>
        </w:tc>
        <w:tc>
          <w:tcPr>
            <w:tcW w:w="614" w:type="pct"/>
            <w:vAlign w:val="center"/>
          </w:tcPr>
          <w:p w14:paraId="123E10D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shd w:val="clear" w:color="auto" w:fill="auto"/>
            <w:vAlign w:val="center"/>
          </w:tcPr>
          <w:p w14:paraId="4B2D7931">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2A8F345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304E4A75">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shd w:val="clear" w:color="auto" w:fill="auto"/>
            <w:vAlign w:val="center"/>
          </w:tcPr>
          <w:p w14:paraId="43B8AE06">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w:t>
            </w:r>
          </w:p>
        </w:tc>
        <w:tc>
          <w:tcPr>
            <w:tcW w:w="744" w:type="pct"/>
            <w:vAlign w:val="center"/>
          </w:tcPr>
          <w:p w14:paraId="4B49C960">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07A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shd w:val="clear" w:color="auto" w:fill="auto"/>
            <w:vAlign w:val="center"/>
          </w:tcPr>
          <w:p w14:paraId="65E271E8">
            <w:pPr>
              <w:overflowPunct w:val="0"/>
              <w:autoSpaceDE w:val="0"/>
              <w:autoSpaceDN w:val="0"/>
              <w:spacing w:line="240" w:lineRule="auto"/>
              <w:ind w:firstLine="0" w:firstLineChars="0"/>
              <w:jc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zh-CN"/>
                <w14:textFill>
                  <w14:solidFill>
                    <w14:schemeClr w14:val="tx1"/>
                  </w14:solidFill>
                </w14:textFill>
              </w:rPr>
              <w:t>星火7斜井西侧</w:t>
            </w:r>
          </w:p>
        </w:tc>
        <w:tc>
          <w:tcPr>
            <w:tcW w:w="547" w:type="pct"/>
            <w:vAlign w:val="center"/>
          </w:tcPr>
          <w:p w14:paraId="42CF91C9">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7.1</w:t>
            </w:r>
          </w:p>
        </w:tc>
        <w:tc>
          <w:tcPr>
            <w:tcW w:w="614" w:type="pct"/>
            <w:vAlign w:val="center"/>
          </w:tcPr>
          <w:p w14:paraId="28055CCF">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3018B692">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3F20BDC1">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28ADEBB2">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07B0E845">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6.4</w:t>
            </w:r>
          </w:p>
        </w:tc>
        <w:tc>
          <w:tcPr>
            <w:tcW w:w="744" w:type="pct"/>
            <w:vAlign w:val="center"/>
          </w:tcPr>
          <w:p w14:paraId="22813E43">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r w14:paraId="1DCC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shd w:val="clear" w:color="auto" w:fill="auto"/>
            <w:vAlign w:val="center"/>
          </w:tcPr>
          <w:p w14:paraId="5ECAD697">
            <w:pPr>
              <w:overflowPunct w:val="0"/>
              <w:autoSpaceDE w:val="0"/>
              <w:autoSpaceDN w:val="0"/>
              <w:spacing w:line="240" w:lineRule="auto"/>
              <w:ind w:firstLine="0" w:firstLineChars="0"/>
              <w:jc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zh-CN"/>
                <w14:textFill>
                  <w14:solidFill>
                    <w14:schemeClr w14:val="tx1"/>
                  </w14:solidFill>
                </w14:textFill>
              </w:rPr>
              <w:t>星火7斜井东侧</w:t>
            </w:r>
          </w:p>
        </w:tc>
        <w:tc>
          <w:tcPr>
            <w:tcW w:w="547" w:type="pct"/>
            <w:vAlign w:val="center"/>
          </w:tcPr>
          <w:p w14:paraId="067D811C">
            <w:pPr>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7.3</w:t>
            </w:r>
          </w:p>
        </w:tc>
        <w:tc>
          <w:tcPr>
            <w:tcW w:w="614" w:type="pct"/>
            <w:vAlign w:val="center"/>
          </w:tcPr>
          <w:p w14:paraId="688AB18E">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无酸化或碱化</w:t>
            </w:r>
          </w:p>
        </w:tc>
        <w:tc>
          <w:tcPr>
            <w:tcW w:w="937" w:type="dxa"/>
            <w:vAlign w:val="center"/>
          </w:tcPr>
          <w:p w14:paraId="17CEBDDB">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1155" w:type="dxa"/>
            <w:vAlign w:val="center"/>
          </w:tcPr>
          <w:p w14:paraId="71563440">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≤4500</w:t>
            </w:r>
          </w:p>
        </w:tc>
        <w:tc>
          <w:tcPr>
            <w:tcW w:w="1225" w:type="dxa"/>
            <w:vAlign w:val="center"/>
          </w:tcPr>
          <w:p w14:paraId="720317D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1" w:type="pct"/>
            <w:vAlign w:val="center"/>
          </w:tcPr>
          <w:p w14:paraId="52B8519C">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744" w:type="pct"/>
            <w:vAlign w:val="center"/>
          </w:tcPr>
          <w:p w14:paraId="7ABC9997">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重度盐化</w:t>
            </w:r>
          </w:p>
        </w:tc>
      </w:tr>
    </w:tbl>
    <w:p w14:paraId="4160CC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从评价结果可以看出，项目区内土壤的挥发性有机物和半挥发性有机物均未检出。土壤中石油烃含量</w:t>
      </w:r>
      <w:r>
        <w:rPr>
          <w:rFonts w:hint="eastAsia"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未检出</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，满足《土壤环境质量 建设用地土壤污染风险管控标准（试行）》（GB36600-2018）第二类用地风险筛选值要求。重金属元素含量相对较低，</w:t>
      </w:r>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井场内</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土壤满足《土壤环境质量 建设用地土壤污染风险管控标准</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试行</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GB36600-2018</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中表1 第二类用地筛选值标准要求</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bidi="ar"/>
          <w14:textFill>
            <w14:solidFill>
              <w14:schemeClr w14:val="tx1"/>
            </w14:solidFill>
          </w14:textFill>
        </w:rPr>
        <w:t>同时占地范围内土壤属于</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中度盐化</w:t>
      </w: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和重度盐化</w:t>
      </w:r>
      <w:r>
        <w:rPr>
          <w:rFonts w:hint="default" w:ascii="Times New Roman" w:hAnsi="Times New Roman" w:eastAsia="宋体" w:cs="Times New Roman"/>
          <w:color w:val="000000" w:themeColor="text1"/>
          <w:highlight w:val="none"/>
          <w:lang w:bidi="ar"/>
          <w14:textFill>
            <w14:solidFill>
              <w14:schemeClr w14:val="tx1"/>
            </w14:solidFill>
          </w14:textFill>
        </w:rPr>
        <w:t>，无酸化或碱化</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w:t>
      </w:r>
    </w:p>
    <w:p w14:paraId="3D001DE0">
      <w:pPr>
        <w:spacing w:line="240" w:lineRule="auto"/>
        <w:ind w:firstLine="0" w:firstLineChars="0"/>
        <w:jc w:val="cente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5-</w:t>
      </w:r>
      <w:r>
        <w:rPr>
          <w:rFonts w:hint="eastAsia" w:cs="Times New Roman"/>
          <w:b/>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占地范围外</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土壤监测及评价结果  单位：mg/kg（</w:t>
      </w:r>
      <w:r>
        <w:rPr>
          <w:rFonts w:hint="default" w:ascii="Times New Roman" w:hAnsi="Times New Roman" w:eastAsia="宋体" w:cs="Times New Roman"/>
          <w:b/>
          <w:color w:val="000000" w:themeColor="text1"/>
          <w:sz w:val="21"/>
          <w:szCs w:val="21"/>
          <w:highlight w:val="none"/>
          <w14:textFill>
            <w14:solidFill>
              <w14:schemeClr w14:val="tx1"/>
            </w14:solidFill>
          </w14:textFill>
        </w:rPr>
        <w:t>pH无量纲</w:t>
      </w:r>
      <w:r>
        <w:rPr>
          <w:rFonts w:hint="default" w:ascii="Times New Roman" w:hAnsi="Times New Roman" w:eastAsia="宋体" w:cs="Times New Roman"/>
          <w:b/>
          <w:color w:val="000000" w:themeColor="text1"/>
          <w:sz w:val="21"/>
          <w:szCs w:val="21"/>
          <w:highlight w:val="none"/>
          <w:lang w:val="zh-CN"/>
          <w14:textFill>
            <w14:solidFill>
              <w14:schemeClr w14:val="tx1"/>
            </w14:solidFill>
          </w14:textFill>
        </w:rPr>
        <w:t>）</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9"/>
        <w:gridCol w:w="636"/>
        <w:gridCol w:w="636"/>
        <w:gridCol w:w="636"/>
        <w:gridCol w:w="504"/>
        <w:gridCol w:w="576"/>
        <w:gridCol w:w="708"/>
        <w:gridCol w:w="504"/>
        <w:gridCol w:w="672"/>
        <w:gridCol w:w="779"/>
        <w:gridCol w:w="564"/>
        <w:gridCol w:w="636"/>
        <w:gridCol w:w="588"/>
        <w:gridCol w:w="479"/>
      </w:tblGrid>
      <w:tr w14:paraId="6807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729" w:type="pct"/>
            <w:gridSpan w:val="2"/>
            <w:shd w:val="clear" w:color="auto" w:fill="auto"/>
            <w:noWrap/>
            <w:vAlign w:val="center"/>
          </w:tcPr>
          <w:p w14:paraId="783068D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监测点位</w:t>
            </w:r>
          </w:p>
        </w:tc>
        <w:tc>
          <w:tcPr>
            <w:tcW w:w="1041" w:type="pct"/>
            <w:gridSpan w:val="3"/>
            <w:shd w:val="clear" w:color="auto" w:fill="auto"/>
            <w:noWrap/>
            <w:vAlign w:val="center"/>
          </w:tcPr>
          <w:p w14:paraId="0E07F30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星火7斜井井场外南侧200m范围内</w:t>
            </w:r>
          </w:p>
        </w:tc>
        <w:tc>
          <w:tcPr>
            <w:tcW w:w="1048" w:type="pct"/>
            <w:gridSpan w:val="3"/>
            <w:shd w:val="clear" w:color="auto" w:fill="auto"/>
            <w:noWrap/>
            <w:vAlign w:val="center"/>
          </w:tcPr>
          <w:p w14:paraId="338FA46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t>星火7斜井井场外东侧200m范围内</w:t>
            </w:r>
          </w:p>
        </w:tc>
        <w:tc>
          <w:tcPr>
            <w:tcW w:w="1181" w:type="pct"/>
            <w:gridSpan w:val="3"/>
            <w:shd w:val="clear" w:color="auto" w:fill="auto"/>
            <w:noWrap/>
            <w:vAlign w:val="center"/>
          </w:tcPr>
          <w:p w14:paraId="0182166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星火7斜井井场外西侧200m范围内</w:t>
            </w:r>
          </w:p>
        </w:tc>
        <w:tc>
          <w:tcPr>
            <w:tcW w:w="998" w:type="pct"/>
            <w:gridSpan w:val="3"/>
            <w:shd w:val="clear" w:color="auto" w:fill="auto"/>
            <w:noWrap/>
            <w:vAlign w:val="center"/>
          </w:tcPr>
          <w:p w14:paraId="3D44430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星火7斜井井场外北侧200m范围内</w:t>
            </w:r>
          </w:p>
        </w:tc>
      </w:tr>
      <w:tr w14:paraId="40B2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 w:type="pct"/>
            <w:shd w:val="clear" w:color="auto" w:fill="auto"/>
            <w:vAlign w:val="center"/>
          </w:tcPr>
          <w:p w14:paraId="16D36E5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检测项目</w:t>
            </w:r>
          </w:p>
        </w:tc>
        <w:tc>
          <w:tcPr>
            <w:tcW w:w="372" w:type="pct"/>
            <w:shd w:val="clear" w:color="auto" w:fill="auto"/>
            <w:vAlign w:val="center"/>
          </w:tcPr>
          <w:p w14:paraId="1097CC1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筛选值</w:t>
            </w:r>
          </w:p>
        </w:tc>
        <w:tc>
          <w:tcPr>
            <w:tcW w:w="372" w:type="pct"/>
            <w:shd w:val="clear" w:color="auto" w:fill="auto"/>
            <w:vAlign w:val="center"/>
          </w:tcPr>
          <w:p w14:paraId="79DE967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监测值</w:t>
            </w:r>
          </w:p>
        </w:tc>
        <w:tc>
          <w:tcPr>
            <w:tcW w:w="372" w:type="pct"/>
            <w:shd w:val="clear" w:color="auto" w:fill="auto"/>
            <w:vAlign w:val="center"/>
          </w:tcPr>
          <w:p w14:paraId="4D77B63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Pi</w:t>
            </w:r>
          </w:p>
        </w:tc>
        <w:tc>
          <w:tcPr>
            <w:tcW w:w="295" w:type="pct"/>
            <w:shd w:val="clear" w:color="auto" w:fill="auto"/>
            <w:vAlign w:val="center"/>
          </w:tcPr>
          <w:p w14:paraId="4540BF3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评价结果</w:t>
            </w:r>
          </w:p>
        </w:tc>
        <w:tc>
          <w:tcPr>
            <w:tcW w:w="337" w:type="pct"/>
            <w:shd w:val="clear" w:color="auto" w:fill="auto"/>
            <w:vAlign w:val="center"/>
          </w:tcPr>
          <w:p w14:paraId="293E07A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监测值</w:t>
            </w:r>
          </w:p>
        </w:tc>
        <w:tc>
          <w:tcPr>
            <w:tcW w:w="415" w:type="pct"/>
            <w:shd w:val="clear" w:color="auto" w:fill="auto"/>
            <w:vAlign w:val="center"/>
          </w:tcPr>
          <w:p w14:paraId="1C7901AE">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Pi</w:t>
            </w:r>
          </w:p>
        </w:tc>
        <w:tc>
          <w:tcPr>
            <w:tcW w:w="295" w:type="pct"/>
            <w:shd w:val="clear" w:color="auto" w:fill="auto"/>
            <w:vAlign w:val="center"/>
          </w:tcPr>
          <w:p w14:paraId="27640B6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评价结果</w:t>
            </w:r>
          </w:p>
        </w:tc>
        <w:tc>
          <w:tcPr>
            <w:tcW w:w="393" w:type="pct"/>
            <w:shd w:val="clear" w:color="auto" w:fill="auto"/>
            <w:vAlign w:val="center"/>
          </w:tcPr>
          <w:p w14:paraId="3DC0944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监测值</w:t>
            </w:r>
          </w:p>
        </w:tc>
        <w:tc>
          <w:tcPr>
            <w:tcW w:w="457" w:type="pct"/>
            <w:shd w:val="clear" w:color="auto" w:fill="auto"/>
            <w:vAlign w:val="center"/>
          </w:tcPr>
          <w:p w14:paraId="2A1F58E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Pi</w:t>
            </w:r>
          </w:p>
        </w:tc>
        <w:tc>
          <w:tcPr>
            <w:tcW w:w="330" w:type="pct"/>
            <w:shd w:val="clear" w:color="auto" w:fill="auto"/>
            <w:vAlign w:val="center"/>
          </w:tcPr>
          <w:p w14:paraId="134D50A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评价结果</w:t>
            </w:r>
          </w:p>
        </w:tc>
        <w:tc>
          <w:tcPr>
            <w:tcW w:w="372" w:type="pct"/>
            <w:shd w:val="clear" w:color="auto" w:fill="auto"/>
            <w:vAlign w:val="center"/>
          </w:tcPr>
          <w:p w14:paraId="0EFE5F1E">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监测值</w:t>
            </w:r>
          </w:p>
        </w:tc>
        <w:tc>
          <w:tcPr>
            <w:tcW w:w="344" w:type="pct"/>
            <w:shd w:val="clear" w:color="auto" w:fill="auto"/>
            <w:vAlign w:val="center"/>
          </w:tcPr>
          <w:p w14:paraId="5B6B458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Pi</w:t>
            </w:r>
          </w:p>
        </w:tc>
        <w:tc>
          <w:tcPr>
            <w:tcW w:w="280" w:type="pct"/>
            <w:shd w:val="clear" w:color="auto" w:fill="auto"/>
            <w:vAlign w:val="center"/>
          </w:tcPr>
          <w:p w14:paraId="24AFFF1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t>评价结果</w:t>
            </w:r>
          </w:p>
        </w:tc>
      </w:tr>
      <w:tr w14:paraId="024C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5CD0E5AD">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pH</w:t>
            </w:r>
          </w:p>
        </w:tc>
        <w:tc>
          <w:tcPr>
            <w:tcW w:w="372" w:type="pct"/>
            <w:shd w:val="clear" w:color="auto" w:fill="auto"/>
            <w:vAlign w:val="center"/>
          </w:tcPr>
          <w:p w14:paraId="328EBED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6.5＜pH≥7.5</w:t>
            </w:r>
          </w:p>
        </w:tc>
        <w:tc>
          <w:tcPr>
            <w:tcW w:w="372" w:type="pct"/>
            <w:shd w:val="clear" w:color="auto" w:fill="auto"/>
            <w:noWrap/>
            <w:vAlign w:val="center"/>
          </w:tcPr>
          <w:p w14:paraId="31E7596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7.4</w:t>
            </w:r>
          </w:p>
        </w:tc>
        <w:tc>
          <w:tcPr>
            <w:tcW w:w="372" w:type="pct"/>
            <w:shd w:val="clear" w:color="auto" w:fill="auto"/>
            <w:vAlign w:val="center"/>
          </w:tcPr>
          <w:p w14:paraId="365529F0">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1A839CD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无酸化或碱化</w:t>
            </w:r>
          </w:p>
        </w:tc>
        <w:tc>
          <w:tcPr>
            <w:tcW w:w="337" w:type="pct"/>
            <w:shd w:val="clear" w:color="auto" w:fill="auto"/>
            <w:vAlign w:val="center"/>
          </w:tcPr>
          <w:p w14:paraId="732E765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7.1</w:t>
            </w:r>
          </w:p>
        </w:tc>
        <w:tc>
          <w:tcPr>
            <w:tcW w:w="415" w:type="pct"/>
            <w:shd w:val="clear" w:color="auto" w:fill="auto"/>
            <w:vAlign w:val="center"/>
          </w:tcPr>
          <w:p w14:paraId="70DACCB1">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0C74C14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无酸化或碱化</w:t>
            </w:r>
          </w:p>
        </w:tc>
        <w:tc>
          <w:tcPr>
            <w:tcW w:w="393" w:type="pct"/>
            <w:shd w:val="clear" w:color="auto" w:fill="auto"/>
            <w:vAlign w:val="center"/>
          </w:tcPr>
          <w:p w14:paraId="5C27668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7.3</w:t>
            </w:r>
          </w:p>
        </w:tc>
        <w:tc>
          <w:tcPr>
            <w:tcW w:w="457" w:type="pct"/>
            <w:shd w:val="clear" w:color="auto" w:fill="auto"/>
            <w:vAlign w:val="center"/>
          </w:tcPr>
          <w:p w14:paraId="4896D6AA">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330" w:type="pct"/>
            <w:shd w:val="clear" w:color="auto" w:fill="auto"/>
            <w:vAlign w:val="center"/>
          </w:tcPr>
          <w:p w14:paraId="6180D04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无酸化或碱化</w:t>
            </w:r>
          </w:p>
        </w:tc>
        <w:tc>
          <w:tcPr>
            <w:tcW w:w="372" w:type="pct"/>
            <w:shd w:val="clear" w:color="auto" w:fill="auto"/>
            <w:vAlign w:val="center"/>
          </w:tcPr>
          <w:p w14:paraId="58C8703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7.2</w:t>
            </w:r>
          </w:p>
        </w:tc>
        <w:tc>
          <w:tcPr>
            <w:tcW w:w="344" w:type="pct"/>
            <w:shd w:val="clear" w:color="auto" w:fill="auto"/>
            <w:vAlign w:val="center"/>
          </w:tcPr>
          <w:p w14:paraId="003338BC">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80" w:type="pct"/>
            <w:shd w:val="clear" w:color="auto" w:fill="auto"/>
            <w:vAlign w:val="center"/>
          </w:tcPr>
          <w:p w14:paraId="0599A76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无酸化或碱化</w:t>
            </w:r>
          </w:p>
        </w:tc>
      </w:tr>
      <w:tr w14:paraId="7870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40F4350E">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砷</w:t>
            </w:r>
          </w:p>
        </w:tc>
        <w:tc>
          <w:tcPr>
            <w:tcW w:w="372" w:type="pct"/>
            <w:shd w:val="clear" w:color="auto" w:fill="auto"/>
            <w:noWrap/>
            <w:vAlign w:val="center"/>
          </w:tcPr>
          <w:p w14:paraId="58640E9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30</w:t>
            </w:r>
          </w:p>
        </w:tc>
        <w:tc>
          <w:tcPr>
            <w:tcW w:w="372" w:type="pct"/>
            <w:shd w:val="clear" w:color="auto" w:fill="auto"/>
            <w:noWrap/>
            <w:vAlign w:val="center"/>
          </w:tcPr>
          <w:p w14:paraId="29BDE3E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8.68</w:t>
            </w:r>
          </w:p>
        </w:tc>
        <w:tc>
          <w:tcPr>
            <w:tcW w:w="636" w:type="dxa"/>
            <w:shd w:val="clear" w:color="auto" w:fill="auto"/>
            <w:vAlign w:val="center"/>
          </w:tcPr>
          <w:p w14:paraId="732DB028">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0.289 </w:t>
            </w:r>
          </w:p>
        </w:tc>
        <w:tc>
          <w:tcPr>
            <w:tcW w:w="295" w:type="pct"/>
            <w:shd w:val="clear" w:color="auto" w:fill="auto"/>
            <w:vAlign w:val="center"/>
          </w:tcPr>
          <w:p w14:paraId="3942B13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0F889FA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8.56</w:t>
            </w:r>
          </w:p>
        </w:tc>
        <w:tc>
          <w:tcPr>
            <w:tcW w:w="708" w:type="dxa"/>
            <w:shd w:val="clear" w:color="auto" w:fill="auto"/>
            <w:vAlign w:val="center"/>
          </w:tcPr>
          <w:p w14:paraId="271C627E">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0.285 </w:t>
            </w:r>
          </w:p>
        </w:tc>
        <w:tc>
          <w:tcPr>
            <w:tcW w:w="295" w:type="pct"/>
            <w:shd w:val="clear" w:color="auto" w:fill="auto"/>
            <w:vAlign w:val="center"/>
          </w:tcPr>
          <w:p w14:paraId="60A63DE4">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4434CE0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6.34</w:t>
            </w:r>
          </w:p>
        </w:tc>
        <w:tc>
          <w:tcPr>
            <w:tcW w:w="779" w:type="dxa"/>
            <w:shd w:val="clear" w:color="auto" w:fill="auto"/>
            <w:vAlign w:val="center"/>
          </w:tcPr>
          <w:p w14:paraId="7084CBBF">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0.211 </w:t>
            </w:r>
          </w:p>
        </w:tc>
        <w:tc>
          <w:tcPr>
            <w:tcW w:w="330" w:type="pct"/>
            <w:shd w:val="clear" w:color="auto" w:fill="auto"/>
            <w:vAlign w:val="center"/>
          </w:tcPr>
          <w:p w14:paraId="2A472A1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48369E8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6.72</w:t>
            </w:r>
          </w:p>
        </w:tc>
        <w:tc>
          <w:tcPr>
            <w:tcW w:w="588" w:type="dxa"/>
            <w:shd w:val="clear" w:color="auto" w:fill="auto"/>
            <w:vAlign w:val="center"/>
          </w:tcPr>
          <w:p w14:paraId="2A9FA64B">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0.224 </w:t>
            </w:r>
          </w:p>
        </w:tc>
        <w:tc>
          <w:tcPr>
            <w:tcW w:w="280" w:type="pct"/>
            <w:shd w:val="clear" w:color="auto" w:fill="auto"/>
            <w:vAlign w:val="center"/>
          </w:tcPr>
          <w:p w14:paraId="30C03A4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05E2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4E071D5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铅</w:t>
            </w:r>
          </w:p>
        </w:tc>
        <w:tc>
          <w:tcPr>
            <w:tcW w:w="372" w:type="pct"/>
            <w:shd w:val="clear" w:color="auto" w:fill="auto"/>
            <w:noWrap/>
            <w:vAlign w:val="center"/>
          </w:tcPr>
          <w:p w14:paraId="30C51B4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120</w:t>
            </w:r>
          </w:p>
        </w:tc>
        <w:tc>
          <w:tcPr>
            <w:tcW w:w="372" w:type="pct"/>
            <w:shd w:val="clear" w:color="auto" w:fill="auto"/>
            <w:noWrap/>
            <w:vAlign w:val="center"/>
          </w:tcPr>
          <w:p w14:paraId="6F5D4A0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38</w:t>
            </w:r>
          </w:p>
        </w:tc>
        <w:tc>
          <w:tcPr>
            <w:tcW w:w="636" w:type="dxa"/>
            <w:shd w:val="clear" w:color="auto" w:fill="auto"/>
            <w:vAlign w:val="center"/>
          </w:tcPr>
          <w:p w14:paraId="01527EE1">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0.317 </w:t>
            </w:r>
          </w:p>
        </w:tc>
        <w:tc>
          <w:tcPr>
            <w:tcW w:w="295" w:type="pct"/>
            <w:shd w:val="clear" w:color="auto" w:fill="auto"/>
            <w:vAlign w:val="center"/>
          </w:tcPr>
          <w:p w14:paraId="7CD69DC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34B7360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40</w:t>
            </w:r>
          </w:p>
        </w:tc>
        <w:tc>
          <w:tcPr>
            <w:tcW w:w="708" w:type="dxa"/>
            <w:shd w:val="clear" w:color="auto" w:fill="auto"/>
            <w:vAlign w:val="center"/>
          </w:tcPr>
          <w:p w14:paraId="52DF3304">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0.333 </w:t>
            </w:r>
          </w:p>
        </w:tc>
        <w:tc>
          <w:tcPr>
            <w:tcW w:w="295" w:type="pct"/>
            <w:shd w:val="clear" w:color="auto" w:fill="auto"/>
            <w:vAlign w:val="center"/>
          </w:tcPr>
          <w:p w14:paraId="64C9880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3D7990E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34</w:t>
            </w:r>
          </w:p>
        </w:tc>
        <w:tc>
          <w:tcPr>
            <w:tcW w:w="779" w:type="dxa"/>
            <w:shd w:val="clear" w:color="auto" w:fill="auto"/>
            <w:vAlign w:val="center"/>
          </w:tcPr>
          <w:p w14:paraId="627D50DD">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0.283 </w:t>
            </w:r>
          </w:p>
        </w:tc>
        <w:tc>
          <w:tcPr>
            <w:tcW w:w="330" w:type="pct"/>
            <w:shd w:val="clear" w:color="auto" w:fill="auto"/>
            <w:vAlign w:val="center"/>
          </w:tcPr>
          <w:p w14:paraId="2AAC5BD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6226BA3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34</w:t>
            </w:r>
          </w:p>
        </w:tc>
        <w:tc>
          <w:tcPr>
            <w:tcW w:w="588" w:type="dxa"/>
            <w:shd w:val="clear" w:color="auto" w:fill="auto"/>
            <w:vAlign w:val="center"/>
          </w:tcPr>
          <w:p w14:paraId="4F2C0A4A">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0.283 </w:t>
            </w:r>
          </w:p>
        </w:tc>
        <w:tc>
          <w:tcPr>
            <w:tcW w:w="280" w:type="pct"/>
            <w:shd w:val="clear" w:color="auto" w:fill="auto"/>
            <w:vAlign w:val="center"/>
          </w:tcPr>
          <w:p w14:paraId="4B2E687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0ABA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503120F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汞</w:t>
            </w:r>
          </w:p>
        </w:tc>
        <w:tc>
          <w:tcPr>
            <w:tcW w:w="372" w:type="pct"/>
            <w:shd w:val="clear" w:color="auto" w:fill="auto"/>
            <w:noWrap/>
            <w:vAlign w:val="center"/>
          </w:tcPr>
          <w:p w14:paraId="741F2B9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2.4</w:t>
            </w:r>
          </w:p>
        </w:tc>
        <w:tc>
          <w:tcPr>
            <w:tcW w:w="372" w:type="pct"/>
            <w:shd w:val="clear" w:color="auto" w:fill="auto"/>
            <w:noWrap/>
            <w:vAlign w:val="center"/>
          </w:tcPr>
          <w:p w14:paraId="2C9AC61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0.194</w:t>
            </w:r>
          </w:p>
        </w:tc>
        <w:tc>
          <w:tcPr>
            <w:tcW w:w="636" w:type="dxa"/>
            <w:shd w:val="clear" w:color="auto" w:fill="auto"/>
            <w:vAlign w:val="center"/>
          </w:tcPr>
          <w:p w14:paraId="3F612A7A">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0.081 </w:t>
            </w:r>
          </w:p>
        </w:tc>
        <w:tc>
          <w:tcPr>
            <w:tcW w:w="295" w:type="pct"/>
            <w:shd w:val="clear" w:color="auto" w:fill="auto"/>
            <w:vAlign w:val="center"/>
          </w:tcPr>
          <w:p w14:paraId="4E16250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261A6AC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0.231</w:t>
            </w:r>
          </w:p>
        </w:tc>
        <w:tc>
          <w:tcPr>
            <w:tcW w:w="708" w:type="dxa"/>
            <w:shd w:val="clear" w:color="auto" w:fill="auto"/>
            <w:vAlign w:val="center"/>
          </w:tcPr>
          <w:p w14:paraId="54C2A610">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0.096 </w:t>
            </w:r>
          </w:p>
        </w:tc>
        <w:tc>
          <w:tcPr>
            <w:tcW w:w="295" w:type="pct"/>
            <w:shd w:val="clear" w:color="auto" w:fill="auto"/>
            <w:vAlign w:val="center"/>
          </w:tcPr>
          <w:p w14:paraId="5525339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6B479D2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0.159</w:t>
            </w:r>
          </w:p>
        </w:tc>
        <w:tc>
          <w:tcPr>
            <w:tcW w:w="779" w:type="dxa"/>
            <w:shd w:val="clear" w:color="auto" w:fill="auto"/>
            <w:vAlign w:val="center"/>
          </w:tcPr>
          <w:p w14:paraId="0FE7257B">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0.066 </w:t>
            </w:r>
          </w:p>
        </w:tc>
        <w:tc>
          <w:tcPr>
            <w:tcW w:w="330" w:type="pct"/>
            <w:shd w:val="clear" w:color="auto" w:fill="auto"/>
            <w:vAlign w:val="center"/>
          </w:tcPr>
          <w:p w14:paraId="6458B07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5455214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0.124</w:t>
            </w:r>
          </w:p>
        </w:tc>
        <w:tc>
          <w:tcPr>
            <w:tcW w:w="588" w:type="dxa"/>
            <w:shd w:val="clear" w:color="auto" w:fill="auto"/>
            <w:vAlign w:val="center"/>
          </w:tcPr>
          <w:p w14:paraId="55AC78B9">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0.052 </w:t>
            </w:r>
          </w:p>
        </w:tc>
        <w:tc>
          <w:tcPr>
            <w:tcW w:w="280" w:type="pct"/>
            <w:shd w:val="clear" w:color="auto" w:fill="auto"/>
            <w:vAlign w:val="center"/>
          </w:tcPr>
          <w:p w14:paraId="19DB3A0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0F14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237F1F0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镉</w:t>
            </w:r>
          </w:p>
        </w:tc>
        <w:tc>
          <w:tcPr>
            <w:tcW w:w="372" w:type="pct"/>
            <w:shd w:val="clear" w:color="auto" w:fill="auto"/>
            <w:noWrap/>
            <w:vAlign w:val="center"/>
          </w:tcPr>
          <w:p w14:paraId="42CA7FE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0.3</w:t>
            </w:r>
          </w:p>
        </w:tc>
        <w:tc>
          <w:tcPr>
            <w:tcW w:w="372" w:type="pct"/>
            <w:shd w:val="clear" w:color="auto" w:fill="auto"/>
            <w:noWrap/>
            <w:vAlign w:val="center"/>
          </w:tcPr>
          <w:p w14:paraId="3ED5EA9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636" w:type="dxa"/>
            <w:shd w:val="clear" w:color="auto" w:fill="auto"/>
            <w:vAlign w:val="center"/>
          </w:tcPr>
          <w:p w14:paraId="0AD45822">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95" w:type="pct"/>
            <w:shd w:val="clear" w:color="auto" w:fill="auto"/>
            <w:vAlign w:val="center"/>
          </w:tcPr>
          <w:p w14:paraId="109A83A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7959539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708" w:type="dxa"/>
            <w:shd w:val="clear" w:color="auto" w:fill="auto"/>
            <w:vAlign w:val="center"/>
          </w:tcPr>
          <w:p w14:paraId="5CADD029">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95" w:type="pct"/>
            <w:shd w:val="clear" w:color="auto" w:fill="auto"/>
            <w:vAlign w:val="center"/>
          </w:tcPr>
          <w:p w14:paraId="64FAC1B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58DBE6E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779" w:type="dxa"/>
            <w:shd w:val="clear" w:color="auto" w:fill="auto"/>
            <w:vAlign w:val="center"/>
          </w:tcPr>
          <w:p w14:paraId="597B822D">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0" w:type="pct"/>
            <w:shd w:val="clear" w:color="auto" w:fill="auto"/>
            <w:vAlign w:val="center"/>
          </w:tcPr>
          <w:p w14:paraId="3B390FB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467BDAE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588" w:type="dxa"/>
            <w:shd w:val="clear" w:color="auto" w:fill="auto"/>
            <w:vAlign w:val="center"/>
          </w:tcPr>
          <w:p w14:paraId="54107F8E">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80" w:type="pct"/>
            <w:shd w:val="clear" w:color="auto" w:fill="auto"/>
            <w:vAlign w:val="center"/>
          </w:tcPr>
          <w:p w14:paraId="269B5DB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55F8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 w:type="pct"/>
            <w:shd w:val="clear" w:color="auto" w:fill="auto"/>
            <w:vAlign w:val="center"/>
          </w:tcPr>
          <w:p w14:paraId="3563CDD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铜</w:t>
            </w:r>
          </w:p>
        </w:tc>
        <w:tc>
          <w:tcPr>
            <w:tcW w:w="372" w:type="pct"/>
            <w:shd w:val="clear" w:color="auto" w:fill="auto"/>
            <w:noWrap/>
            <w:vAlign w:val="center"/>
          </w:tcPr>
          <w:p w14:paraId="2F67FDC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100</w:t>
            </w:r>
          </w:p>
        </w:tc>
        <w:tc>
          <w:tcPr>
            <w:tcW w:w="372" w:type="pct"/>
            <w:shd w:val="clear" w:color="auto" w:fill="auto"/>
            <w:noWrap/>
            <w:vAlign w:val="center"/>
          </w:tcPr>
          <w:p w14:paraId="5435CBC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17</w:t>
            </w:r>
          </w:p>
        </w:tc>
        <w:tc>
          <w:tcPr>
            <w:tcW w:w="636" w:type="dxa"/>
            <w:shd w:val="clear" w:color="auto" w:fill="auto"/>
            <w:vAlign w:val="center"/>
          </w:tcPr>
          <w:p w14:paraId="36428680">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0.170 </w:t>
            </w:r>
          </w:p>
        </w:tc>
        <w:tc>
          <w:tcPr>
            <w:tcW w:w="295" w:type="pct"/>
            <w:shd w:val="clear" w:color="auto" w:fill="auto"/>
            <w:vAlign w:val="center"/>
          </w:tcPr>
          <w:p w14:paraId="1FCD01B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392B0A5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17</w:t>
            </w:r>
          </w:p>
        </w:tc>
        <w:tc>
          <w:tcPr>
            <w:tcW w:w="708" w:type="dxa"/>
            <w:shd w:val="clear" w:color="auto" w:fill="auto"/>
            <w:vAlign w:val="center"/>
          </w:tcPr>
          <w:p w14:paraId="194ACDF9">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0.170 </w:t>
            </w:r>
          </w:p>
        </w:tc>
        <w:tc>
          <w:tcPr>
            <w:tcW w:w="295" w:type="pct"/>
            <w:shd w:val="clear" w:color="auto" w:fill="auto"/>
            <w:vAlign w:val="center"/>
          </w:tcPr>
          <w:p w14:paraId="432679F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3C5F5DD4">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18</w:t>
            </w:r>
          </w:p>
        </w:tc>
        <w:tc>
          <w:tcPr>
            <w:tcW w:w="779" w:type="dxa"/>
            <w:shd w:val="clear" w:color="auto" w:fill="auto"/>
            <w:vAlign w:val="center"/>
          </w:tcPr>
          <w:p w14:paraId="58066192">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0.180 </w:t>
            </w:r>
          </w:p>
        </w:tc>
        <w:tc>
          <w:tcPr>
            <w:tcW w:w="330" w:type="pct"/>
            <w:shd w:val="clear" w:color="auto" w:fill="auto"/>
            <w:vAlign w:val="center"/>
          </w:tcPr>
          <w:p w14:paraId="74C3418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79B9BC4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12</w:t>
            </w:r>
          </w:p>
        </w:tc>
        <w:tc>
          <w:tcPr>
            <w:tcW w:w="588" w:type="dxa"/>
            <w:shd w:val="clear" w:color="auto" w:fill="auto"/>
            <w:vAlign w:val="center"/>
          </w:tcPr>
          <w:p w14:paraId="0BA89615">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0.120 </w:t>
            </w:r>
          </w:p>
        </w:tc>
        <w:tc>
          <w:tcPr>
            <w:tcW w:w="280" w:type="pct"/>
            <w:shd w:val="clear" w:color="auto" w:fill="auto"/>
            <w:vAlign w:val="center"/>
          </w:tcPr>
          <w:p w14:paraId="1B16A04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153C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72F3BDF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镍</w:t>
            </w:r>
          </w:p>
        </w:tc>
        <w:tc>
          <w:tcPr>
            <w:tcW w:w="372" w:type="pct"/>
            <w:shd w:val="clear" w:color="auto" w:fill="auto"/>
            <w:noWrap/>
            <w:vAlign w:val="center"/>
          </w:tcPr>
          <w:p w14:paraId="2B558D2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100</w:t>
            </w:r>
          </w:p>
        </w:tc>
        <w:tc>
          <w:tcPr>
            <w:tcW w:w="372" w:type="pct"/>
            <w:shd w:val="clear" w:color="auto" w:fill="auto"/>
            <w:noWrap/>
            <w:vAlign w:val="center"/>
          </w:tcPr>
          <w:p w14:paraId="5B4334E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24</w:t>
            </w:r>
          </w:p>
        </w:tc>
        <w:tc>
          <w:tcPr>
            <w:tcW w:w="636" w:type="dxa"/>
            <w:shd w:val="clear" w:color="auto" w:fill="auto"/>
            <w:vAlign w:val="center"/>
          </w:tcPr>
          <w:p w14:paraId="7A535A36">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0.240 </w:t>
            </w:r>
          </w:p>
        </w:tc>
        <w:tc>
          <w:tcPr>
            <w:tcW w:w="295" w:type="pct"/>
            <w:shd w:val="clear" w:color="auto" w:fill="auto"/>
            <w:vAlign w:val="center"/>
          </w:tcPr>
          <w:p w14:paraId="3F5FDBCA">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2757177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27</w:t>
            </w:r>
          </w:p>
        </w:tc>
        <w:tc>
          <w:tcPr>
            <w:tcW w:w="708" w:type="dxa"/>
            <w:shd w:val="clear" w:color="auto" w:fill="auto"/>
            <w:vAlign w:val="center"/>
          </w:tcPr>
          <w:p w14:paraId="0B6555DC">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0.270 </w:t>
            </w:r>
          </w:p>
        </w:tc>
        <w:tc>
          <w:tcPr>
            <w:tcW w:w="295" w:type="pct"/>
            <w:shd w:val="clear" w:color="auto" w:fill="auto"/>
            <w:vAlign w:val="center"/>
          </w:tcPr>
          <w:p w14:paraId="04CFEFBF">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46A4D99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26</w:t>
            </w:r>
          </w:p>
        </w:tc>
        <w:tc>
          <w:tcPr>
            <w:tcW w:w="779" w:type="dxa"/>
            <w:shd w:val="clear" w:color="auto" w:fill="auto"/>
            <w:vAlign w:val="center"/>
          </w:tcPr>
          <w:p w14:paraId="66A4CAEE">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0.260 </w:t>
            </w:r>
          </w:p>
        </w:tc>
        <w:tc>
          <w:tcPr>
            <w:tcW w:w="330" w:type="pct"/>
            <w:shd w:val="clear" w:color="auto" w:fill="auto"/>
            <w:vAlign w:val="center"/>
          </w:tcPr>
          <w:p w14:paraId="5C4F221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13D73D7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20</w:t>
            </w:r>
          </w:p>
        </w:tc>
        <w:tc>
          <w:tcPr>
            <w:tcW w:w="588" w:type="dxa"/>
            <w:shd w:val="clear" w:color="auto" w:fill="auto"/>
            <w:vAlign w:val="center"/>
          </w:tcPr>
          <w:p w14:paraId="0C07630A">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0.200 </w:t>
            </w:r>
          </w:p>
        </w:tc>
        <w:tc>
          <w:tcPr>
            <w:tcW w:w="280" w:type="pct"/>
            <w:shd w:val="clear" w:color="auto" w:fill="auto"/>
            <w:vAlign w:val="center"/>
          </w:tcPr>
          <w:p w14:paraId="42E77CE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39CB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60BB3530">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铬</w:t>
            </w:r>
          </w:p>
        </w:tc>
        <w:tc>
          <w:tcPr>
            <w:tcW w:w="372" w:type="pct"/>
            <w:shd w:val="clear" w:color="auto" w:fill="auto"/>
            <w:noWrap/>
            <w:vAlign w:val="center"/>
          </w:tcPr>
          <w:p w14:paraId="2AE10CD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200</w:t>
            </w:r>
          </w:p>
        </w:tc>
        <w:tc>
          <w:tcPr>
            <w:tcW w:w="372" w:type="pct"/>
            <w:shd w:val="clear" w:color="auto" w:fill="auto"/>
            <w:noWrap/>
            <w:vAlign w:val="center"/>
          </w:tcPr>
          <w:p w14:paraId="1728E40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39</w:t>
            </w:r>
          </w:p>
        </w:tc>
        <w:tc>
          <w:tcPr>
            <w:tcW w:w="636" w:type="dxa"/>
            <w:shd w:val="clear" w:color="auto" w:fill="auto"/>
            <w:vAlign w:val="center"/>
          </w:tcPr>
          <w:p w14:paraId="70DD59A4">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0.195 </w:t>
            </w:r>
          </w:p>
        </w:tc>
        <w:tc>
          <w:tcPr>
            <w:tcW w:w="295" w:type="pct"/>
            <w:shd w:val="clear" w:color="auto" w:fill="auto"/>
            <w:vAlign w:val="center"/>
          </w:tcPr>
          <w:p w14:paraId="29D2143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5A38C29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41</w:t>
            </w:r>
          </w:p>
        </w:tc>
        <w:tc>
          <w:tcPr>
            <w:tcW w:w="708" w:type="dxa"/>
            <w:shd w:val="clear" w:color="auto" w:fill="auto"/>
            <w:vAlign w:val="center"/>
          </w:tcPr>
          <w:p w14:paraId="6431C4A2">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0.205 </w:t>
            </w:r>
          </w:p>
        </w:tc>
        <w:tc>
          <w:tcPr>
            <w:tcW w:w="295" w:type="pct"/>
            <w:shd w:val="clear" w:color="auto" w:fill="auto"/>
            <w:vAlign w:val="center"/>
          </w:tcPr>
          <w:p w14:paraId="6E8DE7D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6B63EDF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45</w:t>
            </w:r>
          </w:p>
        </w:tc>
        <w:tc>
          <w:tcPr>
            <w:tcW w:w="779" w:type="dxa"/>
            <w:shd w:val="clear" w:color="auto" w:fill="auto"/>
            <w:vAlign w:val="center"/>
          </w:tcPr>
          <w:p w14:paraId="1AE7A5B4">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0.225 </w:t>
            </w:r>
          </w:p>
        </w:tc>
        <w:tc>
          <w:tcPr>
            <w:tcW w:w="330" w:type="pct"/>
            <w:shd w:val="clear" w:color="auto" w:fill="auto"/>
            <w:vAlign w:val="center"/>
          </w:tcPr>
          <w:p w14:paraId="0E47B62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54AA02CE">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31</w:t>
            </w:r>
          </w:p>
        </w:tc>
        <w:tc>
          <w:tcPr>
            <w:tcW w:w="588" w:type="dxa"/>
            <w:shd w:val="clear" w:color="auto" w:fill="auto"/>
            <w:vAlign w:val="center"/>
          </w:tcPr>
          <w:p w14:paraId="2B9EDFC4">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0.155 </w:t>
            </w:r>
          </w:p>
        </w:tc>
        <w:tc>
          <w:tcPr>
            <w:tcW w:w="280" w:type="pct"/>
            <w:shd w:val="clear" w:color="auto" w:fill="auto"/>
            <w:vAlign w:val="center"/>
          </w:tcPr>
          <w:p w14:paraId="4D77FAD4">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75B8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750D99B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锌</w:t>
            </w:r>
          </w:p>
        </w:tc>
        <w:tc>
          <w:tcPr>
            <w:tcW w:w="372" w:type="pct"/>
            <w:shd w:val="clear" w:color="auto" w:fill="auto"/>
            <w:noWrap/>
            <w:vAlign w:val="center"/>
          </w:tcPr>
          <w:p w14:paraId="1CE40D96">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250</w:t>
            </w:r>
          </w:p>
        </w:tc>
        <w:tc>
          <w:tcPr>
            <w:tcW w:w="372" w:type="pct"/>
            <w:shd w:val="clear" w:color="auto" w:fill="auto"/>
            <w:noWrap/>
            <w:vAlign w:val="center"/>
          </w:tcPr>
          <w:p w14:paraId="3B80E62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64</w:t>
            </w:r>
          </w:p>
        </w:tc>
        <w:tc>
          <w:tcPr>
            <w:tcW w:w="636" w:type="dxa"/>
            <w:shd w:val="clear" w:color="auto" w:fill="auto"/>
            <w:vAlign w:val="center"/>
          </w:tcPr>
          <w:p w14:paraId="42168530">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0.256 </w:t>
            </w:r>
          </w:p>
        </w:tc>
        <w:tc>
          <w:tcPr>
            <w:tcW w:w="295" w:type="pct"/>
            <w:shd w:val="clear" w:color="auto" w:fill="auto"/>
            <w:vAlign w:val="center"/>
          </w:tcPr>
          <w:p w14:paraId="4E22EF0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193AAA8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70</w:t>
            </w:r>
          </w:p>
        </w:tc>
        <w:tc>
          <w:tcPr>
            <w:tcW w:w="708" w:type="dxa"/>
            <w:shd w:val="clear" w:color="auto" w:fill="auto"/>
            <w:vAlign w:val="center"/>
          </w:tcPr>
          <w:p w14:paraId="7432CA2E">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0.280 </w:t>
            </w:r>
          </w:p>
        </w:tc>
        <w:tc>
          <w:tcPr>
            <w:tcW w:w="295" w:type="pct"/>
            <w:shd w:val="clear" w:color="auto" w:fill="auto"/>
            <w:vAlign w:val="center"/>
          </w:tcPr>
          <w:p w14:paraId="1FC6BB9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0D877AE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68</w:t>
            </w:r>
          </w:p>
        </w:tc>
        <w:tc>
          <w:tcPr>
            <w:tcW w:w="779" w:type="dxa"/>
            <w:shd w:val="clear" w:color="auto" w:fill="auto"/>
            <w:vAlign w:val="center"/>
          </w:tcPr>
          <w:p w14:paraId="03738308">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0.272 </w:t>
            </w:r>
          </w:p>
        </w:tc>
        <w:tc>
          <w:tcPr>
            <w:tcW w:w="330" w:type="pct"/>
            <w:shd w:val="clear" w:color="auto" w:fill="auto"/>
            <w:vAlign w:val="center"/>
          </w:tcPr>
          <w:p w14:paraId="7D82644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7DCFF13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54</w:t>
            </w:r>
          </w:p>
        </w:tc>
        <w:tc>
          <w:tcPr>
            <w:tcW w:w="588" w:type="dxa"/>
            <w:shd w:val="clear" w:color="auto" w:fill="auto"/>
            <w:vAlign w:val="center"/>
          </w:tcPr>
          <w:p w14:paraId="4E2BC8CE">
            <w:pPr>
              <w:keepNext w:val="0"/>
              <w:keepLines w:val="0"/>
              <w:widowControl/>
              <w:suppressLineNumbers w:val="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0.216 </w:t>
            </w:r>
          </w:p>
        </w:tc>
        <w:tc>
          <w:tcPr>
            <w:tcW w:w="280" w:type="pct"/>
            <w:shd w:val="clear" w:color="auto" w:fill="auto"/>
            <w:vAlign w:val="center"/>
          </w:tcPr>
          <w:p w14:paraId="45DB568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r w14:paraId="797E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284CCD6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含盐量</w:t>
            </w:r>
          </w:p>
        </w:tc>
        <w:tc>
          <w:tcPr>
            <w:tcW w:w="372" w:type="pct"/>
            <w:shd w:val="clear" w:color="auto" w:fill="auto"/>
            <w:vAlign w:val="center"/>
          </w:tcPr>
          <w:p w14:paraId="459B465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t>-</w:t>
            </w:r>
          </w:p>
        </w:tc>
        <w:tc>
          <w:tcPr>
            <w:tcW w:w="372" w:type="pct"/>
            <w:shd w:val="clear" w:color="auto" w:fill="auto"/>
            <w:noWrap/>
            <w:vAlign w:val="center"/>
          </w:tcPr>
          <w:p w14:paraId="0BBA55C7">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4.6</w:t>
            </w:r>
          </w:p>
        </w:tc>
        <w:tc>
          <w:tcPr>
            <w:tcW w:w="372" w:type="pct"/>
            <w:shd w:val="clear" w:color="auto" w:fill="auto"/>
            <w:vAlign w:val="center"/>
          </w:tcPr>
          <w:p w14:paraId="41F9E46B">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68EBE7A8">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中度盐化</w:t>
            </w:r>
          </w:p>
        </w:tc>
        <w:tc>
          <w:tcPr>
            <w:tcW w:w="337" w:type="pct"/>
            <w:shd w:val="clear" w:color="auto" w:fill="auto"/>
            <w:vAlign w:val="center"/>
          </w:tcPr>
          <w:p w14:paraId="34426633">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3.8</w:t>
            </w:r>
          </w:p>
        </w:tc>
        <w:tc>
          <w:tcPr>
            <w:tcW w:w="415" w:type="pct"/>
            <w:shd w:val="clear" w:color="auto" w:fill="auto"/>
            <w:vAlign w:val="center"/>
          </w:tcPr>
          <w:p w14:paraId="3F9A0D4D">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2615FB8D">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中度盐化</w:t>
            </w:r>
          </w:p>
        </w:tc>
        <w:tc>
          <w:tcPr>
            <w:tcW w:w="393" w:type="pct"/>
            <w:shd w:val="clear" w:color="auto" w:fill="auto"/>
            <w:vAlign w:val="center"/>
          </w:tcPr>
          <w:p w14:paraId="7F5A6B94">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7.4</w:t>
            </w:r>
          </w:p>
        </w:tc>
        <w:tc>
          <w:tcPr>
            <w:tcW w:w="457" w:type="pct"/>
            <w:shd w:val="clear" w:color="auto" w:fill="auto"/>
            <w:vAlign w:val="center"/>
          </w:tcPr>
          <w:p w14:paraId="2C0C9086">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330" w:type="pct"/>
            <w:shd w:val="clear" w:color="auto" w:fill="auto"/>
            <w:vAlign w:val="center"/>
          </w:tcPr>
          <w:p w14:paraId="50DF075C">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重度</w:t>
            </w: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盐化</w:t>
            </w:r>
          </w:p>
        </w:tc>
        <w:tc>
          <w:tcPr>
            <w:tcW w:w="372" w:type="pct"/>
            <w:shd w:val="clear" w:color="auto" w:fill="auto"/>
            <w:vAlign w:val="center"/>
          </w:tcPr>
          <w:p w14:paraId="6C31D4D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5.4</w:t>
            </w:r>
          </w:p>
        </w:tc>
        <w:tc>
          <w:tcPr>
            <w:tcW w:w="344" w:type="pct"/>
            <w:shd w:val="clear" w:color="auto" w:fill="auto"/>
            <w:vAlign w:val="center"/>
          </w:tcPr>
          <w:p w14:paraId="70E5DADF">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80" w:type="pct"/>
            <w:shd w:val="clear" w:color="auto" w:fill="auto"/>
            <w:vAlign w:val="center"/>
          </w:tcPr>
          <w:p w14:paraId="00802F41">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重度</w:t>
            </w: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盐化</w:t>
            </w:r>
          </w:p>
        </w:tc>
      </w:tr>
      <w:tr w14:paraId="5E52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357" w:type="pct"/>
            <w:shd w:val="clear" w:color="auto" w:fill="auto"/>
            <w:vAlign w:val="center"/>
          </w:tcPr>
          <w:p w14:paraId="4646CCA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石油烃</w:t>
            </w:r>
          </w:p>
        </w:tc>
        <w:tc>
          <w:tcPr>
            <w:tcW w:w="372" w:type="pct"/>
            <w:shd w:val="clear" w:color="auto" w:fill="auto"/>
            <w:vAlign w:val="center"/>
          </w:tcPr>
          <w:p w14:paraId="784CAE79">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4500</w:t>
            </w:r>
          </w:p>
        </w:tc>
        <w:tc>
          <w:tcPr>
            <w:tcW w:w="372" w:type="pct"/>
            <w:shd w:val="clear" w:color="auto" w:fill="auto"/>
            <w:noWrap/>
            <w:vAlign w:val="center"/>
          </w:tcPr>
          <w:p w14:paraId="23F7FC7D">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372" w:type="pct"/>
            <w:shd w:val="clear" w:color="auto" w:fill="auto"/>
            <w:vAlign w:val="center"/>
          </w:tcPr>
          <w:p w14:paraId="6AC9BCFA">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4C92666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37" w:type="pct"/>
            <w:shd w:val="clear" w:color="auto" w:fill="auto"/>
            <w:vAlign w:val="center"/>
          </w:tcPr>
          <w:p w14:paraId="0E23DA2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415" w:type="pct"/>
            <w:shd w:val="clear" w:color="auto" w:fill="auto"/>
            <w:vAlign w:val="center"/>
          </w:tcPr>
          <w:p w14:paraId="67C49DD6">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95" w:type="pct"/>
            <w:shd w:val="clear" w:color="auto" w:fill="auto"/>
            <w:vAlign w:val="center"/>
          </w:tcPr>
          <w:p w14:paraId="137AFBEB">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93" w:type="pct"/>
            <w:shd w:val="clear" w:color="auto" w:fill="auto"/>
            <w:vAlign w:val="center"/>
          </w:tcPr>
          <w:p w14:paraId="58A267D4">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457" w:type="pct"/>
            <w:shd w:val="clear" w:color="auto" w:fill="auto"/>
            <w:vAlign w:val="center"/>
          </w:tcPr>
          <w:p w14:paraId="1606504B">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330" w:type="pct"/>
            <w:shd w:val="clear" w:color="auto" w:fill="auto"/>
            <w:vAlign w:val="center"/>
          </w:tcPr>
          <w:p w14:paraId="61816982">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c>
          <w:tcPr>
            <w:tcW w:w="372" w:type="pct"/>
            <w:shd w:val="clear" w:color="auto" w:fill="auto"/>
            <w:vAlign w:val="center"/>
          </w:tcPr>
          <w:p w14:paraId="1F58914E">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未检出</w:t>
            </w:r>
          </w:p>
        </w:tc>
        <w:tc>
          <w:tcPr>
            <w:tcW w:w="344" w:type="pct"/>
            <w:shd w:val="clear" w:color="auto" w:fill="auto"/>
            <w:vAlign w:val="center"/>
          </w:tcPr>
          <w:p w14:paraId="1B18221D">
            <w:pPr>
              <w:keepNext w:val="0"/>
              <w:keepLines w:val="0"/>
              <w:pageBreakBefore w:val="0"/>
              <w:widowControl/>
              <w:suppressLineNumbers w:val="0"/>
              <w:kinsoku/>
              <w:wordWrap/>
              <w:topLinePunct w:val="0"/>
              <w:bidi w:val="0"/>
              <w:adjustRightInd/>
              <w:snapToGrid/>
              <w:ind w:firstLine="0" w:firstLineChars="0"/>
              <w:jc w:val="center"/>
              <w:textAlignment w:val="center"/>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w:t>
            </w:r>
          </w:p>
        </w:tc>
        <w:tc>
          <w:tcPr>
            <w:tcW w:w="280" w:type="pct"/>
            <w:shd w:val="clear" w:color="auto" w:fill="auto"/>
            <w:vAlign w:val="center"/>
          </w:tcPr>
          <w:p w14:paraId="6B2E8EF5">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z w:val="21"/>
                <w:szCs w:val="21"/>
                <w:highlight w:val="none"/>
                <w:lang w:val="en-US" w:eastAsia="zh-CN"/>
                <w14:textFill>
                  <w14:solidFill>
                    <w14:schemeClr w14:val="tx1"/>
                  </w14:solidFill>
                </w14:textFill>
              </w:rPr>
              <w:t>达标</w:t>
            </w:r>
          </w:p>
        </w:tc>
      </w:tr>
    </w:tbl>
    <w:p w14:paraId="2E051644">
      <w:pPr>
        <w:pStyle w:val="8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从评价结果可以看出，土壤中重金属元素含量相对较低，小于《土壤环境质量 农用地土壤污染风险管控标准（试行）》（GB156 18-2018）中“表.1农用地土壤污染风险筛选值（基本项目）”的pH&gt;7.5所列标准；土壤中石油烃含量</w:t>
      </w:r>
      <w:r>
        <w:rPr>
          <w:rFonts w:hint="eastAsia"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未检出</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，满足《土壤环境质量 建设用地土壤污染风险管控标准（试行）》（GB36600-2018）第二类用地风险筛选值要求</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bidi="ar"/>
          <w14:textFill>
            <w14:solidFill>
              <w14:schemeClr w14:val="tx1"/>
            </w14:solidFill>
          </w14:textFill>
        </w:rPr>
        <w:t>占地范围</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外</w:t>
      </w:r>
      <w:r>
        <w:rPr>
          <w:rFonts w:hint="default" w:ascii="Times New Roman" w:hAnsi="Times New Roman" w:eastAsia="宋体" w:cs="Times New Roman"/>
          <w:color w:val="000000" w:themeColor="text1"/>
          <w:highlight w:val="none"/>
          <w:lang w:bidi="ar"/>
          <w14:textFill>
            <w14:solidFill>
              <w14:schemeClr w14:val="tx1"/>
            </w14:solidFill>
          </w14:textFill>
        </w:rPr>
        <w:t>土壤属于</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中度</w:t>
      </w:r>
      <w:r>
        <w:rPr>
          <w:rFonts w:hint="default" w:ascii="Times New Roman" w:hAnsi="Times New Roman" w:eastAsia="宋体" w:cs="Times New Roman"/>
          <w:color w:val="000000" w:themeColor="text1"/>
          <w:highlight w:val="none"/>
          <w:lang w:bidi="ar"/>
          <w14:textFill>
            <w14:solidFill>
              <w14:schemeClr w14:val="tx1"/>
            </w14:solidFill>
          </w14:textFill>
        </w:rPr>
        <w:t>盐化</w:t>
      </w: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和重度盐化</w:t>
      </w:r>
      <w:r>
        <w:rPr>
          <w:rFonts w:hint="default" w:ascii="Times New Roman" w:hAnsi="Times New Roman" w:eastAsia="宋体" w:cs="Times New Roman"/>
          <w:color w:val="000000" w:themeColor="text1"/>
          <w:highlight w:val="none"/>
          <w:lang w:bidi="ar"/>
          <w14:textFill>
            <w14:solidFill>
              <w14:schemeClr w14:val="tx1"/>
            </w14:solidFill>
          </w14:textFill>
        </w:rPr>
        <w:t>，无酸化或碱化</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w:t>
      </w:r>
    </w:p>
    <w:p w14:paraId="0381D9E1">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890" w:name="_Toc24232"/>
      <w:r>
        <w:rPr>
          <w:rFonts w:hint="default" w:ascii="Times New Roman" w:hAnsi="Times New Roman" w:cs="Times New Roman"/>
          <w:color w:val="000000" w:themeColor="text1"/>
          <w:highlight w:val="none"/>
          <w14:textFill>
            <w14:solidFill>
              <w14:schemeClr w14:val="tx1"/>
            </w14:solidFill>
          </w14:textFill>
        </w:rPr>
        <w:t>4.</w:t>
      </w:r>
      <w:bookmarkStart w:id="891" w:name="_Toc75438895"/>
      <w:bookmarkStart w:id="892" w:name="_Toc31206"/>
      <w:bookmarkStart w:id="893" w:name="_Toc13474"/>
      <w:bookmarkStart w:id="894" w:name="_Toc75438894"/>
      <w:r>
        <w:rPr>
          <w:rFonts w:hint="eastAsia" w:ascii="Times New Roman" w:hAnsi="Times New Roman" w:cs="Times New Roman"/>
          <w:color w:val="000000" w:themeColor="text1"/>
          <w:highlight w:val="none"/>
          <w:lang w:val="en-US" w:eastAsia="zh-CN"/>
          <w14:textFill>
            <w14:solidFill>
              <w14:schemeClr w14:val="tx1"/>
            </w14:solidFill>
          </w14:textFill>
        </w:rPr>
        <w:t>6</w:t>
      </w:r>
      <w:bookmarkEnd w:id="891"/>
      <w:bookmarkEnd w:id="892"/>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大气环境现状调查与评价</w:t>
      </w:r>
      <w:bookmarkEnd w:id="890"/>
    </w:p>
    <w:p w14:paraId="449E0967">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8"/>
          <w:szCs w:val="28"/>
          <w:highlight w:val="none"/>
          <w14:textFill>
            <w14:solidFill>
              <w14:schemeClr w14:val="tx1"/>
            </w14:solidFill>
          </w14:textFill>
        </w:rPr>
      </w:pPr>
      <w:bookmarkStart w:id="895" w:name="_Toc10290"/>
      <w:bookmarkStart w:id="896" w:name="_Toc25540"/>
      <w:bookmarkStart w:id="897" w:name="_Toc23959"/>
      <w:bookmarkStart w:id="898" w:name="_Hlk48604214"/>
      <w:r>
        <w:rPr>
          <w:rFonts w:hint="default" w:ascii="Times New Roman" w:hAnsi="Times New Roman" w:cs="Times New Roman"/>
          <w:color w:val="000000" w:themeColor="text1"/>
          <w:sz w:val="28"/>
          <w:szCs w:val="28"/>
          <w:highlight w:val="none"/>
          <w14:textFill>
            <w14:solidFill>
              <w14:schemeClr w14:val="tx1"/>
            </w14:solidFill>
          </w14:textFill>
        </w:rPr>
        <w:t>4.</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cs="Times New Roman"/>
          <w:color w:val="000000" w:themeColor="text1"/>
          <w:sz w:val="28"/>
          <w:szCs w:val="28"/>
          <w:highlight w:val="none"/>
          <w14:textFill>
            <w14:solidFill>
              <w14:schemeClr w14:val="tx1"/>
            </w14:solidFill>
          </w14:textFill>
        </w:rPr>
        <w:t>.1</w:t>
      </w:r>
      <w:bookmarkEnd w:id="895"/>
      <w:bookmarkEnd w:id="896"/>
      <w:bookmarkEnd w:id="897"/>
      <w:r>
        <w:rPr>
          <w:rFonts w:hint="default" w:ascii="Times New Roman" w:hAnsi="Times New Roman" w:cs="Times New Roman"/>
          <w:color w:val="000000" w:themeColor="text1"/>
          <w:sz w:val="28"/>
          <w:szCs w:val="28"/>
          <w:highlight w:val="none"/>
          <w14:textFill>
            <w14:solidFill>
              <w14:schemeClr w14:val="tx1"/>
            </w14:solidFill>
          </w14:textFill>
        </w:rPr>
        <w:t>基本污染物环境质量现状调查</w:t>
      </w:r>
    </w:p>
    <w:p w14:paraId="4B23287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地处阿克苏地区</w:t>
      </w:r>
      <w:bookmarkStart w:id="899" w:name="OLE_LINK596"/>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新和县</w:t>
      </w:r>
      <w:bookmarkEnd w:id="899"/>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bookmarkStart w:id="900" w:name="OLE_LINK602"/>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901" w:name="OLE_LINK594"/>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环境影响评价技术导则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大气环境</w:t>
      </w:r>
      <w:bookmarkEnd w:id="901"/>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bookmarkStart w:id="902" w:name="OLE_LINK595"/>
      <w:r>
        <w:rPr>
          <w:rFonts w:hint="default" w:ascii="Times New Roman" w:hAnsi="Times New Roman" w:eastAsia="宋体" w:cs="Times New Roman"/>
          <w:color w:val="000000" w:themeColor="text1"/>
          <w:sz w:val="24"/>
          <w:szCs w:val="24"/>
          <w:highlight w:val="none"/>
          <w14:textFill>
            <w14:solidFill>
              <w14:schemeClr w14:val="tx1"/>
            </w14:solidFill>
          </w14:textFill>
        </w:rPr>
        <w:t>HJ</w:t>
      </w:r>
      <w:bookmarkEnd w:id="902"/>
      <w:r>
        <w:rPr>
          <w:rFonts w:hint="default" w:ascii="Times New Roman" w:hAnsi="Times New Roman" w:eastAsia="宋体" w:cs="Times New Roman"/>
          <w:color w:val="000000" w:themeColor="text1"/>
          <w:sz w:val="24"/>
          <w:szCs w:val="24"/>
          <w:highlight w:val="none"/>
          <w14:textFill>
            <w14:solidFill>
              <w14:schemeClr w14:val="tx1"/>
            </w14:solidFill>
          </w14:textFill>
        </w:rPr>
        <w:t>2.2-2018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bookmarkEnd w:id="900"/>
      <w:r>
        <w:rPr>
          <w:rFonts w:hint="default" w:ascii="Times New Roman" w:hAnsi="Times New Roman" w:eastAsia="宋体" w:cs="Times New Roman"/>
          <w:color w:val="000000" w:themeColor="text1"/>
          <w:sz w:val="24"/>
          <w:szCs w:val="24"/>
          <w:highlight w:val="none"/>
          <w14:textFill>
            <w14:solidFill>
              <w14:schemeClr w14:val="tx1"/>
            </w14:solidFill>
          </w14:textFill>
        </w:rPr>
        <w:t>对环境质量现状数据的要求，</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空气质量现状主要指标包括：细颗粒物（PM</w:t>
      </w:r>
      <w:r>
        <w:rPr>
          <w:rFonts w:hint="default" w:ascii="Times New Roman" w:hAnsi="Times New Roman" w:eastAsia="宋体" w:cs="Times New Roman"/>
          <w:bCs/>
          <w:color w:val="000000" w:themeColor="text1"/>
          <w:highlight w:val="none"/>
          <w:vertAlign w:val="subscript"/>
          <w:lang w:val="en-US" w:eastAsia="zh-CN"/>
          <w14:textFill>
            <w14:solidFill>
              <w14:schemeClr w14:val="tx1"/>
            </w14:solidFill>
          </w14:textFill>
        </w:rPr>
        <w:t>2.5</w:t>
      </w:r>
      <w:r>
        <w:rPr>
          <w:rFonts w:hint="default" w:ascii="Times New Roman" w:hAnsi="Times New Roman" w:eastAsia="宋体" w:cs="Times New Roman"/>
          <w:bCs/>
          <w:color w:val="000000" w:themeColor="text1"/>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二氧化硫（SO</w:t>
      </w:r>
      <w:r>
        <w:rPr>
          <w:rFonts w:hint="default" w:ascii="Times New Roman" w:hAnsi="Times New Roman" w:eastAsia="宋体" w:cs="Times New Roman"/>
          <w:bCs/>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）、二氧化氮（NO</w:t>
      </w:r>
      <w:r>
        <w:rPr>
          <w:rFonts w:hint="default" w:ascii="Times New Roman" w:hAnsi="Times New Roman" w:eastAsia="宋体" w:cs="Times New Roman"/>
          <w:bCs/>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）、可吸入颗粒物（PM</w:t>
      </w:r>
      <w:r>
        <w:rPr>
          <w:rFonts w:hint="default" w:ascii="Times New Roman" w:hAnsi="Times New Roman" w:eastAsia="宋体" w:cs="Times New Roman"/>
          <w:bCs/>
          <w:color w:val="000000" w:themeColor="text1"/>
          <w:highlight w:val="none"/>
          <w:vertAlign w:val="subscript"/>
          <w:lang w:val="en-US" w:eastAsia="zh-CN"/>
          <w14:textFill>
            <w14:solidFill>
              <w14:schemeClr w14:val="tx1"/>
            </w14:solidFill>
          </w14:textFill>
        </w:rPr>
        <w:t>10</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）、一氧化碳（CO）、臭氧（O</w:t>
      </w:r>
      <w:r>
        <w:rPr>
          <w:rFonts w:hint="default" w:ascii="Times New Roman" w:hAnsi="Times New Roman" w:eastAsia="宋体" w:cs="Times New Roman"/>
          <w:bCs/>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B072C03">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本次评价采用阿克苏地区行政公署发布的《202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bookmarkStart w:id="903" w:name="OLE_LINK597"/>
      <w:r>
        <w:rPr>
          <w:rFonts w:hint="default" w:ascii="Times New Roman" w:hAnsi="Times New Roman" w:eastAsia="宋体" w:cs="Times New Roman"/>
          <w:color w:val="000000" w:themeColor="text1"/>
          <w:sz w:val="24"/>
          <w:szCs w:val="24"/>
          <w:highlight w:val="none"/>
          <w14:textFill>
            <w14:solidFill>
              <w14:schemeClr w14:val="tx1"/>
            </w14:solidFill>
          </w14:textFill>
        </w:rPr>
        <w:t>阿克苏地区</w:t>
      </w:r>
      <w:bookmarkEnd w:id="903"/>
      <w:bookmarkStart w:id="904" w:name="OLE_LINK598"/>
      <w:r>
        <w:rPr>
          <w:rFonts w:hint="default" w:ascii="Times New Roman" w:hAnsi="Times New Roman" w:eastAsia="宋体" w:cs="Times New Roman"/>
          <w:color w:val="000000" w:themeColor="text1"/>
          <w:sz w:val="24"/>
          <w:szCs w:val="24"/>
          <w:highlight w:val="none"/>
          <w14:textFill>
            <w14:solidFill>
              <w14:schemeClr w14:val="tx1"/>
            </w14:solidFill>
          </w14:textFill>
        </w:rPr>
        <w:t>各县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环境空气质量状况公示</w:t>
      </w:r>
      <w:bookmarkEnd w:id="904"/>
      <w:r>
        <w:rPr>
          <w:rFonts w:hint="default" w:ascii="Times New Roman" w:hAnsi="Times New Roman" w:eastAsia="宋体" w:cs="Times New Roman"/>
          <w:color w:val="000000" w:themeColor="text1"/>
          <w:sz w:val="24"/>
          <w:szCs w:val="24"/>
          <w:highlight w:val="none"/>
          <w14:textFill>
            <w14:solidFill>
              <w14:schemeClr w14:val="tx1"/>
            </w14:solidFill>
          </w14:textFill>
        </w:rPr>
        <w:t>报告》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新和县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的监测数据，</w:t>
      </w:r>
      <w:r>
        <w:rPr>
          <w:rFonts w:hint="default" w:ascii="Times New Roman" w:hAnsi="Times New Roman" w:eastAsia="宋体" w:cs="Times New Roman"/>
          <w:color w:val="000000" w:themeColor="text1"/>
          <w:sz w:val="24"/>
          <w:szCs w:val="24"/>
          <w:highlight w:val="none"/>
          <w14:textFill>
            <w14:solidFill>
              <w14:schemeClr w14:val="tx1"/>
            </w14:solidFill>
          </w14:textFill>
        </w:rPr>
        <w:t>作为环境空气现状评价基本污染物SO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、CO、O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和PM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的数据来源。空气质量达标区判定结果见表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4.6-1。</w:t>
      </w:r>
    </w:p>
    <w:p w14:paraId="348A903A">
      <w:pPr>
        <w:spacing w:line="240" w:lineRule="auto"/>
        <w:ind w:firstLine="0" w:firstLineChars="0"/>
        <w:jc w:val="cente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pPr>
      <w:bookmarkStart w:id="905" w:name="OLE_LINK599"/>
      <w: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t>表4.</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t>-1</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新和县基本污染物环境空气质量现状评价一览表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2495"/>
        <w:gridCol w:w="1214"/>
        <w:gridCol w:w="1214"/>
        <w:gridCol w:w="1173"/>
        <w:gridCol w:w="1213"/>
      </w:tblGrid>
      <w:tr w14:paraId="4FE8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restart"/>
            <w:noWrap w:val="0"/>
            <w:vAlign w:val="center"/>
          </w:tcPr>
          <w:p w14:paraId="07731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评价因子</w:t>
            </w:r>
          </w:p>
        </w:tc>
        <w:tc>
          <w:tcPr>
            <w:tcW w:w="1463" w:type="pct"/>
            <w:vMerge w:val="restart"/>
            <w:noWrap w:val="0"/>
            <w:vAlign w:val="center"/>
          </w:tcPr>
          <w:p w14:paraId="4750DB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年评价指标</w:t>
            </w:r>
          </w:p>
        </w:tc>
        <w:tc>
          <w:tcPr>
            <w:tcW w:w="712" w:type="pct"/>
            <w:noWrap w:val="0"/>
            <w:vAlign w:val="center"/>
          </w:tcPr>
          <w:p w14:paraId="27284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现状浓度</w:t>
            </w:r>
          </w:p>
        </w:tc>
        <w:tc>
          <w:tcPr>
            <w:tcW w:w="712" w:type="pct"/>
            <w:noWrap w:val="0"/>
            <w:vAlign w:val="center"/>
          </w:tcPr>
          <w:p w14:paraId="2AA29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标准限值</w:t>
            </w:r>
          </w:p>
        </w:tc>
        <w:tc>
          <w:tcPr>
            <w:tcW w:w="688" w:type="pct"/>
            <w:vMerge w:val="restart"/>
            <w:noWrap w:val="0"/>
            <w:vAlign w:val="center"/>
          </w:tcPr>
          <w:p w14:paraId="32F30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占标率%</w:t>
            </w:r>
          </w:p>
        </w:tc>
        <w:tc>
          <w:tcPr>
            <w:tcW w:w="711" w:type="pct"/>
            <w:vMerge w:val="restart"/>
            <w:noWrap w:val="0"/>
            <w:vAlign w:val="center"/>
          </w:tcPr>
          <w:p w14:paraId="07C5F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达标情况</w:t>
            </w:r>
          </w:p>
        </w:tc>
      </w:tr>
      <w:tr w14:paraId="3CE0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continue"/>
            <w:noWrap w:val="0"/>
            <w:vAlign w:val="center"/>
          </w:tcPr>
          <w:p w14:paraId="38B15C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p>
        </w:tc>
        <w:tc>
          <w:tcPr>
            <w:tcW w:w="1463" w:type="pct"/>
            <w:vMerge w:val="continue"/>
            <w:noWrap w:val="0"/>
            <w:vAlign w:val="center"/>
          </w:tcPr>
          <w:p w14:paraId="18122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p>
        </w:tc>
        <w:tc>
          <w:tcPr>
            <w:tcW w:w="712" w:type="pct"/>
            <w:noWrap w:val="0"/>
            <w:vAlign w:val="center"/>
          </w:tcPr>
          <w:p w14:paraId="5E862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μg/</w:t>
            </w:r>
            <w:r>
              <w:rPr>
                <w:rFonts w:hint="default" w:ascii="Times New Roman" w:hAnsi="Times New Roman" w:eastAsia="宋体" w:cs="Times New Roman"/>
                <w:b w:val="0"/>
                <w:bCs w:val="0"/>
                <w:color w:val="000000" w:themeColor="text1"/>
                <w:sz w:val="21"/>
                <w:szCs w:val="21"/>
                <w:highlight w:val="none"/>
                <w:lang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eastAsia="zh-CN" w:bidi="ar"/>
                <w14:textFill>
                  <w14:solidFill>
                    <w14:schemeClr w14:val="tx1"/>
                  </w14:solidFill>
                </w14:textFill>
              </w:rPr>
              <w:t>3</w:t>
            </w:r>
          </w:p>
        </w:tc>
        <w:tc>
          <w:tcPr>
            <w:tcW w:w="712" w:type="pct"/>
            <w:noWrap w:val="0"/>
            <w:vAlign w:val="center"/>
          </w:tcPr>
          <w:p w14:paraId="3F7916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μg/</w:t>
            </w:r>
            <w:r>
              <w:rPr>
                <w:rFonts w:hint="default" w:ascii="Times New Roman" w:hAnsi="Times New Roman" w:eastAsia="宋体" w:cs="Times New Roman"/>
                <w:b w:val="0"/>
                <w:bCs w:val="0"/>
                <w:color w:val="000000" w:themeColor="text1"/>
                <w:sz w:val="21"/>
                <w:szCs w:val="21"/>
                <w:highlight w:val="none"/>
                <w:lang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eastAsia="zh-CN" w:bidi="ar"/>
                <w14:textFill>
                  <w14:solidFill>
                    <w14:schemeClr w14:val="tx1"/>
                  </w14:solidFill>
                </w14:textFill>
              </w:rPr>
              <w:t>3</w:t>
            </w:r>
          </w:p>
        </w:tc>
        <w:tc>
          <w:tcPr>
            <w:tcW w:w="688" w:type="pct"/>
            <w:vMerge w:val="continue"/>
            <w:noWrap w:val="0"/>
            <w:vAlign w:val="center"/>
          </w:tcPr>
          <w:p w14:paraId="044A4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p>
        </w:tc>
        <w:tc>
          <w:tcPr>
            <w:tcW w:w="711" w:type="pct"/>
            <w:vMerge w:val="continue"/>
            <w:noWrap w:val="0"/>
            <w:vAlign w:val="center"/>
          </w:tcPr>
          <w:p w14:paraId="40F66A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p>
        </w:tc>
      </w:tr>
      <w:tr w14:paraId="1492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7D390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bookmarkStart w:id="906" w:name="OLE_LINK600" w:colFirst="2" w:colLast="2"/>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SO</w:t>
            </w:r>
            <w:r>
              <w:rPr>
                <w:rFonts w:hint="default" w:ascii="Times New Roman" w:hAnsi="Times New Roman" w:eastAsia="宋体" w:cs="Times New Roman"/>
                <w:b w:val="0"/>
                <w:bCs w:val="0"/>
                <w:color w:val="000000" w:themeColor="text1"/>
                <w:sz w:val="21"/>
                <w:szCs w:val="21"/>
                <w:highlight w:val="none"/>
                <w:vertAlign w:val="subscript"/>
                <w:lang w:bidi="ar"/>
                <w14:textFill>
                  <w14:solidFill>
                    <w14:schemeClr w14:val="tx1"/>
                  </w14:solidFill>
                </w14:textFill>
              </w:rPr>
              <w:t>2</w:t>
            </w:r>
          </w:p>
        </w:tc>
        <w:tc>
          <w:tcPr>
            <w:tcW w:w="1463" w:type="pct"/>
            <w:noWrap w:val="0"/>
            <w:vAlign w:val="center"/>
          </w:tcPr>
          <w:p w14:paraId="15329F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年平均</w:t>
            </w:r>
          </w:p>
        </w:tc>
        <w:tc>
          <w:tcPr>
            <w:tcW w:w="712" w:type="pct"/>
            <w:noWrap w:val="0"/>
            <w:vAlign w:val="center"/>
          </w:tcPr>
          <w:p w14:paraId="1CFC1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lang w:val="en-US" w:eastAsia="zh-CN" w:bidi="ar"/>
                <w14:textFill>
                  <w14:solidFill>
                    <w14:schemeClr w14:val="tx1"/>
                  </w14:solidFill>
                </w14:textFill>
              </w:rPr>
              <w:t>5</w:t>
            </w:r>
          </w:p>
        </w:tc>
        <w:tc>
          <w:tcPr>
            <w:tcW w:w="712" w:type="pct"/>
            <w:noWrap w:val="0"/>
            <w:vAlign w:val="center"/>
          </w:tcPr>
          <w:p w14:paraId="4BA09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60</w:t>
            </w:r>
          </w:p>
        </w:tc>
        <w:tc>
          <w:tcPr>
            <w:tcW w:w="1173" w:type="dxa"/>
            <w:noWrap w:val="0"/>
            <w:vAlign w:val="center"/>
          </w:tcPr>
          <w:p w14:paraId="35EB43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8.33 </w:t>
            </w:r>
          </w:p>
        </w:tc>
        <w:tc>
          <w:tcPr>
            <w:tcW w:w="711" w:type="pct"/>
            <w:noWrap w:val="0"/>
            <w:vAlign w:val="center"/>
          </w:tcPr>
          <w:p w14:paraId="0AE33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达标</w:t>
            </w:r>
          </w:p>
        </w:tc>
      </w:tr>
      <w:tr w14:paraId="5B26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786217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463" w:type="pct"/>
            <w:noWrap w:val="0"/>
            <w:vAlign w:val="center"/>
          </w:tcPr>
          <w:p w14:paraId="248707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712" w:type="pct"/>
            <w:noWrap w:val="0"/>
            <w:vAlign w:val="center"/>
          </w:tcPr>
          <w:p w14:paraId="00FB31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25</w:t>
            </w:r>
          </w:p>
        </w:tc>
        <w:tc>
          <w:tcPr>
            <w:tcW w:w="712" w:type="pct"/>
            <w:noWrap w:val="0"/>
            <w:vAlign w:val="center"/>
          </w:tcPr>
          <w:p w14:paraId="44ACB0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173" w:type="dxa"/>
            <w:noWrap w:val="0"/>
            <w:vAlign w:val="center"/>
          </w:tcPr>
          <w:p w14:paraId="7F2952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62.50 </w:t>
            </w:r>
          </w:p>
        </w:tc>
        <w:tc>
          <w:tcPr>
            <w:tcW w:w="711" w:type="pct"/>
            <w:noWrap w:val="0"/>
            <w:vAlign w:val="center"/>
          </w:tcPr>
          <w:p w14:paraId="08E195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BD3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2E62F3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463" w:type="pct"/>
            <w:noWrap w:val="0"/>
            <w:vAlign w:val="center"/>
          </w:tcPr>
          <w:p w14:paraId="2AFF26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第95百分位数日平均</w:t>
            </w:r>
          </w:p>
        </w:tc>
        <w:tc>
          <w:tcPr>
            <w:tcW w:w="712" w:type="pct"/>
            <w:noWrap w:val="0"/>
            <w:vAlign w:val="center"/>
          </w:tcPr>
          <w:p w14:paraId="11FD0D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712" w:type="pct"/>
            <w:noWrap w:val="0"/>
            <w:vAlign w:val="center"/>
          </w:tcPr>
          <w:p w14:paraId="0BCF68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1173" w:type="dxa"/>
            <w:noWrap w:val="0"/>
            <w:vAlign w:val="center"/>
          </w:tcPr>
          <w:p w14:paraId="42D8A5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20.00 </w:t>
            </w:r>
          </w:p>
        </w:tc>
        <w:tc>
          <w:tcPr>
            <w:tcW w:w="711" w:type="pct"/>
            <w:noWrap w:val="0"/>
            <w:vAlign w:val="center"/>
          </w:tcPr>
          <w:p w14:paraId="354F7A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90F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5AC481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463" w:type="pct"/>
            <w:noWrap w:val="0"/>
            <w:vAlign w:val="center"/>
          </w:tcPr>
          <w:p w14:paraId="73F3F6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第90百分位数日平均</w:t>
            </w:r>
          </w:p>
        </w:tc>
        <w:tc>
          <w:tcPr>
            <w:tcW w:w="712" w:type="pct"/>
            <w:noWrap w:val="0"/>
            <w:vAlign w:val="center"/>
          </w:tcPr>
          <w:p w14:paraId="487EC0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100</w:t>
            </w:r>
          </w:p>
        </w:tc>
        <w:tc>
          <w:tcPr>
            <w:tcW w:w="712" w:type="pct"/>
            <w:noWrap w:val="0"/>
            <w:vAlign w:val="center"/>
          </w:tcPr>
          <w:p w14:paraId="4C3D71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1173" w:type="dxa"/>
            <w:noWrap w:val="0"/>
            <w:vAlign w:val="center"/>
          </w:tcPr>
          <w:p w14:paraId="160C2B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62.50 </w:t>
            </w:r>
          </w:p>
        </w:tc>
        <w:tc>
          <w:tcPr>
            <w:tcW w:w="711" w:type="pct"/>
            <w:noWrap w:val="0"/>
            <w:vAlign w:val="center"/>
          </w:tcPr>
          <w:p w14:paraId="065D69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6A4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54E7DB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1463" w:type="pct"/>
            <w:noWrap w:val="0"/>
            <w:vAlign w:val="center"/>
          </w:tcPr>
          <w:p w14:paraId="2F0BC2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712" w:type="pct"/>
            <w:noWrap w:val="0"/>
            <w:vAlign w:val="center"/>
          </w:tcPr>
          <w:p w14:paraId="7C50E3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54</w:t>
            </w:r>
          </w:p>
        </w:tc>
        <w:tc>
          <w:tcPr>
            <w:tcW w:w="712" w:type="pct"/>
            <w:noWrap w:val="0"/>
            <w:vAlign w:val="center"/>
          </w:tcPr>
          <w:p w14:paraId="74A4C4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173" w:type="dxa"/>
            <w:noWrap w:val="0"/>
            <w:vAlign w:val="center"/>
          </w:tcPr>
          <w:p w14:paraId="4E570B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154.29 </w:t>
            </w:r>
          </w:p>
        </w:tc>
        <w:tc>
          <w:tcPr>
            <w:tcW w:w="711" w:type="pct"/>
            <w:noWrap w:val="0"/>
            <w:vAlign w:val="center"/>
          </w:tcPr>
          <w:p w14:paraId="1D660F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超标</w:t>
            </w:r>
          </w:p>
        </w:tc>
      </w:tr>
      <w:tr w14:paraId="6F0B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0F3642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463" w:type="pct"/>
            <w:noWrap w:val="0"/>
            <w:vAlign w:val="center"/>
          </w:tcPr>
          <w:p w14:paraId="44A125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712" w:type="pct"/>
            <w:noWrap w:val="0"/>
            <w:vAlign w:val="center"/>
          </w:tcPr>
          <w:p w14:paraId="414629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219</w:t>
            </w:r>
          </w:p>
        </w:tc>
        <w:tc>
          <w:tcPr>
            <w:tcW w:w="712" w:type="pct"/>
            <w:noWrap w:val="0"/>
            <w:vAlign w:val="center"/>
          </w:tcPr>
          <w:p w14:paraId="5A6132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1173" w:type="dxa"/>
            <w:noWrap w:val="0"/>
            <w:vAlign w:val="center"/>
          </w:tcPr>
          <w:p w14:paraId="50F84C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312.86 </w:t>
            </w:r>
          </w:p>
        </w:tc>
        <w:tc>
          <w:tcPr>
            <w:tcW w:w="711" w:type="pct"/>
            <w:noWrap w:val="0"/>
            <w:vAlign w:val="center"/>
          </w:tcPr>
          <w:p w14:paraId="766844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超标</w:t>
            </w:r>
          </w:p>
        </w:tc>
      </w:tr>
      <w:bookmarkEnd w:id="905"/>
      <w:bookmarkEnd w:id="906"/>
    </w:tbl>
    <w:p w14:paraId="6685FBE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由上表可知：202</w:t>
      </w:r>
      <w:r>
        <w:rPr>
          <w:rFonts w:hint="default"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w:t>
      </w:r>
      <w:r>
        <w:rPr>
          <w:rFonts w:hint="eastAsia" w:eastAsia="宋体" w:cs="Times New Roman"/>
          <w:bCs/>
          <w:color w:val="000000" w:themeColor="text1"/>
          <w:sz w:val="24"/>
          <w:highlight w:val="none"/>
          <w:lang w:val="en-US" w:eastAsia="zh-CN"/>
          <w14:textFill>
            <w14:solidFill>
              <w14:schemeClr w14:val="tx1"/>
            </w14:solidFill>
          </w14:textFill>
        </w:rPr>
        <w:t>本工程</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所在地</w:t>
      </w:r>
      <w:r>
        <w:rPr>
          <w:rFonts w:hint="eastAsia" w:eastAsia="宋体" w:cs="Times New Roman"/>
          <w:bCs/>
          <w:color w:val="000000" w:themeColor="text1"/>
          <w:sz w:val="24"/>
          <w:highlight w:val="none"/>
          <w:lang w:val="en-US" w:eastAsia="zh-CN"/>
          <w14:textFill>
            <w14:solidFill>
              <w14:schemeClr w14:val="tx1"/>
            </w14:solidFill>
          </w14:textFill>
        </w:rPr>
        <w:t>新和县</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S</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O</w:t>
      </w:r>
      <w:r>
        <w:rPr>
          <w:rFonts w:hint="default" w:ascii="Times New Roman" w:hAnsi="Times New Roman" w:eastAsia="宋体" w:cs="Times New Roman"/>
          <w:bCs/>
          <w:color w:val="000000" w:themeColor="text1"/>
          <w:sz w:val="24"/>
          <w:highlight w:val="none"/>
          <w:vertAlign w:val="subscript"/>
          <w:lang w:eastAsia="zh-CN"/>
          <w14:textFill>
            <w14:solidFill>
              <w14:schemeClr w14:val="tx1"/>
            </w14:solidFill>
          </w14:textFill>
        </w:rPr>
        <w:t>2</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、NO</w:t>
      </w:r>
      <w:r>
        <w:rPr>
          <w:rFonts w:hint="default" w:ascii="Times New Roman" w:hAnsi="Times New Roman" w:eastAsia="宋体" w:cs="Times New Roman"/>
          <w:bCs/>
          <w:color w:val="000000" w:themeColor="text1"/>
          <w:sz w:val="24"/>
          <w:highlight w:val="none"/>
          <w:vertAlign w:val="subscript"/>
          <w:lang w:eastAsia="zh-CN"/>
          <w14:textFill>
            <w14:solidFill>
              <w14:schemeClr w14:val="tx1"/>
            </w14:solidFill>
          </w14:textFill>
        </w:rPr>
        <w:t>2</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年平均浓度及CO、O</w:t>
      </w:r>
      <w:r>
        <w:rPr>
          <w:rFonts w:hint="default" w:ascii="Times New Roman" w:hAnsi="Times New Roman" w:eastAsia="宋体" w:cs="Times New Roman"/>
          <w:bCs/>
          <w:color w:val="000000" w:themeColor="text1"/>
          <w:sz w:val="24"/>
          <w:highlight w:val="none"/>
          <w:vertAlign w:val="subscript"/>
          <w:lang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日平均浓度均满足《环境空气质量标准》</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GB3095-2012</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的二级标准要求；P</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highlight w:val="none"/>
          <w:vertAlign w:val="subscript"/>
          <w:lang w:eastAsia="zh-CN"/>
          <w14:textFill>
            <w14:solidFill>
              <w14:schemeClr w14:val="tx1"/>
            </w14:solidFill>
          </w14:textFill>
        </w:rPr>
        <w:t>2.5</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、PM</w:t>
      </w:r>
      <w:r>
        <w:rPr>
          <w:rFonts w:hint="default" w:ascii="Times New Roman" w:hAnsi="Times New Roman" w:eastAsia="宋体" w:cs="Times New Roman"/>
          <w:bCs/>
          <w:color w:val="000000" w:themeColor="text1"/>
          <w:sz w:val="24"/>
          <w:highlight w:val="none"/>
          <w:vertAlign w:val="subscript"/>
          <w:lang w:eastAsia="zh-CN"/>
          <w14:textFill>
            <w14:solidFill>
              <w14:schemeClr w14:val="tx1"/>
            </w14:solidFill>
          </w14:textFill>
        </w:rPr>
        <w:t>10</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年浓度超过《环境空气质量标准》</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GB3095-2012</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中二级标准限值要求，超标主要是由于当地气候条件干燥、自然扬尘较多</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。根据《环境影响评价技术导则 大气环境》</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HJ2.2-2018</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区域达标判断标准，</w:t>
      </w:r>
      <w:r>
        <w:rPr>
          <w:rFonts w:hint="default" w:ascii="Times New Roman" w:hAnsi="Times New Roman" w:cs="Times New Roman"/>
          <w:color w:val="000000" w:themeColor="text1"/>
          <w:highlight w:val="none"/>
          <w:lang w:eastAsia="zh-CN" w:bidi="ar"/>
          <w14:textFill>
            <w14:solidFill>
              <w14:schemeClr w14:val="tx1"/>
            </w14:solidFill>
          </w14:textFill>
        </w:rPr>
        <w:t>本工程</w:t>
      </w:r>
      <w:r>
        <w:rPr>
          <w:rFonts w:hint="default" w:ascii="Times New Roman" w:hAnsi="Times New Roman" w:eastAsia="宋体" w:cs="Times New Roman"/>
          <w:color w:val="000000" w:themeColor="text1"/>
          <w:highlight w:val="none"/>
          <w:lang w:bidi="ar"/>
          <w14:textFill>
            <w14:solidFill>
              <w14:schemeClr w14:val="tx1"/>
            </w14:solidFill>
          </w14:textFill>
        </w:rPr>
        <w:t>所在区域</w:t>
      </w:r>
      <w:r>
        <w:rPr>
          <w:rFonts w:hint="default" w:ascii="Times New Roman" w:hAnsi="Times New Roman" w:cs="Times New Roman"/>
          <w:color w:val="000000" w:themeColor="text1"/>
          <w:sz w:val="24"/>
          <w:szCs w:val="24"/>
          <w:highlight w:val="none"/>
          <w14:textFill>
            <w14:solidFill>
              <w14:schemeClr w14:val="tx1"/>
            </w14:solidFill>
          </w14:textFill>
        </w:rPr>
        <w:t>环境空气质量</w:t>
      </w:r>
      <w:r>
        <w:rPr>
          <w:rFonts w:hint="default" w:ascii="Times New Roman" w:hAnsi="Times New Roman" w:eastAsia="宋体" w:cs="Times New Roman"/>
          <w:color w:val="000000" w:themeColor="text1"/>
          <w:highlight w:val="none"/>
          <w:lang w:bidi="ar"/>
          <w14:textFill>
            <w14:solidFill>
              <w14:schemeClr w14:val="tx1"/>
            </w14:solidFill>
          </w14:textFill>
        </w:rPr>
        <w:t>属于不达标区。</w:t>
      </w:r>
    </w:p>
    <w:bookmarkEnd w:id="898"/>
    <w:p w14:paraId="7F89759F">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pPr>
      <w:bookmarkStart w:id="907" w:name="_Toc32493"/>
      <w:bookmarkStart w:id="908" w:name="_Toc28455"/>
      <w:bookmarkStart w:id="909" w:name="_Toc14451"/>
      <w:r>
        <w:rPr>
          <w:rFonts w:hint="default" w:ascii="Times New Roman" w:hAnsi="Times New Roman" w:cs="Times New Roman"/>
          <w:color w:val="000000" w:themeColor="text1"/>
          <w:sz w:val="28"/>
          <w:szCs w:val="28"/>
          <w:highlight w:val="none"/>
          <w14:textFill>
            <w14:solidFill>
              <w14:schemeClr w14:val="tx1"/>
            </w14:solidFill>
          </w14:textFill>
        </w:rPr>
        <w:t>4.</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.2</w:t>
      </w:r>
      <w:bookmarkEnd w:id="907"/>
      <w:bookmarkEnd w:id="908"/>
      <w:bookmarkEnd w:id="909"/>
      <w:r>
        <w:rPr>
          <w:rFonts w:hint="default" w:ascii="Times New Roman" w:hAnsi="Times New Roman" w:eastAsia="宋体" w:cs="Times New Roman"/>
          <w:color w:val="000000" w:themeColor="text1"/>
          <w:sz w:val="28"/>
          <w:szCs w:val="28"/>
          <w:highlight w:val="none"/>
          <w14:textFill>
            <w14:solidFill>
              <w14:schemeClr w14:val="tx1"/>
            </w14:solidFill>
          </w14:textFill>
        </w:rPr>
        <w:t>特征污染物环境质量现状评价</w:t>
      </w:r>
    </w:p>
    <w:bookmarkEnd w:id="893"/>
    <w:bookmarkEnd w:id="894"/>
    <w:p w14:paraId="272B3CB5">
      <w:pPr>
        <w:pStyle w:val="11"/>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调查方法</w:t>
      </w:r>
    </w:p>
    <w:p w14:paraId="31707152">
      <w:pPr>
        <w:pStyle w:val="11"/>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大气</w:t>
      </w:r>
      <w:r>
        <w:rPr>
          <w:rFonts w:hint="default" w:ascii="Times New Roman" w:hAnsi="Times New Roman" w:cs="Times New Roman"/>
          <w:color w:val="000000" w:themeColor="text1"/>
          <w:sz w:val="24"/>
          <w:szCs w:val="24"/>
          <w:highlight w:val="none"/>
          <w14:textFill>
            <w14:solidFill>
              <w14:schemeClr w14:val="tx1"/>
            </w14:solidFill>
          </w14:textFill>
        </w:rPr>
        <w:t>环境现状调查采用现场监测法</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1FF69610">
      <w:pPr>
        <w:pStyle w:val="11"/>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监测点位</w:t>
      </w:r>
    </w:p>
    <w:p w14:paraId="07DD2DA5">
      <w:pPr>
        <w:pStyle w:val="11"/>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本次评价</w:t>
      </w:r>
      <w:r>
        <w:rPr>
          <w:rFonts w:hint="default" w:ascii="Times New Roman" w:hAnsi="Times New Roman" w:cs="Times New Roman"/>
          <w:color w:val="000000" w:themeColor="text1"/>
          <w:sz w:val="24"/>
          <w:szCs w:val="24"/>
          <w:highlight w:val="none"/>
          <w:lang w:eastAsia="zh-CN"/>
          <w14:textFill>
            <w14:solidFill>
              <w14:schemeClr w14:val="tx1"/>
            </w14:solidFill>
          </w14:textFill>
        </w:rPr>
        <w:t>对区域环境空气质量现状进行补充监测，在</w:t>
      </w:r>
      <w:bookmarkStart w:id="910" w:name="OLE_LINK60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工程所在</w:t>
      </w:r>
      <w:bookmarkEnd w:id="910"/>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区域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布设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个监测点位</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监测点基本满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足</w:t>
      </w:r>
      <w:bookmarkStart w:id="911" w:name="OLE_LINK60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《环境影响评价技术导则 大气环境》（HJ2.2-2018）</w:t>
      </w:r>
      <w:bookmarkEnd w:id="91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数量和分布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。各监测点</w:t>
      </w:r>
      <w:bookmarkStart w:id="912" w:name="OLE_LINK530"/>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设置情况及基本信息</w:t>
      </w:r>
      <w:bookmarkEnd w:id="912"/>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具体</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监测点位见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附图13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933E10D">
      <w:pPr>
        <w:spacing w:line="240" w:lineRule="auto"/>
        <w:ind w:firstLine="0" w:firstLineChars="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bookmarkStart w:id="913" w:name="OLE_LINK615"/>
      <w:bookmarkStart w:id="914" w:name="OLE_LINK616"/>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表</w:t>
      </w:r>
      <w:bookmarkStart w:id="915" w:name="OLE_LINK614"/>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-2</w:t>
      </w:r>
      <w:bookmarkEnd w:id="915"/>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监测点位设置情况及基本信息</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表</w:t>
      </w:r>
      <w:bookmarkEnd w:id="913"/>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p>
    <w:bookmarkEnd w:id="914"/>
    <w:tbl>
      <w:tblPr>
        <w:tblStyle w:val="37"/>
        <w:tblW w:w="85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5"/>
        <w:gridCol w:w="1479"/>
        <w:gridCol w:w="1842"/>
        <w:gridCol w:w="1179"/>
        <w:gridCol w:w="1125"/>
        <w:gridCol w:w="960"/>
        <w:gridCol w:w="1238"/>
      </w:tblGrid>
      <w:tr w14:paraId="3D309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685" w:type="dxa"/>
            <w:shd w:val="clear" w:color="auto" w:fill="auto"/>
            <w:noWrap/>
            <w:vAlign w:val="center"/>
          </w:tcPr>
          <w:p w14:paraId="27FB9E63">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br w:type="page"/>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序号</w:t>
            </w:r>
          </w:p>
        </w:tc>
        <w:tc>
          <w:tcPr>
            <w:tcW w:w="1479" w:type="dxa"/>
            <w:shd w:val="clear" w:color="auto" w:fill="auto"/>
            <w:vAlign w:val="center"/>
          </w:tcPr>
          <w:p w14:paraId="33DB69A0">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监测点位名称</w:t>
            </w:r>
          </w:p>
        </w:tc>
        <w:tc>
          <w:tcPr>
            <w:tcW w:w="1842" w:type="dxa"/>
            <w:shd w:val="clear" w:color="auto" w:fill="auto"/>
            <w:vAlign w:val="center"/>
          </w:tcPr>
          <w:p w14:paraId="433CA4F6">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地理坐标</w:t>
            </w:r>
          </w:p>
        </w:tc>
        <w:tc>
          <w:tcPr>
            <w:tcW w:w="1179" w:type="dxa"/>
            <w:shd w:val="clear" w:color="auto" w:fill="auto"/>
            <w:vAlign w:val="center"/>
          </w:tcPr>
          <w:p w14:paraId="14A6EEDE">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与本工程</w:t>
            </w:r>
          </w:p>
          <w:p w14:paraId="281D25C3">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位置关系</w:t>
            </w:r>
          </w:p>
        </w:tc>
        <w:tc>
          <w:tcPr>
            <w:tcW w:w="1125" w:type="dxa"/>
            <w:shd w:val="clear" w:color="auto" w:fill="auto"/>
            <w:vAlign w:val="center"/>
          </w:tcPr>
          <w:p w14:paraId="65DD5F4D">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监测因子</w:t>
            </w:r>
          </w:p>
        </w:tc>
        <w:tc>
          <w:tcPr>
            <w:tcW w:w="960" w:type="dxa"/>
            <w:shd w:val="clear" w:color="auto" w:fill="auto"/>
            <w:vAlign w:val="center"/>
          </w:tcPr>
          <w:p w14:paraId="675F0F30">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监测时间</w:t>
            </w:r>
          </w:p>
        </w:tc>
        <w:tc>
          <w:tcPr>
            <w:tcW w:w="1238" w:type="dxa"/>
            <w:shd w:val="clear" w:color="auto" w:fill="auto"/>
            <w:vAlign w:val="center"/>
          </w:tcPr>
          <w:p w14:paraId="01C0C518">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w:t>
            </w:r>
          </w:p>
          <w:p w14:paraId="4E650CD9">
            <w:pPr>
              <w:widowControl/>
              <w:autoSpaceDE w:val="0"/>
              <w:autoSpaceDN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单位</w:t>
            </w:r>
          </w:p>
        </w:tc>
      </w:tr>
      <w:tr w14:paraId="6998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1" w:hRule="atLeast"/>
          <w:jc w:val="center"/>
        </w:trPr>
        <w:tc>
          <w:tcPr>
            <w:tcW w:w="685" w:type="dxa"/>
            <w:shd w:val="clear" w:color="auto" w:fill="auto"/>
            <w:noWrap/>
            <w:vAlign w:val="center"/>
          </w:tcPr>
          <w:p w14:paraId="1FE3A0A3">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bookmarkStart w:id="916" w:name="OLE_LINK617" w:colFirst="1" w:colLast="1"/>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479" w:type="dxa"/>
            <w:shd w:val="clear" w:color="auto" w:fill="auto"/>
            <w:vAlign w:val="center"/>
          </w:tcPr>
          <w:p w14:paraId="7B33A6A6">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星火7斜井</w:t>
            </w:r>
          </w:p>
        </w:tc>
        <w:tc>
          <w:tcPr>
            <w:tcW w:w="1842" w:type="dxa"/>
            <w:shd w:val="clear" w:color="auto" w:fill="auto"/>
            <w:vAlign w:val="center"/>
          </w:tcPr>
          <w:p w14:paraId="498CC62A">
            <w:pPr>
              <w:pStyle w:val="85"/>
              <w:keepNext w:val="0"/>
              <w:pageBreakBefore w:val="0"/>
              <w:kinsoku/>
              <w:wordWrap/>
              <w:overflowPunct/>
              <w:topLinePunct w:val="0"/>
              <w:bidi w:val="0"/>
              <w:adjustRightInd w:val="0"/>
              <w:snapToGrid w:val="0"/>
              <w:spacing w:after="0"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179" w:type="dxa"/>
            <w:shd w:val="clear" w:color="auto" w:fill="auto"/>
            <w:vAlign w:val="center"/>
          </w:tcPr>
          <w:p w14:paraId="510F4EFF">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项目区</w:t>
            </w:r>
          </w:p>
        </w:tc>
        <w:tc>
          <w:tcPr>
            <w:tcW w:w="1125" w:type="dxa"/>
            <w:vMerge w:val="restart"/>
            <w:shd w:val="clear" w:color="auto" w:fill="auto"/>
            <w:vAlign w:val="center"/>
          </w:tcPr>
          <w:p w14:paraId="130E413A">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bookmarkStart w:id="917" w:name="OLE_LINK606"/>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非甲烷总烃、H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w:t>
            </w:r>
            <w:bookmarkEnd w:id="917"/>
          </w:p>
        </w:tc>
        <w:tc>
          <w:tcPr>
            <w:tcW w:w="960" w:type="dxa"/>
            <w:vMerge w:val="restart"/>
            <w:shd w:val="clear" w:color="auto" w:fill="auto"/>
            <w:vAlign w:val="center"/>
          </w:tcPr>
          <w:p w14:paraId="08EF86D8">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w:t>
            </w:r>
            <w:r>
              <w:rPr>
                <w:rFonts w:hint="eastAsia"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月</w:t>
            </w:r>
            <w:r>
              <w:rPr>
                <w:rFonts w:hint="eastAsia" w:cs="Times New Roman"/>
                <w:color w:val="000000" w:themeColor="text1"/>
                <w:sz w:val="21"/>
                <w:szCs w:val="21"/>
                <w:highlight w:val="none"/>
                <w:lang w:val="en-US" w:eastAsia="zh-CN"/>
                <w14:textFill>
                  <w14:solidFill>
                    <w14:schemeClr w14:val="tx1"/>
                  </w14:solidFill>
                </w14:textFill>
              </w:rPr>
              <w:t>2日—8日</w:t>
            </w:r>
          </w:p>
        </w:tc>
        <w:tc>
          <w:tcPr>
            <w:tcW w:w="1238" w:type="dxa"/>
            <w:vMerge w:val="restart"/>
            <w:shd w:val="clear" w:color="auto" w:fill="auto"/>
            <w:vAlign w:val="center"/>
          </w:tcPr>
          <w:p w14:paraId="2E2827D5">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巴州康安职业环境检测评价有限公司</w:t>
            </w:r>
          </w:p>
        </w:tc>
      </w:tr>
      <w:tr w14:paraId="5CF6C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685" w:type="dxa"/>
            <w:shd w:val="clear" w:color="auto" w:fill="auto"/>
            <w:noWrap/>
            <w:vAlign w:val="center"/>
          </w:tcPr>
          <w:p w14:paraId="14EB65A0">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479" w:type="dxa"/>
            <w:shd w:val="clear" w:color="auto" w:fill="auto"/>
            <w:noWrap/>
            <w:vAlign w:val="center"/>
          </w:tcPr>
          <w:p w14:paraId="6D0077A2">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星火7斜井</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项目区下风向</w:t>
            </w:r>
          </w:p>
        </w:tc>
        <w:tc>
          <w:tcPr>
            <w:tcW w:w="1842" w:type="dxa"/>
            <w:shd w:val="clear" w:color="auto" w:fill="auto"/>
            <w:vAlign w:val="center"/>
          </w:tcPr>
          <w:p w14:paraId="4294CDF5">
            <w:pPr>
              <w:pStyle w:val="85"/>
              <w:keepNext w:val="0"/>
              <w:pageBreakBefore w:val="0"/>
              <w:kinsoku/>
              <w:wordWrap/>
              <w:overflowPunct/>
              <w:topLinePunct w:val="0"/>
              <w:bidi w:val="0"/>
              <w:adjustRightInd w:val="0"/>
              <w:snapToGrid w:val="0"/>
              <w:spacing w:after="0"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179" w:type="dxa"/>
            <w:shd w:val="clear" w:color="auto" w:fill="auto"/>
            <w:vAlign w:val="center"/>
          </w:tcPr>
          <w:p w14:paraId="0B43DCCD">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风向</w:t>
            </w:r>
          </w:p>
        </w:tc>
        <w:tc>
          <w:tcPr>
            <w:tcW w:w="1125" w:type="dxa"/>
            <w:vMerge w:val="continue"/>
            <w:shd w:val="clear" w:color="auto" w:fill="auto"/>
            <w:vAlign w:val="center"/>
          </w:tcPr>
          <w:p w14:paraId="432A3321">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960" w:type="dxa"/>
            <w:vMerge w:val="continue"/>
            <w:shd w:val="clear" w:color="auto" w:fill="auto"/>
            <w:vAlign w:val="center"/>
          </w:tcPr>
          <w:p w14:paraId="7EEE2DD8">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238" w:type="dxa"/>
            <w:vMerge w:val="continue"/>
            <w:shd w:val="clear" w:color="auto" w:fill="auto"/>
            <w:noWrap/>
            <w:vAlign w:val="center"/>
          </w:tcPr>
          <w:p w14:paraId="55B04B0F">
            <w:pPr>
              <w:widowControl/>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bookmarkEnd w:id="916"/>
    </w:tbl>
    <w:p w14:paraId="784D9B3B">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）监测频率</w:t>
      </w:r>
    </w:p>
    <w:p w14:paraId="1A135FBE">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连续7天，每天采样4次。</w:t>
      </w:r>
    </w:p>
    <w:p w14:paraId="0E789505">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）监测单位</w:t>
      </w:r>
    </w:p>
    <w:p w14:paraId="5F8E6486">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196"/>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本次评价</w:t>
      </w:r>
      <w:bookmarkStart w:id="918" w:name="OLE_LINK613"/>
      <w:r>
        <w:rPr>
          <w:rFonts w:hint="eastAsia" w:cs="Times New Roman"/>
          <w:color w:val="000000" w:themeColor="text1"/>
          <w:spacing w:val="4"/>
          <w:kern w:val="0"/>
          <w:sz w:val="24"/>
          <w:szCs w:val="24"/>
          <w:highlight w:val="none"/>
          <w:lang w:val="en-US" w:eastAsia="zh-CN" w:bidi="ar-SA"/>
          <w14:textFill>
            <w14:solidFill>
              <w14:schemeClr w14:val="tx1"/>
            </w14:solidFill>
          </w14:textFill>
        </w:rPr>
        <w:t>大气</w:t>
      </w:r>
      <w:bookmarkEnd w:id="918"/>
      <w:r>
        <w:rPr>
          <w:rFonts w:hint="eastAsia" w:cs="Times New Roman"/>
          <w:color w:val="000000" w:themeColor="text1"/>
          <w:spacing w:val="4"/>
          <w:kern w:val="0"/>
          <w:sz w:val="24"/>
          <w:szCs w:val="24"/>
          <w:highlight w:val="none"/>
          <w:lang w:val="en-US" w:eastAsia="zh-CN" w:bidi="ar-SA"/>
          <w14:textFill>
            <w14:solidFill>
              <w14:schemeClr w14:val="tx1"/>
            </w14:solidFill>
          </w14:textFill>
        </w:rPr>
        <w:t>监测</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委托</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巴州康安职业环境检测评价有限公司</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对</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大气</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环境质量现状进行了监测，监测时间为202</w:t>
      </w:r>
      <w:r>
        <w:rPr>
          <w:rFonts w:hint="eastAsia" w:eastAsia="宋体" w:cs="Times New Roman"/>
          <w:color w:val="000000" w:themeColor="text1"/>
          <w:spacing w:val="4"/>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年</w:t>
      </w:r>
      <w:r>
        <w:rPr>
          <w:rFonts w:hint="eastAsia" w:cs="Times New Roman"/>
          <w:color w:val="000000" w:themeColor="text1"/>
          <w:spacing w:val="4"/>
          <w:kern w:val="0"/>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4"/>
          <w:kern w:val="0"/>
          <w:sz w:val="24"/>
          <w:szCs w:val="24"/>
          <w:highlight w:val="none"/>
          <w:lang w:val="en-US" w:eastAsia="zh-CN" w:bidi="ar-SA"/>
          <w14:textFill>
            <w14:solidFill>
              <w14:schemeClr w14:val="tx1"/>
            </w14:solidFill>
          </w14:textFill>
        </w:rPr>
        <w:t>月</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6F1FFEC">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bookmarkStart w:id="919" w:name="OLE_LINK612"/>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）监测项目及分析方法</w:t>
      </w:r>
    </w:p>
    <w:bookmarkEnd w:id="919"/>
    <w:p w14:paraId="33D526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监测项目</w:t>
      </w:r>
    </w:p>
    <w:p w14:paraId="4E7FF701">
      <w:pPr>
        <w:pStyle w:val="12"/>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根据</w:t>
      </w:r>
      <w:bookmarkStart w:id="920" w:name="OLE_LINK61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Start w:id="921" w:name="OLE_LINK608"/>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环境影响评价技术导则 大气环境</w:t>
      </w:r>
      <w:bookmarkEnd w:id="92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Start w:id="922" w:name="OLE_LINK610"/>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（HJ2.2-2018）</w:t>
      </w:r>
      <w:bookmarkEnd w:id="920"/>
      <w:bookmarkEnd w:id="922"/>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本次评价的监测项目包括：</w:t>
      </w:r>
      <w:r>
        <w:rPr>
          <w:rFonts w:hint="default"/>
          <w:color w:val="000000" w:themeColor="text1"/>
          <w:highlight w:val="none"/>
          <w:lang w:val="en-US" w:eastAsia="zh-CN"/>
          <w14:textFill>
            <w14:solidFill>
              <w14:schemeClr w14:val="tx1"/>
            </w14:solidFill>
          </w14:textFill>
        </w:rPr>
        <w:t>非甲烷总烃、H</w:t>
      </w:r>
      <w:r>
        <w:rPr>
          <w:rFonts w:hint="default"/>
          <w:color w:val="000000" w:themeColor="text1"/>
          <w:highlight w:val="none"/>
          <w:vertAlign w:val="sub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w:t>
      </w:r>
    </w:p>
    <w:p w14:paraId="10BDA550">
      <w:pPr>
        <w:pStyle w:val="1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分析方法</w:t>
      </w:r>
    </w:p>
    <w:p w14:paraId="70F1418B">
      <w:pPr>
        <w:pStyle w:val="1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采样按照</w:t>
      </w:r>
      <w:r>
        <w:rPr>
          <w:rFonts w:hint="eastAsia" w:cs="Times New Roman"/>
          <w:color w:val="000000" w:themeColor="text1"/>
          <w:sz w:val="24"/>
          <w:szCs w:val="20"/>
          <w:highlight w:val="none"/>
          <w:lang w:eastAsia="zh-CN"/>
          <w14:textFill>
            <w14:solidFill>
              <w14:schemeClr w14:val="tx1"/>
            </w14:solidFill>
          </w14:textFill>
        </w:rPr>
        <w:t>《环境空气质量监测点位布设技术规范（试行）》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w:t>
      </w:r>
      <w:r>
        <w:rPr>
          <w:rFonts w:hint="eastAsia" w:cs="Times New Roman"/>
          <w:color w:val="000000" w:themeColor="text1"/>
          <w:sz w:val="24"/>
          <w:szCs w:val="24"/>
          <w:highlight w:val="none"/>
          <w:lang w:val="en-US" w:eastAsia="zh-CN"/>
          <w14:textFill>
            <w14:solidFill>
              <w14:schemeClr w14:val="tx1"/>
            </w14:solidFill>
          </w14:textFill>
        </w:rPr>
        <w:t>664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执行，监测分析方法按照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《环境影响评价技术导则 大气环境》（HJ2.2-2018）有关标准和规范执行</w:t>
      </w:r>
      <w:r>
        <w:rPr>
          <w:rFonts w:hint="eastAsia" w:cs="Times New Roman"/>
          <w:color w:val="000000" w:themeColor="text1"/>
          <w:sz w:val="24"/>
          <w:szCs w:val="24"/>
          <w:highlight w:val="none"/>
          <w:lang w:val="en-US" w:eastAsia="zh-CN"/>
          <w14:textFill>
            <w14:solidFill>
              <w14:schemeClr w14:val="tx1"/>
            </w14:solidFill>
          </w14:textFill>
        </w:rPr>
        <w:t>。</w:t>
      </w:r>
    </w:p>
    <w:p w14:paraId="09644FE0">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表4.</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大气环境</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监测因子分析方法及检出限一览表</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28" w:type="dxa"/>
          <w:bottom w:w="6" w:type="dxa"/>
          <w:right w:w="28" w:type="dxa"/>
        </w:tblCellMar>
      </w:tblPr>
      <w:tblGrid>
        <w:gridCol w:w="594"/>
        <w:gridCol w:w="1025"/>
        <w:gridCol w:w="3203"/>
        <w:gridCol w:w="1629"/>
        <w:gridCol w:w="954"/>
        <w:gridCol w:w="954"/>
      </w:tblGrid>
      <w:tr w14:paraId="05A34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28" w:type="dxa"/>
            <w:bottom w:w="6" w:type="dxa"/>
            <w:right w:w="28" w:type="dxa"/>
          </w:tblCellMar>
        </w:tblPrEx>
        <w:trPr>
          <w:trHeight w:val="397" w:hRule="atLeast"/>
          <w:jc w:val="center"/>
        </w:trPr>
        <w:tc>
          <w:tcPr>
            <w:tcW w:w="594" w:type="dxa"/>
            <w:vAlign w:val="center"/>
          </w:tcPr>
          <w:p w14:paraId="65617D6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025" w:type="dxa"/>
            <w:vAlign w:val="center"/>
          </w:tcPr>
          <w:p w14:paraId="7822B69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监测因子</w:t>
            </w:r>
          </w:p>
        </w:tc>
        <w:tc>
          <w:tcPr>
            <w:tcW w:w="3203" w:type="dxa"/>
            <w:vAlign w:val="center"/>
          </w:tcPr>
          <w:p w14:paraId="13A9535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检测方法</w:t>
            </w:r>
          </w:p>
        </w:tc>
        <w:tc>
          <w:tcPr>
            <w:tcW w:w="1629" w:type="dxa"/>
            <w:vAlign w:val="center"/>
          </w:tcPr>
          <w:p w14:paraId="278FA89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方法来源</w:t>
            </w:r>
          </w:p>
        </w:tc>
        <w:tc>
          <w:tcPr>
            <w:tcW w:w="954" w:type="dxa"/>
            <w:vAlign w:val="center"/>
          </w:tcPr>
          <w:p w14:paraId="26A52B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c>
          <w:tcPr>
            <w:tcW w:w="954" w:type="dxa"/>
            <w:vAlign w:val="center"/>
          </w:tcPr>
          <w:p w14:paraId="1FFE7D3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检出限</w:t>
            </w:r>
          </w:p>
        </w:tc>
      </w:tr>
      <w:tr w14:paraId="73AB1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28" w:type="dxa"/>
            <w:bottom w:w="6" w:type="dxa"/>
            <w:right w:w="28" w:type="dxa"/>
          </w:tblCellMar>
        </w:tblPrEx>
        <w:trPr>
          <w:trHeight w:val="403" w:hRule="atLeast"/>
          <w:jc w:val="center"/>
        </w:trPr>
        <w:tc>
          <w:tcPr>
            <w:tcW w:w="594" w:type="dxa"/>
            <w:vAlign w:val="center"/>
          </w:tcPr>
          <w:p w14:paraId="0045A3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25" w:type="dxa"/>
            <w:vAlign w:val="center"/>
          </w:tcPr>
          <w:p w14:paraId="614A74E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w:t>
            </w:r>
          </w:p>
        </w:tc>
        <w:tc>
          <w:tcPr>
            <w:tcW w:w="3203" w:type="dxa"/>
            <w:vAlign w:val="center"/>
          </w:tcPr>
          <w:p w14:paraId="74C8334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空气质量 硫化氢、甲硫醇、甲硫醚和二甲二硫的测定 气相色谱法</w:t>
            </w:r>
          </w:p>
        </w:tc>
        <w:tc>
          <w:tcPr>
            <w:tcW w:w="1629" w:type="dxa"/>
            <w:vAlign w:val="center"/>
          </w:tcPr>
          <w:p w14:paraId="65D8CFB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GB/T 14678-1993</w:t>
            </w:r>
          </w:p>
        </w:tc>
        <w:tc>
          <w:tcPr>
            <w:tcW w:w="954" w:type="dxa"/>
            <w:vAlign w:val="center"/>
          </w:tcPr>
          <w:p w14:paraId="7670F29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54" w:type="dxa"/>
            <w:vAlign w:val="center"/>
          </w:tcPr>
          <w:p w14:paraId="504BAD8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0.001 </w:t>
            </w:r>
          </w:p>
        </w:tc>
      </w:tr>
      <w:tr w14:paraId="6CB4B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28" w:type="dxa"/>
            <w:bottom w:w="6" w:type="dxa"/>
            <w:right w:w="28" w:type="dxa"/>
          </w:tblCellMar>
        </w:tblPrEx>
        <w:trPr>
          <w:trHeight w:val="336" w:hRule="atLeast"/>
          <w:jc w:val="center"/>
        </w:trPr>
        <w:tc>
          <w:tcPr>
            <w:tcW w:w="594" w:type="dxa"/>
            <w:vAlign w:val="center"/>
          </w:tcPr>
          <w:p w14:paraId="5D394E1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025" w:type="dxa"/>
            <w:vAlign w:val="center"/>
          </w:tcPr>
          <w:p w14:paraId="06F9D81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w:t>
            </w:r>
          </w:p>
          <w:p w14:paraId="3DCF5BC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总烃</w:t>
            </w:r>
          </w:p>
        </w:tc>
        <w:tc>
          <w:tcPr>
            <w:tcW w:w="3203" w:type="dxa"/>
            <w:vAlign w:val="center"/>
          </w:tcPr>
          <w:p w14:paraId="4DE9C29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 总烃、甲烷和非甲烷总烃的测定 直接进样-气相色谱法</w:t>
            </w:r>
          </w:p>
        </w:tc>
        <w:tc>
          <w:tcPr>
            <w:tcW w:w="1629" w:type="dxa"/>
            <w:vAlign w:val="center"/>
          </w:tcPr>
          <w:p w14:paraId="1AA27C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 604-2017</w:t>
            </w:r>
          </w:p>
        </w:tc>
        <w:tc>
          <w:tcPr>
            <w:tcW w:w="954" w:type="dxa"/>
            <w:vAlign w:val="center"/>
          </w:tcPr>
          <w:p w14:paraId="06AAA33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54" w:type="dxa"/>
            <w:vAlign w:val="center"/>
          </w:tcPr>
          <w:p w14:paraId="799D91A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0.07 </w:t>
            </w:r>
          </w:p>
        </w:tc>
      </w:tr>
    </w:tbl>
    <w:p w14:paraId="5DF01E17">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）评价标准</w:t>
      </w:r>
    </w:p>
    <w:p w14:paraId="6492422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非甲烷总烃小时平均浓度满足《大气污染物综合排放标准详解》中的2.0mg/m</w:t>
      </w:r>
      <w:r>
        <w:rPr>
          <w:rFonts w:hint="default" w:ascii="Times New Roman" w:hAnsi="Times New Roman"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的标准</w:t>
      </w:r>
      <w:r>
        <w:rPr>
          <w:rFonts w:hint="default" w:ascii="Times New Roman" w:hAnsi="Times New Roman" w:cs="Times New Roman"/>
          <w:b w:val="0"/>
          <w:bCs w:val="0"/>
          <w:color w:val="000000" w:themeColor="text1"/>
          <w:sz w:val="24"/>
          <w:szCs w:val="24"/>
          <w:highlight w:val="none"/>
          <w14:textFill>
            <w14:solidFill>
              <w14:schemeClr w14:val="tx1"/>
            </w14:solidFill>
          </w14:textFill>
        </w:rPr>
        <w:t>，硫化氢1小时平均浓度执行</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环境影响评价技术导则</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14:textFill>
            <w14:solidFill>
              <w14:schemeClr w14:val="tx1"/>
            </w14:solidFill>
          </w14:textFill>
        </w:rPr>
        <w:t>大气环境</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HJ2.2-2018</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附录D中其他污染物空气质量浓度参考限值0.01mg/m</w:t>
      </w:r>
      <w:r>
        <w:rPr>
          <w:rFonts w:hint="default" w:ascii="Times New Roman" w:hAnsi="Times New Roman"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14:textFill>
            <w14:solidFill>
              <w14:schemeClr w14:val="tx1"/>
            </w14:solidFill>
          </w14:textFill>
        </w:rPr>
        <w:t>的浓度限值要求。</w:t>
      </w:r>
    </w:p>
    <w:p w14:paraId="5530E119">
      <w:pPr>
        <w:pStyle w:val="6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highlight w:val="none"/>
          <w14:textFill>
            <w14:solidFill>
              <w14:schemeClr w14:val="tx1"/>
            </w14:solidFill>
          </w14:textFill>
        </w:rPr>
        <w:t>评价方法</w:t>
      </w:r>
    </w:p>
    <w:p w14:paraId="681BB466">
      <w:pPr>
        <w:pStyle w:val="6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采用质量浓度占标率法，计算公式为：</w:t>
      </w:r>
    </w:p>
    <w:p w14:paraId="25025A00">
      <w:pPr>
        <w:pStyle w:val="65"/>
        <w:pageBreakBefore w:val="0"/>
        <w:widowControl w:val="0"/>
        <w:kinsoku/>
        <w:wordWrap/>
        <w:overflowPunct/>
        <w:topLinePunct w:val="0"/>
        <w:autoSpaceDE/>
        <w:autoSpaceDN/>
        <w:bidi w:val="0"/>
        <w:adjustRightInd w:val="0"/>
        <w:snapToGrid w:val="0"/>
        <w:ind w:left="53" w:right="53"/>
        <w:jc w:val="center"/>
        <w:textAlignment w:val="auto"/>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snapToGrid/>
          <w:color w:val="000000" w:themeColor="text1"/>
          <w:highlight w:val="none"/>
          <w14:textFill>
            <w14:solidFill>
              <w14:schemeClr w14:val="tx1"/>
            </w14:solidFill>
          </w14:textFill>
        </w:rPr>
        <w:drawing>
          <wp:inline distT="0" distB="0" distL="114300" distR="114300">
            <wp:extent cx="1065530" cy="435610"/>
            <wp:effectExtent l="0" t="0" r="0" b="2540"/>
            <wp:docPr id="25" name="图片 6" descr="C:\Users\hl\AppData\Local\Temp\ksohtml7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hl\AppData\Local\Temp\ksohtml7224\wps1.png"/>
                    <pic:cNvPicPr>
                      <a:picLocks noChangeAspect="1"/>
                    </pic:cNvPicPr>
                  </pic:nvPicPr>
                  <pic:blipFill>
                    <a:blip r:embed="rId25"/>
                    <a:stretch>
                      <a:fillRect/>
                    </a:stretch>
                  </pic:blipFill>
                  <pic:spPr>
                    <a:xfrm>
                      <a:off x="0" y="0"/>
                      <a:ext cx="1065530" cy="435610"/>
                    </a:xfrm>
                    <a:prstGeom prst="rect">
                      <a:avLst/>
                    </a:prstGeom>
                    <a:noFill/>
                    <a:ln>
                      <a:noFill/>
                    </a:ln>
                  </pic:spPr>
                </pic:pic>
              </a:graphicData>
            </a:graphic>
          </wp:inline>
        </w:drawing>
      </w:r>
    </w:p>
    <w:p w14:paraId="0EF2F261">
      <w:pPr>
        <w:pStyle w:val="65"/>
        <w:keepNext w:val="0"/>
        <w:keepLines w:val="0"/>
        <w:pageBreakBefore w:val="0"/>
        <w:widowControl w:val="0"/>
        <w:kinsoku/>
        <w:wordWrap/>
        <w:overflowPunct/>
        <w:topLinePunct w:val="0"/>
        <w:autoSpaceDE/>
        <w:autoSpaceDN/>
        <w:bidi w:val="0"/>
        <w:adjustRightInd w:val="0"/>
        <w:snapToGrid w:val="0"/>
        <w:spacing w:line="360" w:lineRule="auto"/>
        <w:ind w:left="53"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式中：</w:t>
      </w:r>
      <w:r>
        <w:rPr>
          <w:rFonts w:hint="default" w:ascii="Times New Roman" w:hAnsi="Times New Roman" w:cs="Times New Roman"/>
          <w:b w:val="0"/>
          <w:bCs w:val="0"/>
          <w:i/>
          <w:iCs/>
          <w:color w:val="000000" w:themeColor="text1"/>
          <w:sz w:val="24"/>
          <w:szCs w:val="24"/>
          <w:highlight w:val="none"/>
          <w14:textFill>
            <w14:solidFill>
              <w14:schemeClr w14:val="tx1"/>
            </w14:solidFill>
          </w14:textFill>
        </w:rPr>
        <w:t>P</w:t>
      </w:r>
      <w:r>
        <w:rPr>
          <w:rFonts w:hint="default" w:ascii="Times New Roman" w:hAnsi="Times New Roman" w:cs="Times New Roman"/>
          <w:b w:val="0"/>
          <w:bCs w:val="0"/>
          <w:i/>
          <w:iCs/>
          <w:color w:val="000000" w:themeColor="text1"/>
          <w:sz w:val="24"/>
          <w:szCs w:val="24"/>
          <w:highlight w:val="none"/>
          <w:vertAlign w:val="subscript"/>
          <w14:textFill>
            <w14:solidFill>
              <w14:schemeClr w14:val="tx1"/>
            </w14:solidFill>
          </w14:textFill>
        </w:rPr>
        <w:t>i</w:t>
      </w:r>
      <w:r>
        <w:rPr>
          <w:rFonts w:hint="default" w:ascii="Times New Roman" w:hAnsi="Times New Roman" w:cs="Times New Roman"/>
          <w:b w:val="0"/>
          <w:bCs w:val="0"/>
          <w:color w:val="000000" w:themeColor="text1"/>
          <w:sz w:val="24"/>
          <w:szCs w:val="24"/>
          <w:highlight w:val="none"/>
          <w14:textFill>
            <w14:solidFill>
              <w14:schemeClr w14:val="tx1"/>
            </w14:solidFill>
          </w14:textFill>
        </w:rPr>
        <w:t>——第i个污染物的最大占标百分比，%；</w:t>
      </w:r>
    </w:p>
    <w:p w14:paraId="47AF3307">
      <w:pPr>
        <w:pStyle w:val="65"/>
        <w:keepNext w:val="0"/>
        <w:keepLines w:val="0"/>
        <w:pageBreakBefore w:val="0"/>
        <w:widowControl w:val="0"/>
        <w:kinsoku/>
        <w:wordWrap/>
        <w:overflowPunct/>
        <w:topLinePunct w:val="0"/>
        <w:autoSpaceDE/>
        <w:autoSpaceDN/>
        <w:bidi w:val="0"/>
        <w:adjustRightInd w:val="0"/>
        <w:snapToGrid w:val="0"/>
        <w:spacing w:line="360" w:lineRule="auto"/>
        <w:ind w:right="0" w:firstLine="1260" w:firstLineChars="525"/>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i/>
          <w:iCs/>
          <w:color w:val="000000" w:themeColor="text1"/>
          <w:sz w:val="24"/>
          <w:szCs w:val="24"/>
          <w:highlight w:val="none"/>
          <w14:textFill>
            <w14:solidFill>
              <w14:schemeClr w14:val="tx1"/>
            </w14:solidFill>
          </w14:textFill>
        </w:rPr>
        <w:t>C</w:t>
      </w:r>
      <w:r>
        <w:rPr>
          <w:rFonts w:hint="default" w:ascii="Times New Roman" w:hAnsi="Times New Roman" w:cs="Times New Roman"/>
          <w:b w:val="0"/>
          <w:bCs w:val="0"/>
          <w:i/>
          <w:iCs/>
          <w:color w:val="000000" w:themeColor="text1"/>
          <w:sz w:val="24"/>
          <w:szCs w:val="24"/>
          <w:highlight w:val="none"/>
          <w:vertAlign w:val="subscript"/>
          <w14:textFill>
            <w14:solidFill>
              <w14:schemeClr w14:val="tx1"/>
            </w14:solidFill>
          </w14:textFill>
        </w:rPr>
        <w:t>i</w:t>
      </w:r>
      <w:r>
        <w:rPr>
          <w:rFonts w:hint="default" w:ascii="Times New Roman" w:hAnsi="Times New Roman" w:cs="Times New Roman"/>
          <w:b w:val="0"/>
          <w:bCs w:val="0"/>
          <w:color w:val="000000" w:themeColor="text1"/>
          <w:sz w:val="24"/>
          <w:szCs w:val="24"/>
          <w:highlight w:val="none"/>
          <w14:textFill>
            <w14:solidFill>
              <w14:schemeClr w14:val="tx1"/>
            </w14:solidFill>
          </w14:textFill>
        </w:rPr>
        <w:t>——第i个污染物监测浓度，μg/m³；</w:t>
      </w:r>
    </w:p>
    <w:p w14:paraId="23735350">
      <w:pPr>
        <w:pStyle w:val="65"/>
        <w:keepNext w:val="0"/>
        <w:keepLines w:val="0"/>
        <w:pageBreakBefore w:val="0"/>
        <w:widowControl w:val="0"/>
        <w:kinsoku/>
        <w:wordWrap/>
        <w:overflowPunct/>
        <w:topLinePunct w:val="0"/>
        <w:autoSpaceDE/>
        <w:autoSpaceDN/>
        <w:bidi w:val="0"/>
        <w:adjustRightInd w:val="0"/>
        <w:snapToGrid w:val="0"/>
        <w:spacing w:line="360" w:lineRule="auto"/>
        <w:ind w:right="0" w:firstLine="1260" w:firstLineChars="525"/>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i/>
          <w:iCs/>
          <w:color w:val="000000" w:themeColor="text1"/>
          <w:sz w:val="24"/>
          <w:szCs w:val="24"/>
          <w:highlight w:val="none"/>
          <w14:textFill>
            <w14:solidFill>
              <w14:schemeClr w14:val="tx1"/>
            </w14:solidFill>
          </w14:textFill>
        </w:rPr>
        <w:t>C</w:t>
      </w:r>
      <w:r>
        <w:rPr>
          <w:rFonts w:hint="default" w:ascii="Times New Roman" w:hAnsi="Times New Roman" w:cs="Times New Roman"/>
          <w:b w:val="0"/>
          <w:bCs w:val="0"/>
          <w:i/>
          <w:iCs/>
          <w:color w:val="000000" w:themeColor="text1"/>
          <w:sz w:val="24"/>
          <w:szCs w:val="24"/>
          <w:highlight w:val="none"/>
          <w:vertAlign w:val="subscript"/>
          <w14:textFill>
            <w14:solidFill>
              <w14:schemeClr w14:val="tx1"/>
            </w14:solidFill>
          </w14:textFill>
        </w:rPr>
        <w:t>oi</w:t>
      </w:r>
      <w:r>
        <w:rPr>
          <w:rFonts w:hint="default" w:ascii="Times New Roman" w:hAnsi="Times New Roman" w:cs="Times New Roman"/>
          <w:b w:val="0"/>
          <w:bCs w:val="0"/>
          <w:color w:val="000000" w:themeColor="text1"/>
          <w:sz w:val="24"/>
          <w:szCs w:val="24"/>
          <w:highlight w:val="none"/>
          <w14:textFill>
            <w14:solidFill>
              <w14:schemeClr w14:val="tx1"/>
            </w14:solidFill>
          </w14:textFill>
        </w:rPr>
        <w:t>——第i个污染物的环境空气质量浓度标准，μg/m³。</w:t>
      </w:r>
    </w:p>
    <w:p w14:paraId="4B670F0E">
      <w:pPr>
        <w:pStyle w:val="65"/>
        <w:keepNext w:val="0"/>
        <w:keepLines w:val="0"/>
        <w:pageBreakBefore w:val="0"/>
        <w:widowControl w:val="0"/>
        <w:kinsoku/>
        <w:wordWrap/>
        <w:overflowPunct/>
        <w:topLinePunct w:val="0"/>
        <w:autoSpaceDE/>
        <w:autoSpaceDN/>
        <w:bidi w:val="0"/>
        <w:adjustRightInd w:val="0"/>
        <w:snapToGrid w:val="0"/>
        <w:spacing w:line="360" w:lineRule="auto"/>
        <w:ind w:left="0" w:leftChars="0" w:right="53" w:firstLine="480" w:firstLineChars="200"/>
        <w:textAlignment w:val="auto"/>
        <w:rPr>
          <w:rFonts w:hint="default" w:ascii="Times New Roman" w:hAnsi="Times New Roman" w:eastAsia="宋体" w:cs="Times New Roman"/>
          <w:snapToGrid/>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z w:val="24"/>
          <w:szCs w:val="20"/>
          <w:highlight w:val="none"/>
          <w:lang w:val="en-US" w:eastAsia="zh-CN" w:bidi="ar-SA"/>
          <w14:textFill>
            <w14:solidFill>
              <w14:schemeClr w14:val="tx1"/>
            </w14:solidFill>
          </w14:textFill>
        </w:rPr>
        <w:t>（8）</w:t>
      </w:r>
      <w:r>
        <w:rPr>
          <w:rFonts w:hint="default" w:ascii="Times New Roman" w:hAnsi="Times New Roman" w:eastAsia="宋体" w:cs="Times New Roman"/>
          <w:snapToGrid/>
          <w:color w:val="000000" w:themeColor="text1"/>
          <w:sz w:val="24"/>
          <w:szCs w:val="20"/>
          <w:highlight w:val="none"/>
          <w:lang w:val="en-US" w:eastAsia="zh-CN" w:bidi="ar-SA"/>
          <w14:textFill>
            <w14:solidFill>
              <w14:schemeClr w14:val="tx1"/>
            </w14:solidFill>
          </w14:textFill>
        </w:rPr>
        <w:t>评价结果</w:t>
      </w:r>
    </w:p>
    <w:p w14:paraId="514C73C3">
      <w:pPr>
        <w:keepNext w:val="0"/>
        <w:keepLines w:val="0"/>
        <w:pageBreakBefore w:val="0"/>
        <w:kinsoku/>
        <w:wordWrap/>
        <w:overflowPunct/>
        <w:topLinePunct w:val="0"/>
        <w:autoSpaceDE/>
        <w:autoSpaceDN/>
        <w:bidi w:val="0"/>
        <w:ind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z w:val="24"/>
          <w:szCs w:val="20"/>
          <w:highlight w:val="none"/>
          <w:lang w:val="en-US" w:eastAsia="zh-CN" w:bidi="ar-SA"/>
          <w14:textFill>
            <w14:solidFill>
              <w14:schemeClr w14:val="tx1"/>
            </w14:solidFill>
          </w14:textFill>
        </w:rPr>
        <w:t>监测及评价</w:t>
      </w:r>
      <w:r>
        <w:rPr>
          <w:rFonts w:hint="default" w:ascii="Times New Roman" w:hAnsi="Times New Roman" w:cs="Times New Roman"/>
          <w:color w:val="000000" w:themeColor="text1"/>
          <w:sz w:val="24"/>
          <w:szCs w:val="24"/>
          <w:highlight w:val="none"/>
          <w14:textFill>
            <w14:solidFill>
              <w14:schemeClr w14:val="tx1"/>
            </w14:solidFill>
          </w14:textFill>
        </w:rPr>
        <w:t>结果见表4.6-</w:t>
      </w:r>
      <w:r>
        <w:rPr>
          <w:rFonts w:hint="eastAsia" w:cs="Times New Roman"/>
          <w:color w:val="000000" w:themeColor="text1"/>
          <w:sz w:val="24"/>
          <w:szCs w:val="24"/>
          <w:highlight w:val="none"/>
          <w:lang w:val="en-US" w:eastAsia="zh-CN"/>
          <w14:textFill>
            <w14:solidFill>
              <w14:schemeClr w14:val="tx1"/>
            </w14:solidFill>
          </w14:textFill>
        </w:rPr>
        <w:t>4。</w:t>
      </w:r>
    </w:p>
    <w:p w14:paraId="2C65754B">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表</w:t>
      </w:r>
      <w:bookmarkStart w:id="923" w:name="OLE_LINK621"/>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4</w:t>
      </w:r>
      <w:bookmarkEnd w:id="923"/>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 xml:space="preserve">   非甲烷总烃、H2S监测评价结果表：mg/m</w:t>
      </w:r>
      <w:r>
        <w:rPr>
          <w:rFonts w:hint="default" w:ascii="Times New Roman" w:hAnsi="Times New Roman" w:eastAsia="宋体" w:cs="Times New Roman"/>
          <w:b/>
          <w:color w:val="000000" w:themeColor="text1"/>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 xml:space="preserve">   </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8"/>
        <w:gridCol w:w="1329"/>
        <w:gridCol w:w="1373"/>
        <w:gridCol w:w="1207"/>
        <w:gridCol w:w="1341"/>
        <w:gridCol w:w="1091"/>
        <w:gridCol w:w="723"/>
      </w:tblGrid>
      <w:tr w14:paraId="01C0B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776" w:type="pct"/>
            <w:vAlign w:val="center"/>
          </w:tcPr>
          <w:p w14:paraId="394E5D3B">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监测点位</w:t>
            </w:r>
          </w:p>
        </w:tc>
        <w:tc>
          <w:tcPr>
            <w:tcW w:w="794" w:type="pct"/>
            <w:vAlign w:val="center"/>
          </w:tcPr>
          <w:p w14:paraId="0418BFF9">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w:t>
            </w:r>
          </w:p>
        </w:tc>
        <w:tc>
          <w:tcPr>
            <w:tcW w:w="820" w:type="pct"/>
            <w:vAlign w:val="center"/>
          </w:tcPr>
          <w:p w14:paraId="225D9BB5">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平均时间</w:t>
            </w:r>
          </w:p>
        </w:tc>
        <w:tc>
          <w:tcPr>
            <w:tcW w:w="721" w:type="pct"/>
            <w:vAlign w:val="center"/>
          </w:tcPr>
          <w:p w14:paraId="31975786">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评价标准</w:t>
            </w:r>
          </w:p>
        </w:tc>
        <w:tc>
          <w:tcPr>
            <w:tcW w:w="801" w:type="pct"/>
            <w:vAlign w:val="center"/>
          </w:tcPr>
          <w:p w14:paraId="795F2C37">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监测浓度范围</w:t>
            </w:r>
          </w:p>
        </w:tc>
        <w:tc>
          <w:tcPr>
            <w:tcW w:w="652" w:type="pct"/>
            <w:vAlign w:val="center"/>
          </w:tcPr>
          <w:p w14:paraId="20268D51">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最大浓度占标率/%</w:t>
            </w:r>
          </w:p>
        </w:tc>
        <w:tc>
          <w:tcPr>
            <w:tcW w:w="432" w:type="pct"/>
            <w:vAlign w:val="center"/>
          </w:tcPr>
          <w:p w14:paraId="7A8D5F5A">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w:t>
            </w:r>
          </w:p>
          <w:p w14:paraId="20A07B4F">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情况</w:t>
            </w:r>
          </w:p>
        </w:tc>
      </w:tr>
      <w:tr w14:paraId="5986A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76" w:type="pct"/>
            <w:vMerge w:val="restart"/>
            <w:vAlign w:val="center"/>
          </w:tcPr>
          <w:p w14:paraId="28B18B08">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924" w:name="OLE_LINK618" w:colFirst="1" w:colLast="1"/>
            <w:bookmarkStart w:id="925" w:name="OLE_LINK619" w:colFirst="2" w:colLast="3"/>
            <w:bookmarkStart w:id="926" w:name="OLE_LINK1554" w:colFirst="3" w:colLast="3"/>
            <w:bookmarkStart w:id="927" w:name="OLE_LINK1555" w:colFirst="3" w:colLast="3"/>
            <w:r>
              <w:rPr>
                <w:rFonts w:hint="eastAsia" w:cs="Times New Roman"/>
                <w:color w:val="000000" w:themeColor="text1"/>
                <w:sz w:val="21"/>
                <w:szCs w:val="21"/>
                <w:highlight w:val="none"/>
                <w:lang w:val="en-US" w:eastAsia="zh-CN"/>
                <w14:textFill>
                  <w14:solidFill>
                    <w14:schemeClr w14:val="tx1"/>
                  </w14:solidFill>
                </w14:textFill>
              </w:rPr>
              <w:t>星火7斜井</w:t>
            </w:r>
          </w:p>
        </w:tc>
        <w:tc>
          <w:tcPr>
            <w:tcW w:w="794" w:type="pct"/>
            <w:vAlign w:val="center"/>
          </w:tcPr>
          <w:p w14:paraId="6F7961F8">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820" w:type="pct"/>
            <w:vAlign w:val="center"/>
          </w:tcPr>
          <w:p w14:paraId="50911085">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721" w:type="pct"/>
            <w:vAlign w:val="center"/>
          </w:tcPr>
          <w:p w14:paraId="4B00E7C8">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01" w:type="pct"/>
            <w:vAlign w:val="center"/>
          </w:tcPr>
          <w:p w14:paraId="443233B5">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0.12-0.20</w:t>
            </w:r>
          </w:p>
        </w:tc>
        <w:tc>
          <w:tcPr>
            <w:tcW w:w="652" w:type="pct"/>
            <w:vAlign w:val="center"/>
          </w:tcPr>
          <w:p w14:paraId="3DC266DD">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432" w:type="pct"/>
            <w:vAlign w:val="center"/>
          </w:tcPr>
          <w:p w14:paraId="5EB4AEA7">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1CD9C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776" w:type="pct"/>
            <w:vMerge w:val="continue"/>
            <w:vAlign w:val="center"/>
          </w:tcPr>
          <w:p w14:paraId="1D4EE28B">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928" w:name="OLE_LINK1553" w:colFirst="3" w:colLast="3"/>
          </w:p>
        </w:tc>
        <w:tc>
          <w:tcPr>
            <w:tcW w:w="794" w:type="pct"/>
            <w:vAlign w:val="center"/>
          </w:tcPr>
          <w:p w14:paraId="47942D20">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820" w:type="pct"/>
            <w:vAlign w:val="center"/>
          </w:tcPr>
          <w:p w14:paraId="4E42B931">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721" w:type="pct"/>
            <w:vAlign w:val="center"/>
          </w:tcPr>
          <w:p w14:paraId="3808C3F4">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w:t>
            </w:r>
          </w:p>
        </w:tc>
        <w:tc>
          <w:tcPr>
            <w:tcW w:w="801" w:type="pct"/>
            <w:vAlign w:val="center"/>
          </w:tcPr>
          <w:p w14:paraId="051DC2FB">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未检出</w:t>
            </w:r>
          </w:p>
        </w:tc>
        <w:tc>
          <w:tcPr>
            <w:tcW w:w="652" w:type="pct"/>
            <w:vAlign w:val="center"/>
          </w:tcPr>
          <w:p w14:paraId="54296BEA">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32" w:type="pct"/>
            <w:vAlign w:val="center"/>
          </w:tcPr>
          <w:p w14:paraId="2979555C">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929" w:name="OLE_LINK620"/>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bookmarkEnd w:id="929"/>
          </w:p>
        </w:tc>
      </w:tr>
      <w:bookmarkEnd w:id="924"/>
      <w:bookmarkEnd w:id="925"/>
      <w:bookmarkEnd w:id="926"/>
      <w:tr w14:paraId="439DF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6" w:type="pct"/>
            <w:vMerge w:val="restart"/>
            <w:vAlign w:val="center"/>
          </w:tcPr>
          <w:p w14:paraId="1C0BBB55">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星火7斜井</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项目区下风向</w:t>
            </w:r>
          </w:p>
        </w:tc>
        <w:tc>
          <w:tcPr>
            <w:tcW w:w="1329" w:type="dxa"/>
            <w:vAlign w:val="center"/>
          </w:tcPr>
          <w:p w14:paraId="29168875">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373" w:type="dxa"/>
            <w:vAlign w:val="center"/>
          </w:tcPr>
          <w:p w14:paraId="1EA45450">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207" w:type="dxa"/>
            <w:vAlign w:val="center"/>
          </w:tcPr>
          <w:p w14:paraId="18F20558">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01" w:type="pct"/>
            <w:vAlign w:val="center"/>
          </w:tcPr>
          <w:p w14:paraId="46F9AEC8">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0.15-0.20</w:t>
            </w:r>
          </w:p>
        </w:tc>
        <w:tc>
          <w:tcPr>
            <w:tcW w:w="652" w:type="pct"/>
            <w:vAlign w:val="center"/>
          </w:tcPr>
          <w:p w14:paraId="5DB7FB03">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432" w:type="pct"/>
            <w:vAlign w:val="center"/>
          </w:tcPr>
          <w:p w14:paraId="5794FB3B">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77C3F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776" w:type="pct"/>
            <w:vMerge w:val="continue"/>
            <w:vAlign w:val="center"/>
          </w:tcPr>
          <w:p w14:paraId="284828AC">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29" w:type="dxa"/>
            <w:vAlign w:val="center"/>
          </w:tcPr>
          <w:p w14:paraId="592BB730">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1373" w:type="dxa"/>
            <w:vAlign w:val="center"/>
          </w:tcPr>
          <w:p w14:paraId="16053670">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207" w:type="dxa"/>
            <w:vAlign w:val="center"/>
          </w:tcPr>
          <w:p w14:paraId="4DFE33A3">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w:t>
            </w:r>
          </w:p>
        </w:tc>
        <w:tc>
          <w:tcPr>
            <w:tcW w:w="801" w:type="pct"/>
            <w:vAlign w:val="center"/>
          </w:tcPr>
          <w:p w14:paraId="65CD82BB">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未检出</w:t>
            </w:r>
          </w:p>
        </w:tc>
        <w:tc>
          <w:tcPr>
            <w:tcW w:w="652" w:type="pct"/>
            <w:vAlign w:val="center"/>
          </w:tcPr>
          <w:p w14:paraId="527D2FF6">
            <w:pPr>
              <w:widowControl/>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32" w:type="pct"/>
            <w:vAlign w:val="center"/>
          </w:tcPr>
          <w:p w14:paraId="7967ABE0">
            <w:pPr>
              <w:widowControl/>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bookmarkEnd w:id="927"/>
      <w:bookmarkEnd w:id="928"/>
    </w:tbl>
    <w:p w14:paraId="34E77486">
      <w:pPr>
        <w:pStyle w:val="27"/>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cs="Times New Roman"/>
          <w:b w:val="0"/>
          <w:bCs/>
          <w:color w:val="000000" w:themeColor="text1"/>
          <w:spacing w:val="5"/>
          <w:kern w:val="2"/>
          <w:szCs w:val="24"/>
          <w:highlight w:val="none"/>
          <w14:textFill>
            <w14:solidFill>
              <w14:schemeClr w14:val="tx1"/>
            </w14:solidFill>
          </w14:textFill>
        </w:rPr>
      </w:pPr>
      <w:bookmarkStart w:id="930" w:name="OLE_LINK635"/>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从表4.6-4可以看出，在监测期内，本工程</w:t>
      </w:r>
      <w:r>
        <w:rPr>
          <w:rFonts w:hint="default" w:ascii="Times New Roman" w:hAnsi="Times New Roman" w:cs="Times New Roman"/>
          <w:b w:val="0"/>
          <w:bCs/>
          <w:color w:val="000000" w:themeColor="text1"/>
          <w:spacing w:val="5"/>
          <w:kern w:val="2"/>
          <w:sz w:val="24"/>
          <w:szCs w:val="24"/>
          <w:highlight w:val="none"/>
          <w14:textFill>
            <w14:solidFill>
              <w14:schemeClr w14:val="tx1"/>
            </w14:solidFill>
          </w14:textFill>
        </w:rPr>
        <w:t>区域特征污染物H</w:t>
      </w:r>
      <w:r>
        <w:rPr>
          <w:rFonts w:hint="default" w:ascii="Times New Roman" w:hAnsi="Times New Roman" w:cs="Times New Roman"/>
          <w:b w:val="0"/>
          <w:bCs/>
          <w:color w:val="000000" w:themeColor="text1"/>
          <w:spacing w:val="5"/>
          <w:kern w:val="2"/>
          <w:sz w:val="24"/>
          <w:szCs w:val="24"/>
          <w:highlight w:val="none"/>
          <w:vertAlign w:val="subscript"/>
          <w14:textFill>
            <w14:solidFill>
              <w14:schemeClr w14:val="tx1"/>
            </w14:solidFill>
          </w14:textFill>
        </w:rPr>
        <w:t>2</w:t>
      </w:r>
      <w:r>
        <w:rPr>
          <w:rFonts w:hint="default" w:ascii="Times New Roman" w:hAnsi="Times New Roman" w:cs="Times New Roman"/>
          <w:b w:val="0"/>
          <w:bCs/>
          <w:color w:val="000000" w:themeColor="text1"/>
          <w:spacing w:val="5"/>
          <w:kern w:val="2"/>
          <w:sz w:val="24"/>
          <w:szCs w:val="24"/>
          <w:highlight w:val="none"/>
          <w14:textFill>
            <w14:solidFill>
              <w14:schemeClr w14:val="tx1"/>
            </w14:solidFill>
          </w14:textFill>
        </w:rPr>
        <w:t>S小时平均值满足《环境影响评价技术导则 大气环境》</w:t>
      </w:r>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5"/>
          <w:kern w:val="2"/>
          <w:sz w:val="24"/>
          <w:szCs w:val="24"/>
          <w:highlight w:val="none"/>
          <w14:textFill>
            <w14:solidFill>
              <w14:schemeClr w14:val="tx1"/>
            </w14:solidFill>
          </w14:textFill>
        </w:rPr>
        <w:t>HJ2.2-2018</w:t>
      </w:r>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5"/>
          <w:kern w:val="2"/>
          <w:sz w:val="24"/>
          <w:szCs w:val="24"/>
          <w:highlight w:val="none"/>
          <w14:textFill>
            <w14:solidFill>
              <w14:schemeClr w14:val="tx1"/>
            </w14:solidFill>
          </w14:textFill>
        </w:rPr>
        <w:t>附录D中其他污染物空气质量浓度参考限值0.01mg/m³的浓度限值要求；非甲烷总烃小时平均浓度满足《大气污染物综合排放标准详解》中的2.0mg/m³的标准；各监测点与油田开发活动相关的特征污染物H</w:t>
      </w:r>
      <w:r>
        <w:rPr>
          <w:rFonts w:hint="default" w:ascii="Times New Roman" w:hAnsi="Times New Roman" w:cs="Times New Roman"/>
          <w:b w:val="0"/>
          <w:bCs/>
          <w:color w:val="000000" w:themeColor="text1"/>
          <w:spacing w:val="5"/>
          <w:kern w:val="2"/>
          <w:sz w:val="24"/>
          <w:szCs w:val="24"/>
          <w:highlight w:val="none"/>
          <w:vertAlign w:val="subscript"/>
          <w14:textFill>
            <w14:solidFill>
              <w14:schemeClr w14:val="tx1"/>
            </w14:solidFill>
          </w14:textFill>
        </w:rPr>
        <w:t>2</w:t>
      </w:r>
      <w:r>
        <w:rPr>
          <w:rFonts w:hint="default" w:ascii="Times New Roman" w:hAnsi="Times New Roman" w:cs="Times New Roman"/>
          <w:b w:val="0"/>
          <w:bCs/>
          <w:color w:val="000000" w:themeColor="text1"/>
          <w:spacing w:val="5"/>
          <w:kern w:val="2"/>
          <w:sz w:val="24"/>
          <w:szCs w:val="24"/>
          <w:highlight w:val="none"/>
          <w14:textFill>
            <w14:solidFill>
              <w14:schemeClr w14:val="tx1"/>
            </w14:solidFill>
          </w14:textFill>
        </w:rPr>
        <w:t>S、非甲烷总烃均达标</w:t>
      </w:r>
      <w:r>
        <w:rPr>
          <w:rFonts w:hint="default" w:ascii="Times New Roman" w:hAnsi="Times New Roman" w:cs="Times New Roman"/>
          <w:b w:val="0"/>
          <w:bCs/>
          <w:color w:val="000000" w:themeColor="text1"/>
          <w:spacing w:val="5"/>
          <w:kern w:val="2"/>
          <w:szCs w:val="24"/>
          <w:highlight w:val="none"/>
          <w14:textFill>
            <w14:solidFill>
              <w14:schemeClr w14:val="tx1"/>
            </w14:solidFill>
          </w14:textFill>
        </w:rPr>
        <w:t>。</w:t>
      </w:r>
      <w:bookmarkEnd w:id="930"/>
    </w:p>
    <w:p w14:paraId="61F79AE1">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31" w:name="_Toc75438896"/>
      <w:bookmarkStart w:id="932" w:name="_Toc21525863"/>
      <w:bookmarkStart w:id="933" w:name="_Toc25967"/>
      <w:bookmarkStart w:id="934" w:name="_Toc32365"/>
      <w:bookmarkStart w:id="935" w:name="_Toc75438898"/>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7</w:t>
      </w:r>
      <w:bookmarkEnd w:id="931"/>
      <w:bookmarkEnd w:id="932"/>
      <w:bookmarkEnd w:id="933"/>
      <w:r>
        <w:rPr>
          <w:rFonts w:hint="default" w:ascii="Times New Roman" w:hAnsi="Times New Roman" w:cs="Times New Roman"/>
          <w:color w:val="000000" w:themeColor="text1"/>
          <w:highlight w:val="none"/>
          <w14:textFill>
            <w14:solidFill>
              <w14:schemeClr w14:val="tx1"/>
            </w14:solidFill>
          </w14:textFill>
        </w:rPr>
        <w:t>声环境现状调查与评价</w:t>
      </w:r>
      <w:bookmarkEnd w:id="934"/>
    </w:p>
    <w:p w14:paraId="7D9DB4B3">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36" w:name="_Toc10120"/>
      <w:bookmarkStart w:id="937" w:name="_Toc25131"/>
      <w:bookmarkStart w:id="938" w:name="_Toc7953"/>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.1</w:t>
      </w:r>
      <w:bookmarkEnd w:id="936"/>
      <w:bookmarkEnd w:id="937"/>
      <w:bookmarkEnd w:id="938"/>
      <w:bookmarkStart w:id="939" w:name="OLE_LINK622"/>
      <w:r>
        <w:rPr>
          <w:rFonts w:hint="default" w:ascii="Times New Roman" w:hAnsi="Times New Roman" w:cs="Times New Roman"/>
          <w:color w:val="000000" w:themeColor="text1"/>
          <w:highlight w:val="none"/>
          <w14:textFill>
            <w14:solidFill>
              <w14:schemeClr w14:val="tx1"/>
            </w14:solidFill>
          </w14:textFill>
        </w:rPr>
        <w:t>声环境</w:t>
      </w:r>
      <w:bookmarkEnd w:id="939"/>
      <w:r>
        <w:rPr>
          <w:rFonts w:hint="default" w:ascii="Times New Roman" w:hAnsi="Times New Roman" w:cs="Times New Roman"/>
          <w:color w:val="000000" w:themeColor="text1"/>
          <w:highlight w:val="none"/>
          <w14:textFill>
            <w14:solidFill>
              <w14:schemeClr w14:val="tx1"/>
            </w14:solidFill>
          </w14:textFill>
        </w:rPr>
        <w:t>现状监测</w:t>
      </w:r>
    </w:p>
    <w:p w14:paraId="6D61CB31">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调查方</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法</w:t>
      </w:r>
    </w:p>
    <w:p w14:paraId="4880F4BF">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声环境现状调查采用实测法。</w:t>
      </w:r>
    </w:p>
    <w:p w14:paraId="4B76F287">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（2）监测布点</w:t>
      </w:r>
    </w:p>
    <w:p w14:paraId="09264003">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本次评价在工程所在区域布设</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个监测点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监测点基本满足</w:t>
      </w:r>
      <w:bookmarkStart w:id="940" w:name="OLE_LINK623"/>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《环境影响评价技术导则 声环境》（HJ2.4-2021）</w:t>
      </w:r>
      <w:bookmarkEnd w:id="940"/>
      <w:bookmarkStart w:id="941" w:name="OLE_LINK625"/>
      <w:r>
        <w:rPr>
          <w:rFonts w:hint="eastAsia" w:cs="Times New Roman"/>
          <w:color w:val="000000" w:themeColor="text1"/>
          <w:sz w:val="24"/>
          <w:szCs w:val="24"/>
          <w:highlight w:val="none"/>
          <w:lang w:val="en-US" w:eastAsia="zh-CN"/>
          <w14:textFill>
            <w14:solidFill>
              <w14:schemeClr w14:val="tx1"/>
            </w14:solidFill>
          </w14:textFill>
        </w:rPr>
        <w:t>的要求</w:t>
      </w:r>
      <w:bookmarkEnd w:id="941"/>
      <w:r>
        <w:rPr>
          <w:rFonts w:hint="eastAsia"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各监测点设置情况及基本信息见表4.7-1，具体监测点位见附图13。</w:t>
      </w:r>
    </w:p>
    <w:p w14:paraId="097F4509">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bookmarkStart w:id="942" w:name="OLE_LINK630"/>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表</w:t>
      </w:r>
      <w:bookmarkStart w:id="943" w:name="OLE_LINK629"/>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-1</w:t>
      </w:r>
      <w:bookmarkEnd w:id="943"/>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声环境</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监测点设置情况一览表</w:t>
      </w:r>
    </w:p>
    <w:bookmarkEnd w:id="942"/>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4"/>
        <w:gridCol w:w="1819"/>
        <w:gridCol w:w="2487"/>
        <w:gridCol w:w="1125"/>
        <w:gridCol w:w="798"/>
        <w:gridCol w:w="1296"/>
      </w:tblGrid>
      <w:tr w14:paraId="3904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83" w:type="pct"/>
            <w:shd w:val="clear" w:color="auto" w:fill="auto"/>
            <w:vAlign w:val="center"/>
          </w:tcPr>
          <w:p w14:paraId="076C3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监测点位名称</w:t>
            </w:r>
          </w:p>
        </w:tc>
        <w:tc>
          <w:tcPr>
            <w:tcW w:w="2527" w:type="pct"/>
            <w:gridSpan w:val="2"/>
            <w:shd w:val="clear" w:color="auto" w:fill="auto"/>
            <w:vAlign w:val="center"/>
          </w:tcPr>
          <w:p w14:paraId="2FEDC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地理坐标</w:t>
            </w:r>
          </w:p>
        </w:tc>
        <w:tc>
          <w:tcPr>
            <w:tcW w:w="660" w:type="pct"/>
            <w:shd w:val="clear" w:color="auto" w:fill="auto"/>
            <w:vAlign w:val="center"/>
          </w:tcPr>
          <w:p w14:paraId="272323E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监测因子</w:t>
            </w:r>
          </w:p>
        </w:tc>
        <w:tc>
          <w:tcPr>
            <w:tcW w:w="468" w:type="pct"/>
            <w:shd w:val="clear" w:color="auto" w:fill="auto"/>
            <w:vAlign w:val="center"/>
          </w:tcPr>
          <w:p w14:paraId="3A1E8D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监测时间</w:t>
            </w:r>
          </w:p>
        </w:tc>
        <w:tc>
          <w:tcPr>
            <w:tcW w:w="760" w:type="pct"/>
            <w:shd w:val="clear" w:color="auto" w:fill="auto"/>
            <w:vAlign w:val="center"/>
          </w:tcPr>
          <w:p w14:paraId="09EBE6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w:t>
            </w:r>
          </w:p>
          <w:p w14:paraId="3A4DCC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r>
      <w:tr w14:paraId="3CFC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 w:hRule="atLeast"/>
          <w:jc w:val="center"/>
        </w:trPr>
        <w:tc>
          <w:tcPr>
            <w:tcW w:w="583" w:type="pct"/>
            <w:vMerge w:val="restart"/>
            <w:shd w:val="clear" w:color="auto" w:fill="auto"/>
            <w:noWrap/>
            <w:vAlign w:val="center"/>
          </w:tcPr>
          <w:p w14:paraId="625C24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bookmarkStart w:id="944" w:name="OLE_LINK631"/>
            <w:r>
              <w:rPr>
                <w:rFonts w:hint="eastAsia" w:cs="Times New Roman"/>
                <w:color w:val="000000" w:themeColor="text1"/>
                <w:sz w:val="21"/>
                <w:szCs w:val="21"/>
                <w:highlight w:val="none"/>
                <w:lang w:val="en-US" w:eastAsia="zh-CN" w:bidi="ar-SA"/>
                <w14:textFill>
                  <w14:solidFill>
                    <w14:schemeClr w14:val="tx1"/>
                  </w14:solidFill>
                </w14:textFill>
              </w:rPr>
              <w:t>星火7斜井</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井</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场</w:t>
            </w:r>
            <w:bookmarkEnd w:id="944"/>
          </w:p>
        </w:tc>
        <w:tc>
          <w:tcPr>
            <w:tcW w:w="1067" w:type="pct"/>
            <w:shd w:val="clear" w:color="auto" w:fill="auto"/>
            <w:vAlign w:val="center"/>
          </w:tcPr>
          <w:p w14:paraId="3C981A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bookmarkStart w:id="945" w:name="OLE_LINK624"/>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厂界东侧 1m</w:t>
            </w:r>
          </w:p>
        </w:tc>
        <w:tc>
          <w:tcPr>
            <w:tcW w:w="1459" w:type="pct"/>
            <w:shd w:val="clear" w:color="auto" w:fill="auto"/>
            <w:vAlign w:val="center"/>
          </w:tcPr>
          <w:p w14:paraId="0489B225">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60" w:type="pct"/>
            <w:vMerge w:val="restart"/>
            <w:shd w:val="clear" w:color="auto" w:fill="auto"/>
            <w:vAlign w:val="center"/>
          </w:tcPr>
          <w:p w14:paraId="4B4579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等效连续A声级</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Leq</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bookmarkEnd w:id="945"/>
          </w:p>
        </w:tc>
        <w:tc>
          <w:tcPr>
            <w:tcW w:w="468" w:type="pct"/>
            <w:vMerge w:val="restart"/>
            <w:shd w:val="clear" w:color="auto" w:fill="auto"/>
            <w:vAlign w:val="center"/>
          </w:tcPr>
          <w:p w14:paraId="7DDE83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202</w:t>
            </w:r>
            <w:r>
              <w:rPr>
                <w:rFonts w:hint="eastAsia"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月</w:t>
            </w:r>
          </w:p>
        </w:tc>
        <w:tc>
          <w:tcPr>
            <w:tcW w:w="760" w:type="pct"/>
            <w:vMerge w:val="restart"/>
            <w:shd w:val="clear" w:color="auto" w:fill="auto"/>
            <w:vAlign w:val="center"/>
          </w:tcPr>
          <w:p w14:paraId="2F9D2D8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巴州康安职业环境检测评价有限公司</w:t>
            </w:r>
          </w:p>
        </w:tc>
      </w:tr>
      <w:tr w14:paraId="6F20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 w:hRule="atLeast"/>
          <w:jc w:val="center"/>
        </w:trPr>
        <w:tc>
          <w:tcPr>
            <w:tcW w:w="583" w:type="pct"/>
            <w:vMerge w:val="continue"/>
            <w:shd w:val="clear" w:color="auto" w:fill="auto"/>
            <w:noWrap/>
            <w:vAlign w:val="center"/>
          </w:tcPr>
          <w:p w14:paraId="4327E9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color w:val="000000" w:themeColor="text1"/>
                <w:highlight w:val="none"/>
                <w14:textFill>
                  <w14:solidFill>
                    <w14:schemeClr w14:val="tx1"/>
                  </w14:solidFill>
                </w14:textFill>
              </w:rPr>
            </w:pPr>
          </w:p>
        </w:tc>
        <w:tc>
          <w:tcPr>
            <w:tcW w:w="1067" w:type="pct"/>
            <w:shd w:val="clear" w:color="auto" w:fill="auto"/>
            <w:vAlign w:val="center"/>
          </w:tcPr>
          <w:p w14:paraId="3A7F023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南</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1459" w:type="pct"/>
            <w:shd w:val="clear" w:color="auto" w:fill="auto"/>
            <w:vAlign w:val="center"/>
          </w:tcPr>
          <w:p w14:paraId="7863AFDF">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60" w:type="pct"/>
            <w:vMerge w:val="continue"/>
            <w:shd w:val="clear" w:color="auto" w:fill="auto"/>
            <w:vAlign w:val="center"/>
          </w:tcPr>
          <w:p w14:paraId="56C377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68" w:type="pct"/>
            <w:vMerge w:val="continue"/>
            <w:shd w:val="clear" w:color="auto" w:fill="auto"/>
            <w:vAlign w:val="center"/>
          </w:tcPr>
          <w:p w14:paraId="35B68B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60" w:type="pct"/>
            <w:vMerge w:val="continue"/>
            <w:shd w:val="clear" w:color="auto" w:fill="auto"/>
            <w:vAlign w:val="center"/>
          </w:tcPr>
          <w:p w14:paraId="68CDFA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001F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 w:hRule="atLeast"/>
          <w:jc w:val="center"/>
        </w:trPr>
        <w:tc>
          <w:tcPr>
            <w:tcW w:w="583" w:type="pct"/>
            <w:vMerge w:val="continue"/>
            <w:shd w:val="clear" w:color="auto" w:fill="auto"/>
            <w:noWrap/>
            <w:vAlign w:val="center"/>
          </w:tcPr>
          <w:p w14:paraId="7EC4C2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67" w:type="pct"/>
            <w:shd w:val="clear" w:color="auto" w:fill="auto"/>
            <w:vAlign w:val="center"/>
          </w:tcPr>
          <w:p w14:paraId="4E89BC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西</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1459" w:type="pct"/>
            <w:shd w:val="clear" w:color="auto" w:fill="auto"/>
            <w:vAlign w:val="center"/>
          </w:tcPr>
          <w:p w14:paraId="54AD94E4">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60" w:type="pct"/>
            <w:vMerge w:val="continue"/>
            <w:shd w:val="clear" w:color="auto" w:fill="auto"/>
            <w:vAlign w:val="center"/>
          </w:tcPr>
          <w:p w14:paraId="734008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68" w:type="pct"/>
            <w:vMerge w:val="continue"/>
            <w:shd w:val="clear" w:color="auto" w:fill="auto"/>
            <w:vAlign w:val="center"/>
          </w:tcPr>
          <w:p w14:paraId="105CD0A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60" w:type="pct"/>
            <w:vMerge w:val="continue"/>
            <w:shd w:val="clear" w:color="auto" w:fill="auto"/>
            <w:vAlign w:val="center"/>
          </w:tcPr>
          <w:p w14:paraId="45DB95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2916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 w:hRule="atLeast"/>
          <w:jc w:val="center"/>
        </w:trPr>
        <w:tc>
          <w:tcPr>
            <w:tcW w:w="583" w:type="pct"/>
            <w:vMerge w:val="continue"/>
            <w:shd w:val="clear" w:color="auto" w:fill="auto"/>
            <w:noWrap/>
            <w:vAlign w:val="center"/>
          </w:tcPr>
          <w:p w14:paraId="4E1324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67" w:type="pct"/>
            <w:shd w:val="clear" w:color="auto" w:fill="auto"/>
            <w:vAlign w:val="center"/>
          </w:tcPr>
          <w:p w14:paraId="202781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北</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1459" w:type="pct"/>
            <w:shd w:val="clear" w:color="auto" w:fill="auto"/>
            <w:vAlign w:val="center"/>
          </w:tcPr>
          <w:p w14:paraId="0507C41F">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60" w:type="pct"/>
            <w:vMerge w:val="continue"/>
            <w:shd w:val="clear" w:color="auto" w:fill="auto"/>
            <w:vAlign w:val="center"/>
          </w:tcPr>
          <w:p w14:paraId="4B130B6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68" w:type="pct"/>
            <w:vMerge w:val="continue"/>
            <w:shd w:val="clear" w:color="auto" w:fill="auto"/>
            <w:vAlign w:val="center"/>
          </w:tcPr>
          <w:p w14:paraId="6CCB05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60" w:type="pct"/>
            <w:vMerge w:val="continue"/>
            <w:shd w:val="clear" w:color="auto" w:fill="auto"/>
            <w:vAlign w:val="center"/>
          </w:tcPr>
          <w:p w14:paraId="601358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bl>
    <w:p w14:paraId="3DAE0FC1">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）监测频率</w:t>
      </w:r>
    </w:p>
    <w:p w14:paraId="6AE6DEF5">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监测1天，昼间、夜间各</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次</w:t>
      </w:r>
      <w:r>
        <w:rPr>
          <w:rFonts w:hint="eastAsia" w:cs="Times New Roman"/>
          <w:color w:val="000000" w:themeColor="text1"/>
          <w:sz w:val="24"/>
          <w:szCs w:val="24"/>
          <w:highlight w:val="none"/>
          <w:lang w:eastAsia="zh-CN"/>
          <w14:textFill>
            <w14:solidFill>
              <w14:schemeClr w14:val="tx1"/>
            </w14:solidFill>
          </w14:textFill>
        </w:rPr>
        <w:t>。</w:t>
      </w:r>
    </w:p>
    <w:p w14:paraId="2B017984">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（4）监测项目及分析方法</w:t>
      </w:r>
    </w:p>
    <w:p w14:paraId="36E9FB5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监测项目</w:t>
      </w:r>
    </w:p>
    <w:p w14:paraId="1EDE5A13">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0"/>
        <w:textAlignment w:val="auto"/>
        <w:rPr>
          <w:rFonts w:hint="eastAsia"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根据</w:t>
      </w:r>
      <w:bookmarkStart w:id="946" w:name="OLE_LINK626"/>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《环境影响评价技术导则 声环境》（HJ2.4-2021）</w:t>
      </w:r>
      <w:bookmarkEnd w:id="946"/>
      <w:r>
        <w:rPr>
          <w:rFonts w:hint="eastAsia" w:cs="Times New Roman"/>
          <w:color w:val="000000" w:themeColor="text1"/>
          <w:sz w:val="24"/>
          <w:szCs w:val="24"/>
          <w:highlight w:val="none"/>
          <w:lang w:val="en-US" w:eastAsia="zh-CN"/>
          <w14:textFill>
            <w14:solidFill>
              <w14:schemeClr w14:val="tx1"/>
            </w14:solidFill>
          </w14:textFill>
        </w:rPr>
        <w:t>的要求</w:t>
      </w:r>
      <w:r>
        <w:rPr>
          <w:rFonts w:hint="eastAsia"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0"/>
          <w:highlight w:val="none"/>
          <w14:textFill>
            <w14:solidFill>
              <w14:schemeClr w14:val="tx1"/>
            </w14:solidFill>
          </w14:textFill>
        </w:rPr>
        <w:t>本次评价的监测项目</w:t>
      </w:r>
      <w:r>
        <w:rPr>
          <w:rFonts w:hint="eastAsia" w:cs="Times New Roman"/>
          <w:color w:val="000000" w:themeColor="text1"/>
          <w:sz w:val="24"/>
          <w:szCs w:val="20"/>
          <w:highlight w:val="none"/>
          <w:lang w:val="en-US" w:eastAsia="zh-CN"/>
          <w14:textFill>
            <w14:solidFill>
              <w14:schemeClr w14:val="tx1"/>
            </w14:solidFill>
          </w14:textFill>
        </w:rPr>
        <w:t>为等效连续A声级（L</w:t>
      </w:r>
      <w:r>
        <w:rPr>
          <w:rFonts w:hint="eastAsia" w:cs="Times New Roman"/>
          <w:color w:val="000000" w:themeColor="text1"/>
          <w:sz w:val="24"/>
          <w:szCs w:val="20"/>
          <w:highlight w:val="none"/>
          <w:vertAlign w:val="subscript"/>
          <w:lang w:val="en-US" w:eastAsia="zh-CN"/>
          <w14:textFill>
            <w14:solidFill>
              <w14:schemeClr w14:val="tx1"/>
            </w14:solidFill>
          </w14:textFill>
        </w:rPr>
        <w:t>eq</w:t>
      </w:r>
      <w:r>
        <w:rPr>
          <w:rFonts w:hint="eastAsia" w:cs="Times New Roman"/>
          <w:color w:val="000000" w:themeColor="text1"/>
          <w:sz w:val="24"/>
          <w:szCs w:val="20"/>
          <w:highlight w:val="none"/>
          <w:lang w:val="en-US" w:eastAsia="zh-CN"/>
          <w14:textFill>
            <w14:solidFill>
              <w14:schemeClr w14:val="tx1"/>
            </w14:solidFill>
          </w14:textFill>
        </w:rPr>
        <w:t>）。</w:t>
      </w:r>
    </w:p>
    <w:p w14:paraId="0AF9640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0"/>
          <w:highlight w:val="none"/>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0"/>
          <w:highlight w:val="none"/>
          <w14:textFill>
            <w14:solidFill>
              <w14:schemeClr w14:val="tx1"/>
            </w14:solidFill>
          </w14:textFill>
        </w:rPr>
        <w:t>②</w:t>
      </w:r>
      <w:r>
        <w:rPr>
          <w:rFonts w:hint="default" w:ascii="Times New Roman" w:hAnsi="Times New Roman" w:eastAsia="宋体" w:cs="Times New Roman"/>
          <w:color w:val="000000" w:themeColor="text1"/>
          <w:sz w:val="24"/>
          <w:szCs w:val="20"/>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0"/>
          <w:highlight w:val="none"/>
          <w14:textFill>
            <w14:solidFill>
              <w14:schemeClr w14:val="tx1"/>
            </w14:solidFill>
          </w14:textFill>
        </w:rPr>
        <w:t>分析方法</w:t>
      </w:r>
    </w:p>
    <w:p w14:paraId="2DCE0AA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监测分析方法按照《声环境质量标准》（GB3096-2008）</w:t>
      </w:r>
      <w:r>
        <w:rPr>
          <w:rFonts w:hint="default" w:ascii="Times New Roman" w:hAnsi="Times New Roman" w:cs="Times New Roman"/>
          <w:color w:val="000000" w:themeColor="text1"/>
          <w:sz w:val="24"/>
          <w:szCs w:val="24"/>
          <w:highlight w:val="none"/>
          <w14:textFill>
            <w14:solidFill>
              <w14:schemeClr w14:val="tx1"/>
            </w14:solidFill>
          </w14:textFill>
        </w:rPr>
        <w:t>《工业企业厂界环境噪声排放标准》</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 12348-2008</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bookmarkStart w:id="947" w:name="OLE_LINK628"/>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环境影响评价技术导则 声环境</w:t>
      </w:r>
      <w:bookmarkEnd w:id="947"/>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》（HJ2.4-2021）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有关标准和规范执行。</w:t>
      </w:r>
    </w:p>
    <w:p w14:paraId="424892C6">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highlight w:val="none"/>
          <w14:textFill>
            <w14:solidFill>
              <w14:schemeClr w14:val="tx1"/>
            </w14:solidFill>
          </w14:textFill>
        </w:rPr>
      </w:pPr>
      <w:bookmarkStart w:id="948" w:name="_Toc11096"/>
      <w:bookmarkStart w:id="949" w:name="_Toc25319"/>
      <w:bookmarkStart w:id="950" w:name="_Toc23822"/>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.2</w:t>
      </w:r>
      <w:bookmarkEnd w:id="948"/>
      <w:bookmarkEnd w:id="949"/>
      <w:bookmarkEnd w:id="950"/>
      <w:r>
        <w:rPr>
          <w:rFonts w:hint="default" w:ascii="Times New Roman" w:hAnsi="Times New Roman" w:cs="Times New Roman"/>
          <w:color w:val="000000" w:themeColor="text1"/>
          <w:highlight w:val="none"/>
          <w14:textFill>
            <w14:solidFill>
              <w14:schemeClr w14:val="tx1"/>
            </w14:solidFill>
          </w14:textFill>
        </w:rPr>
        <w:t>声环境现状评价</w:t>
      </w:r>
    </w:p>
    <w:bookmarkEnd w:id="935"/>
    <w:p w14:paraId="33A4792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14:textFill>
            <w14:solidFill>
              <w14:schemeClr w14:val="tx1"/>
            </w14:solidFill>
          </w14:textFill>
        </w:rPr>
      </w:pPr>
      <w:bookmarkStart w:id="951" w:name="OLE_LINK627"/>
      <w:r>
        <w:rPr>
          <w:rFonts w:hint="default" w:ascii="Times New Roman" w:hAnsi="Times New Roman" w:eastAsia="宋体" w:cs="Times New Roman"/>
          <w:color w:val="000000" w:themeColor="text1"/>
          <w:sz w:val="24"/>
          <w:szCs w:val="20"/>
          <w:highlight w:val="none"/>
          <w14:textFill>
            <w14:solidFill>
              <w14:schemeClr w14:val="tx1"/>
            </w14:solidFill>
          </w14:textFill>
        </w:rPr>
        <w:t>（1）评价标准</w:t>
      </w:r>
    </w:p>
    <w:bookmarkEnd w:id="951"/>
    <w:p w14:paraId="47F15F2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sz w:val="11"/>
          <w:szCs w:val="11"/>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工程所在区域</w:t>
      </w:r>
      <w:r>
        <w:rPr>
          <w:rFonts w:hint="default" w:ascii="Times New Roman" w:hAnsi="Times New Roman" w:eastAsia="宋体" w:cs="Times New Roman"/>
          <w:color w:val="000000" w:themeColor="text1"/>
          <w:sz w:val="24"/>
          <w:szCs w:val="20"/>
          <w:highlight w:val="none"/>
          <w14:textFill>
            <w14:solidFill>
              <w14:schemeClr w14:val="tx1"/>
            </w14:solidFill>
          </w14:textFill>
        </w:rPr>
        <w:t>已建</w:t>
      </w:r>
      <w:r>
        <w:rPr>
          <w:rFonts w:hint="eastAsia" w:ascii="Times New Roman" w:hAnsi="Times New Roman" w:eastAsia="宋体" w:cs="Times New Roman"/>
          <w:color w:val="000000" w:themeColor="text1"/>
          <w:sz w:val="24"/>
          <w:szCs w:val="20"/>
          <w:highlight w:val="none"/>
          <w14:textFill>
            <w14:solidFill>
              <w14:schemeClr w14:val="tx1"/>
            </w14:solidFill>
          </w14:textFill>
        </w:rPr>
        <w:t>井场厂界噪声</w:t>
      </w:r>
      <w:r>
        <w:rPr>
          <w:rFonts w:hint="default" w:ascii="Times New Roman" w:hAnsi="Times New Roman" w:eastAsia="宋体" w:cs="Times New Roman"/>
          <w:color w:val="000000" w:themeColor="text1"/>
          <w:sz w:val="24"/>
          <w:szCs w:val="20"/>
          <w:highlight w:val="none"/>
          <w14:textFill>
            <w14:solidFill>
              <w14:schemeClr w14:val="tx1"/>
            </w14:solidFill>
          </w14:textFill>
        </w:rPr>
        <w:t>执行《工业企业厂界环境噪声排放标准》（GB 12348-2008）中2类标准</w:t>
      </w:r>
      <w:r>
        <w:rPr>
          <w:rFonts w:hint="default" w:ascii="Times New Roman" w:hAnsi="Times New Roman" w:cs="Times New Roman"/>
          <w:color w:val="000000" w:themeColor="text1"/>
          <w:highlight w:val="none"/>
          <w14:textFill>
            <w14:solidFill>
              <w14:schemeClr w14:val="tx1"/>
            </w14:solidFill>
          </w14:textFill>
        </w:rPr>
        <w:t>，即昼间60dB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，夜间50dB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背景噪声</w:t>
      </w:r>
      <w:r>
        <w:rPr>
          <w:rFonts w:hint="default" w:ascii="Times New Roman" w:hAnsi="Times New Roman" w:cs="Times New Roman"/>
          <w:color w:val="000000" w:themeColor="text1"/>
          <w:highlight w:val="none"/>
          <w14:textFill>
            <w14:solidFill>
              <w14:schemeClr w14:val="tx1"/>
            </w14:solidFill>
          </w14:textFill>
        </w:rPr>
        <w:t>执行</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声环境质量标准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GB3096-2008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2类标准，即昼间60dB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，夜间50dB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p>
    <w:p w14:paraId="09EBC730">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）评价方法</w:t>
      </w:r>
    </w:p>
    <w:p w14:paraId="794ED2C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采用对标法对声环境质量现状进行评价，即用现状监测结果与标准值进行对比</w:t>
      </w:r>
      <w:r>
        <w:rPr>
          <w:rFonts w:hint="eastAsia" w:eastAsia="宋体" w:cs="Times New Roman"/>
          <w:color w:val="000000" w:themeColor="text1"/>
          <w:sz w:val="24"/>
          <w:szCs w:val="20"/>
          <w:highlight w:val="none"/>
          <w:lang w:val="en-US" w:eastAsia="zh-CN"/>
          <w14:textFill>
            <w14:solidFill>
              <w14:schemeClr w14:val="tx1"/>
            </w14:solidFill>
          </w14:textFill>
        </w:rPr>
        <w:t>。</w:t>
      </w:r>
    </w:p>
    <w:p w14:paraId="6CFCC90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）监测及评价结果</w:t>
      </w:r>
    </w:p>
    <w:p w14:paraId="3CEDAB06">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14:textFill>
            <w14:solidFill>
              <w14:schemeClr w14:val="tx1"/>
            </w14:solidFill>
          </w14:textFill>
        </w:rPr>
        <w:t>声环境现状监测及评价结果见表4.7-</w:t>
      </w:r>
      <w:r>
        <w:rPr>
          <w:rFonts w:hint="eastAsia" w:eastAsia="宋体" w:cs="Times New Roman"/>
          <w:color w:val="000000" w:themeColor="text1"/>
          <w:sz w:val="24"/>
          <w:szCs w:val="20"/>
          <w:highlight w:val="none"/>
          <w:lang w:val="en-US" w:eastAsia="zh-CN"/>
          <w14:textFill>
            <w14:solidFill>
              <w14:schemeClr w14:val="tx1"/>
            </w14:solidFill>
          </w14:textFill>
        </w:rPr>
        <w:t>2。</w:t>
      </w:r>
    </w:p>
    <w:p w14:paraId="72C3AAB2">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表4.</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声环境</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监测点设置情况一览表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8"/>
        <w:gridCol w:w="802"/>
        <w:gridCol w:w="1559"/>
        <w:gridCol w:w="909"/>
        <w:gridCol w:w="924"/>
        <w:gridCol w:w="619"/>
        <w:gridCol w:w="762"/>
        <w:gridCol w:w="823"/>
        <w:gridCol w:w="660"/>
        <w:gridCol w:w="823"/>
      </w:tblGrid>
      <w:tr w14:paraId="76BD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73" w:type="pct"/>
            <w:vMerge w:val="restart"/>
            <w:shd w:val="clear" w:color="auto" w:fill="auto"/>
            <w:noWrap/>
            <w:vAlign w:val="center"/>
          </w:tcPr>
          <w:p w14:paraId="743868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序号</w:t>
            </w:r>
          </w:p>
        </w:tc>
        <w:tc>
          <w:tcPr>
            <w:tcW w:w="1386" w:type="pct"/>
            <w:gridSpan w:val="2"/>
            <w:vMerge w:val="restart"/>
            <w:shd w:val="clear" w:color="auto" w:fill="auto"/>
            <w:vAlign w:val="center"/>
          </w:tcPr>
          <w:p w14:paraId="6466AD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监测点位</w:t>
            </w:r>
          </w:p>
        </w:tc>
        <w:tc>
          <w:tcPr>
            <w:tcW w:w="533" w:type="pct"/>
            <w:vMerge w:val="restart"/>
            <w:shd w:val="clear" w:color="auto" w:fill="auto"/>
            <w:vAlign w:val="center"/>
          </w:tcPr>
          <w:p w14:paraId="3FE2427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监测</w:t>
            </w:r>
          </w:p>
          <w:p w14:paraId="7D6CCD4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日期</w:t>
            </w:r>
          </w:p>
        </w:tc>
        <w:tc>
          <w:tcPr>
            <w:tcW w:w="1352" w:type="pct"/>
            <w:gridSpan w:val="3"/>
            <w:shd w:val="clear" w:color="auto" w:fill="auto"/>
            <w:vAlign w:val="center"/>
          </w:tcPr>
          <w:p w14:paraId="62D9D50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昼间</w:t>
            </w:r>
          </w:p>
        </w:tc>
        <w:tc>
          <w:tcPr>
            <w:tcW w:w="1353" w:type="pct"/>
            <w:gridSpan w:val="3"/>
            <w:shd w:val="clear" w:color="auto" w:fill="auto"/>
            <w:vAlign w:val="center"/>
          </w:tcPr>
          <w:p w14:paraId="437733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夜间</w:t>
            </w:r>
          </w:p>
        </w:tc>
      </w:tr>
      <w:tr w14:paraId="2C9F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3" w:type="pct"/>
            <w:vMerge w:val="continue"/>
            <w:shd w:val="clear" w:color="auto" w:fill="auto"/>
            <w:noWrap/>
            <w:vAlign w:val="center"/>
          </w:tcPr>
          <w:p w14:paraId="7659D6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p>
        </w:tc>
        <w:tc>
          <w:tcPr>
            <w:tcW w:w="1386" w:type="pct"/>
            <w:gridSpan w:val="2"/>
            <w:vMerge w:val="continue"/>
            <w:shd w:val="clear" w:color="auto" w:fill="auto"/>
            <w:vAlign w:val="center"/>
          </w:tcPr>
          <w:p w14:paraId="2E7FEE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p>
        </w:tc>
        <w:tc>
          <w:tcPr>
            <w:tcW w:w="533" w:type="pct"/>
            <w:vMerge w:val="continue"/>
            <w:shd w:val="clear" w:color="auto" w:fill="auto"/>
            <w:vAlign w:val="center"/>
          </w:tcPr>
          <w:p w14:paraId="679D9D0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p>
        </w:tc>
        <w:tc>
          <w:tcPr>
            <w:tcW w:w="542" w:type="pct"/>
            <w:shd w:val="clear" w:color="auto" w:fill="auto"/>
            <w:vAlign w:val="center"/>
          </w:tcPr>
          <w:p w14:paraId="382578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实测值</w:t>
            </w:r>
          </w:p>
        </w:tc>
        <w:tc>
          <w:tcPr>
            <w:tcW w:w="363" w:type="pct"/>
            <w:shd w:val="clear" w:color="auto" w:fill="auto"/>
            <w:vAlign w:val="center"/>
          </w:tcPr>
          <w:p w14:paraId="28DB528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标准值</w:t>
            </w:r>
          </w:p>
        </w:tc>
        <w:tc>
          <w:tcPr>
            <w:tcW w:w="447" w:type="pct"/>
            <w:shd w:val="clear" w:color="auto" w:fill="auto"/>
            <w:vAlign w:val="center"/>
          </w:tcPr>
          <w:p w14:paraId="52CB7F0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达标</w:t>
            </w:r>
          </w:p>
          <w:p w14:paraId="4F60FCC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情况</w:t>
            </w:r>
          </w:p>
        </w:tc>
        <w:tc>
          <w:tcPr>
            <w:tcW w:w="483" w:type="pct"/>
            <w:shd w:val="clear" w:color="auto" w:fill="auto"/>
            <w:vAlign w:val="center"/>
          </w:tcPr>
          <w:p w14:paraId="0998E2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实测值</w:t>
            </w:r>
          </w:p>
        </w:tc>
        <w:tc>
          <w:tcPr>
            <w:tcW w:w="387" w:type="pct"/>
            <w:shd w:val="clear" w:color="auto" w:fill="auto"/>
            <w:vAlign w:val="center"/>
          </w:tcPr>
          <w:p w14:paraId="6FCDBC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标准值</w:t>
            </w:r>
          </w:p>
        </w:tc>
        <w:tc>
          <w:tcPr>
            <w:tcW w:w="483" w:type="pct"/>
            <w:shd w:val="clear" w:color="auto" w:fill="auto"/>
            <w:vAlign w:val="center"/>
          </w:tcPr>
          <w:p w14:paraId="00ABC7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达标</w:t>
            </w:r>
          </w:p>
          <w:p w14:paraId="538215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情况</w:t>
            </w:r>
          </w:p>
        </w:tc>
      </w:tr>
      <w:tr w14:paraId="7802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73" w:type="pct"/>
            <w:vMerge w:val="restart"/>
            <w:shd w:val="clear" w:color="auto" w:fill="auto"/>
            <w:noWrap/>
            <w:vAlign w:val="center"/>
          </w:tcPr>
          <w:p w14:paraId="5EF369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bookmarkStart w:id="952" w:name="OLE_LINK1196" w:colFirst="2" w:colLast="2"/>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p>
        </w:tc>
        <w:tc>
          <w:tcPr>
            <w:tcW w:w="471" w:type="pct"/>
            <w:vMerge w:val="restart"/>
            <w:shd w:val="clear" w:color="auto" w:fill="auto"/>
            <w:vAlign w:val="center"/>
          </w:tcPr>
          <w:p w14:paraId="20084EFD">
            <w:pPr>
              <w:pStyle w:val="85"/>
              <w:keepNext w:val="0"/>
              <w:pageBreakBefore w:val="0"/>
              <w:kinsoku/>
              <w:wordWrap/>
              <w:overflowPunct/>
              <w:topLinePunct w:val="0"/>
              <w:bidi w:val="0"/>
              <w:spacing w:after="0" w:line="24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星火7斜井</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井</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场</w:t>
            </w:r>
          </w:p>
        </w:tc>
        <w:tc>
          <w:tcPr>
            <w:tcW w:w="915" w:type="pct"/>
            <w:shd w:val="clear" w:color="auto" w:fill="auto"/>
            <w:vAlign w:val="center"/>
          </w:tcPr>
          <w:p w14:paraId="4CEB80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厂界东侧 1m</w:t>
            </w:r>
          </w:p>
        </w:tc>
        <w:tc>
          <w:tcPr>
            <w:tcW w:w="533" w:type="pct"/>
            <w:vMerge w:val="restart"/>
            <w:shd w:val="clear" w:color="auto" w:fill="auto"/>
            <w:vAlign w:val="center"/>
          </w:tcPr>
          <w:p w14:paraId="7A71F0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202</w:t>
            </w:r>
            <w:r>
              <w:rPr>
                <w:rFonts w:hint="eastAsia" w:eastAsia="宋体" w:cs="Times New Roman"/>
                <w:color w:val="000000" w:themeColor="text1"/>
                <w:sz w:val="21"/>
                <w:szCs w:val="21"/>
                <w:highlight w:val="none"/>
                <w:lang w:val="en-US" w:eastAsia="zh-CN" w:bidi="ar"/>
                <w14:textFill>
                  <w14:solidFill>
                    <w14:schemeClr w14:val="tx1"/>
                  </w14:solidFill>
                </w14:textFill>
              </w:rPr>
              <w:t>5</w:t>
            </w:r>
            <w:r>
              <w:rPr>
                <w:rFonts w:hint="eastAsia" w:cs="Times New Roman"/>
                <w:color w:val="000000" w:themeColor="text1"/>
                <w:sz w:val="21"/>
                <w:szCs w:val="21"/>
                <w:highlight w:val="none"/>
                <w:lang w:val="en-US" w:eastAsia="zh-CN" w:bidi="ar"/>
                <w14:textFill>
                  <w14:solidFill>
                    <w14:schemeClr w14:val="tx1"/>
                  </w14:solidFill>
                </w14:textFill>
              </w:rPr>
              <w:t>年7月2日—3日</w:t>
            </w:r>
          </w:p>
        </w:tc>
        <w:tc>
          <w:tcPr>
            <w:tcW w:w="542" w:type="pct"/>
            <w:shd w:val="clear" w:color="auto" w:fill="auto"/>
            <w:vAlign w:val="center"/>
          </w:tcPr>
          <w:p w14:paraId="4DA30C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48.7</w:t>
            </w:r>
          </w:p>
        </w:tc>
        <w:tc>
          <w:tcPr>
            <w:tcW w:w="363" w:type="pct"/>
            <w:vMerge w:val="restart"/>
            <w:shd w:val="clear" w:color="auto" w:fill="auto"/>
            <w:vAlign w:val="center"/>
          </w:tcPr>
          <w:p w14:paraId="34FAD77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60</w:t>
            </w:r>
          </w:p>
        </w:tc>
        <w:tc>
          <w:tcPr>
            <w:tcW w:w="447" w:type="pct"/>
            <w:shd w:val="clear" w:color="auto" w:fill="auto"/>
            <w:vAlign w:val="center"/>
          </w:tcPr>
          <w:p w14:paraId="75FE16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c>
          <w:tcPr>
            <w:tcW w:w="483" w:type="pct"/>
            <w:shd w:val="clear" w:color="auto" w:fill="auto"/>
            <w:vAlign w:val="center"/>
          </w:tcPr>
          <w:p w14:paraId="49BD5F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42.0</w:t>
            </w:r>
          </w:p>
        </w:tc>
        <w:tc>
          <w:tcPr>
            <w:tcW w:w="387" w:type="pct"/>
            <w:vMerge w:val="restart"/>
            <w:shd w:val="clear" w:color="auto" w:fill="auto"/>
            <w:vAlign w:val="center"/>
          </w:tcPr>
          <w:p w14:paraId="0B8D957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50</w:t>
            </w:r>
          </w:p>
        </w:tc>
        <w:tc>
          <w:tcPr>
            <w:tcW w:w="483" w:type="pct"/>
            <w:shd w:val="clear" w:color="auto" w:fill="auto"/>
            <w:vAlign w:val="center"/>
          </w:tcPr>
          <w:p w14:paraId="67B46C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5665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73" w:type="pct"/>
            <w:vMerge w:val="continue"/>
            <w:shd w:val="clear" w:color="auto" w:fill="auto"/>
            <w:noWrap/>
            <w:vAlign w:val="center"/>
          </w:tcPr>
          <w:p w14:paraId="7425B9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71" w:type="pct"/>
            <w:vMerge w:val="continue"/>
            <w:shd w:val="clear" w:color="auto" w:fill="auto"/>
            <w:vAlign w:val="center"/>
          </w:tcPr>
          <w:p w14:paraId="776C11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915" w:type="pct"/>
            <w:shd w:val="clear" w:color="auto" w:fill="auto"/>
            <w:vAlign w:val="center"/>
          </w:tcPr>
          <w:p w14:paraId="5C26B5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南</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533" w:type="pct"/>
            <w:vMerge w:val="continue"/>
            <w:shd w:val="clear" w:color="auto" w:fill="auto"/>
            <w:vAlign w:val="center"/>
          </w:tcPr>
          <w:p w14:paraId="268AAD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542" w:type="pct"/>
            <w:shd w:val="clear" w:color="auto" w:fill="auto"/>
            <w:vAlign w:val="center"/>
          </w:tcPr>
          <w:p w14:paraId="6F1E00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46.1</w:t>
            </w:r>
          </w:p>
        </w:tc>
        <w:tc>
          <w:tcPr>
            <w:tcW w:w="363" w:type="pct"/>
            <w:vMerge w:val="continue"/>
            <w:shd w:val="clear" w:color="auto" w:fill="auto"/>
            <w:vAlign w:val="center"/>
          </w:tcPr>
          <w:p w14:paraId="3236CA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47" w:type="pct"/>
            <w:shd w:val="clear" w:color="auto" w:fill="auto"/>
            <w:vAlign w:val="center"/>
          </w:tcPr>
          <w:p w14:paraId="6F9398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c>
          <w:tcPr>
            <w:tcW w:w="483" w:type="pct"/>
            <w:shd w:val="clear" w:color="auto" w:fill="auto"/>
            <w:vAlign w:val="center"/>
          </w:tcPr>
          <w:p w14:paraId="2BD79B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44.6</w:t>
            </w:r>
          </w:p>
        </w:tc>
        <w:tc>
          <w:tcPr>
            <w:tcW w:w="387" w:type="pct"/>
            <w:vMerge w:val="continue"/>
            <w:shd w:val="clear" w:color="auto" w:fill="auto"/>
            <w:vAlign w:val="center"/>
          </w:tcPr>
          <w:p w14:paraId="464117F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83" w:type="pct"/>
            <w:shd w:val="clear" w:color="auto" w:fill="auto"/>
            <w:vAlign w:val="center"/>
          </w:tcPr>
          <w:p w14:paraId="2AB7AC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2384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3" w:type="pct"/>
            <w:vMerge w:val="continue"/>
            <w:shd w:val="clear" w:color="auto" w:fill="auto"/>
            <w:noWrap/>
            <w:vAlign w:val="center"/>
          </w:tcPr>
          <w:p w14:paraId="445DCB8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71" w:type="pct"/>
            <w:vMerge w:val="continue"/>
            <w:shd w:val="clear" w:color="auto" w:fill="auto"/>
            <w:vAlign w:val="center"/>
          </w:tcPr>
          <w:p w14:paraId="603026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915" w:type="pct"/>
            <w:shd w:val="clear" w:color="auto" w:fill="auto"/>
            <w:vAlign w:val="center"/>
          </w:tcPr>
          <w:p w14:paraId="14BFFA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西</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533" w:type="pct"/>
            <w:vMerge w:val="continue"/>
            <w:shd w:val="clear" w:color="auto" w:fill="auto"/>
            <w:vAlign w:val="center"/>
          </w:tcPr>
          <w:p w14:paraId="27BABA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542" w:type="pct"/>
            <w:shd w:val="clear" w:color="auto" w:fill="auto"/>
            <w:vAlign w:val="center"/>
          </w:tcPr>
          <w:p w14:paraId="5C6F47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49.1</w:t>
            </w:r>
          </w:p>
        </w:tc>
        <w:tc>
          <w:tcPr>
            <w:tcW w:w="363" w:type="pct"/>
            <w:vMerge w:val="continue"/>
            <w:shd w:val="clear" w:color="auto" w:fill="auto"/>
            <w:vAlign w:val="center"/>
          </w:tcPr>
          <w:p w14:paraId="20A498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47" w:type="pct"/>
            <w:shd w:val="clear" w:color="auto" w:fill="auto"/>
            <w:vAlign w:val="center"/>
          </w:tcPr>
          <w:p w14:paraId="7222EA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c>
          <w:tcPr>
            <w:tcW w:w="483" w:type="pct"/>
            <w:shd w:val="clear" w:color="auto" w:fill="auto"/>
            <w:vAlign w:val="center"/>
          </w:tcPr>
          <w:p w14:paraId="0741AB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48.9</w:t>
            </w:r>
          </w:p>
        </w:tc>
        <w:tc>
          <w:tcPr>
            <w:tcW w:w="387" w:type="pct"/>
            <w:vMerge w:val="continue"/>
            <w:shd w:val="clear" w:color="auto" w:fill="auto"/>
            <w:vAlign w:val="center"/>
          </w:tcPr>
          <w:p w14:paraId="7F4AB3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83" w:type="pct"/>
            <w:shd w:val="clear" w:color="auto" w:fill="auto"/>
            <w:vAlign w:val="center"/>
          </w:tcPr>
          <w:p w14:paraId="306472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7F3C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3" w:type="pct"/>
            <w:vMerge w:val="continue"/>
            <w:shd w:val="clear" w:color="auto" w:fill="auto"/>
            <w:noWrap/>
            <w:vAlign w:val="center"/>
          </w:tcPr>
          <w:p w14:paraId="6F314E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71" w:type="pct"/>
            <w:vMerge w:val="continue"/>
            <w:shd w:val="clear" w:color="auto" w:fill="auto"/>
            <w:vAlign w:val="center"/>
          </w:tcPr>
          <w:p w14:paraId="15F2C7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915" w:type="pct"/>
            <w:shd w:val="clear" w:color="auto" w:fill="auto"/>
            <w:vAlign w:val="center"/>
          </w:tcPr>
          <w:p w14:paraId="34ED67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北</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侧 1m</w:t>
            </w:r>
          </w:p>
        </w:tc>
        <w:tc>
          <w:tcPr>
            <w:tcW w:w="533" w:type="pct"/>
            <w:vMerge w:val="continue"/>
            <w:shd w:val="clear" w:color="auto" w:fill="auto"/>
            <w:vAlign w:val="center"/>
          </w:tcPr>
          <w:p w14:paraId="26278E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542" w:type="pct"/>
            <w:shd w:val="clear" w:color="auto" w:fill="auto"/>
            <w:vAlign w:val="center"/>
          </w:tcPr>
          <w:p w14:paraId="109645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47.7</w:t>
            </w:r>
          </w:p>
        </w:tc>
        <w:tc>
          <w:tcPr>
            <w:tcW w:w="363" w:type="pct"/>
            <w:vMerge w:val="continue"/>
            <w:shd w:val="clear" w:color="auto" w:fill="auto"/>
            <w:vAlign w:val="center"/>
          </w:tcPr>
          <w:p w14:paraId="4B778F3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47" w:type="pct"/>
            <w:shd w:val="clear" w:color="auto" w:fill="auto"/>
            <w:vAlign w:val="center"/>
          </w:tcPr>
          <w:p w14:paraId="6649836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c>
          <w:tcPr>
            <w:tcW w:w="483" w:type="pct"/>
            <w:shd w:val="clear" w:color="auto" w:fill="auto"/>
            <w:vAlign w:val="center"/>
          </w:tcPr>
          <w:p w14:paraId="762D0F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45.3</w:t>
            </w:r>
          </w:p>
        </w:tc>
        <w:tc>
          <w:tcPr>
            <w:tcW w:w="387" w:type="pct"/>
            <w:vMerge w:val="continue"/>
            <w:shd w:val="clear" w:color="auto" w:fill="auto"/>
            <w:vAlign w:val="center"/>
          </w:tcPr>
          <w:p w14:paraId="72F1D7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483" w:type="pct"/>
            <w:shd w:val="clear" w:color="auto" w:fill="auto"/>
            <w:vAlign w:val="center"/>
          </w:tcPr>
          <w:p w14:paraId="6B4F8E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bookmarkStart w:id="953" w:name="OLE_LINK634"/>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bookmarkEnd w:id="953"/>
          </w:p>
        </w:tc>
      </w:tr>
      <w:bookmarkEnd w:id="952"/>
    </w:tbl>
    <w:p w14:paraId="054F7059">
      <w:pPr>
        <w:pStyle w:val="27"/>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b w:val="0"/>
          <w:bCs/>
          <w:color w:val="000000" w:themeColor="text1"/>
          <w:spacing w:val="5"/>
          <w:kern w:val="2"/>
          <w:sz w:val="24"/>
          <w:szCs w:val="24"/>
          <w:highlight w:val="none"/>
          <w:lang w:eastAsia="zh-CN"/>
          <w14:textFill>
            <w14:solidFill>
              <w14:schemeClr w14:val="tx1"/>
            </w14:solidFill>
          </w14:textFill>
        </w:rPr>
        <w:sectPr>
          <w:pgSz w:w="11906" w:h="16838"/>
          <w:pgMar w:top="1440" w:right="1800" w:bottom="1440" w:left="1800" w:header="851" w:footer="1134"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从表4.</w:t>
      </w:r>
      <w:r>
        <w:rPr>
          <w:rFonts w:hint="eastAsia" w:cs="Times New Roman"/>
          <w:b w:val="0"/>
          <w:bCs/>
          <w:color w:val="000000" w:themeColor="text1"/>
          <w:spacing w:val="5"/>
          <w:kern w:val="2"/>
          <w:sz w:val="24"/>
          <w:szCs w:val="24"/>
          <w:highlight w:val="none"/>
          <w:lang w:val="en-US" w:eastAsia="zh-CN"/>
          <w14:textFill>
            <w14:solidFill>
              <w14:schemeClr w14:val="tx1"/>
            </w14:solidFill>
          </w14:textFill>
        </w:rPr>
        <w:t>7</w:t>
      </w:r>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w:t>
      </w:r>
      <w:r>
        <w:rPr>
          <w:rFonts w:hint="eastAsia" w:cs="Times New Roman"/>
          <w:b w:val="0"/>
          <w:bCs/>
          <w:color w:val="000000" w:themeColor="text1"/>
          <w:spacing w:val="5"/>
          <w:kern w:val="2"/>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pacing w:val="5"/>
          <w:kern w:val="2"/>
          <w:sz w:val="24"/>
          <w:szCs w:val="24"/>
          <w:highlight w:val="none"/>
          <w:lang w:eastAsia="zh-CN"/>
          <w14:textFill>
            <w14:solidFill>
              <w14:schemeClr w14:val="tx1"/>
            </w14:solidFill>
          </w14:textFill>
        </w:rPr>
        <w:t>可以看出，在监测期内，本工</w:t>
      </w:r>
      <w:r>
        <w:rPr>
          <w:rFonts w:hint="default" w:ascii="Times New Roman" w:hAnsi="Times New Roman" w:eastAsia="宋体" w:cs="Times New Roman"/>
          <w:b w:val="0"/>
          <w:bCs/>
          <w:color w:val="000000" w:themeColor="text1"/>
          <w:spacing w:val="5"/>
          <w:kern w:val="2"/>
          <w:sz w:val="24"/>
          <w:szCs w:val="24"/>
          <w:highlight w:val="none"/>
          <w:lang w:eastAsia="zh-CN"/>
          <w14:textFill>
            <w14:solidFill>
              <w14:schemeClr w14:val="tx1"/>
            </w14:solidFill>
          </w14:textFill>
        </w:rPr>
        <w:t>程所在区域声环境质量均满足《声环境质量标准》（GB3096-2008）中2类标准要求。</w:t>
      </w:r>
    </w:p>
    <w:bookmarkEnd w:id="848"/>
    <w:bookmarkEnd w:id="849"/>
    <w:bookmarkEnd w:id="850"/>
    <w:bookmarkEnd w:id="851"/>
    <w:bookmarkEnd w:id="852"/>
    <w:bookmarkEnd w:id="853"/>
    <w:bookmarkEnd w:id="854"/>
    <w:p w14:paraId="7B26DD41">
      <w:pPr>
        <w:pStyle w:val="127"/>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54" w:name="_Toc31039"/>
      <w:bookmarkStart w:id="955" w:name="_Toc68025025"/>
      <w:bookmarkStart w:id="956" w:name="_Toc93507177"/>
      <w:bookmarkStart w:id="957" w:name="_Toc20957"/>
      <w:bookmarkStart w:id="958" w:name="_Toc42981115"/>
      <w:bookmarkStart w:id="959" w:name="_Toc29229"/>
      <w:bookmarkStart w:id="960" w:name="_Toc508291894"/>
      <w:bookmarkStart w:id="961" w:name="_Toc353966746"/>
      <w:bookmarkStart w:id="962" w:name="_Toc361761838"/>
      <w:bookmarkStart w:id="963" w:name="_Toc374724191"/>
      <w:bookmarkStart w:id="964" w:name="_Toc75438900"/>
      <w:r>
        <w:rPr>
          <w:rFonts w:hint="default" w:ascii="Times New Roman" w:hAnsi="Times New Roman" w:cs="Times New Roman"/>
          <w:color w:val="000000" w:themeColor="text1"/>
          <w:highlight w:val="none"/>
          <w14:textFill>
            <w14:solidFill>
              <w14:schemeClr w14:val="tx1"/>
            </w14:solidFill>
          </w14:textFill>
        </w:rPr>
        <w:t>5环境影响预测与评价</w:t>
      </w:r>
      <w:bookmarkEnd w:id="954"/>
    </w:p>
    <w:bookmarkEnd w:id="955"/>
    <w:bookmarkEnd w:id="956"/>
    <w:bookmarkEnd w:id="957"/>
    <w:p w14:paraId="53ABD846">
      <w:pPr>
        <w:pStyle w:val="128"/>
        <w:pageBreakBefore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965" w:name="_Toc25292"/>
      <w:bookmarkStart w:id="966" w:name="_Toc4572"/>
      <w:r>
        <w:rPr>
          <w:rFonts w:hint="default" w:ascii="Times New Roman" w:hAnsi="Times New Roman" w:cs="Times New Roman"/>
          <w:color w:val="000000" w:themeColor="text1"/>
          <w:highlight w:val="none"/>
          <w:lang w:val="en-US" w:eastAsia="zh-CN"/>
          <w14:textFill>
            <w14:solidFill>
              <w14:schemeClr w14:val="tx1"/>
            </w14:solidFill>
          </w14:textFill>
        </w:rPr>
        <w:t>5.1</w:t>
      </w:r>
      <w:bookmarkEnd w:id="965"/>
      <w:r>
        <w:rPr>
          <w:rFonts w:hint="default" w:ascii="Times New Roman" w:hAnsi="Times New Roman" w:cs="Times New Roman"/>
          <w:color w:val="000000" w:themeColor="text1"/>
          <w:highlight w:val="none"/>
          <w:lang w:val="en-US" w:eastAsia="zh-CN"/>
          <w14:textFill>
            <w14:solidFill>
              <w14:schemeClr w14:val="tx1"/>
            </w14:solidFill>
          </w14:textFill>
        </w:rPr>
        <w:t>生态影响评价</w:t>
      </w:r>
      <w:bookmarkEnd w:id="966"/>
    </w:p>
    <w:p w14:paraId="7568D5FC">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67" w:name="_Hlk96009076"/>
      <w:r>
        <w:rPr>
          <w:rFonts w:hint="default" w:ascii="Times New Roman" w:hAnsi="Times New Roman" w:cs="Times New Roman"/>
          <w:color w:val="000000" w:themeColor="text1"/>
          <w:highlight w:val="none"/>
          <w14:textFill>
            <w14:solidFill>
              <w14:schemeClr w14:val="tx1"/>
            </w14:solidFill>
          </w14:textFill>
        </w:rPr>
        <w:t>5.1.</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施工期生态影响分析</w:t>
      </w:r>
    </w:p>
    <w:p w14:paraId="04A66C7E">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.1占地影响分析</w:t>
      </w:r>
    </w:p>
    <w:p w14:paraId="7117B3E9">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（1）永久占地影响分析</w:t>
      </w:r>
    </w:p>
    <w:p w14:paraId="1F1752E1">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hint="eastAsia" w:cs="Times New Roman"/>
          <w:color w:val="000000" w:themeColor="text1"/>
          <w:sz w:val="24"/>
          <w:szCs w:val="21"/>
          <w:highlight w:val="none"/>
          <w:lang w:val="en-US" w:eastAsia="zh-CN" w:bidi="ar-SA"/>
          <w14:textFill>
            <w14:solidFill>
              <w14:schemeClr w14:val="tx1"/>
            </w14:solidFill>
          </w14:textFill>
        </w:rPr>
        <w:t>新增</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永久占地</w:t>
      </w:r>
      <w:r>
        <w:rPr>
          <w:rFonts w:hint="eastAsia" w:cs="Times New Roman"/>
          <w:color w:val="000000" w:themeColor="text1"/>
          <w:sz w:val="24"/>
          <w:szCs w:val="21"/>
          <w:highlight w:val="none"/>
          <w:lang w:val="en-US" w:eastAsia="zh-CN" w:bidi="ar-SA"/>
          <w14:textFill>
            <w14:solidFill>
              <w14:schemeClr w14:val="tx1"/>
            </w14:solidFill>
          </w14:textFill>
        </w:rPr>
        <w:t>1.4328</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cs="Times New Roman"/>
          <w:color w:val="000000" w:themeColor="text1"/>
          <w:sz w:val="24"/>
          <w:szCs w:val="21"/>
          <w:highlight w:val="none"/>
          <w:lang w:val="en-US" w:eastAsia="zh-CN" w:bidi="ar-SA"/>
          <w14:textFill>
            <w14:solidFill>
              <w14:schemeClr w14:val="tx1"/>
            </w14:solidFill>
          </w14:textFill>
        </w:rPr>
        <w:t>，主要是星火7斜井和星火701斜井井场永久占地。</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施工结束后，永久占地被</w:t>
      </w:r>
      <w:r>
        <w:rPr>
          <w:rFonts w:hint="eastAsia" w:cs="Times New Roman"/>
          <w:color w:val="000000" w:themeColor="text1"/>
          <w:sz w:val="24"/>
          <w:szCs w:val="21"/>
          <w:highlight w:val="none"/>
          <w:lang w:val="en-US" w:eastAsia="zh-CN" w:bidi="ar-SA"/>
          <w14:textFill>
            <w14:solidFill>
              <w14:schemeClr w14:val="tx1"/>
            </w14:solidFill>
          </w14:textFill>
        </w:rPr>
        <w:t>井场</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构筑物代替，这部分占地的土壤类型、土地利用类型和植被类型将发生彻底</w:t>
      </w:r>
      <w:r>
        <w:rPr>
          <w:rFonts w:hint="eastAsia" w:cs="Times New Roman"/>
          <w:color w:val="000000" w:themeColor="text1"/>
          <w:sz w:val="24"/>
          <w:szCs w:val="21"/>
          <w:highlight w:val="none"/>
          <w:lang w:val="en-US" w:eastAsia="zh-CN" w:bidi="ar-SA"/>
          <w14:textFill>
            <w14:solidFill>
              <w14:schemeClr w14:val="tx1"/>
            </w14:solidFill>
          </w14:textFill>
        </w:rPr>
        <w:t>的</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改变，永久占地使原先土壤－植被复合体构成的自然地表被</w:t>
      </w:r>
      <w:r>
        <w:rPr>
          <w:rFonts w:hint="eastAsia" w:cs="Times New Roman"/>
          <w:color w:val="000000" w:themeColor="text1"/>
          <w:sz w:val="24"/>
          <w:szCs w:val="21"/>
          <w:highlight w:val="none"/>
          <w:lang w:val="en-US" w:eastAsia="zh-CN" w:bidi="ar-SA"/>
          <w14:textFill>
            <w14:solidFill>
              <w14:schemeClr w14:val="tx1"/>
            </w14:solidFill>
          </w14:textFill>
        </w:rPr>
        <w:t>井场</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长期取代</w:t>
      </w:r>
      <w:r>
        <w:rPr>
          <w:rFonts w:hint="eastAsia" w:cs="Times New Roman"/>
          <w:color w:val="000000" w:themeColor="text1"/>
          <w:sz w:val="24"/>
          <w:szCs w:val="21"/>
          <w:highlight w:val="none"/>
          <w:lang w:val="en-US" w:eastAsia="zh-CN" w:bidi="ar-SA"/>
          <w14:textFill>
            <w14:solidFill>
              <w14:schemeClr w14:val="tx1"/>
            </w14:solidFill>
          </w14:textFill>
        </w:rPr>
        <w:t>。</w:t>
      </w:r>
    </w:p>
    <w:p w14:paraId="5A2671FC">
      <w:pPr>
        <w:adjustRightInd/>
        <w:snapToGrid/>
        <w:spacing w:line="360" w:lineRule="auto"/>
        <w:ind w:firstLine="480" w:firstLineChars="200"/>
        <w:jc w:val="both"/>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（2）临时占地影响分析</w:t>
      </w:r>
    </w:p>
    <w:p w14:paraId="1EE7D8BF">
      <w:pPr>
        <w:adjustRightInd/>
        <w:snapToGrid/>
        <w:spacing w:line="360" w:lineRule="auto"/>
        <w:ind w:firstLine="480" w:firstLineChars="200"/>
        <w:jc w:val="both"/>
        <w:rPr>
          <w:rFonts w:hint="eastAsia"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本工程新增</w:t>
      </w:r>
      <w:r>
        <w:rPr>
          <w:rFonts w:hint="eastAsia" w:cs="Times New Roman"/>
          <w:color w:val="000000" w:themeColor="text1"/>
          <w:sz w:val="24"/>
          <w:szCs w:val="21"/>
          <w:highlight w:val="none"/>
          <w:lang w:val="en-US" w:eastAsia="zh-CN" w:bidi="ar-SA"/>
          <w14:textFill>
            <w14:solidFill>
              <w14:schemeClr w14:val="tx1"/>
            </w14:solidFill>
          </w14:textFill>
        </w:rPr>
        <w:t>临时</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占地</w:t>
      </w:r>
      <w:r>
        <w:rPr>
          <w:rFonts w:hint="eastAsia" w:cs="Times New Roman"/>
          <w:color w:val="000000" w:themeColor="text1"/>
          <w:sz w:val="24"/>
          <w:szCs w:val="21"/>
          <w:highlight w:val="none"/>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，主要是星火7-2斜井占地，生态影响主要集中在施工期。</w:t>
      </w:r>
      <w:r>
        <w:rPr>
          <w:rFonts w:hint="eastAsia" w:cs="Times New Roman"/>
          <w:color w:val="000000" w:themeColor="text1"/>
          <w:sz w:val="24"/>
          <w:szCs w:val="21"/>
          <w:highlight w:val="none"/>
          <w:lang w:val="en-US" w:eastAsia="zh-CN" w:bidi="ar-SA"/>
          <w14:textFill>
            <w14:solidFill>
              <w14:schemeClr w14:val="tx1"/>
            </w14:solidFill>
          </w14:textFill>
        </w:rPr>
        <w:t>本工程临时性占地除采矿用地外，主要为果园。井场建设对周边区域的生态环境影响主要有：</w:t>
      </w:r>
    </w:p>
    <w:p w14:paraId="0A3C44F7">
      <w:pPr>
        <w:adjustRightInd/>
        <w:snapToGrid/>
        <w:spacing w:line="360" w:lineRule="auto"/>
        <w:ind w:firstLine="480" w:firstLineChars="200"/>
        <w:jc w:val="both"/>
        <w:rPr>
          <w:rFonts w:hint="eastAsia"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a.临时占地将破坏地表原有自然植被，造成生物量损失。</w:t>
      </w:r>
    </w:p>
    <w:p w14:paraId="4B4DEDF0">
      <w:pPr>
        <w:adjustRightInd/>
        <w:snapToGrid/>
        <w:spacing w:line="360" w:lineRule="auto"/>
        <w:ind w:firstLine="480" w:firstLineChars="200"/>
        <w:jc w:val="both"/>
        <w:rPr>
          <w:rFonts w:hint="eastAsia"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b.施工过程中车辆碾压使占地范围内的土壤紧实度增加，对土地复耕后植被根系发育和生长不利。</w:t>
      </w:r>
    </w:p>
    <w:p w14:paraId="50BAABBF">
      <w:pPr>
        <w:adjustRightInd/>
        <w:snapToGrid/>
        <w:spacing w:line="360" w:lineRule="auto"/>
        <w:ind w:firstLine="480" w:firstLineChars="200"/>
        <w:jc w:val="both"/>
        <w:rPr>
          <w:rFonts w:hint="eastAsia"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c.在干燥天气下，车辆行驶扬尘，使便道两侧作物叶面覆盖降尘，光合作用减弱，影响作物生长；降雨天气，施工车辆进出施工场地，施工便道上的泥土将影响到公路路面的清洁，干燥后会产生扬尘污染。</w:t>
      </w:r>
    </w:p>
    <w:p w14:paraId="626E5F06">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综上所述，临时性工程占地短期内将影响区域内的利用状况，施工结束后，随着农用地补偿及耕地复垦等措施的实施，这一影响将逐渐减小直至消失。</w:t>
      </w:r>
    </w:p>
    <w:p w14:paraId="31FA9F9B">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.2对植被的影响分析</w:t>
      </w:r>
    </w:p>
    <w:p w14:paraId="3DA03A9B">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对植被的影响主要</w:t>
      </w:r>
      <w:r>
        <w:rPr>
          <w:rFonts w:hint="eastAsia" w:cs="Times New Roman"/>
          <w:color w:val="000000" w:themeColor="text1"/>
          <w:sz w:val="24"/>
          <w:szCs w:val="21"/>
          <w:highlight w:val="none"/>
          <w:lang w:val="en-US" w:eastAsia="zh-CN" w:bidi="ar-SA"/>
          <w14:textFill>
            <w14:solidFill>
              <w14:schemeClr w14:val="tx1"/>
            </w14:solidFill>
          </w14:textFill>
        </w:rPr>
        <w:t>表现</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在施工期的占地产生的影响、人类活动产生的影响</w:t>
      </w:r>
      <w:r>
        <w:rPr>
          <w:rFonts w:hint="eastAsia" w:cs="Times New Roman"/>
          <w:color w:val="000000" w:themeColor="text1"/>
          <w:sz w:val="24"/>
          <w:szCs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其次污染物排放也将对植被产生一定的影响。</w:t>
      </w:r>
    </w:p>
    <w:p w14:paraId="2E17C22E">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塔河油田经过了多年的勘探开发后，现已具备了一定的规模，占用了一定面积的土地，使其上的荒漠植被消失，整个自然环境中的植被覆盖度减少，地表永久性构筑物增多。具体的影响方式及影响程度表现在以下几个方面：</w:t>
      </w:r>
    </w:p>
    <w:p w14:paraId="72E75561">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（1）</w:t>
      </w:r>
      <w:r>
        <w:rPr>
          <w:rFonts w:hint="eastAsia" w:cs="Times New Roman"/>
          <w:color w:val="000000" w:themeColor="text1"/>
          <w:sz w:val="24"/>
          <w:szCs w:val="21"/>
          <w:highlight w:val="none"/>
          <w:lang w:val="en-US" w:eastAsia="zh-CN" w:bidi="ar-SA"/>
          <w14:textFill>
            <w14:solidFill>
              <w14:schemeClr w14:val="tx1"/>
            </w14:solidFill>
          </w14:textFill>
        </w:rPr>
        <w:t>工程</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占地对植被影响</w:t>
      </w:r>
    </w:p>
    <w:p w14:paraId="2C8DB6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由影响因素分析和油田建设的特点决定了在诸多对自然植被的影响因素中，施工期的建设占地等行为最严重，只有勘探对地表扰动和工程施工占地对影响区段植被的一次性破坏较大。</w:t>
      </w:r>
    </w:p>
    <w:p w14:paraId="039FC281">
      <w:pPr>
        <w:adjustRightInd/>
        <w:snapToGrid/>
        <w:spacing w:line="360" w:lineRule="auto"/>
        <w:ind w:firstLine="480" w:firstLineChars="200"/>
        <w:jc w:val="both"/>
        <w:rPr>
          <w:rFonts w:hint="eastAsia"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共占地</w:t>
      </w:r>
      <w:r>
        <w:rPr>
          <w:rFonts w:hint="eastAsia" w:cs="Times New Roman"/>
          <w:color w:val="000000" w:themeColor="text1"/>
          <w:sz w:val="24"/>
          <w:szCs w:val="21"/>
          <w:highlight w:val="none"/>
          <w:lang w:val="en-US" w:eastAsia="zh-CN" w:bidi="ar-SA"/>
          <w14:textFill>
            <w14:solidFill>
              <w14:schemeClr w14:val="tx1"/>
            </w14:solidFill>
          </w14:textFill>
        </w:rPr>
        <w:t>2.4828</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本工程占地范围内的现状用地为果园，果园主要种植核桃等农作物</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。在投入运营后，地表被各种构筑物或砾石覆盖</w:t>
      </w:r>
      <w:r>
        <w:rPr>
          <w:rFonts w:hint="eastAsia" w:cs="Times New Roman"/>
          <w:color w:val="000000" w:themeColor="text1"/>
          <w:sz w:val="24"/>
          <w:szCs w:val="21"/>
          <w:highlight w:val="none"/>
          <w:lang w:val="en-US" w:eastAsia="zh-CN" w:bidi="ar-SA"/>
          <w14:textFill>
            <w14:solidFill>
              <w14:schemeClr w14:val="tx1"/>
            </w14:solidFill>
          </w14:textFill>
        </w:rPr>
        <w:t>。</w:t>
      </w:r>
    </w:p>
    <w:p w14:paraId="2DD42245">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）石油类污染对植被的影响</w:t>
      </w:r>
    </w:p>
    <w:p w14:paraId="60FC4A8B">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本工程开发建设</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过程中石油类对植被的污染途径主要有两种：一是落地油先污染土壤，改变其结构和性状，使生长其上的植被间接</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地</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受到影响；二是钻井及生产过程中不慎将</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凝析油</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溅落在植物体上，影响其生理功能，使植物生长发育受阻，严重时导致植物的死亡。</w:t>
      </w:r>
    </w:p>
    <w:p w14:paraId="51178F0F">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根据对以往油田资料的分析及实地勘察，石油类在土壤中0～20cm土层中残留量最大，污染源对植被影响范围在50m左右，50m以外植物体内石油类含量接近背景值，植被生长良好。</w:t>
      </w:r>
      <w:bookmarkStart w:id="968" w:name="OLE_LINK659"/>
      <w:r>
        <w:rPr>
          <w:rFonts w:hint="eastAsia" w:cs="Times New Roman"/>
          <w:color w:val="000000" w:themeColor="text1"/>
          <w:sz w:val="24"/>
          <w:szCs w:val="21"/>
          <w:highlight w:val="none"/>
          <w:lang w:val="en-US" w:eastAsia="zh-CN" w:bidi="ar-SA"/>
          <w14:textFill>
            <w14:solidFill>
              <w14:schemeClr w14:val="tx1"/>
            </w14:solidFill>
          </w14:textFill>
        </w:rPr>
        <w:t>本工程</w:t>
      </w:r>
      <w:bookmarkEnd w:id="968"/>
      <w:r>
        <w:rPr>
          <w:rFonts w:hint="eastAsia" w:cs="Times New Roman"/>
          <w:color w:val="000000" w:themeColor="text1"/>
          <w:sz w:val="24"/>
          <w:szCs w:val="21"/>
          <w:highlight w:val="none"/>
          <w:lang w:val="en-US" w:eastAsia="zh-CN" w:bidi="ar-SA"/>
          <w14:textFill>
            <w14:solidFill>
              <w14:schemeClr w14:val="tx1"/>
            </w14:solidFill>
          </w14:textFill>
        </w:rPr>
        <w:t>占地范围内植被主要为农作物，自然植被很少，本工程开工建设尽量选择休耕期，</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所以地表石油类污染不会使植被受到明显伤害。</w:t>
      </w:r>
    </w:p>
    <w:p w14:paraId="21E87858">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3</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）人类活动对植被的影响</w:t>
      </w:r>
    </w:p>
    <w:p w14:paraId="3412E164">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开发建设过程中</w:t>
      </w:r>
      <w:r>
        <w:rPr>
          <w:rFonts w:hint="eastAsia" w:cs="Times New Roman"/>
          <w:color w:val="000000" w:themeColor="text1"/>
          <w:sz w:val="24"/>
          <w:szCs w:val="21"/>
          <w:highlight w:val="none"/>
          <w:lang w:val="en-US" w:eastAsia="zh-CN" w:bidi="ar-SA"/>
          <w14:textFill>
            <w14:solidFill>
              <w14:schemeClr w14:val="tx1"/>
            </w14:solidFill>
          </w14:textFill>
        </w:rPr>
        <w:t>人类活动</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对植被的影响主要表现在人类和机械对植物的践踏、碾压和砍伐，使原生植被生境发生较大变化。单位面积上人口密度的增加将导致工程开发范围内及边缘区域地表土壤被践踏和自然植被覆盖率减少，使工程区域内局部地带沙漠化的可能性增加，从而形成次生沙漠化。</w:t>
      </w:r>
      <w:r>
        <w:rPr>
          <w:rFonts w:hint="eastAsia" w:cs="Times New Roman"/>
          <w:color w:val="000000" w:themeColor="text1"/>
          <w:sz w:val="24"/>
          <w:szCs w:val="21"/>
          <w:highlight w:val="none"/>
          <w:lang w:val="en-US" w:eastAsia="zh-CN" w:bidi="ar-SA"/>
          <w14:textFill>
            <w14:solidFill>
              <w14:schemeClr w14:val="tx1"/>
            </w14:solidFill>
          </w14:textFill>
        </w:rPr>
        <w:t>此外，人类和机械对项目区周边农田的践踏和碾压等，会破坏农作物、压实农田土壤和降低土壤肥力等，影响农作物生长</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19BBE923">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w:t>
      </w:r>
      <w:r>
        <w:rPr>
          <w:rFonts w:hint="eastAsia" w:cs="Times New Roman"/>
          <w:color w:val="000000" w:themeColor="text1"/>
          <w:sz w:val="24"/>
          <w:szCs w:val="21"/>
          <w:highlight w:val="none"/>
          <w:u w:val="none"/>
          <w:lang w:val="en-US" w:eastAsia="zh-CN" w:bidi="ar-SA"/>
          <w14:textFill>
            <w14:solidFill>
              <w14:schemeClr w14:val="tx1"/>
            </w14:solidFill>
          </w14:textFill>
        </w:rPr>
        <w:t>4</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）大气污染物的影响</w:t>
      </w:r>
    </w:p>
    <w:p w14:paraId="3616CF73">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eastAsia" w:cs="Times New Roman"/>
          <w:color w:val="000000" w:themeColor="text1"/>
          <w:sz w:val="24"/>
          <w:szCs w:val="21"/>
          <w:highlight w:val="none"/>
          <w:u w:val="none"/>
          <w:lang w:val="en-US" w:eastAsia="zh-CN" w:bidi="ar-SA"/>
          <w14:textFill>
            <w14:solidFill>
              <w14:schemeClr w14:val="tx1"/>
            </w14:solidFill>
          </w14:textFill>
        </w:rPr>
        <w:t>井场建设施工期</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，大气污染物主要是来自</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施工扬尘、施工机械</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产生的废气，废气中主要含有TSP、NO</w:t>
      </w:r>
      <w:r>
        <w:rPr>
          <w:rFonts w:ascii="Times New Roman" w:hAnsi="Times New Roman" w:eastAsia="宋体" w:cs="Times New Roman"/>
          <w:color w:val="000000" w:themeColor="text1"/>
          <w:sz w:val="24"/>
          <w:szCs w:val="21"/>
          <w:highlight w:val="none"/>
          <w:u w:val="none"/>
          <w:vertAlign w:val="subscript"/>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、SO</w:t>
      </w:r>
      <w:r>
        <w:rPr>
          <w:rFonts w:ascii="Times New Roman" w:hAnsi="Times New Roman" w:eastAsia="宋体" w:cs="Times New Roman"/>
          <w:color w:val="000000" w:themeColor="text1"/>
          <w:sz w:val="24"/>
          <w:szCs w:val="21"/>
          <w:highlight w:val="none"/>
          <w:u w:val="none"/>
          <w:vertAlign w:val="subscript"/>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、CO等有害成分，而在运营期产生的大气污染物主要有</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井场加热炉烟气和油气生产设施</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无组织释放的烃类气体等。在这些污染物中能对植物产生影响的主要为</w:t>
      </w: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NOx</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、SO</w:t>
      </w:r>
      <w:r>
        <w:rPr>
          <w:rFonts w:ascii="Times New Roman" w:hAnsi="Times New Roman" w:eastAsia="宋体" w:cs="Times New Roman"/>
          <w:color w:val="000000" w:themeColor="text1"/>
          <w:sz w:val="24"/>
          <w:szCs w:val="21"/>
          <w:highlight w:val="none"/>
          <w:u w:val="none"/>
          <w:vertAlign w:val="subscript"/>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及建设期的空气扬尘。</w:t>
      </w:r>
    </w:p>
    <w:p w14:paraId="2383BD43">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SO</w:t>
      </w:r>
      <w:r>
        <w:rPr>
          <w:rFonts w:ascii="Times New Roman" w:hAnsi="Times New Roman" w:eastAsia="宋体" w:cs="Times New Roman"/>
          <w:color w:val="000000" w:themeColor="text1"/>
          <w:sz w:val="24"/>
          <w:szCs w:val="21"/>
          <w:highlight w:val="none"/>
          <w:u w:val="none"/>
          <w:vertAlign w:val="subscript"/>
          <w:lang w:val="en-US" w:eastAsia="zh-CN" w:bidi="ar-SA"/>
          <w14:textFill>
            <w14:solidFill>
              <w14:schemeClr w14:val="tx1"/>
            </w14:solidFill>
          </w14:textFill>
        </w:rPr>
        <w:t>2</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可通过叶片气孔进入植物体，形成亚硫酸离子，当它超过植物自净能力时，将会破坏叶肉组织，使叶片水分减少失绿，严重时细胞发生质壁分离，叶片逐渐枯萎，植物慢慢死亡。</w:t>
      </w:r>
    </w:p>
    <w:p w14:paraId="74FF3F7F">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NOx</w:t>
      </w:r>
      <w:r>
        <w:rPr>
          <w:rFonts w:ascii="Times New Roman" w:hAnsi="Times New Roman" w:eastAsia="宋体" w:cs="Times New Roman"/>
          <w:color w:val="000000" w:themeColor="text1"/>
          <w:sz w:val="24"/>
          <w:szCs w:val="21"/>
          <w:highlight w:val="none"/>
          <w:u w:val="none"/>
          <w:lang w:val="en-US" w:eastAsia="zh-CN" w:bidi="ar-SA"/>
          <w14:textFill>
            <w14:solidFill>
              <w14:schemeClr w14:val="tx1"/>
            </w14:solidFill>
          </w14:textFill>
        </w:rPr>
        <w:t>对植物的伤害表现在叶肉组织内部的细胞上。植物通过气孔吸收了大气中的氮氧化物，随后污染物由气态变为液态，改变了细胞及其周围的pH值，引起细胞结构变化，光合作用降低，植物的生长活性受到影响。</w:t>
      </w:r>
    </w:p>
    <w:p w14:paraId="3C0AFE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扬尘颗粒物降落在植物叶片表面以干粉尘、泥膜的形式积累、堵塞气孔，导致气体交换减少，叶片温度升高，光合作用下降，叶片黄化萎缩。夏季白天气温高，</w:t>
      </w:r>
      <w:r>
        <w:rPr>
          <w:rFonts w:hint="eastAsia" w:cs="Times New Roman"/>
          <w:color w:val="000000" w:themeColor="text1"/>
          <w:sz w:val="24"/>
          <w:szCs w:val="21"/>
          <w:highlight w:val="none"/>
          <w:lang w:val="en-US" w:eastAsia="zh-CN" w:bidi="ar-SA"/>
          <w14:textFill>
            <w14:solidFill>
              <w14:schemeClr w14:val="tx1"/>
            </w14:solidFill>
          </w14:textFill>
        </w:rPr>
        <w:t>植物</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气孔易打开，容易吸收有毒物质，因而污染物夏季对植被的危害比冬季大，白天的污染造成的后果比夜间严重。</w:t>
      </w:r>
    </w:p>
    <w:p w14:paraId="491C28CB">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总体来说，</w:t>
      </w:r>
      <w:r>
        <w:rPr>
          <w:rFonts w:hint="eastAsia" w:cs="Times New Roman"/>
          <w:color w:val="000000" w:themeColor="text1"/>
          <w:sz w:val="24"/>
          <w:szCs w:val="21"/>
          <w:highlight w:val="none"/>
          <w:lang w:val="en-US" w:eastAsia="zh-CN" w:bidi="ar-SA"/>
          <w14:textFill>
            <w14:solidFill>
              <w14:schemeClr w14:val="tx1"/>
            </w14:solidFill>
          </w14:textFill>
        </w:rPr>
        <w:t>工程区</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多风、少雨、干旱、地形开阔的自然条件使大气污染物易于扩散，工程</w:t>
      </w:r>
      <w:r>
        <w:rPr>
          <w:rFonts w:hint="eastAsia" w:cs="Times New Roman"/>
          <w:color w:val="000000" w:themeColor="text1"/>
          <w:sz w:val="24"/>
          <w:szCs w:val="21"/>
          <w:highlight w:val="none"/>
          <w:lang w:val="en-US" w:eastAsia="zh-CN" w:bidi="ar-SA"/>
          <w14:textFill>
            <w14:solidFill>
              <w14:schemeClr w14:val="tx1"/>
            </w14:solidFill>
          </w14:textFill>
        </w:rPr>
        <w:t>建设规模较小</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，因此在正常情况下污染物浓度不会太高，大气污染物对植被的影响不大。</w:t>
      </w:r>
    </w:p>
    <w:p w14:paraId="048FDD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5</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植被生物量损失</w:t>
      </w:r>
    </w:p>
    <w:p w14:paraId="774337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新增占地主要为</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井场永久占地和</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临时占地，占地面积</w:t>
      </w:r>
      <w:r>
        <w:rPr>
          <w:rFonts w:hint="eastAsia" w:cs="Times New Roman"/>
          <w:color w:val="000000" w:themeColor="text1"/>
          <w:sz w:val="24"/>
          <w:szCs w:val="21"/>
          <w:highlight w:val="none"/>
          <w:lang w:val="en-US" w:eastAsia="zh-CN" w:bidi="ar-SA"/>
          <w14:textFill>
            <w14:solidFill>
              <w14:schemeClr w14:val="tx1"/>
            </w14:solidFill>
          </w14:textFill>
        </w:rPr>
        <w:t>2.4828</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default"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均为</w:t>
      </w:r>
      <w:r>
        <w:rPr>
          <w:rFonts w:hint="default"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人工</w:t>
      </w:r>
      <w:r>
        <w:rPr>
          <w:rFonts w:hint="eastAsia" w:cs="Times New Roman"/>
          <w:color w:val="000000" w:themeColor="text1"/>
          <w:sz w:val="24"/>
          <w:szCs w:val="21"/>
          <w:highlight w:val="none"/>
          <w:lang w:val="en-US" w:eastAsia="zh-CN" w:bidi="ar-SA"/>
          <w14:textFill>
            <w14:solidFill>
              <w14:schemeClr w14:val="tx1"/>
            </w14:solidFill>
          </w14:textFill>
        </w:rPr>
        <w:t>种植的果园</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，主要种植核桃</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约</w:t>
      </w:r>
      <w:r>
        <w:rPr>
          <w:rFonts w:hint="eastAsia" w:cs="Times New Roman"/>
          <w:color w:val="000000" w:themeColor="text1"/>
          <w:sz w:val="24"/>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00棵，施工期将对占地区域内的核桃</w:t>
      </w:r>
      <w:r>
        <w:rPr>
          <w:rFonts w:hint="eastAsia" w:cs="Times New Roman"/>
          <w:color w:val="000000" w:themeColor="text1"/>
          <w:sz w:val="24"/>
          <w:szCs w:val="32"/>
          <w:highlight w:val="none"/>
          <w:lang w:val="en-US" w:eastAsia="zh-CN"/>
          <w14:textFill>
            <w14:solidFill>
              <w14:schemeClr w14:val="tx1"/>
            </w14:solidFill>
          </w14:textFill>
        </w:rPr>
        <w:t>树</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移除，对农户造成损失，建设单位已按照自治区（新计价房〔2001〕500号）和新国土资发〔2001〕19号文件的有关规定计算林地和果园补偿，签订了补偿协议。</w:t>
      </w:r>
    </w:p>
    <w:p w14:paraId="72A0A5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themeColor="text1"/>
          <w:sz w:val="24"/>
          <w:szCs w:val="21"/>
          <w:highlight w:val="none"/>
          <w:lang w:val="en-US" w:eastAsia="zh-CN" w:bidi="ar-SA"/>
          <w14:textFill>
            <w14:solidFill>
              <w14:schemeClr w14:val="tx1"/>
            </w14:solidFill>
          </w14:textFill>
        </w:rPr>
      </w:pPr>
      <w:r>
        <w:rPr>
          <w:rFonts w:hint="default" w:cs="Times New Roman"/>
          <w:color w:val="000000" w:themeColor="text1"/>
          <w:sz w:val="24"/>
          <w:szCs w:val="21"/>
          <w:highlight w:val="none"/>
          <w:lang w:val="en-US" w:eastAsia="zh-CN" w:bidi="ar-SA"/>
          <w14:textFill>
            <w14:solidFill>
              <w14:schemeClr w14:val="tx1"/>
            </w14:solidFill>
          </w14:textFill>
        </w:rPr>
        <w:t>建设单位应加强施工管理，</w:t>
      </w:r>
      <w:r>
        <w:rPr>
          <w:rFonts w:hint="eastAsia" w:cs="Times New Roman"/>
          <w:color w:val="000000" w:themeColor="text1"/>
          <w:sz w:val="24"/>
          <w:szCs w:val="21"/>
          <w:highlight w:val="none"/>
          <w:lang w:val="en-US" w:eastAsia="zh-CN" w:bidi="ar-SA"/>
          <w14:textFill>
            <w14:solidFill>
              <w14:schemeClr w14:val="tx1"/>
            </w14:solidFill>
          </w14:textFill>
        </w:rPr>
        <w:t>严格控制占地，避免对项目区周边</w:t>
      </w:r>
      <w:r>
        <w:rPr>
          <w:rFonts w:hint="default" w:cs="Times New Roman"/>
          <w:color w:val="000000" w:themeColor="text1"/>
          <w:sz w:val="24"/>
          <w:szCs w:val="21"/>
          <w:highlight w:val="none"/>
          <w:lang w:val="en-US" w:eastAsia="zh-CN" w:bidi="ar-SA"/>
          <w14:textFill>
            <w14:solidFill>
              <w14:schemeClr w14:val="tx1"/>
            </w14:solidFill>
          </w14:textFill>
        </w:rPr>
        <w:t>自然植被</w:t>
      </w:r>
      <w:r>
        <w:rPr>
          <w:rFonts w:hint="eastAsia" w:cs="Times New Roman"/>
          <w:color w:val="000000" w:themeColor="text1"/>
          <w:sz w:val="24"/>
          <w:szCs w:val="21"/>
          <w:highlight w:val="none"/>
          <w:lang w:val="en-US" w:eastAsia="zh-CN" w:bidi="ar-SA"/>
          <w14:textFill>
            <w14:solidFill>
              <w14:schemeClr w14:val="tx1"/>
            </w14:solidFill>
          </w14:textFill>
        </w:rPr>
        <w:t>产生</w:t>
      </w:r>
      <w:r>
        <w:rPr>
          <w:rFonts w:hint="default" w:cs="Times New Roman"/>
          <w:color w:val="000000" w:themeColor="text1"/>
          <w:sz w:val="24"/>
          <w:szCs w:val="21"/>
          <w:highlight w:val="none"/>
          <w:lang w:val="en-US" w:eastAsia="zh-CN" w:bidi="ar-SA"/>
          <w14:textFill>
            <w14:solidFill>
              <w14:schemeClr w14:val="tx1"/>
            </w14:solidFill>
          </w14:textFill>
        </w:rPr>
        <w:t>影响。</w:t>
      </w:r>
    </w:p>
    <w:p w14:paraId="56EBEC57">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.3对野生动物的影响分析</w:t>
      </w:r>
    </w:p>
    <w:p w14:paraId="37E8FCA9">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油田开发建设对野生动物生存环境、分布范围和种群数量的影响主要分为直接影响和间接影响两个方面。直接影响主要表现为建设工程占地，使野生动物的原始生存环境被破坏或改变</w:t>
      </w:r>
      <w:r>
        <w:rPr>
          <w:rFonts w:hint="eastAsia" w:cs="Times New Roman"/>
          <w:color w:val="000000" w:themeColor="text1"/>
          <w:sz w:val="24"/>
          <w:szCs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间接影响主要表现为由于植被的减少或污染破坏而引起野生动物食物来源减少。</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本工程所在区域重点保护野生动物有塔里木兔，现场调查期间未在工程占地区域发现其踪迹，且</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由于评价区域不是动物的唯一栖息地，故</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对动物区域性生境不产生明显影响。</w:t>
      </w:r>
    </w:p>
    <w:p w14:paraId="6EA4D8C6">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施工生产过程中，由于油田机械设备的轰鸣声惊扰，大多数野生脊椎动物种类将避行远离，使区域内单位面积上的动物种群数量下降，但此类影响对爬行类和小型啮齿类动物的干扰不大。一些伴人型鸟类如麻雀、乌鸦、喜鹊等，一般在离作业区50m以远处活动，待无噪声干扰时较常见于人类生活区附近。因此，随着</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钻井、站场建设的各个过程，塔河油田内野生动物的种类和数量发生一定的变化，原有的荒漠型鸟类和大型哺乳类将逐渐避开人类活动的干扰迁至</w:t>
      </w:r>
      <w:r>
        <w:rPr>
          <w:rFonts w:hint="eastAsia" w:cs="Times New Roman"/>
          <w:color w:val="000000" w:themeColor="text1"/>
          <w:sz w:val="24"/>
          <w:szCs w:val="21"/>
          <w:highlight w:val="none"/>
          <w:lang w:val="en-US" w:eastAsia="zh-CN" w:bidi="ar-SA"/>
          <w14:textFill>
            <w14:solidFill>
              <w14:schemeClr w14:val="tx1"/>
            </w14:solidFill>
          </w14:textFill>
        </w:rPr>
        <w:t>其他</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区域，而常见的伴人型野生动物种类有所增加。</w:t>
      </w:r>
    </w:p>
    <w:p w14:paraId="18C59C5F">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塔河油田已开发多年，大型的野生脊椎动物早已离开此地，再加上本工程位于绿洲农田区，项目周边分布有大量农田，动物受人为活动影响较大，因而本工程建设对动物的影响较小，所影响的只是一些爬行类和鸟类动物。</w:t>
      </w:r>
    </w:p>
    <w:p w14:paraId="44BB46C9">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w:t>
      </w:r>
      <w:r>
        <w:rPr>
          <w:rFonts w:hint="eastAsia" w:cs="Times New Roman"/>
          <w:b/>
          <w:bCs/>
          <w:color w:val="000000" w:themeColor="text1"/>
          <w:sz w:val="24"/>
          <w:szCs w:val="28"/>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水土流失影响分析</w:t>
      </w:r>
    </w:p>
    <w:p w14:paraId="785539A2">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根据新水水保〔2019〕4号文，本工程所在区域属于塔里木河流域水土流失重点治理区，本工程实施对区域水土流失影响如下：</w:t>
      </w:r>
    </w:p>
    <w:p w14:paraId="72814CEC">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（1）土壤粗粒化</w:t>
      </w:r>
    </w:p>
    <w:p w14:paraId="4082A921">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在土壤沙化过程中，当风力作用地表产生风蚀时，便产生</w:t>
      </w:r>
      <w:r>
        <w:rPr>
          <w:rFonts w:hint="eastAsia" w:cs="Times New Roman"/>
          <w:color w:val="000000" w:themeColor="text1"/>
          <w:sz w:val="24"/>
          <w:szCs w:val="21"/>
          <w:highlight w:val="none"/>
          <w:lang w:val="en-US" w:eastAsia="zh-CN" w:bidi="ar-SA"/>
          <w14:textFill>
            <w14:solidFill>
              <w14:schemeClr w14:val="tx1"/>
            </w14:solidFill>
          </w14:textFill>
        </w:rPr>
        <w:t>风蚀</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57AE2D5C">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（2）土壤贫瘠及含盐量变化</w:t>
      </w:r>
    </w:p>
    <w:p w14:paraId="677057B6">
      <w:pPr>
        <w:adjustRightInd/>
        <w:snapToGrid/>
        <w:spacing w:line="360" w:lineRule="auto"/>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调查，随沙化增强，盐分含量降低。</w:t>
      </w:r>
    </w:p>
    <w:p w14:paraId="41716028">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（3）对油</w:t>
      </w:r>
      <w:r>
        <w:rPr>
          <w:rFonts w:hint="eastAsia" w:cs="Times New Roman"/>
          <w:color w:val="000000" w:themeColor="text1"/>
          <w:sz w:val="24"/>
          <w:szCs w:val="21"/>
          <w:highlight w:val="none"/>
          <w:lang w:val="en-US" w:eastAsia="zh-CN" w:bidi="ar-SA"/>
          <w14:textFill>
            <w14:solidFill>
              <w14:schemeClr w14:val="tx1"/>
            </w14:solidFill>
          </w14:textFill>
        </w:rPr>
        <w:t>气田</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区公路、井场的危害</w:t>
      </w:r>
    </w:p>
    <w:p w14:paraId="601FFA89">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项目对水土流失的影响主要发生在施工期，主要</w:t>
      </w:r>
      <w:r>
        <w:rPr>
          <w:rFonts w:hint="eastAsia" w:cs="Times New Roman"/>
          <w:color w:val="000000" w:themeColor="text1"/>
          <w:sz w:val="24"/>
          <w:szCs w:val="21"/>
          <w:highlight w:val="none"/>
          <w:lang w:val="en-US" w:eastAsia="zh-CN" w:bidi="ar-SA"/>
          <w14:textFill>
            <w14:solidFill>
              <w14:schemeClr w14:val="tx1"/>
            </w14:solidFill>
          </w14:textFill>
        </w:rPr>
        <w:t>包括</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钻井工程和地面工程。此外，在施工过程中，各种车辆（尤其是重型卡车）在荒漠上行驶将使经过的土壤变紧实，严重的经过多次碾压后植物很难再生长，甚至退化为裸土地。</w:t>
      </w:r>
    </w:p>
    <w:p w14:paraId="7149BEC6">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项目施工期对原地貌的扰动大大降低了项目占地范围内的土壤抗侵蚀能力，若未采取相应的防护措施，遇大风天气，极易加重区域沙尘天气。本工程所在区域属于塔里木河流域水土流失重点治理区范围，区域以地表植被分布较少，土壤侵蚀强度以轻度为主，生态环境质量较差，应加强水土保持综合治理工作，减少因项目的建设而产生的水土流失。</w:t>
      </w:r>
    </w:p>
    <w:p w14:paraId="1D80EAC2">
      <w:pPr>
        <w:keepNext/>
        <w:keepLines/>
        <w:pageBreakBefore w:val="0"/>
        <w:widowControl/>
        <w:kinsoku/>
        <w:wordWrap/>
        <w:overflowPunct/>
        <w:topLinePunct w:val="0"/>
        <w:autoSpaceDE/>
        <w:autoSpaceDN/>
        <w:bidi w:val="0"/>
        <w:adjustRightInd w:val="0"/>
        <w:snapToGrid/>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hint="eastAsia" w:cs="Times New Roman"/>
          <w:b/>
          <w:bCs/>
          <w:color w:val="000000" w:themeColor="text1"/>
          <w:sz w:val="24"/>
          <w:szCs w:val="28"/>
          <w:highlight w:val="none"/>
          <w:lang w:val="en-US" w:eastAsia="zh-CN" w:bidi="ar-SA"/>
          <w14:textFill>
            <w14:solidFill>
              <w14:schemeClr w14:val="tx1"/>
            </w14:solidFill>
          </w14:textFill>
        </w:rPr>
        <w:t>5</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井场建设对生态环境的影响</w:t>
      </w:r>
    </w:p>
    <w:p w14:paraId="64F612E7">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hint="eastAsia" w:cs="Times New Roman"/>
          <w:color w:val="000000" w:themeColor="text1"/>
          <w:sz w:val="24"/>
          <w:szCs w:val="21"/>
          <w:highlight w:val="none"/>
          <w:lang w:val="en-US" w:eastAsia="zh-CN" w:bidi="ar-SA"/>
          <w14:textFill>
            <w14:solidFill>
              <w14:schemeClr w14:val="tx1"/>
            </w14:solidFill>
          </w14:textFill>
        </w:rPr>
        <w:t>涉及</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eastAsia"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钻前工程将建设区域进行平整，地表植被被清除、压实，并用砾石铺垫，表层土壤原有的结构和质地已发生改变。</w:t>
      </w:r>
    </w:p>
    <w:p w14:paraId="596C7868">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钻井期间，由于本工程所在区域的特殊性，井场建设破坏植被的总面积虽然不是很大，但形成植被破口的斑块数量多，如果不采取必要的措施，破口将扩大发展，导致水土流失加剧。</w:t>
      </w:r>
    </w:p>
    <w:p w14:paraId="7B9DC928">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所评价井场区的土壤类型主要为</w:t>
      </w:r>
      <w:r>
        <w:rPr>
          <w:rFonts w:hint="eastAsia" w:cs="Times New Roman"/>
          <w:color w:val="000000" w:themeColor="text1"/>
          <w:sz w:val="24"/>
          <w:szCs w:val="21"/>
          <w:highlight w:val="none"/>
          <w:lang w:val="en-US" w:eastAsia="zh-CN" w:bidi="ar-SA"/>
          <w14:textFill>
            <w14:solidFill>
              <w14:schemeClr w14:val="tx1"/>
            </w14:solidFill>
          </w14:textFill>
        </w:rPr>
        <w:t>潮土</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类比调查表明，距井场不同距离处土壤中石油类浓度明显高于井场外土壤石油类浓度，说明油气田开采对土壤存在石油类污染；而井场外10m至200m处土壤石油类浓度值较接近，且与区域土壤环境质量对照点石油类浓度也接近，因此油气田开采对土壤的污染主要集中在井场内部。从井场内土壤不同剖面深度的石油类浓度分布来看，10cm深度的石油类浓度最高，是表层土壤石油类浓度的2倍，是对照点土壤中石油类浓度的4倍，说明油气田开采产生的落地油等污染物会向下渗透对深层土壤造成影响；30cm浓度的土壤中石油类浓度与表层土壤石油类浓度相近，说明井场石油类污染主要集中在表层至30cm深度处。</w:t>
      </w:r>
    </w:p>
    <w:p w14:paraId="70A0A9A9">
      <w:pPr>
        <w:keepNext/>
        <w:keepLines/>
        <w:pageBreakBefore w:val="0"/>
        <w:widowControl/>
        <w:kinsoku/>
        <w:wordWrap/>
        <w:overflowPunct/>
        <w:topLinePunct w:val="0"/>
        <w:autoSpaceDE/>
        <w:autoSpaceDN/>
        <w:bidi w:val="0"/>
        <w:adjustRightInd w:val="0"/>
        <w:snapToGrid/>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5.1.1.</w:t>
      </w:r>
      <w:r>
        <w:rPr>
          <w:rFonts w:hint="eastAsia" w:cs="Times New Roman"/>
          <w:b/>
          <w:bCs/>
          <w:color w:val="000000" w:themeColor="text1"/>
          <w:sz w:val="24"/>
          <w:szCs w:val="28"/>
          <w:highlight w:val="none"/>
          <w:lang w:val="en-US" w:eastAsia="zh-CN" w:bidi="ar-SA"/>
          <w14:textFill>
            <w14:solidFill>
              <w14:schemeClr w14:val="tx1"/>
            </w14:solidFill>
          </w14:textFill>
        </w:rPr>
        <w:t>6</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对永久基本农田的生态影响分析</w:t>
      </w:r>
    </w:p>
    <w:bookmarkEnd w:id="967"/>
    <w:p w14:paraId="650BF955">
      <w:pPr>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不占用永久基本农田，但生态环境评价范围内分布有永久基本农田，主要种植作物为棉花和小麦等。本工程与基本农田最近距离20米，属于近距离邻接关系，井场作业产生的粉尘及潜在环境风险可能对农田土壤、作物生长、土壤肥力及周边生态环境造成直接或间接影响。</w:t>
      </w:r>
    </w:p>
    <w:p w14:paraId="00F1CB15">
      <w:pPr>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作业产生的粉尘来源于场地平整、设备安装拆卸、钻井岩屑临时堆放及转运、车辆运输过程中产生的颗粒物；钻井过程中钻井液循环携带的岩屑干燥后形成的粉尘，以及固控设备分离出的固相颗粒飘散形成的粉尘。</w:t>
      </w:r>
    </w:p>
    <w:p w14:paraId="13E8076F">
      <w:pPr>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施工期粉尘对基本农田的影响沉降在作物叶片表面，堵塞气孔，阻碍光合作用和呼吸作用，导致作物生长缓慢、产量下降；若粉尘含盐分或化学污染物，还可能灼伤叶片，影响作物品质；长期粉尘沉降会改变土壤结构，降低透气性和保水性；若粉尘含重金属或化学物质，会累积在土壤中，污染耕地，影响土壤肥力和后续作物种植。</w:t>
      </w:r>
    </w:p>
    <w:p w14:paraId="33886BE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施工期采用源头控制和过程控制措施减少对基本农田的影响，井场分区防渗，岩屑临时堆场采用防尘网覆盖。钻井液循环系统加装密封罩，减少固控设备作业时的粉尘飘散；对干燥岩屑及时洒水湿润，控制含水率在15%-20%，避免起尘。井场场地硬化，防止泥土裸露。</w:t>
      </w:r>
    </w:p>
    <w:p w14:paraId="14EBCF0C">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运营期生态影响分析</w:t>
      </w:r>
    </w:p>
    <w:p w14:paraId="62B5E352">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本工程运营期对生态环境的影响主要表现在对野生动物、植被等的影响，生态系统完整性影响以及生态景观影响。</w:t>
      </w:r>
    </w:p>
    <w:p w14:paraId="4D9FCB1A">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w:t>
      </w:r>
      <w:r>
        <w:rPr>
          <w:rFonts w:hint="eastAsia" w:cs="Times New Roman"/>
          <w:b/>
          <w:bCs/>
          <w:color w:val="000000" w:themeColor="text1"/>
          <w:sz w:val="24"/>
          <w:szCs w:val="28"/>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.1对野生动物的影响分析</w:t>
      </w:r>
    </w:p>
    <w:p w14:paraId="6FE84852">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运营期车辆运输和机械噪声相对施工期有所减小，人为活动相对施工也有所减少，通过加强管理禁止油气田职工对野生动物的猎杀，本工程运营期的噪声和人为活动对野生动物的影响也相对减小。</w:t>
      </w:r>
    </w:p>
    <w:p w14:paraId="7F227D4B">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运营期道路行车主要是油气田巡线的自备车辆，车流量很小，夜间无车行驶，一般情况下，野生动物会自行规避或适应，不会对野生动物产生明显影响。</w:t>
      </w:r>
    </w:p>
    <w:p w14:paraId="05269108">
      <w:pPr>
        <w:keepNext/>
        <w:keepLines/>
        <w:pageBreakBefore w:val="0"/>
        <w:widowControl/>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w:t>
      </w:r>
      <w:r>
        <w:rPr>
          <w:rFonts w:hint="eastAsia" w:cs="Times New Roman"/>
          <w:b/>
          <w:bCs/>
          <w:color w:val="000000" w:themeColor="text1"/>
          <w:sz w:val="24"/>
          <w:szCs w:val="28"/>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.2植被影响分析</w:t>
      </w:r>
    </w:p>
    <w:p w14:paraId="40A000DE">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运营期由于占地活动的结束，工程基本不会对植被产生影响，临时占地的植被开始自然恢复，一般在2～3年内开始发生向原生植被群落演替，并逐渐得到恢复。但事故状态如火灾</w:t>
      </w:r>
      <w:r>
        <w:rPr>
          <w:rFonts w:hint="eastAsia" w:cs="Times New Roman"/>
          <w:color w:val="000000" w:themeColor="text1"/>
          <w:sz w:val="24"/>
          <w:szCs w:val="21"/>
          <w:highlight w:val="none"/>
          <w:lang w:val="en-US" w:eastAsia="zh-CN" w:bidi="ar-SA"/>
          <w14:textFill>
            <w14:solidFill>
              <w14:schemeClr w14:val="tx1"/>
            </w14:solidFill>
          </w14:textFill>
        </w:rPr>
        <w:t>等，将导致</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火灾处局部范围内植被死亡。但事故造成的植被破坏是小范围的，植被损失量很小。</w:t>
      </w:r>
    </w:p>
    <w:p w14:paraId="07210134">
      <w:pPr>
        <w:keepNext/>
        <w:keepLines/>
        <w:pageBreakBefore w:val="0"/>
        <w:widowControl/>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w:t>
      </w:r>
      <w:r>
        <w:rPr>
          <w:rFonts w:hint="eastAsia" w:cs="Times New Roman"/>
          <w:b/>
          <w:bCs/>
          <w:color w:val="000000" w:themeColor="text1"/>
          <w:sz w:val="24"/>
          <w:szCs w:val="28"/>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.3生态保护目标影响分析</w:t>
      </w:r>
    </w:p>
    <w:p w14:paraId="12318D66">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
          <w14:textFill>
            <w14:solidFill>
              <w14:schemeClr w14:val="tx1"/>
            </w14:solidFill>
          </w14:textFill>
        </w:rPr>
        <w:t>运营期影响主要集中在井场等永久占地范围内，运营期采出水、井下作业废水等均不外排，落地油妥善处置；同时加强日常巡检监管工作，出现泄漏情况能及时发现；加强法兰、阀门连接处腐蚀情况记录管理，避免因老化、腐蚀导致泄漏情况发生。因此不会对生态保护目标产生明显不利影响</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317B3AEF">
      <w:pPr>
        <w:keepNext/>
        <w:keepLines/>
        <w:pageBreakBefore w:val="0"/>
        <w:widowControl/>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w:t>
      </w:r>
      <w:r>
        <w:rPr>
          <w:rFonts w:hint="eastAsia" w:cs="Times New Roman"/>
          <w:b/>
          <w:bCs/>
          <w:color w:val="000000" w:themeColor="text1"/>
          <w:sz w:val="24"/>
          <w:szCs w:val="28"/>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.4生态系统完整性影响评价</w:t>
      </w:r>
    </w:p>
    <w:p w14:paraId="56399938">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生态系统完整性是生态系统在特定地理区域的最优化状态，在这种状态下，生态系统具备区域自然生境所应包含的全部本土生物多样性和生态学进程，其结构和功能没有受到人类活动胁迫的损害，本地物种处在能够持续繁衍的种群水平。它主要反映生态系统在外来干扰下维持自然状态、稳定性和自组织能力的程度。评价生态系统完整性对于保护敏感自然生态系统免受人类干扰的影响有着重要的意义。</w:t>
      </w:r>
    </w:p>
    <w:p w14:paraId="3D495627">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建设中，新增油田设施及永久性构筑物，不但不会使区域内异质化程度降低，反而在一定程度上会增加区域的异质性。区域的异质性越大，抵抗外界干扰的能力就越大。因此，本工程的建设不会改变区域内景观生态的稳定性及完整性。</w:t>
      </w:r>
    </w:p>
    <w:p w14:paraId="6B238880">
      <w:pPr>
        <w:keepNext/>
        <w:keepLines/>
        <w:adjustRightInd w:val="0"/>
        <w:snapToGrid w:val="0"/>
        <w:spacing w:before="10" w:after="10" w:line="0" w:lineRule="atLeast"/>
        <w:jc w:val="both"/>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5.1.</w:t>
      </w:r>
      <w:r>
        <w:rPr>
          <w:rFonts w:hint="eastAsia" w:cs="Times New Roman"/>
          <w:b/>
          <w:bCs/>
          <w:color w:val="000000" w:themeColor="text1"/>
          <w:sz w:val="24"/>
          <w:szCs w:val="28"/>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.5景观完整性影响分析</w:t>
      </w:r>
    </w:p>
    <w:p w14:paraId="137301E6">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评价区域的基质为荒漠</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绿洲复合生态景观。荒漠生态景观的稳定性较差，异质化程度低；而绿洲与农田虽依赖人工灌溉维持，但其斑块分布增加了区域景观异质性。整体上，复合生态系统的稳定性和抵御干扰的能力仍受限于荒漠基质的主导性及绿洲</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农田生态单元的脆弱性。</w:t>
      </w:r>
    </w:p>
    <w:p w14:paraId="611A0CFB">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本工程总占地约</w:t>
      </w:r>
      <w:bookmarkStart w:id="969" w:name="OLE_LINK1345"/>
      <w:r>
        <w:rPr>
          <w:rFonts w:hint="eastAsia" w:cs="Times New Roman"/>
          <w:color w:val="000000" w:themeColor="text1"/>
          <w:sz w:val="24"/>
          <w:szCs w:val="21"/>
          <w:highlight w:val="none"/>
          <w:lang w:val="en-US" w:eastAsia="zh-CN" w:bidi="ar-SA"/>
          <w14:textFill>
            <w14:solidFill>
              <w14:schemeClr w14:val="tx1"/>
            </w14:solidFill>
          </w14:textFill>
        </w:rPr>
        <w:t>2.4828</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bookmarkEnd w:id="969"/>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，其中永久占地</w:t>
      </w:r>
      <w:r>
        <w:rPr>
          <w:rFonts w:hint="eastAsia" w:cs="Times New Roman"/>
          <w:color w:val="000000" w:themeColor="text1"/>
          <w:sz w:val="24"/>
          <w:szCs w:val="21"/>
          <w:highlight w:val="none"/>
          <w:lang w:val="en-US" w:eastAsia="zh-CN" w:bidi="ar-SA"/>
          <w14:textFill>
            <w14:solidFill>
              <w14:schemeClr w14:val="tx1"/>
            </w14:solidFill>
          </w14:textFill>
        </w:rPr>
        <w:t>1.4328</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、临时占地</w:t>
      </w:r>
      <w:r>
        <w:rPr>
          <w:rFonts w:hint="eastAsia" w:cs="Times New Roman"/>
          <w:color w:val="000000" w:themeColor="text1"/>
          <w:sz w:val="24"/>
          <w:szCs w:val="21"/>
          <w:highlight w:val="none"/>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。荒漠</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绿洲过渡带内的部分区域被油田设施等永久构筑物占用，原有荒漠生态景观和部分人工绿洲/农田转化为人工硬化地表景观。由于工程占地规模较小，荒漠基质的主体性未发生根本改变，但局部景观破碎化程度有所增加，人工景观与自然景观的边界进一步交错。</w:t>
      </w:r>
    </w:p>
    <w:p w14:paraId="79F5B102">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综上所述，在荒漠</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绿洲复合生态系统的背景下，本工程对区域生态完整性的直接影响有限，但项目建设过程中需要注意以下问题：</w:t>
      </w:r>
    </w:p>
    <w:p w14:paraId="209BA621">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（1）人工干扰的累积影响：油田开发加剧了荒漠</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绿洲边缘带由自然/半自然景观向人工景观的演替趋势，可能削弱绿洲生态屏障功能；</w:t>
      </w:r>
    </w:p>
    <w:p w14:paraId="3BEAD9CA">
      <w:pPr>
        <w:adjustRightInd/>
        <w:snapToGrid/>
        <w:spacing w:line="360" w:lineRule="auto"/>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（2）局部生态功能变化：永久占地区域的物质循环和能量流动路径被人工系统替代，可能影响周边荒漠</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农田景观的风沙拦截、土壤水盐平衡等；</w:t>
      </w:r>
    </w:p>
    <w:p w14:paraId="53D614F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因此，在严格管控施工范围、落实生态修复措施的前提下，工程对评价区生态系统完整性和稳定性的影响可控，不会导致区域生态格局的质变性破坏。</w:t>
      </w:r>
    </w:p>
    <w:p w14:paraId="73B73D70">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退役期生态影响分析</w:t>
      </w:r>
    </w:p>
    <w:p w14:paraId="6E5E5CF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随着油田开采的不断进行，其储量逐渐下降，最终井区将进入退役期。当油田开发接近尾声时，各种机械设备将停止使用，进驻其中的油田开发工作人员将陆续撤离油田区域，由此带来的大气污染物、生产废水、噪声及固体废物等对环境的影响将会消失。</w:t>
      </w:r>
    </w:p>
    <w:p w14:paraId="36A2BB2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退役期的环境影响以生态环境的恢复为主，同时封井和井场清理也会产生少量扬尘和建筑垃圾，会对周围的环境造成一定影响。气井停采后将进行一系列清理工作，包括地面设施拆除、井场清理等，在这期间，将会产生少量扬尘和固体废物。在闭井施工操作中应注意采取降尘措施，文明施工，防止水泥等的洒落与飘散，同时在清理井场时防止飞灰、扬尘的产生，尽可能降低对周边大气环境的影响。</w:t>
      </w:r>
    </w:p>
    <w:p w14:paraId="718C38E1">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另外，井场清理等工作还会产生部分废弃管线（地面管线拆除）、废弃建筑残渣等固体废物，对这些废弃管线、残渣等进行集中清理收集，管线外运经清洗后可回收再利用，废弃建筑残渣外运至指定处理场填埋处理。固体废物的妥善处理，可以有效控制对区域环境的影响。</w:t>
      </w:r>
    </w:p>
    <w:p w14:paraId="61B99FC8">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迹地经过清理后，根据周边区域的自然现状对其进行恢复，使井场恢复到相对自然的一种状态。油田设施退役后，人员撤离，区域内没有人为扰动，井场范围内的自然植被会逐渐得以恢复，有助于区域生态环境的改善</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0C6C9505">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生态影响评价自查表</w:t>
      </w:r>
    </w:p>
    <w:p w14:paraId="272ED262">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color w:val="000000" w:themeColor="text1"/>
          <w:kern w:val="2"/>
          <w:sz w:val="21"/>
          <w:szCs w:val="21"/>
          <w:highlight w:val="none"/>
          <w:lang w:val="en-US" w:eastAsia="zh-CN" w:bidi="ar"/>
          <w14:textFill>
            <w14:solidFill>
              <w14:schemeClr w14:val="tx1"/>
            </w14:solidFill>
          </w14:textFill>
        </w:rPr>
      </w:pPr>
      <w:bookmarkStart w:id="970" w:name="_Toc31188"/>
      <w:r>
        <w:rPr>
          <w:rFonts w:hint="eastAsia" w:ascii="Times New Roman" w:hAnsi="Times New Roman" w:eastAsia="黑体" w:cs="Times New Roman"/>
          <w:b/>
          <w:bCs/>
          <w:color w:val="000000" w:themeColor="text1"/>
          <w:kern w:val="2"/>
          <w:sz w:val="21"/>
          <w:szCs w:val="21"/>
          <w:highlight w:val="none"/>
          <w:lang w:val="en-US" w:eastAsia="zh-CN" w:bidi="ar"/>
          <w14:textFill>
            <w14:solidFill>
              <w14:schemeClr w14:val="tx1"/>
            </w14:solidFill>
          </w14:textFill>
        </w:rPr>
        <w:t>表5</w:t>
      </w:r>
      <w:r>
        <w:rPr>
          <w:rFonts w:hint="default" w:ascii="Times New Roman" w:hAnsi="Times New Roman" w:eastAsia="黑体" w:cs="Times New Roman"/>
          <w:b/>
          <w:bCs/>
          <w:color w:val="000000" w:themeColor="text1"/>
          <w:kern w:val="2"/>
          <w:sz w:val="21"/>
          <w:szCs w:val="21"/>
          <w:highlight w:val="none"/>
          <w:lang w:val="en-US" w:eastAsia="zh-CN" w:bidi="ar"/>
          <w14:textFill>
            <w14:solidFill>
              <w14:schemeClr w14:val="tx1"/>
            </w14:solidFill>
          </w14:textFill>
        </w:rPr>
        <w:t>.1-</w:t>
      </w:r>
      <w:r>
        <w:rPr>
          <w:rFonts w:hint="eastAsia" w:ascii="Times New Roman" w:hAnsi="Times New Roman" w:eastAsia="黑体" w:cs="Times New Roman"/>
          <w:b/>
          <w:bCs/>
          <w:color w:val="000000" w:themeColor="text1"/>
          <w:kern w:val="2"/>
          <w:sz w:val="21"/>
          <w:szCs w:val="21"/>
          <w:highlight w:val="none"/>
          <w:lang w:val="en-US" w:eastAsia="zh-CN" w:bidi="ar"/>
          <w14:textFill>
            <w14:solidFill>
              <w14:schemeClr w14:val="tx1"/>
            </w14:solidFill>
          </w14:textFill>
        </w:rPr>
        <w:t xml:space="preserve">1   </w:t>
      </w:r>
      <w:r>
        <w:rPr>
          <w:rFonts w:hint="default" w:ascii="Times New Roman" w:hAnsi="Times New Roman" w:eastAsia="黑体" w:cs="Times New Roman"/>
          <w:b/>
          <w:bCs/>
          <w:color w:val="000000" w:themeColor="text1"/>
          <w:kern w:val="2"/>
          <w:sz w:val="21"/>
          <w:szCs w:val="21"/>
          <w:highlight w:val="none"/>
          <w:lang w:val="en-US" w:eastAsia="zh-CN" w:bidi="ar"/>
          <w14:textFill>
            <w14:solidFill>
              <w14:schemeClr w14:val="tx1"/>
            </w14:solidFill>
          </w14:textFill>
        </w:rPr>
        <w:t>生态影响评价自查表</w:t>
      </w:r>
      <w:bookmarkEnd w:id="970"/>
    </w:p>
    <w:tbl>
      <w:tblPr>
        <w:tblStyle w:val="37"/>
        <w:tblW w:w="8441"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28" w:type="dxa"/>
          <w:bottom w:w="0" w:type="dxa"/>
          <w:right w:w="28" w:type="dxa"/>
        </w:tblCellMar>
      </w:tblPr>
      <w:tblGrid>
        <w:gridCol w:w="891"/>
        <w:gridCol w:w="241"/>
        <w:gridCol w:w="1365"/>
        <w:gridCol w:w="5944"/>
      </w:tblGrid>
      <w:tr w14:paraId="59DD74E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497" w:type="dxa"/>
            <w:gridSpan w:val="3"/>
            <w:vAlign w:val="center"/>
          </w:tcPr>
          <w:p w14:paraId="6C7A6266">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工作内容</w:t>
            </w:r>
          </w:p>
        </w:tc>
        <w:tc>
          <w:tcPr>
            <w:tcW w:w="5944" w:type="dxa"/>
            <w:vAlign w:val="center"/>
          </w:tcPr>
          <w:p w14:paraId="235C7A42">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自查项目</w:t>
            </w:r>
          </w:p>
        </w:tc>
      </w:tr>
      <w:tr w14:paraId="169C51A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restart"/>
            <w:vAlign w:val="center"/>
          </w:tcPr>
          <w:p w14:paraId="7882C875">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生态影响识别</w:t>
            </w:r>
          </w:p>
        </w:tc>
        <w:tc>
          <w:tcPr>
            <w:tcW w:w="1606" w:type="dxa"/>
            <w:gridSpan w:val="2"/>
            <w:vAlign w:val="center"/>
          </w:tcPr>
          <w:p w14:paraId="351656FC">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生态保护目标</w:t>
            </w:r>
          </w:p>
        </w:tc>
        <w:tc>
          <w:tcPr>
            <w:tcW w:w="5944" w:type="dxa"/>
            <w:vAlign w:val="center"/>
          </w:tcPr>
          <w:p w14:paraId="0E36538E">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重要物种</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；国家公园□；自然保护区□；自然公园□；世界自然遗产□；生态保护红线□；重要生境□；其他具有重要生态功能、对保护生物多样性具有重要意义的区域□；其他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648403A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continue"/>
            <w:vAlign w:val="center"/>
          </w:tcPr>
          <w:p w14:paraId="5863DE86">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606" w:type="dxa"/>
            <w:gridSpan w:val="2"/>
            <w:vAlign w:val="center"/>
          </w:tcPr>
          <w:p w14:paraId="7D101617">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影响方式</w:t>
            </w:r>
          </w:p>
        </w:tc>
        <w:tc>
          <w:tcPr>
            <w:tcW w:w="5944" w:type="dxa"/>
            <w:vAlign w:val="center"/>
          </w:tcPr>
          <w:p w14:paraId="0138B784">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工程占用□；施工活动干扰</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；改变环境条件□；其他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40C810D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91" w:type="dxa"/>
            <w:vMerge w:val="continue"/>
            <w:vAlign w:val="center"/>
          </w:tcPr>
          <w:p w14:paraId="18E4D64E">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606" w:type="dxa"/>
            <w:gridSpan w:val="2"/>
            <w:vAlign w:val="center"/>
          </w:tcPr>
          <w:p w14:paraId="35CE126F">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5944" w:type="dxa"/>
            <w:vAlign w:val="bottom"/>
          </w:tcPr>
          <w:p w14:paraId="2D0F409B">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page">
                        <wp:posOffset>4193540</wp:posOffset>
                      </wp:positionH>
                      <wp:positionV relativeFrom="page">
                        <wp:posOffset>1538605</wp:posOffset>
                      </wp:positionV>
                      <wp:extent cx="6350" cy="6350"/>
                      <wp:effectExtent l="0" t="0" r="0" b="0"/>
                      <wp:wrapNone/>
                      <wp:docPr id="197" name="矩形 1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14:paraId="1757E23E">
                                  <w:pPr>
                                    <w:adjustRightInd w:val="0"/>
                                    <w:snapToGrid w:val="0"/>
                                    <w:spacing w:line="0" w:lineRule="atLeast"/>
                                    <w:jc w:val="center"/>
                                    <w:rPr>
                                      <w:rFonts w:ascii="Times New Roman" w:hAnsi="Times New Roman" w:eastAsia="宋体" w:cs="Times New Roman"/>
                                      <w:sz w:val="21"/>
                                      <w:szCs w:val="21"/>
                                    </w:rPr>
                                  </w:pPr>
                                </w:p>
                              </w:txbxContent>
                            </wps:txbx>
                            <wps:bodyPr upright="1"/>
                          </wps:wsp>
                        </a:graphicData>
                      </a:graphic>
                    </wp:anchor>
                  </w:drawing>
                </mc:Choice>
                <mc:Fallback>
                  <w:pict>
                    <v:rect id="_x0000_s1026" o:spid="_x0000_s1026" o:spt="1" style="position:absolute;left:0pt;margin-left:330.2pt;margin-top:121.15pt;height:0.5pt;width:0.5pt;mso-position-horizontal-relative:page;mso-position-vertical-relative:page;z-index:251694080;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tVbGvZAAAACwEAAA8AAAAAAAAAAQAgAAAAIgAAAGRycy9kb3ducmV2LnhtbFBLAQIUABQA&#10;AAAIAIdO4kBOTGTrtgEAAHcDAAAOAAAAAAAAAAEAIAAAACgBAABkcnMvZTJvRG9jLnhtbFBLBQYA&#10;AAAABgAGAFkBAABQBQAAAAA=&#10;">
                      <v:fill on="t" focussize="0,0"/>
                      <v:stroke on="f"/>
                      <v:imagedata o:title=""/>
                      <o:lock v:ext="edit" aspectratio="f"/>
                      <v:textbox>
                        <w:txbxContent>
                          <w:p w14:paraId="1757E23E">
                            <w:pPr>
                              <w:adjustRightInd w:val="0"/>
                              <w:snapToGrid w:val="0"/>
                              <w:spacing w:line="0" w:lineRule="atLeast"/>
                              <w:jc w:val="center"/>
                              <w:rPr>
                                <w:rFonts w:ascii="Times New Roman" w:hAnsi="Times New Roman" w:eastAsia="宋体" w:cs="Times New Roman"/>
                                <w:sz w:val="21"/>
                                <w:szCs w:val="21"/>
                              </w:rPr>
                            </w:pPr>
                          </w:p>
                        </w:txbxContent>
                      </v:textbox>
                    </v:rect>
                  </w:pict>
                </mc:Fallback>
              </mc:AlternateContent>
            </w:r>
            <w:r>
              <w:rPr>
                <w:rFonts w:hint="eastAsia" w:ascii="Times New Roman" w:hAnsi="Times New Roman" w:eastAsia="宋体" w:cs="Times New Roman"/>
                <w:color w:val="000000" w:themeColor="text1"/>
                <w:sz w:val="21"/>
                <w:szCs w:val="21"/>
                <w:highlight w:val="none"/>
                <w14:textFill>
                  <w14:solidFill>
                    <w14:schemeClr w14:val="tx1"/>
                  </w14:solidFill>
                </w14:textFill>
              </w:rPr>
              <w:t>物种</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（分布范围、种群数量、种群结构、行为等）</w:t>
            </w:r>
          </w:p>
          <w:p w14:paraId="4C0C0D9E">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生境</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（生境面积、质量</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p>
          <w:p w14:paraId="6F7E5690">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生物群落</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（物种组成、群落结构等</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p>
          <w:p w14:paraId="1B122176">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生态系统</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（植被覆盖度、生态系统功能等       ）</w:t>
            </w:r>
          </w:p>
          <w:p w14:paraId="0DA0AE7E">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生物多样性</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（物种丰富度、优势度等</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p>
          <w:p w14:paraId="44714C4A">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生态敏感区□（                                   ）</w:t>
            </w:r>
          </w:p>
          <w:p w14:paraId="071732D5">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自然景观</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（景观多样性、完整性</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p>
          <w:p w14:paraId="6E0FD2E7">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自然遗迹□（                                     ）</w:t>
            </w:r>
          </w:p>
          <w:p w14:paraId="6ABCF1EB">
            <w:pPr>
              <w:adjustRightInd w:val="0"/>
              <w:snapToGrid w:val="0"/>
              <w:spacing w:line="0" w:lineRule="atLeast"/>
              <w:jc w:val="left"/>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其他</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（水</w:t>
            </w:r>
            <w:r>
              <w:rPr>
                <w:rFonts w:hint="eastAsia" w:ascii="Times New Roman" w:hAnsi="Times New Roman" w:eastAsia="宋体" w:cs="Times New Roman"/>
                <w:color w:val="000000" w:themeColor="text1"/>
                <w:sz w:val="21"/>
                <w:szCs w:val="21"/>
                <w:highlight w:val="none"/>
                <w14:textFill>
                  <w14:solidFill>
                    <w14:schemeClr w14:val="tx1"/>
                  </w14:solidFill>
                </w14:textFill>
              </w:rPr>
              <w:t>土流失等      ）</w:t>
            </w:r>
          </w:p>
        </w:tc>
      </w:tr>
      <w:tr w14:paraId="02AD363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497" w:type="dxa"/>
            <w:gridSpan w:val="3"/>
            <w:vAlign w:val="center"/>
          </w:tcPr>
          <w:p w14:paraId="1641F604">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5944" w:type="dxa"/>
            <w:vAlign w:val="center"/>
          </w:tcPr>
          <w:p w14:paraId="5337B8BD">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一级□  二级</w:t>
            </w:r>
            <w:r>
              <w:rPr>
                <w:rFonts w:hint="eastAsia" w:ascii="Segoe UI Symbol" w:hAnsi="Segoe UI Symbol" w:eastAsia="宋体"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三级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生态影响简单分析□</w:t>
            </w:r>
          </w:p>
        </w:tc>
      </w:tr>
      <w:tr w14:paraId="7D0F024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35" w:hRule="atLeast"/>
          <w:jc w:val="center"/>
        </w:trPr>
        <w:tc>
          <w:tcPr>
            <w:tcW w:w="2497" w:type="dxa"/>
            <w:gridSpan w:val="3"/>
            <w:vAlign w:val="center"/>
          </w:tcPr>
          <w:p w14:paraId="5F8F5A87">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5944" w:type="dxa"/>
            <w:vAlign w:val="center"/>
          </w:tcPr>
          <w:p w14:paraId="3AC866B1">
            <w:pPr>
              <w:adjustRightInd w:val="0"/>
              <w:snapToGrid w:val="0"/>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陆域面积：</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）km</w:t>
            </w:r>
            <w:r>
              <w:rPr>
                <w:rFonts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ascii="Times New Roman" w:hAnsi="Times New Roman" w:eastAsia="宋体" w:cs="Times New Roman"/>
                <w:color w:val="000000" w:themeColor="text1"/>
                <w:sz w:val="21"/>
                <w:szCs w:val="21"/>
                <w:highlight w:val="none"/>
                <w14:textFill>
                  <w14:solidFill>
                    <w14:schemeClr w14:val="tx1"/>
                  </w14:solidFill>
                </w14:textFill>
              </w:rPr>
              <w:t>；水域面积：（）km</w:t>
            </w:r>
            <w:r>
              <w:rPr>
                <w:rFonts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06EA0DA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vAlign w:val="center"/>
          </w:tcPr>
          <w:p w14:paraId="0414B87C">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生态现状调查与评价</w:t>
            </w:r>
          </w:p>
        </w:tc>
        <w:tc>
          <w:tcPr>
            <w:tcW w:w="1365" w:type="dxa"/>
            <w:vAlign w:val="center"/>
          </w:tcPr>
          <w:p w14:paraId="1E87A0CC">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调查方法</w:t>
            </w:r>
          </w:p>
        </w:tc>
        <w:tc>
          <w:tcPr>
            <w:tcW w:w="5944" w:type="dxa"/>
            <w:vAlign w:val="center"/>
          </w:tcPr>
          <w:p w14:paraId="52DB9234">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资料收集</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；遥感调查</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；调查样方、样线</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；调查点位、断面□；专家和公众咨询法□；其他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7232235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497B09EE">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08D56AD1">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调查时间</w:t>
            </w:r>
          </w:p>
        </w:tc>
        <w:tc>
          <w:tcPr>
            <w:tcW w:w="5944" w:type="dxa"/>
            <w:vAlign w:val="center"/>
          </w:tcPr>
          <w:p w14:paraId="13B93962">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春季□；夏季</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；秋季□；冬季□</w:t>
            </w:r>
          </w:p>
          <w:p w14:paraId="724C7544">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丰水期□；枯水期□；平水期□</w:t>
            </w:r>
          </w:p>
        </w:tc>
      </w:tr>
      <w:tr w14:paraId="3D138E4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61A0B47D">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6F8F33F2">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所在区域的生态问题</w:t>
            </w:r>
          </w:p>
        </w:tc>
        <w:tc>
          <w:tcPr>
            <w:tcW w:w="5944" w:type="dxa"/>
            <w:vAlign w:val="center"/>
          </w:tcPr>
          <w:p w14:paraId="6F63F8CA">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水土流失</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；沙漠化</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；石漠化□；盐渍化</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；生物入侵□；污染危害□；其他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7751252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56477E6E">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0409CE1A">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评价内容</w:t>
            </w:r>
          </w:p>
        </w:tc>
        <w:tc>
          <w:tcPr>
            <w:tcW w:w="5944" w:type="dxa"/>
            <w:vAlign w:val="center"/>
          </w:tcPr>
          <w:p w14:paraId="1EAD92BE">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植被/植物群落</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；土地利用</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；生态系统</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；生物多样性</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；重要物种</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；生态敏感区</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4447E62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vAlign w:val="center"/>
          </w:tcPr>
          <w:p w14:paraId="2F4D1236">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生态影响预测与评价</w:t>
            </w:r>
          </w:p>
        </w:tc>
        <w:tc>
          <w:tcPr>
            <w:tcW w:w="1365" w:type="dxa"/>
            <w:vAlign w:val="center"/>
          </w:tcPr>
          <w:p w14:paraId="5B498038">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评价方法</w:t>
            </w:r>
          </w:p>
        </w:tc>
        <w:tc>
          <w:tcPr>
            <w:tcW w:w="5944" w:type="dxa"/>
            <w:vAlign w:val="center"/>
          </w:tcPr>
          <w:p w14:paraId="270509E4">
            <w:pPr>
              <w:adjustRightInd w:val="0"/>
              <w:snapToGrid w:val="0"/>
              <w:spacing w:line="0" w:lineRule="atLeas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定性</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；定性和定量</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p>
        </w:tc>
      </w:tr>
      <w:tr w14:paraId="37A7F4B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7C2B178F">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44A2D009">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评价内容</w:t>
            </w:r>
          </w:p>
        </w:tc>
        <w:tc>
          <w:tcPr>
            <w:tcW w:w="5944" w:type="dxa"/>
            <w:vAlign w:val="center"/>
          </w:tcPr>
          <w:p w14:paraId="69022F4C">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植被/植物群落</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；土地利用</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；生态系统</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；生物多样性</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；重要物种</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；生态敏感区□；生物入侵风险□；其他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09F45BF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restart"/>
            <w:vAlign w:val="center"/>
          </w:tcPr>
          <w:p w14:paraId="033D71F3">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生态保护对策措施</w:t>
            </w:r>
          </w:p>
        </w:tc>
        <w:tc>
          <w:tcPr>
            <w:tcW w:w="1365" w:type="dxa"/>
            <w:vAlign w:val="center"/>
          </w:tcPr>
          <w:p w14:paraId="082E56D0">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对策措施</w:t>
            </w:r>
          </w:p>
        </w:tc>
        <w:tc>
          <w:tcPr>
            <w:tcW w:w="5944" w:type="dxa"/>
            <w:vAlign w:val="center"/>
          </w:tcPr>
          <w:p w14:paraId="696389AD">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避让□；减缓</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；生态修复</w:t>
            </w:r>
            <w:r>
              <w:rPr>
                <w:rFonts w:hint="eastAsia" w:ascii="Segoe UI Symbol" w:hAnsi="Segoe UI Symbol"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；生态补偿□；科研□；其他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05C6BDC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69C6404F">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2F2D06E3">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生态监测计划</w:t>
            </w:r>
          </w:p>
        </w:tc>
        <w:tc>
          <w:tcPr>
            <w:tcW w:w="5944" w:type="dxa"/>
            <w:vAlign w:val="center"/>
          </w:tcPr>
          <w:p w14:paraId="4195F6F8">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全生命周期□；长期跟踪□；常规</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w:t>
            </w:r>
          </w:p>
        </w:tc>
      </w:tr>
      <w:tr w14:paraId="67B0584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Merge w:val="continue"/>
            <w:vAlign w:val="center"/>
          </w:tcPr>
          <w:p w14:paraId="735FBD28">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65" w:type="dxa"/>
            <w:vAlign w:val="center"/>
          </w:tcPr>
          <w:p w14:paraId="7AE21FA0">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环境管理</w:t>
            </w:r>
          </w:p>
        </w:tc>
        <w:tc>
          <w:tcPr>
            <w:tcW w:w="5944" w:type="dxa"/>
            <w:vAlign w:val="center"/>
          </w:tcPr>
          <w:p w14:paraId="0A5D3968">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环境监理</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；环境影响后评价</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；其他</w:t>
            </w:r>
            <w:r>
              <w:rPr>
                <w:rFonts w:ascii="Segoe UI Symbol" w:hAnsi="Segoe UI Symbol" w:eastAsia="宋体" w:cs="Segoe UI Symbol"/>
                <w:color w:val="000000" w:themeColor="text1"/>
                <w:sz w:val="21"/>
                <w:szCs w:val="21"/>
                <w:highlight w:val="none"/>
                <w14:textFill>
                  <w14:solidFill>
                    <w14:schemeClr w14:val="tx1"/>
                  </w14:solidFill>
                </w14:textFill>
              </w:rPr>
              <w:t>☑</w:t>
            </w:r>
          </w:p>
        </w:tc>
      </w:tr>
      <w:tr w14:paraId="6CFE36F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32" w:type="dxa"/>
            <w:gridSpan w:val="2"/>
            <w:vAlign w:val="center"/>
          </w:tcPr>
          <w:p w14:paraId="6DDAC138">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1365" w:type="dxa"/>
            <w:vAlign w:val="center"/>
          </w:tcPr>
          <w:p w14:paraId="3B37DB92">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生态影响</w:t>
            </w:r>
          </w:p>
        </w:tc>
        <w:tc>
          <w:tcPr>
            <w:tcW w:w="5944" w:type="dxa"/>
            <w:vAlign w:val="center"/>
          </w:tcPr>
          <w:p w14:paraId="36278303">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可行</w:t>
            </w:r>
            <w:r>
              <w:rPr>
                <w:rFonts w:ascii="Segoe UI Symbol" w:hAnsi="Segoe UI Symbol" w:eastAsia="宋体" w:cs="Segoe UI Symbol"/>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；不可行□</w:t>
            </w:r>
          </w:p>
        </w:tc>
      </w:tr>
      <w:tr w14:paraId="1512396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441" w:type="dxa"/>
            <w:gridSpan w:val="4"/>
            <w:vAlign w:val="center"/>
          </w:tcPr>
          <w:p w14:paraId="7A904312">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注：“□”为勾选项，可√；“（）”为内容填写项。</w:t>
            </w:r>
          </w:p>
        </w:tc>
      </w:tr>
    </w:tbl>
    <w:p w14:paraId="4FF9CE5F">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小结</w:t>
      </w:r>
    </w:p>
    <w:p w14:paraId="631B8696">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本工程对生态环境的影响主要在施工期，为永久占地平整及</w:t>
      </w:r>
      <w:r>
        <w:rPr>
          <w:rFonts w:hint="eastAsia" w:cs="Times New Roman"/>
          <w:color w:val="000000" w:themeColor="text1"/>
          <w:sz w:val="24"/>
          <w:szCs w:val="21"/>
          <w:highlight w:val="none"/>
          <w:lang w:val="en-US" w:eastAsia="zh-CN" w:bidi="ar-SA"/>
          <w14:textFill>
            <w14:solidFill>
              <w14:schemeClr w14:val="tx1"/>
            </w14:solidFill>
          </w14:textFill>
        </w:rPr>
        <w:t>地面工程建设</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等带来的生态环境影响。本工程永久占地约</w:t>
      </w:r>
      <w:r>
        <w:rPr>
          <w:rFonts w:hint="eastAsia" w:cs="Times New Roman"/>
          <w:color w:val="000000" w:themeColor="text1"/>
          <w:sz w:val="24"/>
          <w:szCs w:val="21"/>
          <w:highlight w:val="none"/>
          <w:lang w:val="en-US" w:eastAsia="zh-CN" w:bidi="ar-SA"/>
          <w14:textFill>
            <w14:solidFill>
              <w14:schemeClr w14:val="tx1"/>
            </w14:solidFill>
          </w14:textFill>
        </w:rPr>
        <w:t>1.4328</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，永久性工程占地对</w:t>
      </w:r>
      <w:r>
        <w:rPr>
          <w:rFonts w:hint="eastAsia" w:cs="Times New Roman"/>
          <w:color w:val="000000" w:themeColor="text1"/>
          <w:sz w:val="24"/>
          <w:szCs w:val="21"/>
          <w:highlight w:val="none"/>
          <w:lang w:val="en-US" w:eastAsia="zh-CN" w:bidi="ar-SA"/>
          <w14:textFill>
            <w14:solidFill>
              <w14:schemeClr w14:val="tx1"/>
            </w14:solidFill>
          </w14:textFill>
        </w:rPr>
        <w:t>工程区</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的土地利用影响较小。临时占地</w:t>
      </w:r>
      <w:r>
        <w:rPr>
          <w:rFonts w:hint="eastAsia" w:cs="Times New Roman"/>
          <w:color w:val="000000" w:themeColor="text1"/>
          <w:sz w:val="24"/>
          <w:szCs w:val="21"/>
          <w:highlight w:val="none"/>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，临时性工程占地仅在施工阶段对</w:t>
      </w:r>
      <w:r>
        <w:rPr>
          <w:rFonts w:hint="eastAsia" w:cs="Times New Roman"/>
          <w:color w:val="000000" w:themeColor="text1"/>
          <w:sz w:val="24"/>
          <w:szCs w:val="21"/>
          <w:highlight w:val="none"/>
          <w:lang w:val="en-US" w:eastAsia="zh-CN" w:bidi="ar-SA"/>
          <w14:textFill>
            <w14:solidFill>
              <w14:schemeClr w14:val="tx1"/>
            </w14:solidFill>
          </w14:textFill>
        </w:rPr>
        <w:t>工程区及周边</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14:paraId="6FAE36C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本工程位于阿克苏地区</w:t>
      </w:r>
      <w:r>
        <w:rPr>
          <w:rFonts w:hint="eastAsia" w:cs="Times New Roman"/>
          <w:color w:val="000000" w:themeColor="text1"/>
          <w:sz w:val="24"/>
          <w:szCs w:val="21"/>
          <w:highlight w:val="none"/>
          <w:lang w:val="en-US" w:eastAsia="zh-CN" w:bidi="ar-SA"/>
          <w14:textFill>
            <w14:solidFill>
              <w14:schemeClr w14:val="tx1"/>
            </w14:solidFill>
          </w14:textFill>
        </w:rPr>
        <w:t>新和县</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境内，本工程评价范围和占地范围内均不涉及法定生态保护区域、重要生境以及其他具有重要生态功能、对保护生物多样性具有重要意义的区域等生态敏感区。</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由于本区域的野生动物种类</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较</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少，少有大型野生动物在本区域出现，</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对野生动物的影响较小。</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综上所述，</w:t>
      </w:r>
      <w:r>
        <w:rPr>
          <w:rFonts w:hint="eastAsia" w:ascii="Times New Roman" w:hAnsi="Times New Roman" w:eastAsia="宋体" w:cs="Times New Roman"/>
          <w:color w:val="000000" w:themeColor="text1"/>
          <w:spacing w:val="4"/>
          <w:kern w:val="24"/>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pacing w:val="4"/>
          <w:kern w:val="24"/>
          <w:sz w:val="24"/>
          <w:szCs w:val="21"/>
          <w:highlight w:val="none"/>
          <w:lang w:val="en-US" w:eastAsia="zh-CN" w:bidi="ar-SA"/>
          <w14:textFill>
            <w14:solidFill>
              <w14:schemeClr w14:val="tx1"/>
            </w14:solidFill>
          </w14:textFill>
        </w:rPr>
        <w:t>建设</w:t>
      </w:r>
      <w:r>
        <w:rPr>
          <w:rFonts w:hint="eastAsia" w:ascii="Times New Roman" w:hAnsi="Times New Roman" w:eastAsia="宋体" w:cs="Times New Roman"/>
          <w:color w:val="000000" w:themeColor="text1"/>
          <w:spacing w:val="4"/>
          <w:kern w:val="24"/>
          <w:sz w:val="24"/>
          <w:szCs w:val="21"/>
          <w:highlight w:val="none"/>
          <w:lang w:val="en-US" w:eastAsia="zh-CN" w:bidi="ar-SA"/>
          <w14:textFill>
            <w14:solidFill>
              <w14:schemeClr w14:val="tx1"/>
            </w14:solidFill>
          </w14:textFill>
        </w:rPr>
        <w:t>在采取严格的环境保护措施后，生态环境影响可接受</w:t>
      </w:r>
      <w:r>
        <w:rPr>
          <w:rFonts w:ascii="Times New Roman" w:hAnsi="Times New Roman" w:eastAsia="宋体" w:cs="Times New Roman"/>
          <w:color w:val="000000" w:themeColor="text1"/>
          <w:spacing w:val="4"/>
          <w:kern w:val="24"/>
          <w:sz w:val="24"/>
          <w:szCs w:val="21"/>
          <w:highlight w:val="none"/>
          <w:lang w:val="en-US" w:eastAsia="zh-CN" w:bidi="ar-SA"/>
          <w14:textFill>
            <w14:solidFill>
              <w14:schemeClr w14:val="tx1"/>
            </w14:solidFill>
          </w14:textFill>
        </w:rPr>
        <w:t>。</w:t>
      </w:r>
    </w:p>
    <w:p w14:paraId="47BE8FAB">
      <w:pPr>
        <w:pStyle w:val="128"/>
        <w:pageBreakBefore w:val="0"/>
        <w:kinsoku/>
        <w:wordWrap/>
        <w:overflowPunct/>
        <w:topLinePunct w:val="0"/>
        <w:autoSpaceDE/>
        <w:autoSpaceDN/>
        <w:bidi w:val="0"/>
        <w:adjustRightInd w:val="0"/>
        <w:snapToGrid w:val="0"/>
        <w:spacing w:beforeLines="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bookmarkStart w:id="971" w:name="_Toc9853"/>
      <w:bookmarkStart w:id="972" w:name="_Toc31683"/>
      <w:bookmarkStart w:id="973" w:name="_Toc7097"/>
      <w:bookmarkStart w:id="974" w:name="_Toc1585"/>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地下水环境影响评价</w:t>
      </w:r>
      <w:bookmarkEnd w:id="971"/>
    </w:p>
    <w:p w14:paraId="2C9EB8BF">
      <w:pPr>
        <w:pStyle w:val="129"/>
        <w:pageBreakBefore w:val="0"/>
        <w:kinsoku/>
        <w:wordWrap/>
        <w:overflowPunct/>
        <w:topLinePunct w:val="0"/>
        <w:autoSpaceDE/>
        <w:autoSpaceDN/>
        <w:bidi w:val="0"/>
        <w:adjustRightInd w:val="0"/>
        <w:snapToGrid w:val="0"/>
        <w:spacing w:beforeLines="0" w:afterLines="0" w:line="360"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.1水文地质条件</w:t>
      </w:r>
    </w:p>
    <w:p w14:paraId="27DDE4D1">
      <w:pPr>
        <w:keepLines/>
        <w:pageBreakBefore w:val="0"/>
        <w:widowControl w:val="0"/>
        <w:wordWrap/>
        <w:overflowPunct/>
        <w:topLinePunct w:val="0"/>
        <w:bidi w:val="0"/>
        <w:adjustRightInd w:val="0"/>
        <w:snapToGrid w:val="0"/>
        <w:spacing w:line="360" w:lineRule="auto"/>
        <w:ind w:left="0" w:right="0"/>
        <w:jc w:val="both"/>
        <w:outlineLvl w:val="3"/>
        <w:rPr>
          <w:rFonts w:hint="default" w:ascii="Times New Roman" w:hAnsi="Times New Roman" w:cs="Times New Roman"/>
          <w:b/>
          <w:color w:val="000000" w:themeColor="text1"/>
          <w:kern w:val="2"/>
          <w:sz w:val="24"/>
          <w:szCs w:val="20"/>
          <w:highlight w:val="none"/>
          <w14:textFill>
            <w14:solidFill>
              <w14:schemeClr w14:val="tx1"/>
            </w14:solidFill>
          </w14:textFill>
        </w:rPr>
      </w:pPr>
      <w:r>
        <w:rPr>
          <w:rFonts w:hint="default" w:ascii="Times New Roman" w:hAnsi="Times New Roman" w:cs="Times New Roman"/>
          <w:b/>
          <w:color w:val="000000" w:themeColor="text1"/>
          <w:kern w:val="2"/>
          <w:sz w:val="24"/>
          <w:szCs w:val="20"/>
          <w:highlight w:val="none"/>
          <w:lang w:eastAsia="zh-CN"/>
          <w14:textFill>
            <w14:solidFill>
              <w14:schemeClr w14:val="tx1"/>
            </w14:solidFill>
          </w14:textFill>
        </w:rPr>
        <w:t>5.2</w:t>
      </w:r>
      <w:r>
        <w:rPr>
          <w:rFonts w:hint="default" w:ascii="Times New Roman" w:hAnsi="Times New Roman" w:cs="Times New Roman"/>
          <w:b/>
          <w:color w:val="000000" w:themeColor="text1"/>
          <w:kern w:val="2"/>
          <w:sz w:val="24"/>
          <w:szCs w:val="20"/>
          <w:highlight w:val="none"/>
          <w14:textFill>
            <w14:solidFill>
              <w14:schemeClr w14:val="tx1"/>
            </w14:solidFill>
          </w14:textFill>
        </w:rPr>
        <w:t>.1.</w:t>
      </w:r>
      <w:r>
        <w:rPr>
          <w:rFonts w:hint="eastAsia" w:ascii="Times New Roman" w:hAnsi="Times New Roman" w:cs="Times New Roman"/>
          <w:b/>
          <w:color w:val="000000" w:themeColor="text1"/>
          <w:kern w:val="2"/>
          <w:sz w:val="24"/>
          <w:szCs w:val="20"/>
          <w:highlight w:val="none"/>
          <w:lang w:val="en-US" w:eastAsia="zh-CN"/>
          <w14:textFill>
            <w14:solidFill>
              <w14:schemeClr w14:val="tx1"/>
            </w14:solidFill>
          </w14:textFill>
        </w:rPr>
        <w:t>1</w:t>
      </w:r>
      <w:r>
        <w:rPr>
          <w:rFonts w:hint="default" w:ascii="Times New Roman" w:hAnsi="Times New Roman" w:cs="Times New Roman"/>
          <w:b/>
          <w:color w:val="000000" w:themeColor="text1"/>
          <w:kern w:val="2"/>
          <w:sz w:val="24"/>
          <w:szCs w:val="20"/>
          <w:highlight w:val="none"/>
          <w14:textFill>
            <w14:solidFill>
              <w14:schemeClr w14:val="tx1"/>
            </w14:solidFill>
          </w14:textFill>
        </w:rPr>
        <w:t>区域水文地质</w:t>
      </w:r>
      <w:r>
        <w:rPr>
          <w:rFonts w:hint="eastAsia" w:cs="Times New Roman"/>
          <w:b/>
          <w:color w:val="000000" w:themeColor="text1"/>
          <w:kern w:val="2"/>
          <w:sz w:val="24"/>
          <w:szCs w:val="20"/>
          <w:highlight w:val="none"/>
          <w:lang w:val="en-US" w:eastAsia="zh-CN"/>
          <w14:textFill>
            <w14:solidFill>
              <w14:schemeClr w14:val="tx1"/>
            </w14:solidFill>
          </w14:textFill>
        </w:rPr>
        <w:t>条件</w:t>
      </w:r>
    </w:p>
    <w:p w14:paraId="4A4A3A35">
      <w:pPr>
        <w:pageBreakBefore w:val="0"/>
        <w:wordWrap/>
        <w:overflowPunct/>
        <w:topLinePunct w:val="0"/>
        <w:bidi w:val="0"/>
        <w:adjustRightInd w:val="0"/>
        <w:snapToGrid w:val="0"/>
        <w:spacing w:line="360" w:lineRule="auto"/>
        <w:ind w:left="0" w:right="0" w:firstLine="480" w:firstLineChars="200"/>
        <w:jc w:val="both"/>
        <w:rPr>
          <w:rFonts w:hint="eastAsia" w:ascii="Times New Roman" w:hAnsi="Times New Roman" w:eastAsia="宋体" w:cs="Times New Roman"/>
          <w:color w:val="000000" w:themeColor="text1"/>
          <w:sz w:val="24"/>
          <w:szCs w:val="21"/>
          <w:highlight w:val="none"/>
          <w:lang w:val="en-US" w:eastAsia="en-US"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1"/>
          <w:highlight w:val="none"/>
          <w:lang w:val="en-US" w:eastAsia="en-US" w:bidi="ar-SA"/>
          <w14:textFill>
            <w14:solidFill>
              <w14:schemeClr w14:val="tx1"/>
            </w14:solidFill>
          </w14:textFill>
        </w:rPr>
        <w:t>地下水的赋存及分布规律</w:t>
      </w:r>
    </w:p>
    <w:p w14:paraId="216B6DE5">
      <w:pPr>
        <w:pageBreakBefore w:val="0"/>
        <w:widowControl/>
        <w:wordWrap/>
        <w:overflowPunct/>
        <w:topLinePunct w:val="0"/>
        <w:bidi w:val="0"/>
        <w:adjustRightInd w:val="0"/>
        <w:snapToGrid w:val="0"/>
        <w:spacing w:line="360" w:lineRule="auto"/>
        <w:ind w:left="0" w:right="0" w:firstLine="480" w:firstLineChars="200"/>
        <w:jc w:val="left"/>
        <w:rPr>
          <w:rFonts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ascii="Times New Roman" w:hAnsi="Times New Roman" w:eastAsia="宋体" w:cs="Times New Roman"/>
          <w:color w:val="000000" w:themeColor="text1"/>
          <w:spacing w:val="0"/>
          <w:kern w:val="0"/>
          <w:sz w:val="24"/>
          <w:szCs w:val="24"/>
          <w:highlight w:val="none"/>
          <w14:textFill>
            <w14:solidFill>
              <w14:schemeClr w14:val="tx1"/>
            </w14:solidFill>
          </w14:textFill>
        </w:rPr>
        <w:t>该区域分布于314国道以南塔里木河以北却勒塔格山洪积冲积平原。</w:t>
      </w:r>
      <w:r>
        <w:rPr>
          <w:rFonts w:hint="eastAsia" w:ascii="Times New Roman" w:hAnsi="Times New Roman" w:eastAsia="宋体" w:cs="Times New Roman"/>
          <w:color w:val="000000" w:themeColor="text1"/>
          <w:sz w:val="24"/>
          <w:szCs w:val="21"/>
          <w:highlight w:val="none"/>
          <w:lang w:val="en-US" w:eastAsia="en-US" w:bidi="ar-SA"/>
          <w14:textFill>
            <w14:solidFill>
              <w14:schemeClr w14:val="tx1"/>
            </w14:solidFill>
          </w14:textFill>
        </w:rPr>
        <w:t>地下水的形成受到库沙新冲洪积倾斜平原地貌单元的影响</w:t>
      </w:r>
      <w:r>
        <w:rPr>
          <w:rFonts w:hint="eastAsia" w:cs="Times New Roman"/>
          <w:color w:val="000000" w:themeColor="text1"/>
          <w:sz w:val="24"/>
          <w:szCs w:val="21"/>
          <w:highlight w:val="none"/>
          <w:lang w:val="en-US" w:eastAsia="zh-CN" w:bidi="ar-SA"/>
          <w14:textFill>
            <w14:solidFill>
              <w14:schemeClr w14:val="tx1"/>
            </w14:solidFill>
          </w14:textFill>
        </w:rPr>
        <w:t>使</w:t>
      </w:r>
      <w:r>
        <w:rPr>
          <w:rFonts w:hint="eastAsia" w:ascii="Times New Roman" w:hAnsi="Times New Roman" w:eastAsia="宋体" w:cs="Times New Roman"/>
          <w:color w:val="000000" w:themeColor="text1"/>
          <w:sz w:val="24"/>
          <w:szCs w:val="21"/>
          <w:highlight w:val="none"/>
          <w:lang w:val="en-US" w:eastAsia="en-US" w:bidi="ar-SA"/>
          <w14:textFill>
            <w14:solidFill>
              <w14:schemeClr w14:val="tx1"/>
            </w14:solidFill>
          </w14:textFill>
        </w:rPr>
        <w:t>其过程较为复杂，库沙新灌区在渭干河水流及北部却勒塔格山南坡洪流的作用下，沿山前及渭干河中下游区域形成了库沙新冲洪积倾斜平原，岩性多以冲积为主的卵砾石、砂砾石、</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砂及粉土、粉质粘土地层（</w:t>
      </w:r>
      <w:r>
        <w:rPr>
          <w:rFonts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Q</w:t>
      </w:r>
      <w:r>
        <w:rPr>
          <w:rFonts w:ascii="Times New Roman" w:hAnsi="Times New Roman" w:eastAsia="Times New Roman" w:cs="Times New Roman"/>
          <w:snapToGrid w:val="0"/>
          <w:color w:val="000000" w:themeColor="text1"/>
          <w:spacing w:val="-2"/>
          <w:kern w:val="0"/>
          <w:position w:val="-1"/>
          <w:sz w:val="15"/>
          <w:szCs w:val="15"/>
          <w:highlight w:val="none"/>
          <w:lang w:eastAsia="en-US"/>
          <w14:textFill>
            <w14:solidFill>
              <w14:schemeClr w14:val="tx1"/>
            </w14:solidFill>
          </w14:textFill>
        </w:rPr>
        <w:t>4</w:t>
      </w:r>
      <w:r>
        <w:rPr>
          <w:rFonts w:ascii="Times New Roman" w:hAnsi="Times New Roman" w:eastAsia="Times New Roman" w:cs="Times New Roman"/>
          <w:snapToGrid w:val="0"/>
          <w:color w:val="000000" w:themeColor="text1"/>
          <w:spacing w:val="29"/>
          <w:w w:val="102"/>
          <w:kern w:val="0"/>
          <w:position w:val="-1"/>
          <w:sz w:val="15"/>
          <w:szCs w:val="15"/>
          <w:highlight w:val="none"/>
          <w:lang w:eastAsia="en-US"/>
          <w14:textFill>
            <w14:solidFill>
              <w14:schemeClr w14:val="tx1"/>
            </w14:solidFill>
          </w14:textFill>
        </w:rPr>
        <w:t xml:space="preserve"> </w:t>
      </w:r>
      <w:r>
        <w:rPr>
          <w:rFonts w:ascii="Times New Roman" w:hAnsi="Times New Roman" w:eastAsia="Times New Roman" w:cs="Times New Roman"/>
          <w:snapToGrid w:val="0"/>
          <w:color w:val="000000" w:themeColor="text1"/>
          <w:spacing w:val="-2"/>
          <w:kern w:val="0"/>
          <w:position w:val="8"/>
          <w:sz w:val="15"/>
          <w:szCs w:val="15"/>
          <w:highlight w:val="none"/>
          <w:lang w:eastAsia="en-US"/>
          <w14:textFill>
            <w14:solidFill>
              <w14:schemeClr w14:val="tx1"/>
            </w14:solidFill>
          </w14:textFill>
        </w:rPr>
        <w:t xml:space="preserve">al + pl </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）组成，由北向南地层颗粒逐渐变细，在</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塔里木</w:t>
      </w:r>
      <w:r>
        <w:rPr>
          <w:rFonts w:ascii="宋体" w:hAnsi="宋体" w:eastAsia="宋体" w:cs="宋体"/>
          <w:snapToGrid w:val="0"/>
          <w:color w:val="000000" w:themeColor="text1"/>
          <w:spacing w:val="-1"/>
          <w:kern w:val="0"/>
          <w:sz w:val="24"/>
          <w:szCs w:val="24"/>
          <w:highlight w:val="none"/>
          <w:lang w:eastAsia="en-US"/>
          <w14:textFill>
            <w14:solidFill>
              <w14:schemeClr w14:val="tx1"/>
            </w14:solidFill>
          </w14:textFill>
        </w:rPr>
        <w:t>河左岸区有较大面积的风积地层（</w:t>
      </w:r>
      <w:r>
        <w:rPr>
          <w:rFonts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Q</w:t>
      </w:r>
      <w:r>
        <w:rPr>
          <w:rFonts w:ascii="Times New Roman" w:hAnsi="Times New Roman" w:eastAsia="Times New Roman" w:cs="Times New Roman"/>
          <w:snapToGrid w:val="0"/>
          <w:color w:val="000000" w:themeColor="text1"/>
          <w:spacing w:val="-1"/>
          <w:kern w:val="0"/>
          <w:position w:val="-1"/>
          <w:sz w:val="15"/>
          <w:szCs w:val="15"/>
          <w:highlight w:val="none"/>
          <w:lang w:eastAsia="en-US"/>
          <w14:textFill>
            <w14:solidFill>
              <w14:schemeClr w14:val="tx1"/>
            </w14:solidFill>
          </w14:textFill>
        </w:rPr>
        <w:t xml:space="preserve">4 </w:t>
      </w:r>
      <w:r>
        <w:rPr>
          <w:rFonts w:ascii="Times New Roman" w:hAnsi="Times New Roman" w:eastAsia="Times New Roman" w:cs="Times New Roman"/>
          <w:snapToGrid w:val="0"/>
          <w:color w:val="000000" w:themeColor="text1"/>
          <w:spacing w:val="-1"/>
          <w:kern w:val="0"/>
          <w:position w:val="8"/>
          <w:sz w:val="15"/>
          <w:szCs w:val="15"/>
          <w:highlight w:val="none"/>
          <w:lang w:eastAsia="en-US"/>
          <w14:textFill>
            <w14:solidFill>
              <w14:schemeClr w14:val="tx1"/>
            </w14:solidFill>
          </w14:textFill>
        </w:rPr>
        <w:t xml:space="preserve">eol </w:t>
      </w:r>
      <w:r>
        <w:rPr>
          <w:rFonts w:ascii="宋体" w:hAnsi="宋体" w:eastAsia="宋体" w:cs="宋体"/>
          <w:snapToGrid w:val="0"/>
          <w:color w:val="000000" w:themeColor="text1"/>
          <w:spacing w:val="-30"/>
          <w:kern w:val="0"/>
          <w:sz w:val="24"/>
          <w:szCs w:val="24"/>
          <w:highlight w:val="none"/>
          <w:lang w:eastAsia="en-US"/>
          <w14:textFill>
            <w14:solidFill>
              <w14:schemeClr w14:val="tx1"/>
            </w14:solidFill>
          </w14:textFill>
        </w:rPr>
        <w:t>），</w:t>
      </w:r>
      <w:r>
        <w:rPr>
          <w:rFonts w:ascii="宋体" w:hAnsi="宋体" w:eastAsia="宋体" w:cs="宋体"/>
          <w:snapToGrid w:val="0"/>
          <w:color w:val="000000" w:themeColor="text1"/>
          <w:spacing w:val="-1"/>
          <w:kern w:val="0"/>
          <w:sz w:val="24"/>
          <w:szCs w:val="24"/>
          <w:highlight w:val="none"/>
          <w:lang w:eastAsia="en-US"/>
          <w14:textFill>
            <w14:solidFill>
              <w14:schemeClr w14:val="tx1"/>
            </w14:solidFill>
          </w14:textFill>
        </w:rPr>
        <w:t>主要分布于新和县西南部、沙雅县南部和</w:t>
      </w:r>
      <w:r>
        <w:rPr>
          <w:rFonts w:hint="eastAsia" w:ascii="宋体" w:hAnsi="宋体" w:eastAsia="宋体" w:cs="宋体"/>
          <w:snapToGrid w:val="0"/>
          <w:color w:val="000000" w:themeColor="text1"/>
          <w:spacing w:val="-1"/>
          <w:kern w:val="0"/>
          <w:sz w:val="24"/>
          <w:szCs w:val="24"/>
          <w:highlight w:val="none"/>
          <w:lang w:eastAsia="zh-CN"/>
          <w14:textFill>
            <w14:solidFill>
              <w14:schemeClr w14:val="tx1"/>
            </w14:solidFill>
          </w14:textFill>
        </w:rPr>
        <w:t>库车市</w:t>
      </w:r>
      <w:r>
        <w:rPr>
          <w:rFonts w:ascii="宋体" w:hAnsi="宋体" w:eastAsia="宋体" w:cs="宋体"/>
          <w:snapToGrid w:val="0"/>
          <w:color w:val="000000" w:themeColor="text1"/>
          <w:spacing w:val="-1"/>
          <w:kern w:val="0"/>
          <w:sz w:val="24"/>
          <w:szCs w:val="24"/>
          <w:highlight w:val="none"/>
          <w:lang w:eastAsia="en-US"/>
          <w14:textFill>
            <w14:solidFill>
              <w14:schemeClr w14:val="tx1"/>
            </w14:solidFill>
          </w14:textFill>
        </w:rPr>
        <w:t>东南部一带，多为半固定草灌沙丘，沙丘高</w:t>
      </w:r>
      <w:r>
        <w:rPr>
          <w:rFonts w:ascii="宋体" w:hAnsi="宋体" w:eastAsia="宋体" w:cs="宋体"/>
          <w:snapToGrid w:val="0"/>
          <w:color w:val="000000" w:themeColor="text1"/>
          <w:spacing w:val="-55"/>
          <w:kern w:val="0"/>
          <w:sz w:val="24"/>
          <w:szCs w:val="24"/>
          <w:highlight w:val="none"/>
          <w:lang w:eastAsia="en-US"/>
          <w14:textFill>
            <w14:solidFill>
              <w14:schemeClr w14:val="tx1"/>
            </w14:solidFill>
          </w14:textFill>
        </w:rPr>
        <w:t xml:space="preserve"> </w:t>
      </w:r>
      <w:r>
        <w:rPr>
          <w:rFonts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2</w:t>
      </w:r>
      <w:r>
        <w:rPr>
          <w:rFonts w:ascii="宋体" w:hAnsi="宋体" w:eastAsia="宋体" w:cs="宋体"/>
          <w:snapToGrid w:val="0"/>
          <w:color w:val="000000" w:themeColor="text1"/>
          <w:spacing w:val="-1"/>
          <w:kern w:val="0"/>
          <w:sz w:val="24"/>
          <w:szCs w:val="24"/>
          <w:highlight w:val="none"/>
          <w:lang w:eastAsia="en-US"/>
          <w14:textFill>
            <w14:solidFill>
              <w14:schemeClr w14:val="tx1"/>
            </w14:solidFill>
          </w14:textFill>
        </w:rPr>
        <w:t>～</w:t>
      </w:r>
      <w:r>
        <w:rPr>
          <w:rFonts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5m</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，岩性为土黄色粉土、</w:t>
      </w:r>
      <w:r>
        <w:rPr>
          <w:rFonts w:ascii="宋体" w:hAnsi="宋体" w:eastAsia="宋体" w:cs="宋体"/>
          <w:snapToGrid w:val="0"/>
          <w:color w:val="000000" w:themeColor="text1"/>
          <w:kern w:val="0"/>
          <w:sz w:val="24"/>
          <w:szCs w:val="24"/>
          <w:highlight w:val="none"/>
          <w:lang w:eastAsia="en-US"/>
          <w14:textFill>
            <w14:solidFill>
              <w14:schemeClr w14:val="tx1"/>
            </w14:solidFill>
          </w14:textFill>
        </w:rPr>
        <w:t xml:space="preserve"> </w:t>
      </w:r>
      <w:r>
        <w:rPr>
          <w:rFonts w:ascii="宋体" w:hAnsi="宋体" w:eastAsia="宋体" w:cs="宋体"/>
          <w:snapToGrid w:val="0"/>
          <w:color w:val="000000" w:themeColor="text1"/>
          <w:spacing w:val="-6"/>
          <w:kern w:val="0"/>
          <w:sz w:val="24"/>
          <w:szCs w:val="24"/>
          <w:highlight w:val="none"/>
          <w:lang w:eastAsia="en-US"/>
          <w14:textFill>
            <w14:solidFill>
              <w14:schemeClr w14:val="tx1"/>
            </w14:solidFill>
          </w14:textFill>
        </w:rPr>
        <w:t>中</w:t>
      </w:r>
      <w:r>
        <w:rPr>
          <w:rFonts w:hint="eastAsia" w:cs="Times New Roman"/>
          <w:color w:val="000000" w:themeColor="text1"/>
          <w:sz w:val="24"/>
          <w:szCs w:val="21"/>
          <w:highlight w:val="none"/>
          <w:lang w:val="en-US" w:eastAsia="en-US" w:bidi="ar-SA"/>
          <w14:textFill>
            <w14:solidFill>
              <w14:schemeClr w14:val="tx1"/>
            </w14:solidFill>
          </w14:textFill>
        </w:rPr>
        <w:t>细砂层。该区域第四系松散沉积物厚度变化较大，分布厚度100m～300</w:t>
      </w:r>
      <w:bookmarkStart w:id="975" w:name="OLE_LINK1479"/>
      <w:r>
        <w:rPr>
          <w:rFonts w:hint="eastAsia" w:cs="Times New Roman"/>
          <w:color w:val="000000" w:themeColor="text1"/>
          <w:sz w:val="24"/>
          <w:szCs w:val="21"/>
          <w:highlight w:val="none"/>
          <w:lang w:val="en-US" w:eastAsia="en-US" w:bidi="ar-SA"/>
          <w14:textFill>
            <w14:solidFill>
              <w14:schemeClr w14:val="tx1"/>
            </w14:solidFill>
          </w14:textFill>
        </w:rPr>
        <w:t>m</w:t>
      </w:r>
      <w:bookmarkEnd w:id="975"/>
      <w:r>
        <w:rPr>
          <w:rFonts w:hint="eastAsia" w:cs="Times New Roman"/>
          <w:color w:val="000000" w:themeColor="text1"/>
          <w:sz w:val="24"/>
          <w:szCs w:val="21"/>
          <w:highlight w:val="none"/>
          <w:lang w:val="en-US" w:eastAsia="en-US" w:bidi="ar-SA"/>
          <w14:textFill>
            <w14:solidFill>
              <w14:schemeClr w14:val="tx1"/>
            </w14:solidFill>
          </w14:textFill>
        </w:rPr>
        <w:t>，在中下游区未揭穿该地层</w:t>
      </w:r>
      <w:r>
        <w:rPr>
          <w:rFonts w:ascii="Times New Roman" w:hAnsi="Times New Roman" w:eastAsia="宋体" w:cs="Times New Roman"/>
          <w:color w:val="000000" w:themeColor="text1"/>
          <w:spacing w:val="0"/>
          <w:kern w:val="0"/>
          <w:sz w:val="24"/>
          <w:szCs w:val="24"/>
          <w:highlight w:val="none"/>
          <w14:textFill>
            <w14:solidFill>
              <w14:schemeClr w14:val="tx1"/>
            </w14:solidFill>
          </w14:textFill>
        </w:rPr>
        <w:t>。</w:t>
      </w:r>
    </w:p>
    <w:p w14:paraId="087343FD">
      <w:pPr>
        <w:pageBreakBefore w:val="0"/>
        <w:numPr>
          <w:ilvl w:val="0"/>
          <w:numId w:val="0"/>
        </w:numPr>
        <w:wordWrap/>
        <w:overflowPunct/>
        <w:topLinePunct w:val="0"/>
        <w:bidi w:val="0"/>
        <w:adjustRightInd w:val="0"/>
        <w:snapToGrid w:val="0"/>
        <w:spacing w:line="360" w:lineRule="auto"/>
        <w:ind w:left="0" w:right="0" w:firstLine="480" w:firstLineChars="200"/>
        <w:jc w:val="both"/>
        <w:rPr>
          <w:rFonts w:hint="eastAsia" w:cs="Times New Roman"/>
          <w:color w:val="000000" w:themeColor="text1"/>
          <w:sz w:val="24"/>
          <w:szCs w:val="21"/>
          <w:highlight w:val="none"/>
          <w:lang w:val="en-US" w:eastAsia="en-US"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（2）</w:t>
      </w:r>
      <w:r>
        <w:rPr>
          <w:rFonts w:hint="eastAsia" w:cs="Times New Roman"/>
          <w:color w:val="000000" w:themeColor="text1"/>
          <w:sz w:val="24"/>
          <w:szCs w:val="21"/>
          <w:highlight w:val="none"/>
          <w:lang w:val="en-US" w:eastAsia="en-US" w:bidi="ar-SA"/>
          <w14:textFill>
            <w14:solidFill>
              <w14:schemeClr w14:val="tx1"/>
            </w14:solidFill>
          </w14:textFill>
        </w:rPr>
        <w:t>含水岩组特征及富水性</w:t>
      </w:r>
    </w:p>
    <w:p w14:paraId="108FA248">
      <w:pPr>
        <w:pageBreakBefore w:val="0"/>
        <w:numPr>
          <w:ilvl w:val="0"/>
          <w:numId w:val="0"/>
        </w:numPr>
        <w:wordWrap/>
        <w:overflowPunct/>
        <w:topLinePunct w:val="0"/>
        <w:bidi w:val="0"/>
        <w:adjustRightInd w:val="0"/>
        <w:snapToGrid w:val="0"/>
        <w:spacing w:line="360" w:lineRule="auto"/>
        <w:ind w:left="0" w:right="0" w:firstLine="480" w:firstLineChars="200"/>
        <w:jc w:val="both"/>
        <w:rPr>
          <w:rFonts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ascii="宋体" w:hAnsi="宋体" w:eastAsia="宋体" w:cs="宋体"/>
          <w:snapToGrid w:val="0"/>
          <w:color w:val="000000" w:themeColor="text1"/>
          <w:kern w:val="0"/>
          <w:sz w:val="24"/>
          <w:szCs w:val="24"/>
          <w:highlight w:val="none"/>
          <w:lang w:eastAsia="en-US"/>
          <w14:textFill>
            <w14:solidFill>
              <w14:schemeClr w14:val="tx1"/>
            </w14:solidFill>
          </w14:textFill>
        </w:rPr>
        <w:t>库沙新</w:t>
      </w:r>
      <w:r>
        <w:rPr>
          <w:rFonts w:hint="eastAsia" w:ascii="宋体" w:hAnsi="宋体" w:cs="宋体"/>
          <w:snapToGrid w:val="0"/>
          <w:color w:val="000000" w:themeColor="text1"/>
          <w:kern w:val="0"/>
          <w:sz w:val="24"/>
          <w:szCs w:val="24"/>
          <w:highlight w:val="none"/>
          <w:lang w:eastAsia="zh-CN"/>
          <w14:textFill>
            <w14:solidFill>
              <w14:schemeClr w14:val="tx1"/>
            </w14:solidFill>
          </w14:textFill>
        </w:rPr>
        <w:t>（</w:t>
      </w:r>
      <w:r>
        <w:rPr>
          <w:rFonts w:ascii="宋体" w:hAnsi="宋体" w:eastAsia="宋体" w:cs="宋体"/>
          <w:snapToGrid w:val="0"/>
          <w:color w:val="000000" w:themeColor="text1"/>
          <w:kern w:val="0"/>
          <w:sz w:val="24"/>
          <w:szCs w:val="24"/>
          <w:highlight w:val="none"/>
          <w:lang w:eastAsia="en-US"/>
          <w14:textFill>
            <w14:solidFill>
              <w14:schemeClr w14:val="tx1"/>
            </w14:solidFill>
          </w14:textFill>
        </w:rPr>
        <w:t>库车、新和、沙雅县</w:t>
      </w:r>
      <w:r>
        <w:rPr>
          <w:rFonts w:hint="eastAsia" w:ascii="宋体" w:hAnsi="宋体" w:cs="宋体"/>
          <w:snapToGrid w:val="0"/>
          <w:color w:val="000000" w:themeColor="text1"/>
          <w:kern w:val="0"/>
          <w:sz w:val="24"/>
          <w:szCs w:val="24"/>
          <w:highlight w:val="none"/>
          <w:lang w:eastAsia="zh-CN"/>
          <w14:textFill>
            <w14:solidFill>
              <w14:schemeClr w14:val="tx1"/>
            </w14:solidFill>
          </w14:textFill>
        </w:rPr>
        <w:t>）</w:t>
      </w:r>
      <w:r>
        <w:rPr>
          <w:rFonts w:ascii="宋体" w:hAnsi="宋体" w:eastAsia="宋体" w:cs="宋体"/>
          <w:snapToGrid w:val="0"/>
          <w:color w:val="000000" w:themeColor="text1"/>
          <w:kern w:val="0"/>
          <w:sz w:val="24"/>
          <w:szCs w:val="24"/>
          <w:highlight w:val="none"/>
          <w:lang w:eastAsia="en-US"/>
          <w14:textFill>
            <w14:solidFill>
              <w14:schemeClr w14:val="tx1"/>
            </w14:solidFill>
          </w14:textFill>
        </w:rPr>
        <w:t>平原</w:t>
      </w:r>
      <w:r>
        <w:rPr>
          <w:rFonts w:hint="eastAsia" w:ascii="宋体" w:hAnsi="宋体" w:cs="宋体"/>
          <w:snapToGrid w:val="0"/>
          <w:color w:val="000000" w:themeColor="text1"/>
          <w:kern w:val="0"/>
          <w:sz w:val="24"/>
          <w:szCs w:val="24"/>
          <w:highlight w:val="none"/>
          <w:lang w:eastAsia="zh-CN"/>
          <w14:textFill>
            <w14:solidFill>
              <w14:schemeClr w14:val="tx1"/>
            </w14:solidFill>
          </w14:textFill>
        </w:rPr>
        <w:t>可利用</w:t>
      </w:r>
      <w:r>
        <w:rPr>
          <w:rFonts w:ascii="宋体" w:hAnsi="宋体" w:eastAsia="宋体" w:cs="宋体"/>
          <w:snapToGrid w:val="0"/>
          <w:color w:val="000000" w:themeColor="text1"/>
          <w:kern w:val="0"/>
          <w:sz w:val="24"/>
          <w:szCs w:val="24"/>
          <w:highlight w:val="none"/>
          <w:lang w:eastAsia="en-US"/>
          <w14:textFill>
            <w14:solidFill>
              <w14:schemeClr w14:val="tx1"/>
            </w14:solidFill>
          </w14:textFill>
        </w:rPr>
        <w:t>的地下水均为第四系松散岩类潜水</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和多层结构承压水。但因其承压水顶板隔水层区域分布的局限性和厚度小且不</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连续等，则可视同潜水一起利用。</w:t>
      </w:r>
    </w:p>
    <w:p w14:paraId="1380639C">
      <w:pPr>
        <w:pageBreakBefore w:val="0"/>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2"/>
          <w:kern w:val="0"/>
          <w:sz w:val="24"/>
          <w:szCs w:val="24"/>
          <w:highlight w:val="none"/>
          <w:lang w:val="en-US" w:eastAsia="zh-CN"/>
          <w14:textFill>
            <w14:solidFill>
              <w14:schemeClr w14:val="tx1"/>
            </w14:solidFill>
          </w14:textFill>
        </w:rPr>
        <w:t>①</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单一结构的潜水含水层</w:t>
      </w:r>
    </w:p>
    <w:p w14:paraId="77B1F425">
      <w:pPr>
        <w:pageBreakBefore w:val="0"/>
        <w:kinsoku w:val="0"/>
        <w:wordWrap/>
        <w:overflowPunct/>
        <w:topLinePunct w:val="0"/>
        <w:autoSpaceDE w:val="0"/>
        <w:autoSpaceDN w:val="0"/>
        <w:bidi w:val="0"/>
        <w:adjustRightInd w:val="0"/>
        <w:snapToGrid w:val="0"/>
        <w:spacing w:line="360" w:lineRule="auto"/>
        <w:ind w:left="0" w:right="0" w:firstLine="482"/>
        <w:jc w:val="left"/>
        <w:textAlignment w:val="baseline"/>
        <w:rPr>
          <w:rFonts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主要分布于新和县东北部和</w:t>
      </w:r>
      <w:r>
        <w:rPr>
          <w:rFonts w:hint="eastAsia" w:ascii="宋体" w:hAnsi="宋体" w:eastAsia="宋体" w:cs="宋体"/>
          <w:snapToGrid w:val="0"/>
          <w:color w:val="000000" w:themeColor="text1"/>
          <w:spacing w:val="-2"/>
          <w:kern w:val="0"/>
          <w:sz w:val="24"/>
          <w:szCs w:val="24"/>
          <w:highlight w:val="none"/>
          <w:lang w:eastAsia="zh-CN"/>
          <w14:textFill>
            <w14:solidFill>
              <w14:schemeClr w14:val="tx1"/>
            </w14:solidFill>
          </w14:textFill>
        </w:rPr>
        <w:t>库车市</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西部临近渭干河的区域，地</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下水主要赋存于</w:t>
      </w:r>
      <w:r>
        <w:rPr>
          <w:rFonts w:ascii="宋体" w:hAnsi="宋体" w:eastAsia="宋体" w:cs="宋体"/>
          <w:snapToGrid w:val="0"/>
          <w:color w:val="000000" w:themeColor="text1"/>
          <w:spacing w:val="-7"/>
          <w:kern w:val="0"/>
          <w:sz w:val="24"/>
          <w:szCs w:val="24"/>
          <w:highlight w:val="none"/>
          <w:lang w:eastAsia="en-US"/>
          <w14:textFill>
            <w14:solidFill>
              <w14:schemeClr w14:val="tx1"/>
            </w14:solidFill>
          </w14:textFill>
        </w:rPr>
        <w:t>第四系冲积松散沉积层中，含水层岩组为单一结构漂石、卵砾石、砂砾石地层，松</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散，呈巨厚度状。其富水性多为极强富水区。</w:t>
      </w:r>
    </w:p>
    <w:p w14:paraId="1631A214">
      <w:pPr>
        <w:pageBreakBefore w:val="0"/>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2"/>
          <w:kern w:val="0"/>
          <w:sz w:val="24"/>
          <w:szCs w:val="24"/>
          <w:highlight w:val="none"/>
          <w:lang w:val="en-US" w:eastAsia="zh-CN"/>
          <w14:textFill>
            <w14:solidFill>
              <w14:schemeClr w14:val="tx1"/>
            </w14:solidFill>
          </w14:textFill>
        </w:rPr>
        <w:t>②</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多层结构的（潜水或承压）含水层</w:t>
      </w:r>
    </w:p>
    <w:p w14:paraId="09BDF3CC">
      <w:pPr>
        <w:pageBreakBefore w:val="0"/>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ascii="宋体" w:hAnsi="宋体" w:eastAsia="宋体" w:cs="宋体"/>
          <w:snapToGrid w:val="0"/>
          <w:color w:val="000000" w:themeColor="text1"/>
          <w:spacing w:val="-6"/>
          <w:kern w:val="0"/>
          <w:sz w:val="24"/>
          <w:szCs w:val="24"/>
          <w:highlight w:val="none"/>
          <w:lang w:eastAsia="en-US"/>
          <w14:textFill>
            <w14:solidFill>
              <w14:schemeClr w14:val="tx1"/>
            </w14:solidFill>
          </w14:textFill>
        </w:rPr>
        <w:t>主要分布于新和县中东部、西部及中南部；沙雅县北部、</w:t>
      </w:r>
      <w:r>
        <w:rPr>
          <w:rFonts w:hint="eastAsia" w:ascii="宋体" w:hAnsi="宋体" w:eastAsia="宋体" w:cs="宋体"/>
          <w:snapToGrid w:val="0"/>
          <w:color w:val="000000" w:themeColor="text1"/>
          <w:spacing w:val="-6"/>
          <w:kern w:val="0"/>
          <w:sz w:val="24"/>
          <w:szCs w:val="24"/>
          <w:highlight w:val="none"/>
          <w:lang w:eastAsia="zh-CN"/>
          <w14:textFill>
            <w14:solidFill>
              <w14:schemeClr w14:val="tx1"/>
            </w14:solidFill>
          </w14:textFill>
        </w:rPr>
        <w:t>库车市</w:t>
      </w:r>
      <w:r>
        <w:rPr>
          <w:rFonts w:ascii="宋体" w:hAnsi="宋体" w:eastAsia="宋体" w:cs="宋体"/>
          <w:snapToGrid w:val="0"/>
          <w:color w:val="000000" w:themeColor="text1"/>
          <w:spacing w:val="-6"/>
          <w:kern w:val="0"/>
          <w:sz w:val="24"/>
          <w:szCs w:val="24"/>
          <w:highlight w:val="none"/>
          <w:lang w:eastAsia="en-US"/>
          <w14:textFill>
            <w14:solidFill>
              <w14:schemeClr w14:val="tx1"/>
            </w14:solidFill>
          </w14:textFill>
        </w:rPr>
        <w:t>西南部靠近渭</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干河的区域，地下水主要赋存于第四系冲洪积松散沉积地层中，含水岩组为多层结构的中粗粒地层，表层为砂性土潜水含水层，下部为一层到数层中粗砂、粉砂承压</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水含水层。其富水性多为中等～强富水区。</w:t>
      </w:r>
    </w:p>
    <w:p w14:paraId="50BDB7B0">
      <w:pPr>
        <w:pageBreakBefore w:val="0"/>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3"/>
          <w:kern w:val="0"/>
          <w:sz w:val="24"/>
          <w:szCs w:val="24"/>
          <w:highlight w:val="none"/>
          <w:lang w:val="en-US" w:eastAsia="zh-CN"/>
          <w14:textFill>
            <w14:solidFill>
              <w14:schemeClr w14:val="tx1"/>
            </w14:solidFill>
          </w14:textFill>
        </w:rPr>
        <w:t>③</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多层结构的承压含水层</w:t>
      </w:r>
    </w:p>
    <w:p w14:paraId="01839C95">
      <w:pPr>
        <w:keepNext w:val="0"/>
        <w:keepLines w:val="0"/>
        <w:pageBreakBefore w:val="0"/>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pP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主要分布新和县南部、沙雅县南部、</w:t>
      </w:r>
      <w:r>
        <w:rPr>
          <w:rFonts w:hint="eastAsia" w:ascii="宋体" w:hAnsi="宋体" w:eastAsia="宋体" w:cs="宋体"/>
          <w:snapToGrid w:val="0"/>
          <w:color w:val="000000" w:themeColor="text1"/>
          <w:spacing w:val="-2"/>
          <w:kern w:val="0"/>
          <w:sz w:val="24"/>
          <w:szCs w:val="24"/>
          <w:highlight w:val="none"/>
          <w:lang w:eastAsia="zh-CN"/>
          <w14:textFill>
            <w14:solidFill>
              <w14:schemeClr w14:val="tx1"/>
            </w14:solidFill>
          </w14:textFill>
        </w:rPr>
        <w:t>库车市</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南部冲洪积倾斜平原</w:t>
      </w:r>
      <w:r>
        <w:rPr>
          <w:rFonts w:ascii="宋体" w:hAnsi="宋体" w:eastAsia="宋体" w:cs="宋体"/>
          <w:snapToGrid w:val="0"/>
          <w:color w:val="000000" w:themeColor="text1"/>
          <w:spacing w:val="-3"/>
          <w:kern w:val="0"/>
          <w:sz w:val="24"/>
          <w:szCs w:val="24"/>
          <w:highlight w:val="none"/>
          <w:lang w:eastAsia="en-US"/>
          <w14:textFill>
            <w14:solidFill>
              <w14:schemeClr w14:val="tx1"/>
            </w14:solidFill>
          </w14:textFill>
        </w:rPr>
        <w:t>的下部，地下</w:t>
      </w:r>
      <w:r>
        <w:rPr>
          <w:rFonts w:ascii="宋体" w:hAnsi="宋体" w:eastAsia="宋体" w:cs="宋体"/>
          <w:snapToGrid w:val="0"/>
          <w:color w:val="000000" w:themeColor="text1"/>
          <w:spacing w:val="-2"/>
          <w:kern w:val="0"/>
          <w:sz w:val="24"/>
          <w:szCs w:val="24"/>
          <w:highlight w:val="none"/>
          <w:lang w:eastAsia="en-US"/>
          <w14:textFill>
            <w14:solidFill>
              <w14:schemeClr w14:val="tx1"/>
            </w14:solidFill>
          </w14:textFill>
        </w:rPr>
        <w:t>水主要</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赋存于第四系洪积松散沉积地层中，含水岩组为多层结构的中细砂、粉砂细粒地层，该含水层单层厚度较小，并为层状粉土等细粒地层所夹。其富水性多为中等富水区。</w:t>
      </w:r>
    </w:p>
    <w:p w14:paraId="7B5F82E1">
      <w:pPr>
        <w:keepNext w:val="0"/>
        <w:keepLines w:val="0"/>
        <w:pageBreakBefore w:val="0"/>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2"/>
          <w:kern w:val="0"/>
          <w:sz w:val="24"/>
          <w:szCs w:val="24"/>
          <w:highlight w:val="none"/>
          <w:lang w:val="en-US" w:eastAsia="zh-CN"/>
          <w14:textFill>
            <w14:solidFill>
              <w14:schemeClr w14:val="tx1"/>
            </w14:solidFill>
          </w14:textFill>
        </w:rPr>
        <w:t>3</w:t>
      </w:r>
      <w:r>
        <w:rPr>
          <w:rFonts w:hint="default" w:ascii="Times New Roman" w:hAnsi="Times New Roman" w:cs="Times New Roman"/>
          <w:snapToGrid w:val="0"/>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地下水的补给、径流、排泄条件</w:t>
      </w:r>
    </w:p>
    <w:p w14:paraId="4F8D44AF">
      <w:pPr>
        <w:keepNext w:val="0"/>
        <w:keepLines w:val="0"/>
        <w:pageBreakBefore w:val="0"/>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在渭干河流域下游库沙新冲洪积倾斜平原区，地下水主要以河水入渗、库水入渗、渠水入渗、田间灌溉回归水入渗等主要形式补给地下水，其次有少量的降水入渗补给和山前洪流入渗补给，由于下游第四纪地层结构变化较大，地形由高到低，坡降由陡变缓，岩性由粗变细，地下水由北部山前冲洪积扇顶部形成单一结构潜水，</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向南部逐渐变为多层结构的潜水、微承压水及承压水，地下水径流条件逐渐变差，</w:t>
      </w:r>
      <w:r>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t>由于冲洪积倾斜平原缘部细粒地层的阻挡，地下水埋深变浅，</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胡杨、梭梭、红柳、</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芦苇等植被发育，地面蒸发、叶面蒸腾作用强烈，地下水一部分以蒸发的方式排泄，一部分以侧向径流和泉水的形式排向塔里木河，另外人工开采地下水也是地下水主要排泄方式之一。</w:t>
      </w:r>
    </w:p>
    <w:p w14:paraId="189487A2">
      <w:pPr>
        <w:keepNext w:val="0"/>
        <w:keepLines w:val="0"/>
        <w:pageBreakBefore w:val="0"/>
        <w:kinsoku w:val="0"/>
        <w:wordWrap/>
        <w:overflowPunct/>
        <w:topLinePunct w:val="0"/>
        <w:autoSpaceDE w:val="0"/>
        <w:autoSpaceDN w:val="0"/>
        <w:bidi w:val="0"/>
        <w:adjustRightInd w:val="0"/>
        <w:snapToGrid w:val="0"/>
        <w:spacing w:line="360" w:lineRule="auto"/>
        <w:ind w:left="0" w:right="0" w:firstLine="452" w:firstLineChars="200"/>
        <w:jc w:val="both"/>
        <w:textAlignment w:val="baseline"/>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7"/>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7"/>
          <w:kern w:val="0"/>
          <w:sz w:val="24"/>
          <w:szCs w:val="24"/>
          <w:highlight w:val="none"/>
          <w:lang w:val="en-US" w:eastAsia="zh-CN"/>
          <w14:textFill>
            <w14:solidFill>
              <w14:schemeClr w14:val="tx1"/>
            </w14:solidFill>
          </w14:textFill>
        </w:rPr>
        <w:t>4</w:t>
      </w:r>
      <w:r>
        <w:rPr>
          <w:rFonts w:hint="default" w:ascii="Times New Roman" w:hAnsi="Times New Roman" w:cs="Times New Roman"/>
          <w:snapToGrid w:val="0"/>
          <w:color w:val="000000" w:themeColor="text1"/>
          <w:spacing w:val="-7"/>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地下水动态特征</w:t>
      </w:r>
    </w:p>
    <w:p w14:paraId="185C6421">
      <w:pPr>
        <w:keepNext w:val="0"/>
        <w:keepLines w:val="0"/>
        <w:pageBreakBefore w:val="0"/>
        <w:kinsoku w:val="0"/>
        <w:wordWrap/>
        <w:overflowPunct/>
        <w:topLinePunct w:val="0"/>
        <w:autoSpaceDE w:val="0"/>
        <w:autoSpaceDN w:val="0"/>
        <w:bidi w:val="0"/>
        <w:adjustRightInd w:val="0"/>
        <w:snapToGrid w:val="0"/>
        <w:spacing w:line="360" w:lineRule="auto"/>
        <w:ind w:left="0" w:right="0" w:firstLine="452" w:firstLineChars="200"/>
        <w:jc w:val="both"/>
        <w:textAlignment w:val="baseline"/>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渭干河库沙新灌区</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北部区域地下水形成的补给、径流及排泄条件较好，水位埋</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深较大，一般大于</w:t>
      </w:r>
      <w:r>
        <w:rPr>
          <w:rFonts w:hint="default"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6</w:t>
      </w:r>
      <w:r>
        <w:rPr>
          <w:rFonts w:hint="eastAsia" w:eastAsia="宋体" w:cs="Times New Roman"/>
          <w:snapToGrid w:val="0"/>
          <w:color w:val="000000" w:themeColor="text1"/>
          <w:spacing w:val="-1"/>
          <w:kern w:val="0"/>
          <w:sz w:val="24"/>
          <w:szCs w:val="24"/>
          <w:highlight w:val="none"/>
          <w:lang w:val="en-US" w:eastAsia="zh-CN"/>
          <w14:textFill>
            <w14:solidFill>
              <w14:schemeClr w14:val="tx1"/>
            </w14:solidFill>
          </w14:textFill>
        </w:rPr>
        <w:t>.0m</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且地层颗粒较粗，地下水主要侧向径流形式向下游排泄以及抽取地下水形式排泄，由于开采量适宜，该区地下水水位变化基本呈现一种自然状态，在南部区域地下水形成的补给、径流及排泄条件较差，水位埋深较小，受灌溉期开采影响呈下降趋势，但到冬季大部分能够得到恢复。</w:t>
      </w:r>
    </w:p>
    <w:p w14:paraId="1AC7C17F">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1"/>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1"/>
          <w:kern w:val="0"/>
          <w:sz w:val="24"/>
          <w:szCs w:val="24"/>
          <w:highlight w:val="none"/>
          <w:lang w:val="en-US" w:eastAsia="zh-CN"/>
          <w14:textFill>
            <w14:solidFill>
              <w14:schemeClr w14:val="tx1"/>
            </w14:solidFill>
          </w14:textFill>
        </w:rPr>
        <w:t>5</w:t>
      </w:r>
      <w:r>
        <w:rPr>
          <w:rFonts w:hint="default" w:ascii="Times New Roman" w:hAnsi="Times New Roman" w:cs="Times New Roman"/>
          <w:snapToGrid w:val="0"/>
          <w:color w:val="000000" w:themeColor="text1"/>
          <w:spacing w:val="-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地下水化学特征</w:t>
      </w:r>
    </w:p>
    <w:p w14:paraId="04C0514A">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库沙新</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冲洪积平原上部及近河地带地下水均处于碱性、弱碱性的</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水文地球化学环境中，HCO</w:t>
      </w:r>
      <w:r>
        <w:rPr>
          <w:rFonts w:hint="default" w:ascii="Times New Roman" w:hAnsi="Times New Roman" w:eastAsia="宋体" w:cs="Times New Roman"/>
          <w:snapToGrid w:val="0"/>
          <w:color w:val="000000" w:themeColor="text1"/>
          <w:spacing w:val="-3"/>
          <w:kern w:val="0"/>
          <w:position w:val="-1"/>
          <w:sz w:val="24"/>
          <w:szCs w:val="24"/>
          <w:highlight w:val="none"/>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、SO</w:t>
      </w:r>
      <w:r>
        <w:rPr>
          <w:rFonts w:hint="default" w:ascii="Times New Roman" w:hAnsi="Times New Roman" w:eastAsia="宋体" w:cs="Times New Roman"/>
          <w:snapToGrid w:val="0"/>
          <w:color w:val="000000" w:themeColor="text1"/>
          <w:spacing w:val="-3"/>
          <w:kern w:val="0"/>
          <w:position w:val="-1"/>
          <w:sz w:val="24"/>
          <w:szCs w:val="24"/>
          <w:highlight w:val="none"/>
          <w:lang w:eastAsia="en-US"/>
          <w14:textFill>
            <w14:solidFill>
              <w14:schemeClr w14:val="tx1"/>
            </w14:solidFill>
          </w14:textFill>
        </w:rPr>
        <w:t>4</w:t>
      </w:r>
      <w:r>
        <w:rPr>
          <w:rFonts w:hint="default" w:ascii="Times New Roman" w:hAnsi="Times New Roman" w:eastAsia="宋体" w:cs="Times New Roman"/>
          <w:snapToGrid w:val="0"/>
          <w:color w:val="000000" w:themeColor="text1"/>
          <w:spacing w:val="-3"/>
          <w:kern w:val="0"/>
          <w:position w:val="8"/>
          <w:sz w:val="24"/>
          <w:szCs w:val="24"/>
          <w:highlight w:val="none"/>
          <w:vertAlign w:val="superscript"/>
          <w:lang w:eastAsia="en-US"/>
          <w14:textFill>
            <w14:solidFill>
              <w14:schemeClr w14:val="tx1"/>
            </w14:solidFill>
          </w14:textFill>
        </w:rPr>
        <w:t>2-</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、Cl</w:t>
      </w:r>
      <w:r>
        <w:rPr>
          <w:rFonts w:hint="default" w:ascii="Times New Roman" w:hAnsi="Times New Roman" w:eastAsia="宋体" w:cs="Times New Roman"/>
          <w:snapToGrid w:val="0"/>
          <w:color w:val="000000" w:themeColor="text1"/>
          <w:spacing w:val="-3"/>
          <w:kern w:val="0"/>
          <w:position w:val="8"/>
          <w:sz w:val="24"/>
          <w:szCs w:val="24"/>
          <w:highlight w:val="none"/>
          <w:vertAlign w:val="superscript"/>
          <w:lang w:eastAsia="en-US"/>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、Ca</w:t>
      </w:r>
      <w:r>
        <w:rPr>
          <w:rFonts w:hint="default" w:ascii="Times New Roman" w:hAnsi="Times New Roman" w:eastAsia="宋体" w:cs="Times New Roman"/>
          <w:snapToGrid w:val="0"/>
          <w:color w:val="000000" w:themeColor="text1"/>
          <w:spacing w:val="-3"/>
          <w:kern w:val="0"/>
          <w:position w:val="8"/>
          <w:sz w:val="24"/>
          <w:szCs w:val="24"/>
          <w:highlight w:val="none"/>
          <w:vertAlign w:val="superscript"/>
          <w:lang w:eastAsia="en-US"/>
          <w14:textFill>
            <w14:solidFill>
              <w14:schemeClr w14:val="tx1"/>
            </w14:solidFill>
          </w14:textFill>
        </w:rPr>
        <w:t>2+</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、Na</w:t>
      </w:r>
      <w:r>
        <w:rPr>
          <w:rFonts w:hint="default" w:ascii="Times New Roman" w:hAnsi="Times New Roman" w:eastAsia="宋体" w:cs="Times New Roman"/>
          <w:snapToGrid w:val="0"/>
          <w:color w:val="000000" w:themeColor="text1"/>
          <w:spacing w:val="-3"/>
          <w:kern w:val="0"/>
          <w:position w:val="8"/>
          <w:sz w:val="24"/>
          <w:szCs w:val="24"/>
          <w:highlight w:val="none"/>
          <w:vertAlign w:val="superscript"/>
          <w:lang w:eastAsia="en-US"/>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、Mg</w:t>
      </w:r>
      <w:r>
        <w:rPr>
          <w:rFonts w:hint="default" w:ascii="Times New Roman" w:hAnsi="Times New Roman" w:eastAsia="宋体" w:cs="Times New Roman"/>
          <w:snapToGrid w:val="0"/>
          <w:color w:val="000000" w:themeColor="text1"/>
          <w:spacing w:val="-3"/>
          <w:kern w:val="0"/>
          <w:position w:val="8"/>
          <w:sz w:val="24"/>
          <w:szCs w:val="24"/>
          <w:highlight w:val="none"/>
          <w:vertAlign w:val="superscript"/>
          <w:lang w:eastAsia="en-US"/>
          <w14:textFill>
            <w14:solidFill>
              <w14:schemeClr w14:val="tx1"/>
            </w14:solidFill>
          </w14:textFill>
        </w:rPr>
        <w:t>2+</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等离子或元素相对富集，潜水多为矿</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化度&lt;1g/L的HCO</w:t>
      </w:r>
      <w:r>
        <w:rPr>
          <w:rFonts w:hint="default" w:ascii="Times New Roman" w:hAnsi="Times New Roman" w:eastAsia="宋体" w:cs="Times New Roman"/>
          <w:snapToGrid w:val="0"/>
          <w:color w:val="000000" w:themeColor="text1"/>
          <w:spacing w:val="-3"/>
          <w:kern w:val="0"/>
          <w:sz w:val="24"/>
          <w:szCs w:val="24"/>
          <w:highlight w:val="none"/>
          <w:vertAlign w:val="subscript"/>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—Ca·Na·Mg型淡水，水质较好。</w:t>
      </w:r>
    </w:p>
    <w:p w14:paraId="141521DF">
      <w:pPr>
        <w:keepNext w:val="0"/>
        <w:keepLines w:val="0"/>
        <w:pageBreakBefore w:val="0"/>
        <w:kinsoku w:val="0"/>
        <w:wordWrap/>
        <w:overflowPunct/>
        <w:topLinePunct w:val="0"/>
        <w:autoSpaceDE w:val="0"/>
        <w:autoSpaceDN w:val="0"/>
        <w:bidi w:val="0"/>
        <w:adjustRightInd w:val="0"/>
        <w:snapToGrid w:val="0"/>
        <w:spacing w:line="360" w:lineRule="auto"/>
        <w:ind w:left="0" w:right="0" w:firstLine="480"/>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平原中下部其潜水水化学基本以蒸发、浓缩</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作用为主，</w:t>
      </w:r>
      <w:bookmarkStart w:id="976" w:name="OLE_LINK1328"/>
      <w:r>
        <w:rPr>
          <w:rFonts w:hint="eastAsia" w:cs="Times New Roman"/>
          <w:snapToGrid w:val="0"/>
          <w:color w:val="000000" w:themeColor="text1"/>
          <w:spacing w:val="-6"/>
          <w:kern w:val="0"/>
          <w:sz w:val="24"/>
          <w:szCs w:val="24"/>
          <w:highlight w:val="none"/>
          <w:lang w:eastAsia="zh-CN"/>
          <w14:textFill>
            <w14:solidFill>
              <w14:schemeClr w14:val="tx1"/>
            </w14:solidFill>
          </w14:textFill>
        </w:rPr>
        <w:t>径流</w:t>
      </w:r>
      <w:bookmarkEnd w:id="976"/>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条件差，矿化度一</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般在1.0～3.0g/</w:t>
      </w:r>
      <w:r>
        <w:rPr>
          <w:rFonts w:hint="default" w:ascii="Times New Roman" w:hAnsi="Times New Roman" w:eastAsia="宋体" w:cs="Times New Roman"/>
          <w:snapToGrid w:val="0"/>
          <w:color w:val="000000" w:themeColor="text1"/>
          <w:spacing w:val="-4"/>
          <w:kern w:val="0"/>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间，局部区域矿化度&gt;3.0g/</w:t>
      </w:r>
      <w:r>
        <w:rPr>
          <w:rFonts w:hint="default" w:ascii="Times New Roman" w:hAnsi="Times New Roman" w:eastAsia="宋体" w:cs="Times New Roman"/>
          <w:snapToGrid w:val="0"/>
          <w:color w:val="000000" w:themeColor="text1"/>
          <w:spacing w:val="-4"/>
          <w:kern w:val="0"/>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，多为Cl·SO4—Na·M</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g型微咸水、</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局部为SO</w:t>
      </w:r>
      <w:r>
        <w:rPr>
          <w:rFonts w:hint="default" w:ascii="Times New Roman" w:hAnsi="Times New Roman" w:eastAsia="宋体" w:cs="Times New Roman"/>
          <w:snapToGrid w:val="0"/>
          <w:color w:val="000000" w:themeColor="text1"/>
          <w:spacing w:val="-4"/>
          <w:kern w:val="0"/>
          <w:sz w:val="24"/>
          <w:szCs w:val="24"/>
          <w:highlight w:val="none"/>
          <w:vertAlign w:val="subscript"/>
          <w:lang w:eastAsia="en-US"/>
          <w14:textFill>
            <w14:solidFill>
              <w14:schemeClr w14:val="tx1"/>
            </w14:solidFill>
          </w14:textFill>
        </w:rPr>
        <w:t>4</w:t>
      </w:r>
      <w:r>
        <w:rPr>
          <w:rFonts w:hint="default" w:ascii="Times New Roman" w:hAnsi="Times New Roman" w:eastAsia="宋体" w:cs="Times New Roman"/>
          <w:snapToGrid w:val="0"/>
          <w:color w:val="000000" w:themeColor="text1"/>
          <w:spacing w:val="-14"/>
          <w:kern w:val="0"/>
          <w:sz w:val="24"/>
          <w:szCs w:val="24"/>
          <w:highlight w:val="none"/>
          <w:lang w:eastAsia="en-US"/>
          <w14:textFill>
            <w14:solidFill>
              <w14:schemeClr w14:val="tx1"/>
            </w14:solidFill>
          </w14:textFill>
        </w:rPr>
        <w:t>·Cl—Na·Mg型</w:t>
      </w:r>
      <w:r>
        <w:rPr>
          <w:rFonts w:hint="default" w:ascii="Times New Roman" w:hAnsi="Times New Roman" w:eastAsia="宋体" w:cs="Times New Roman"/>
          <w:snapToGrid w:val="0"/>
          <w:color w:val="000000" w:themeColor="text1"/>
          <w:spacing w:val="-14"/>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4"/>
          <w:kern w:val="0"/>
          <w:sz w:val="24"/>
          <w:szCs w:val="24"/>
          <w:highlight w:val="none"/>
          <w:lang w:eastAsia="en-US"/>
          <w14:textFill>
            <w14:solidFill>
              <w14:schemeClr w14:val="tx1"/>
            </w14:solidFill>
          </w14:textFill>
        </w:rPr>
        <w:t>Cl·SO</w:t>
      </w:r>
      <w:r>
        <w:rPr>
          <w:rFonts w:hint="default" w:ascii="Times New Roman" w:hAnsi="Times New Roman" w:eastAsia="宋体" w:cs="Times New Roman"/>
          <w:snapToGrid w:val="0"/>
          <w:color w:val="000000" w:themeColor="text1"/>
          <w:spacing w:val="-3"/>
          <w:kern w:val="0"/>
          <w:sz w:val="24"/>
          <w:szCs w:val="24"/>
          <w:highlight w:val="none"/>
          <w:vertAlign w:val="subscript"/>
          <w:lang w:eastAsia="en-US"/>
          <w14:textFill>
            <w14:solidFill>
              <w14:schemeClr w14:val="tx1"/>
            </w14:solidFill>
          </w14:textFill>
        </w:rPr>
        <w:t>4</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—Na·Mg型咸水，水质较差。</w:t>
      </w:r>
    </w:p>
    <w:p w14:paraId="59D0FD1F">
      <w:pPr>
        <w:pStyle w:val="19"/>
        <w:keepNext w:val="0"/>
        <w:keepLines w:val="0"/>
        <w:pageBreakBefore w:val="0"/>
        <w:wordWrap/>
        <w:overflowPunct/>
        <w:topLinePunct w:val="0"/>
        <w:autoSpaceDE w:val="0"/>
        <w:autoSpaceDN w:val="0"/>
        <w:bidi w:val="0"/>
        <w:adjustRightInd w:val="0"/>
        <w:snapToGrid w:val="0"/>
        <w:spacing w:line="360" w:lineRule="auto"/>
        <w:ind w:left="0" w:right="0" w:firstLine="448" w:firstLineChars="200"/>
        <w:jc w:val="both"/>
        <w:rPr>
          <w:rFonts w:hint="eastAsia" w:ascii="Times New Roman" w:hAnsi="Times New Roman" w:eastAsia="宋体" w:cs="Times New Roman"/>
          <w:snapToGrid w:val="0"/>
          <w:color w:val="000000" w:themeColor="text1"/>
          <w:spacing w:val="-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4"/>
          <w:szCs w:val="24"/>
          <w:highlight w:val="none"/>
          <w:lang w:eastAsia="en-US"/>
          <w14:textFill>
            <w14:solidFill>
              <w14:schemeClr w14:val="tx1"/>
            </w14:solidFill>
          </w14:textFill>
        </w:rPr>
        <w:t>平</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原中下部其承压水水化学类型多为 HCO</w:t>
      </w:r>
      <w:r>
        <w:rPr>
          <w:rFonts w:hint="default" w:ascii="Times New Roman" w:hAnsi="Times New Roman" w:eastAsia="宋体" w:cs="Times New Roman"/>
          <w:snapToGrid w:val="0"/>
          <w:color w:val="000000" w:themeColor="text1"/>
          <w:spacing w:val="-5"/>
          <w:kern w:val="0"/>
          <w:sz w:val="24"/>
          <w:szCs w:val="24"/>
          <w:highlight w:val="none"/>
          <w:vertAlign w:val="subscript"/>
          <w:lang w:val="en-US" w:eastAsia="en-US" w:bidi="ar-SA"/>
          <w14:textFill>
            <w14:solidFill>
              <w14:schemeClr w14:val="tx1"/>
            </w14:solidFill>
          </w14:textFill>
        </w:rPr>
        <w:t>3</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·Cl·SO</w:t>
      </w:r>
      <w:r>
        <w:rPr>
          <w:rFonts w:hint="default" w:ascii="Times New Roman" w:hAnsi="Times New Roman" w:eastAsia="宋体" w:cs="Times New Roman"/>
          <w:snapToGrid w:val="0"/>
          <w:color w:val="000000" w:themeColor="text1"/>
          <w:spacing w:val="-5"/>
          <w:kern w:val="0"/>
          <w:sz w:val="24"/>
          <w:szCs w:val="24"/>
          <w:highlight w:val="none"/>
          <w:vertAlign w:val="subscript"/>
          <w:lang w:val="en-US" w:eastAsia="en-US" w:bidi="ar-SA"/>
          <w14:textFill>
            <w14:solidFill>
              <w14:schemeClr w14:val="tx1"/>
            </w14:solidFill>
          </w14:textFill>
        </w:rPr>
        <w:t>4</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—Ca·Na·Mg型</w:t>
      </w:r>
      <w:r>
        <w:rPr>
          <w:rFonts w:hint="default" w:ascii="Times New Roman" w:hAnsi="Times New Roman" w:eastAsia="宋体" w:cs="Times New Roman"/>
          <w:snapToGrid w:val="0"/>
          <w:color w:val="000000" w:themeColor="text1"/>
          <w:spacing w:val="-5"/>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Cl·SO</w:t>
      </w:r>
      <w:r>
        <w:rPr>
          <w:rFonts w:hint="default" w:ascii="Times New Roman" w:hAnsi="Times New Roman" w:eastAsia="宋体" w:cs="Times New Roman"/>
          <w:snapToGrid w:val="0"/>
          <w:color w:val="000000" w:themeColor="text1"/>
          <w:spacing w:val="-5"/>
          <w:kern w:val="0"/>
          <w:sz w:val="24"/>
          <w:szCs w:val="24"/>
          <w:highlight w:val="none"/>
          <w:vertAlign w:val="subscript"/>
          <w:lang w:val="en-US" w:eastAsia="en-US" w:bidi="ar-SA"/>
          <w14:textFill>
            <w14:solidFill>
              <w14:schemeClr w14:val="tx1"/>
            </w14:solidFill>
          </w14:textFill>
        </w:rPr>
        <w:t>4</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 xml:space="preserve"> —Mg·Na型或 SO</w:t>
      </w:r>
      <w:r>
        <w:rPr>
          <w:rFonts w:hint="default" w:ascii="Times New Roman" w:hAnsi="Times New Roman" w:eastAsia="宋体" w:cs="Times New Roman"/>
          <w:snapToGrid w:val="0"/>
          <w:color w:val="000000" w:themeColor="text1"/>
          <w:spacing w:val="-5"/>
          <w:kern w:val="0"/>
          <w:sz w:val="24"/>
          <w:szCs w:val="24"/>
          <w:highlight w:val="none"/>
          <w:vertAlign w:val="subscript"/>
          <w:lang w:val="en-US" w:eastAsia="en-US" w:bidi="ar-SA"/>
          <w14:textFill>
            <w14:solidFill>
              <w14:schemeClr w14:val="tx1"/>
            </w14:solidFill>
          </w14:textFill>
        </w:rPr>
        <w:t>4</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·Cl—Mg·Na型水，矿化度一般在1.0～2.0g/</w:t>
      </w:r>
      <w:r>
        <w:rPr>
          <w:rFonts w:hint="default" w:ascii="Times New Roman" w:hAnsi="Times New Roman" w:eastAsia="宋体" w:cs="Times New Roman"/>
          <w:snapToGrid w:val="0"/>
          <w:color w:val="000000" w:themeColor="text1"/>
          <w:spacing w:val="-5"/>
          <w:kern w:val="0"/>
          <w:sz w:val="24"/>
          <w:szCs w:val="24"/>
          <w:highlight w:val="none"/>
          <w:lang w:val="en-US" w:eastAsia="zh-CN" w:bidi="ar-SA"/>
          <w14:textFill>
            <w14:solidFill>
              <w14:schemeClr w14:val="tx1"/>
            </w14:solidFill>
          </w14:textFill>
        </w:rPr>
        <w:t>L之</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间，局部区域矿化度</w:t>
      </w:r>
      <w:r>
        <w:rPr>
          <w:rFonts w:hint="eastAsia" w:ascii="Times New Roman" w:hAnsi="Times New Roman" w:cs="Times New Roman"/>
          <w:snapToGrid w:val="0"/>
          <w:color w:val="000000" w:themeColor="text1"/>
          <w:spacing w:val="-5"/>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 xml:space="preserve"> 2.0g/</w:t>
      </w:r>
      <w:r>
        <w:rPr>
          <w:rFonts w:hint="default" w:ascii="Times New Roman" w:hAnsi="Times New Roman" w:eastAsia="宋体" w:cs="Times New Roman"/>
          <w:snapToGrid w:val="0"/>
          <w:color w:val="000000" w:themeColor="text1"/>
          <w:spacing w:val="-5"/>
          <w:kern w:val="0"/>
          <w:sz w:val="24"/>
          <w:szCs w:val="24"/>
          <w:highlight w:val="none"/>
          <w:lang w:val="en-US" w:eastAsia="zh-CN" w:bidi="ar-SA"/>
          <w14:textFill>
            <w14:solidFill>
              <w14:schemeClr w14:val="tx1"/>
            </w14:solidFill>
          </w14:textFill>
        </w:rPr>
        <w:t>L</w:t>
      </w:r>
      <w:r>
        <w:rPr>
          <w:rFonts w:hint="default" w:ascii="Times New Roman" w:hAnsi="Times New Roman" w:eastAsia="宋体" w:cs="Times New Roman"/>
          <w:snapToGrid w:val="0"/>
          <w:color w:val="000000" w:themeColor="text1"/>
          <w:spacing w:val="-5"/>
          <w:kern w:val="0"/>
          <w:sz w:val="24"/>
          <w:szCs w:val="24"/>
          <w:highlight w:val="none"/>
          <w:lang w:val="en-US" w:eastAsia="en-US" w:bidi="ar-SA"/>
          <w14:textFill>
            <w14:solidFill>
              <w14:schemeClr w14:val="tx1"/>
            </w14:solidFill>
          </w14:textFill>
        </w:rPr>
        <w:t>，多为微咸水</w:t>
      </w:r>
      <w:r>
        <w:rPr>
          <w:rFonts w:hint="default" w:ascii="Times New Roman" w:hAnsi="Times New Roman" w:cs="Times New Roman"/>
          <w:snapToGrid w:val="0"/>
          <w:color w:val="000000" w:themeColor="text1"/>
          <w:spacing w:val="-1"/>
          <w:kern w:val="0"/>
          <w:sz w:val="24"/>
          <w:szCs w:val="24"/>
          <w:highlight w:val="none"/>
          <w:lang w:eastAsia="zh-CN"/>
          <w14:textFill>
            <w14:solidFill>
              <w14:schemeClr w14:val="tx1"/>
            </w14:solidFill>
          </w14:textFill>
        </w:rPr>
        <w:t>。</w:t>
      </w:r>
    </w:p>
    <w:p w14:paraId="0A24E1CA">
      <w:pPr>
        <w:keepNext w:val="0"/>
        <w:keepLines/>
        <w:pageBreakBefore w:val="0"/>
        <w:widowControl w:val="0"/>
        <w:wordWrap/>
        <w:overflowPunct/>
        <w:topLinePunct w:val="0"/>
        <w:bidi w:val="0"/>
        <w:adjustRightInd w:val="0"/>
        <w:snapToGrid w:val="0"/>
        <w:spacing w:line="360" w:lineRule="auto"/>
        <w:ind w:left="0" w:right="0"/>
        <w:jc w:val="both"/>
        <w:outlineLvl w:val="3"/>
        <w:rPr>
          <w:rFonts w:hint="default" w:ascii="Times New Roman" w:hAnsi="Times New Roman" w:cs="Times New Roman"/>
          <w:b/>
          <w:color w:val="000000" w:themeColor="text1"/>
          <w:kern w:val="2"/>
          <w:sz w:val="24"/>
          <w:szCs w:val="20"/>
          <w:highlight w:val="none"/>
          <w14:textFill>
            <w14:solidFill>
              <w14:schemeClr w14:val="tx1"/>
            </w14:solidFill>
          </w14:textFill>
        </w:rPr>
      </w:pPr>
      <w:r>
        <w:rPr>
          <w:rFonts w:hint="default" w:ascii="Times New Roman" w:hAnsi="Times New Roman" w:cs="Times New Roman"/>
          <w:b/>
          <w:color w:val="000000" w:themeColor="text1"/>
          <w:kern w:val="2"/>
          <w:sz w:val="24"/>
          <w:szCs w:val="20"/>
          <w:highlight w:val="none"/>
          <w:lang w:eastAsia="zh-CN"/>
          <w14:textFill>
            <w14:solidFill>
              <w14:schemeClr w14:val="tx1"/>
            </w14:solidFill>
          </w14:textFill>
        </w:rPr>
        <w:t>5.2</w:t>
      </w:r>
      <w:r>
        <w:rPr>
          <w:rFonts w:hint="default" w:ascii="Times New Roman" w:hAnsi="Times New Roman" w:cs="Times New Roman"/>
          <w:b/>
          <w:color w:val="000000" w:themeColor="text1"/>
          <w:kern w:val="2"/>
          <w:sz w:val="24"/>
          <w:szCs w:val="20"/>
          <w:highlight w:val="none"/>
          <w14:textFill>
            <w14:solidFill>
              <w14:schemeClr w14:val="tx1"/>
            </w14:solidFill>
          </w14:textFill>
        </w:rPr>
        <w:t>.1.</w:t>
      </w:r>
      <w:r>
        <w:rPr>
          <w:rFonts w:hint="default" w:ascii="Times New Roman" w:hAnsi="Times New Roman" w:cs="Times New Roman"/>
          <w:b/>
          <w:color w:val="000000" w:themeColor="text1"/>
          <w:kern w:val="2"/>
          <w:sz w:val="24"/>
          <w:szCs w:val="20"/>
          <w:highlight w:val="none"/>
          <w:lang w:val="en-US" w:eastAsia="zh-CN"/>
          <w14:textFill>
            <w14:solidFill>
              <w14:schemeClr w14:val="tx1"/>
            </w14:solidFill>
          </w14:textFill>
        </w:rPr>
        <w:t>2</w:t>
      </w:r>
      <w:r>
        <w:rPr>
          <w:rFonts w:hint="default" w:ascii="Times New Roman" w:hAnsi="Times New Roman" w:cs="Times New Roman"/>
          <w:b/>
          <w:color w:val="000000" w:themeColor="text1"/>
          <w:kern w:val="2"/>
          <w:sz w:val="24"/>
          <w:szCs w:val="20"/>
          <w:highlight w:val="none"/>
          <w14:textFill>
            <w14:solidFill>
              <w14:schemeClr w14:val="tx1"/>
            </w14:solidFill>
          </w14:textFill>
        </w:rPr>
        <w:t>评价区水文地质条件</w:t>
      </w:r>
    </w:p>
    <w:p w14:paraId="5C5DC95B">
      <w:pPr>
        <w:keepNext w:val="0"/>
        <w:pageBreakBefore w:val="0"/>
        <w:kinsoku w:val="0"/>
        <w:wordWrap/>
        <w:overflowPunct/>
        <w:topLinePunct w:val="0"/>
        <w:autoSpaceDE w:val="0"/>
        <w:autoSpaceDN w:val="0"/>
        <w:bidi w:val="0"/>
        <w:adjustRightInd w:val="0"/>
        <w:snapToGrid w:val="0"/>
        <w:spacing w:before="51" w:line="360" w:lineRule="auto"/>
        <w:ind w:left="0" w:right="0" w:firstLine="480"/>
        <w:jc w:val="left"/>
        <w:textAlignment w:val="baseline"/>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地下水的赋存及其分布规律</w:t>
      </w:r>
    </w:p>
    <w:p w14:paraId="4236CD1F">
      <w:pPr>
        <w:keepNext w:val="0"/>
        <w:pageBreakBefore w:val="0"/>
        <w:kinsoku w:val="0"/>
        <w:wordWrap/>
        <w:overflowPunct/>
        <w:topLinePunct w:val="0"/>
        <w:autoSpaceDE w:val="0"/>
        <w:autoSpaceDN w:val="0"/>
        <w:bidi w:val="0"/>
        <w:adjustRightInd w:val="0"/>
        <w:snapToGrid w:val="0"/>
        <w:spacing w:before="51" w:line="360" w:lineRule="auto"/>
        <w:ind w:left="0" w:right="0" w:firstLine="480"/>
        <w:jc w:val="left"/>
        <w:textAlignment w:val="baseline"/>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位于渭干河冲洪积扇中上部地段，地形坡降较大，含水层岩性以冲洪积砂砾石、砾砂层为主，颗粒较粗，厚度大于200m，透水性能</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较</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强，含水层为</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多层</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结构孔隙潜水</w:t>
      </w:r>
      <w:r>
        <w:rPr>
          <w:rFonts w:hint="eastAsia"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承压水</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类型。</w:t>
      </w:r>
    </w:p>
    <w:p w14:paraId="1B7906E5">
      <w:pPr>
        <w:keepNext w:val="0"/>
        <w:pageBreakBefore w:val="0"/>
        <w:kinsoku w:val="0"/>
        <w:wordWrap/>
        <w:overflowPunct/>
        <w:topLinePunct w:val="0"/>
        <w:autoSpaceDE w:val="0"/>
        <w:autoSpaceDN w:val="0"/>
        <w:bidi w:val="0"/>
        <w:adjustRightInd w:val="0"/>
        <w:snapToGrid w:val="0"/>
        <w:spacing w:before="51" w:line="360" w:lineRule="auto"/>
        <w:ind w:left="0" w:right="0" w:firstLine="480"/>
        <w:jc w:val="left"/>
        <w:textAlignment w:val="baseline"/>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含水岩组特征及富水性</w:t>
      </w:r>
    </w:p>
    <w:p w14:paraId="531C596A">
      <w:pPr>
        <w:keepNext w:val="0"/>
        <w:pageBreakBefore w:val="0"/>
        <w:wordWrap/>
        <w:overflowPunct/>
        <w:topLinePunct w:val="0"/>
        <w:bidi w:val="0"/>
        <w:adjustRightInd w:val="0"/>
        <w:snapToGrid w:val="0"/>
        <w:spacing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①潜水</w:t>
      </w:r>
    </w:p>
    <w:p w14:paraId="3C4F2AD1">
      <w:pPr>
        <w:keepNext w:val="0"/>
        <w:pageBreakBefore w:val="0"/>
        <w:wordWrap/>
        <w:overflowPunct/>
        <w:topLinePunct w:val="0"/>
        <w:bidi w:val="0"/>
        <w:adjustRightInd w:val="0"/>
        <w:snapToGrid w:val="0"/>
        <w:spacing w:line="360" w:lineRule="auto"/>
        <w:ind w:left="0" w:right="0" w:firstLine="464"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根据收集的成果资料，</w:t>
      </w:r>
      <w:r>
        <w:rPr>
          <w:rFonts w:hint="default" w:ascii="Times New Roman" w:hAnsi="Times New Roman" w:eastAsia="宋体" w:cs="Times New Roman"/>
          <w:snapToGrid w:val="0"/>
          <w:color w:val="000000" w:themeColor="text1"/>
          <w:spacing w:val="-4"/>
          <w:kern w:val="0"/>
          <w:sz w:val="24"/>
          <w:szCs w:val="24"/>
          <w:highlight w:val="none"/>
          <w:lang w:val="en-US" w:eastAsia="zh-CN"/>
          <w14:textFill>
            <w14:solidFill>
              <w14:schemeClr w14:val="tx1"/>
            </w14:solidFill>
          </w14:textFill>
        </w:rPr>
        <w:t>评价区上部的</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潜水含水层岩性均为细砂、粉砂，</w:t>
      </w:r>
      <w:r>
        <w:rPr>
          <w:rFonts w:hint="eastAsia" w:cs="Times New Roman"/>
          <w:color w:val="000000" w:themeColor="text1"/>
          <w:sz w:val="24"/>
          <w:szCs w:val="24"/>
          <w:highlight w:val="none"/>
          <w:lang w:val="en-US" w:eastAsia="zh-CN" w:bidi="ar-SA"/>
          <w14:textFill>
            <w14:solidFill>
              <w14:schemeClr w14:val="tx1"/>
            </w14:solidFill>
          </w14:textFill>
        </w:rPr>
        <w:t>星火7斜井</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井场地富水性为水量丰富（涌水量1000m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/d~5000m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/d），潜水含水层岩性为中粗砂，渗透系数一般10m/d~25m/d；</w:t>
      </w:r>
      <w:r>
        <w:rPr>
          <w:rFonts w:hint="eastAsia" w:cs="Times New Roman"/>
          <w:color w:val="000000" w:themeColor="text1"/>
          <w:sz w:val="24"/>
          <w:szCs w:val="24"/>
          <w:highlight w:val="none"/>
          <w:lang w:val="en-US" w:eastAsia="zh-CN" w:bidi="ar-SA"/>
          <w14:textFill>
            <w14:solidFill>
              <w14:schemeClr w14:val="tx1"/>
            </w14:solidFill>
          </w14:textFill>
        </w:rPr>
        <w:t>星火701斜井</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处富水性为水量中等（100m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/d～1000m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/d），含水层岩性为中粗砂、中细砂，渗透系数1.30～20m/d之间，水位埋深1.25～10.5m，</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含水层厚度20</w:t>
      </w:r>
      <w:r>
        <w:rPr>
          <w:rFonts w:hint="eastAsia"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ar-SA"/>
          <w14:textFill>
            <w14:solidFill>
              <w14:schemeClr w14:val="tx1"/>
            </w14:solidFill>
          </w14:textFill>
        </w:rPr>
        <w:t>50m</w:t>
      </w:r>
      <w:r>
        <w:rPr>
          <w:rFonts w:hint="eastAsia"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补给来源主要为渭干河洪积扇侧向补给，其次为渠水、田间水等入渗补给。以垂直蒸发和水平径流方式排泄。</w:t>
      </w:r>
    </w:p>
    <w:p w14:paraId="549A4FCE">
      <w:pPr>
        <w:keepNext w:val="0"/>
        <w:pageBreakBefore w:val="0"/>
        <w:wordWrap/>
        <w:overflowPunct/>
        <w:topLinePunct w:val="0"/>
        <w:bidi w:val="0"/>
        <w:adjustRightInd w:val="0"/>
        <w:snapToGrid w:val="0"/>
        <w:spacing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②承压水</w:t>
      </w:r>
    </w:p>
    <w:p w14:paraId="6BCC567B">
      <w:pPr>
        <w:keepNext w:val="0"/>
        <w:pageBreakBefore w:val="0"/>
        <w:wordWrap/>
        <w:overflowPunct/>
        <w:topLinePunct w:val="0"/>
        <w:bidi w:val="0"/>
        <w:adjustRightInd w:val="0"/>
        <w:snapToGrid w:val="0"/>
        <w:spacing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第四系沉积厚度在调查区为200m～300</w:t>
      </w:r>
      <w:bookmarkStart w:id="977" w:name="OLE_LINK1480"/>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bookmarkEnd w:id="977"/>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。赋存浅层、中层、深层多层结构的承压水含水层，承压水的主要补给来源为东北部地下水的侧向流入，地下水径流方向为自东北向西南。</w:t>
      </w:r>
    </w:p>
    <w:p w14:paraId="59650B2B">
      <w:pPr>
        <w:keepNext w:val="0"/>
        <w:pageBreakBefore w:val="0"/>
        <w:wordWrap/>
        <w:overflowPunct/>
        <w:topLinePunct w:val="0"/>
        <w:bidi w:val="0"/>
        <w:adjustRightInd w:val="0"/>
        <w:snapToGrid w:val="0"/>
        <w:spacing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承压水含水层岩性以细砂为主，</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星火7井区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承压水</w:t>
      </w:r>
      <w:r>
        <w:rPr>
          <w:rFonts w:hint="eastAsia" w:cs="Times New Roman"/>
          <w:color w:val="000000" w:themeColor="text1"/>
          <w:sz w:val="24"/>
          <w:szCs w:val="24"/>
          <w:highlight w:val="none"/>
          <w:lang w:val="en-US" w:eastAsia="zh-CN" w:bidi="ar-SA"/>
          <w14:textFill>
            <w14:solidFill>
              <w14:schemeClr w14:val="tx1"/>
            </w14:solidFill>
          </w14:textFill>
        </w:rPr>
        <w:t>富水性为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中等（100～1000m3/d），含水层的渗透系数1.30～3.71m/d之间，承压水含水层的富水性为水量中等。</w:t>
      </w:r>
    </w:p>
    <w:p w14:paraId="73B25F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jc w:val="left"/>
        <w:textAlignment w:val="baseline"/>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3</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地下水的补给、径流、排泄条件</w:t>
      </w:r>
    </w:p>
    <w:p w14:paraId="61D990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jc w:val="left"/>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补给：</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气候干燥，降水量稀少（多年平均有效降水量55.7mm），地下水普遍埋藏较深，单次降雨强度又较小的情况下，大气降水主要消耗于蒸发，对地下水的补给作用不大，仅在5-9月降雨较集中，北侧却勒塔格山南侧暴雨形成的面流通过山洪沟汇集后流入</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入渗补给地下水。所以其山前</w:t>
      </w:r>
      <w:bookmarkStart w:id="978" w:name="OLE_LINK1329"/>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暴雨洪流</w:t>
      </w:r>
      <w:bookmarkEnd w:id="978"/>
      <w:r>
        <w:rPr>
          <w:rFonts w:hint="default" w:ascii="Times New Roman" w:hAnsi="Times New Roman" w:eastAsia="宋体" w:cs="Times New Roman"/>
          <w:snapToGrid w:val="0"/>
          <w:color w:val="000000" w:themeColor="text1"/>
          <w:spacing w:val="-4"/>
          <w:kern w:val="0"/>
          <w:sz w:val="24"/>
          <w:szCs w:val="24"/>
          <w:highlight w:val="none"/>
          <w:lang w:eastAsia="en-US"/>
          <w14:textFill>
            <w14:solidFill>
              <w14:schemeClr w14:val="tx1"/>
            </w14:solidFill>
          </w14:textFill>
        </w:rPr>
        <w:t>及大气降水对山前平原地下水的补给也十分有限。</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综上，</w:t>
      </w:r>
      <w:r>
        <w:rPr>
          <w:rFonts w:hint="default" w:ascii="Times New Roman" w:hAnsi="Times New Roman" w:eastAsia="宋体" w:cs="Times New Roman"/>
          <w:snapToGrid w:val="0"/>
          <w:color w:val="000000" w:themeColor="text1"/>
          <w:spacing w:val="-1"/>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地下水主要以侧向径流补给、</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河水入渗、库水入渗、渠水入渗、表水田间灌溉及井灌回归水入渗等形式补给地下水，其次有河谷潜流、少量的降水</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入渗补给和山前洪流入渗补给。</w:t>
      </w:r>
    </w:p>
    <w:p w14:paraId="497249C4">
      <w:pPr>
        <w:keepNext w:val="0"/>
        <w:pageBreakBefore w:val="0"/>
        <w:kinsoku w:val="0"/>
        <w:wordWrap/>
        <w:overflowPunct/>
        <w:topLinePunct w:val="0"/>
        <w:autoSpaceDE w:val="0"/>
        <w:autoSpaceDN w:val="0"/>
        <w:bidi w:val="0"/>
        <w:adjustRightInd w:val="0"/>
        <w:snapToGrid w:val="0"/>
        <w:spacing w:before="31" w:line="360" w:lineRule="auto"/>
        <w:ind w:left="0" w:right="0" w:firstLine="479"/>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szCs w:val="24"/>
          <w:highlight w:val="none"/>
          <w:lang w:val="en-US" w:eastAsia="zh-CN"/>
          <w14:textFill>
            <w14:solidFill>
              <w14:schemeClr w14:val="tx1"/>
            </w14:solidFill>
          </w14:textFill>
        </w:rPr>
        <w:t>径流：</w:t>
      </w:r>
      <w:r>
        <w:rPr>
          <w:rFonts w:hint="default" w:ascii="Times New Roman" w:hAnsi="Times New Roman" w:eastAsia="宋体" w:cs="Times New Roman"/>
          <w:snapToGrid w:val="0"/>
          <w:color w:val="000000" w:themeColor="text1"/>
          <w:spacing w:val="-2"/>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第四纪地层结构由北（东）向南（西）变化较大，地形由高到</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低，坡降</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逐渐变缓，岩性由粗相对变细，地下水总体流向与地面坡度一致，由北东向南西方</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向径流，</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上游到下游，地下水径流强度逐渐减弱，水力坡度为</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1.2</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1.4</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w:t>
      </w:r>
    </w:p>
    <w:p w14:paraId="3ED4AFF3">
      <w:pPr>
        <w:keepNext w:val="0"/>
        <w:pageBreakBefore w:val="0"/>
        <w:kinsoku w:val="0"/>
        <w:wordWrap/>
        <w:overflowPunct/>
        <w:topLinePunct w:val="0"/>
        <w:autoSpaceDE w:val="0"/>
        <w:autoSpaceDN w:val="0"/>
        <w:bidi w:val="0"/>
        <w:adjustRightInd w:val="0"/>
        <w:snapToGrid w:val="0"/>
        <w:spacing w:before="35" w:line="360" w:lineRule="auto"/>
        <w:ind w:left="0" w:right="0" w:firstLine="477"/>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szCs w:val="24"/>
          <w:highlight w:val="none"/>
          <w:lang w:val="en-US" w:eastAsia="zh-CN"/>
          <w14:textFill>
            <w14:solidFill>
              <w14:schemeClr w14:val="tx1"/>
            </w14:solidFill>
          </w14:textFill>
        </w:rPr>
        <w:t>排泄：</w:t>
      </w:r>
      <w:r>
        <w:rPr>
          <w:rFonts w:hint="default" w:ascii="Times New Roman" w:hAnsi="Times New Roman" w:eastAsia="宋体" w:cs="Times New Roman"/>
          <w:snapToGrid w:val="0"/>
          <w:color w:val="000000" w:themeColor="text1"/>
          <w:spacing w:val="-2"/>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地下水在</w:t>
      </w:r>
      <w:r>
        <w:rPr>
          <w:rFonts w:hint="default" w:ascii="Times New Roman" w:hAnsi="Times New Roman" w:eastAsia="宋体" w:cs="Times New Roman"/>
          <w:snapToGrid w:val="0"/>
          <w:color w:val="000000" w:themeColor="text1"/>
          <w:spacing w:val="-3"/>
          <w:kern w:val="0"/>
          <w:sz w:val="24"/>
          <w:szCs w:val="24"/>
          <w:highlight w:val="none"/>
          <w:lang w:val="en-US"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西部及南部流出</w:t>
      </w:r>
      <w:r>
        <w:rPr>
          <w:rFonts w:hint="default" w:ascii="Times New Roman" w:hAnsi="Times New Roman" w:eastAsia="宋体" w:cs="Times New Roman"/>
          <w:snapToGrid w:val="0"/>
          <w:color w:val="000000" w:themeColor="text1"/>
          <w:spacing w:val="-1"/>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地下水</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向下游的侧向水平径流</w:t>
      </w:r>
      <w:r>
        <w:rPr>
          <w:rFonts w:hint="default" w:ascii="Times New Roman" w:hAnsi="Times New Roman" w:eastAsia="宋体" w:cs="Times New Roman"/>
          <w:snapToGrid w:val="0"/>
          <w:color w:val="000000" w:themeColor="text1"/>
          <w:spacing w:val="-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
          <w:kern w:val="0"/>
          <w:sz w:val="24"/>
          <w:szCs w:val="24"/>
          <w:highlight w:val="none"/>
          <w:lang w:val="en-US" w:eastAsia="zh-CN"/>
          <w14:textFill>
            <w14:solidFill>
              <w14:schemeClr w14:val="tx1"/>
            </w14:solidFill>
          </w14:textFill>
        </w:rPr>
        <w:t>开采</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是</w:t>
      </w:r>
      <w:r>
        <w:rPr>
          <w:rFonts w:hint="default" w:ascii="Times New Roman" w:hAnsi="Times New Roman" w:eastAsia="宋体" w:cs="Times New Roman"/>
          <w:snapToGrid w:val="0"/>
          <w:color w:val="000000" w:themeColor="text1"/>
          <w:spacing w:val="-1"/>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地下水主要排泄方式。</w:t>
      </w:r>
      <w:r>
        <w:rPr>
          <w:rFonts w:hint="default" w:ascii="Times New Roman" w:hAnsi="Times New Roman" w:eastAsia="宋体" w:cs="Times New Roman"/>
          <w:snapToGrid w:val="0"/>
          <w:color w:val="000000" w:themeColor="text1"/>
          <w:spacing w:val="-1"/>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潜水位埋深</w:t>
      </w:r>
      <w:r>
        <w:rPr>
          <w:rFonts w:hint="default" w:ascii="Times New Roman" w:hAnsi="Times New Roman" w:cs="Times New Roman"/>
          <w:snapToGrid w:val="0"/>
          <w:color w:val="000000" w:themeColor="text1"/>
          <w:spacing w:val="-1"/>
          <w:kern w:val="0"/>
          <w:sz w:val="24"/>
          <w:szCs w:val="24"/>
          <w:highlight w:val="none"/>
          <w:lang w:val="en-US" w:eastAsia="zh-CN"/>
          <w14:textFill>
            <w14:solidFill>
              <w14:schemeClr w14:val="tx1"/>
            </w14:solidFill>
          </w14:textFill>
        </w:rPr>
        <w:t>一般都</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大于</w:t>
      </w:r>
      <w:r>
        <w:rPr>
          <w:rFonts w:hint="default"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6m</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（潜水蒸发的极限埋深值</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且包气带岩性主</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要为砂性土，</w:t>
      </w:r>
      <w:r>
        <w:rPr>
          <w:rFonts w:hint="default" w:ascii="Times New Roman" w:hAnsi="Times New Roman" w:cs="Times New Roman"/>
          <w:snapToGrid w:val="0"/>
          <w:color w:val="000000" w:themeColor="text1"/>
          <w:spacing w:val="-7"/>
          <w:kern w:val="0"/>
          <w:sz w:val="24"/>
          <w:szCs w:val="24"/>
          <w:highlight w:val="none"/>
          <w:lang w:val="en-US" w:eastAsia="zh-CN"/>
          <w14:textFill>
            <w14:solidFill>
              <w14:schemeClr w14:val="tx1"/>
            </w14:solidFill>
          </w14:textFill>
        </w:rPr>
        <w:t>具有</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结构松散、大孔隙的特征，毛细水上升高度低，因此区内</w:t>
      </w:r>
      <w:r>
        <w:rPr>
          <w:rFonts w:hint="default" w:ascii="Times New Roman" w:hAnsi="Times New Roman" w:cs="Times New Roman"/>
          <w:snapToGrid w:val="0"/>
          <w:color w:val="000000" w:themeColor="text1"/>
          <w:spacing w:val="-7"/>
          <w:kern w:val="0"/>
          <w:sz w:val="24"/>
          <w:szCs w:val="24"/>
          <w:highlight w:val="none"/>
          <w:lang w:val="en-US" w:eastAsia="zh-CN"/>
          <w14:textFill>
            <w14:solidFill>
              <w14:schemeClr w14:val="tx1"/>
            </w14:solidFill>
          </w14:textFill>
        </w:rPr>
        <w:t>的</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潜水蒸</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发</w:t>
      </w:r>
      <w:r>
        <w:rPr>
          <w:rFonts w:hint="default" w:ascii="Times New Roman" w:hAnsi="Times New Roman" w:cs="Times New Roman"/>
          <w:snapToGrid w:val="0"/>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蒸腾方式的排泄量极小，可忽略不计。</w:t>
      </w:r>
    </w:p>
    <w:p w14:paraId="7CB7E24A">
      <w:pPr>
        <w:keepNext w:val="0"/>
        <w:pageBreakBefore w:val="0"/>
        <w:kinsoku w:val="0"/>
        <w:wordWrap/>
        <w:overflowPunct/>
        <w:topLinePunct w:val="0"/>
        <w:autoSpaceDE w:val="0"/>
        <w:autoSpaceDN w:val="0"/>
        <w:bidi w:val="0"/>
        <w:adjustRightInd w:val="0"/>
        <w:snapToGrid w:val="0"/>
        <w:spacing w:before="30" w:line="360" w:lineRule="auto"/>
        <w:ind w:left="0" w:right="0" w:firstLine="482"/>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综上所述，</w:t>
      </w:r>
      <w:r>
        <w:rPr>
          <w:rFonts w:hint="default" w:ascii="Times New Roman" w:hAnsi="Times New Roman" w:eastAsia="宋体" w:cs="Times New Roman"/>
          <w:snapToGrid w:val="0"/>
          <w:color w:val="000000" w:themeColor="text1"/>
          <w:spacing w:val="-7"/>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地下水补给、径流、排泄的基本特征可归纳为以下几点：区</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内地下水主要由河道入渗、渠系入渗及灌区农灌水及库水的垂直入</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渗补给为主，其</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次山前暴雨洪流入渗补给；流经</w:t>
      </w:r>
      <w:r>
        <w:rPr>
          <w:rFonts w:hint="default" w:ascii="Times New Roman" w:hAnsi="Times New Roman" w:eastAsia="宋体" w:cs="Times New Roman"/>
          <w:snapToGrid w:val="0"/>
          <w:color w:val="000000" w:themeColor="text1"/>
          <w:spacing w:val="-2"/>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东侧的渭干河对地下水的渗漏补给，在</w:t>
      </w:r>
      <w:r>
        <w:rPr>
          <w:rFonts w:hint="default" w:ascii="Times New Roman" w:hAnsi="Times New Roman" w:eastAsia="宋体" w:cs="Times New Roman"/>
          <w:snapToGrid w:val="0"/>
          <w:color w:val="000000" w:themeColor="text1"/>
          <w:spacing w:val="-2"/>
          <w:kern w:val="0"/>
          <w:sz w:val="24"/>
          <w:szCs w:val="24"/>
          <w:highlight w:val="none"/>
          <w:lang w:val="en-US"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均为补给段；地下水总体流向与地面坡度一致，由上游到下游，地下水径流强度渐减弱；地下水的排泄</w:t>
      </w:r>
      <w:r>
        <w:rPr>
          <w:rFonts w:hint="default" w:ascii="Times New Roman" w:hAnsi="Times New Roman" w:eastAsia="宋体" w:cs="Times New Roman"/>
          <w:snapToGrid w:val="0"/>
          <w:color w:val="000000" w:themeColor="text1"/>
          <w:spacing w:val="-2"/>
          <w:kern w:val="0"/>
          <w:sz w:val="24"/>
          <w:szCs w:val="24"/>
          <w:highlight w:val="none"/>
          <w:lang w:val="en-US" w:eastAsia="zh-CN"/>
          <w14:textFill>
            <w14:solidFill>
              <w14:schemeClr w14:val="tx1"/>
            </w14:solidFill>
          </w14:textFill>
        </w:rPr>
        <w:t>主要</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为地下水的侧向流出以及人工开采。</w:t>
      </w:r>
    </w:p>
    <w:p w14:paraId="118116DF">
      <w:pPr>
        <w:keepNext w:val="0"/>
        <w:pageBreakBefore w:val="0"/>
        <w:kinsoku w:val="0"/>
        <w:wordWrap/>
        <w:overflowPunct/>
        <w:topLinePunct w:val="0"/>
        <w:autoSpaceDE w:val="0"/>
        <w:autoSpaceDN w:val="0"/>
        <w:bidi w:val="0"/>
        <w:adjustRightInd w:val="0"/>
        <w:snapToGrid w:val="0"/>
        <w:spacing w:before="51" w:line="360" w:lineRule="auto"/>
        <w:ind w:left="0" w:right="0" w:firstLine="480"/>
        <w:jc w:val="left"/>
        <w:textAlignment w:val="baseline"/>
        <w:rPr>
          <w:rFonts w:hint="default" w:ascii="Times New Roman" w:hAnsi="Times New Roman" w:cs="Times New Roman"/>
          <w:snapToGrid w:val="0"/>
          <w:color w:val="000000" w:themeColor="text1"/>
          <w:spacing w:val="-4"/>
          <w:kern w:val="0"/>
          <w:sz w:val="24"/>
          <w:szCs w:val="24"/>
          <w:highlight w:val="none"/>
          <w:lang w:eastAsia="en-US"/>
          <w14:textFill>
            <w14:solidFill>
              <w14:schemeClr w14:val="tx1"/>
            </w14:solidFill>
          </w14:textFill>
        </w:rPr>
      </w:pP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val="en-US" w:eastAsia="zh-CN"/>
          <w14:textFill>
            <w14:solidFill>
              <w14:schemeClr w14:val="tx1"/>
            </w14:solidFill>
          </w14:textFill>
        </w:rPr>
        <w:t>4</w:t>
      </w:r>
      <w:r>
        <w:rPr>
          <w:rFonts w:hint="default" w:ascii="Times New Roman" w:hAnsi="Times New Roman" w:cs="Times New Roman"/>
          <w:snapToGrid w:val="0"/>
          <w:color w:val="000000" w:themeColor="text1"/>
          <w:spacing w:val="-4"/>
          <w:kern w:val="0"/>
          <w:sz w:val="24"/>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kern w:val="0"/>
          <w:sz w:val="24"/>
          <w:szCs w:val="24"/>
          <w:highlight w:val="none"/>
          <w:lang w:eastAsia="en-US"/>
          <w14:textFill>
            <w14:solidFill>
              <w14:schemeClr w14:val="tx1"/>
            </w14:solidFill>
          </w14:textFill>
        </w:rPr>
        <w:t>地下水动态特征</w:t>
      </w:r>
    </w:p>
    <w:p w14:paraId="741B0EE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地下水水位动态变化，因受其水文、</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气象和人为因素的控制与影响</w:t>
      </w:r>
      <w:r>
        <w:rPr>
          <w:rFonts w:hint="default" w:ascii="Times New Roman" w:hAnsi="Times New Roman" w:eastAsia="宋体" w:cs="Times New Roman"/>
          <w:snapToGrid w:val="0"/>
          <w:color w:val="000000" w:themeColor="text1"/>
          <w:spacing w:val="-6"/>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地下水年内动态特点表现为滞后和小变幅特征。其年内动态按</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成因划分</w:t>
      </w:r>
      <w:r>
        <w:rPr>
          <w:rFonts w:hint="default" w:ascii="Times New Roman" w:hAnsi="Times New Roman" w:eastAsia="宋体" w:cs="Times New Roman"/>
          <w:snapToGrid w:val="0"/>
          <w:color w:val="000000" w:themeColor="text1"/>
          <w:spacing w:val="-17"/>
          <w:kern w:val="0"/>
          <w:sz w:val="24"/>
          <w:szCs w:val="24"/>
          <w:highlight w:val="none"/>
          <w:lang w:eastAsia="en-US"/>
          <w14:textFill>
            <w14:solidFill>
              <w14:schemeClr w14:val="tx1"/>
            </w14:solidFill>
          </w14:textFill>
        </w:rPr>
        <w:t>为</w:t>
      </w:r>
      <w:r>
        <w:rPr>
          <w:rFonts w:hint="eastAsia" w:cs="Times New Roman"/>
          <w:snapToGrid w:val="0"/>
          <w:color w:val="000000" w:themeColor="text1"/>
          <w:spacing w:val="-17"/>
          <w:kern w:val="0"/>
          <w:sz w:val="24"/>
          <w:szCs w:val="24"/>
          <w:highlight w:val="none"/>
          <w:lang w:eastAsia="zh-CN"/>
          <w14:textFill>
            <w14:solidFill>
              <w14:schemeClr w14:val="tx1"/>
            </w14:solidFill>
          </w14:textFill>
        </w:rPr>
        <w:t>：</w:t>
      </w:r>
    </w:p>
    <w:p w14:paraId="749A9D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①人工型</w:t>
      </w:r>
    </w:p>
    <w:p w14:paraId="1ACF28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地下水位与人工开采地下水密切相关。</w:t>
      </w:r>
      <w:bookmarkStart w:id="979" w:name="OLE_LINK1330"/>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潜水位随人工开采量的升降而降升</w:t>
      </w:r>
      <w:bookmarkEnd w:id="979"/>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，动</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态变化基本吻合。</w:t>
      </w:r>
      <w:r>
        <w:rPr>
          <w:rFonts w:hint="default" w:ascii="Times New Roman" w:hAnsi="Times New Roman" w:eastAsia="宋体" w:cs="Times New Roman"/>
          <w:snapToGrid w:val="0"/>
          <w:color w:val="000000" w:themeColor="text1"/>
          <w:spacing w:val="-5"/>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内大部分土地为耕地，且位于上游，靠渠</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系引地表水可以</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满足农业灌溉需要，但为了调蓄下游地区水量，沿</w:t>
      </w:r>
      <w:r>
        <w:rPr>
          <w:rFonts w:hint="default"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条干渠分布有抗旱机井以及</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区内灌溉井</w:t>
      </w:r>
      <w:r>
        <w:rPr>
          <w:rFonts w:hint="default" w:ascii="Times New Roman" w:hAnsi="Times New Roman" w:cs="Times New Roman"/>
          <w:snapToGrid w:val="0"/>
          <w:color w:val="000000" w:themeColor="text1"/>
          <w:spacing w:val="-1"/>
          <w:kern w:val="0"/>
          <w:sz w:val="24"/>
          <w:szCs w:val="24"/>
          <w:highlight w:val="none"/>
          <w:lang w:val="en-US" w:eastAsia="zh-CN"/>
          <w14:textFill>
            <w14:solidFill>
              <w14:schemeClr w14:val="tx1"/>
            </w14:solidFill>
          </w14:textFill>
        </w:rPr>
        <w:t>等</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，地下水开采量相对较大。每年</w:t>
      </w:r>
      <w:r>
        <w:rPr>
          <w:rFonts w:hint="default"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1"/>
          <w:kern w:val="0"/>
          <w:sz w:val="24"/>
          <w:szCs w:val="24"/>
          <w:highlight w:val="none"/>
          <w:lang w:eastAsia="en-US"/>
          <w14:textFill>
            <w14:solidFill>
              <w14:schemeClr w14:val="tx1"/>
            </w14:solidFill>
          </w14:textFill>
        </w:rPr>
        <w:t>4</w:t>
      </w: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月农</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灌井开始开采地下水，区内地下水水位逐渐下降，</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7</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月份开采量达到峰值，地下水水位降到最低，在纯井灌区地下水水位较周边明显下降。每年</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12</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月～次年</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1</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月随</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着冬灌结束，地下水水位逐渐回升。最高水位在</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月～</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4</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月，最低</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水位在</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5</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9</w:t>
      </w:r>
      <w:r>
        <w:rPr>
          <w:rFonts w:hint="default" w:ascii="Times New Roman" w:hAnsi="Times New Roman" w:eastAsia="宋体" w:cs="Times New Roman"/>
          <w:snapToGrid w:val="0"/>
          <w:color w:val="000000" w:themeColor="text1"/>
          <w:spacing w:val="-3"/>
          <w:kern w:val="0"/>
          <w:sz w:val="24"/>
          <w:szCs w:val="24"/>
          <w:highlight w:val="none"/>
          <w:lang w:eastAsia="en-US"/>
          <w14:textFill>
            <w14:solidFill>
              <w14:schemeClr w14:val="tx1"/>
            </w14:solidFill>
          </w14:textFill>
        </w:rPr>
        <w:t>月</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的灌溉期，水位年内变幅一般</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2m</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5</w:t>
      </w:r>
      <w:bookmarkStart w:id="980" w:name="OLE_LINK1482"/>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m</w:t>
      </w:r>
      <w:bookmarkEnd w:id="980"/>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之间。</w:t>
      </w:r>
    </w:p>
    <w:p w14:paraId="0148A5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snapToGrid w:val="0"/>
          <w:color w:val="000000" w:themeColor="text1"/>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4"/>
          <w:szCs w:val="24"/>
          <w:highlight w:val="none"/>
          <w:lang w:eastAsia="en-US"/>
          <w14:textFill>
            <w14:solidFill>
              <w14:schemeClr w14:val="tx1"/>
            </w14:solidFill>
          </w14:textFill>
        </w:rPr>
        <w:t>②入渗蒸发型动态</w:t>
      </w:r>
    </w:p>
    <w:p w14:paraId="6DC4E2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jc w:val="both"/>
        <w:textAlignment w:val="baseline"/>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4"/>
          <w:szCs w:val="24"/>
          <w:highlight w:val="none"/>
          <w:lang w:eastAsia="en-US"/>
          <w14:textFill>
            <w14:solidFill>
              <w14:schemeClr w14:val="tx1"/>
            </w14:solidFill>
          </w14:textFill>
        </w:rPr>
        <w:t>动态曲线峰值往往不明显，时有单峰出现，变化</w:t>
      </w:r>
      <w:r>
        <w:rPr>
          <w:rFonts w:hint="default" w:ascii="Times New Roman" w:hAnsi="Times New Roman" w:eastAsia="宋体" w:cs="Times New Roman"/>
          <w:snapToGrid w:val="0"/>
          <w:color w:val="000000" w:themeColor="text1"/>
          <w:spacing w:val="-9"/>
          <w:kern w:val="0"/>
          <w:sz w:val="24"/>
          <w:szCs w:val="24"/>
          <w:highlight w:val="none"/>
          <w:lang w:eastAsia="en-US"/>
          <w14:textFill>
            <w14:solidFill>
              <w14:schemeClr w14:val="tx1"/>
            </w14:solidFill>
          </w14:textFill>
        </w:rPr>
        <w:t>较平稳。枯水期亦出现在</w:t>
      </w:r>
      <w:r>
        <w:rPr>
          <w:rFonts w:hint="default" w:ascii="Times New Roman" w:hAnsi="Times New Roman" w:eastAsia="Times New Roman" w:cs="Times New Roman"/>
          <w:snapToGrid w:val="0"/>
          <w:color w:val="000000" w:themeColor="text1"/>
          <w:spacing w:val="-9"/>
          <w:kern w:val="0"/>
          <w:sz w:val="24"/>
          <w:szCs w:val="24"/>
          <w:highlight w:val="none"/>
          <w:lang w:eastAsia="en-US"/>
          <w14:textFill>
            <w14:solidFill>
              <w14:schemeClr w14:val="tx1"/>
            </w14:solidFill>
          </w14:textFill>
        </w:rPr>
        <w:t>2</w:t>
      </w:r>
      <w:r>
        <w:rPr>
          <w:rFonts w:hint="default" w:ascii="Times New Roman" w:hAnsi="Times New Roman" w:eastAsia="宋体" w:cs="Times New Roman"/>
          <w:snapToGrid w:val="0"/>
          <w:color w:val="000000" w:themeColor="text1"/>
          <w:spacing w:val="-9"/>
          <w:kern w:val="0"/>
          <w:sz w:val="24"/>
          <w:szCs w:val="24"/>
          <w:highlight w:val="none"/>
          <w:lang w:eastAsia="en-US"/>
          <w14:textFill>
            <w14:solidFill>
              <w14:schemeClr w14:val="tx1"/>
            </w14:solidFill>
          </w14:textFill>
        </w:rPr>
        <w:t>月，</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继渠系及农灌引水，使水位因受下渗水的补给而上升；由于距渠系远近及渠系级别</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的不同，而使出现时间和持续时间有所差异或出现峰值。此后，</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由于蒸发量的增大</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和间歇性的农灌，使水位呈较平稳的波动性变化，至11～12月因蒸发的减弱，水位又略有回升。水位年变幅0.5m～1.5</w:t>
      </w:r>
      <w:bookmarkStart w:id="981" w:name="OLE_LINK1483"/>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m</w:t>
      </w:r>
      <w:bookmarkEnd w:id="981"/>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w:t>
      </w:r>
    </w:p>
    <w:p w14:paraId="1337BE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cs="Times New Roman"/>
          <w:color w:val="000000" w:themeColor="text1"/>
          <w:highlight w:val="none"/>
          <w:lang w:eastAsia="en-US"/>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en-US"/>
          <w14:textFill>
            <w14:solidFill>
              <w14:schemeClr w14:val="tx1"/>
            </w14:solidFill>
          </w14:textFill>
        </w:rPr>
        <w:t>地下水水化学特征</w:t>
      </w:r>
    </w:p>
    <w:p w14:paraId="2C95BE4B">
      <w:pPr>
        <w:keepNext w:val="0"/>
        <w:keepLines w:val="0"/>
        <w:pageBreakBefore w:val="0"/>
        <w:widowControl/>
        <w:kinsoku/>
        <w:wordWrap/>
        <w:overflowPunct/>
        <w:topLinePunct w:val="0"/>
        <w:autoSpaceDE/>
        <w:autoSpaceDN/>
        <w:bidi w:val="0"/>
        <w:adjustRightInd w:val="0"/>
        <w:snapToGrid w:val="0"/>
        <w:spacing w:line="360" w:lineRule="auto"/>
        <w:ind w:left="0" w:right="0" w:firstLine="472" w:firstLineChars="200"/>
        <w:jc w:val="left"/>
        <w:textAlignment w:val="auto"/>
        <w:rPr>
          <w:rFonts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cs="Times New Roman"/>
          <w:snapToGrid w:val="0"/>
          <w:color w:val="000000" w:themeColor="text1"/>
          <w:spacing w:val="-2"/>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位于新和</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县山前平原区，受地质、水</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文地质条件的影响，地下水在蒸发</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浓缩、阳离子交换等水文地球化学屏障的作用下，使地下水水化学</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在水平方向上自</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北而南</w:t>
      </w:r>
      <w:r>
        <w:rPr>
          <w:rFonts w:hint="eastAsia" w:cs="Times New Roman"/>
          <w:snapToGrid w:val="0"/>
          <w:color w:val="000000" w:themeColor="text1"/>
          <w:spacing w:val="-7"/>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7"/>
          <w:kern w:val="0"/>
          <w:sz w:val="24"/>
          <w:szCs w:val="24"/>
          <w:highlight w:val="none"/>
          <w:lang w:eastAsia="en-US"/>
          <w14:textFill>
            <w14:solidFill>
              <w14:schemeClr w14:val="tx1"/>
            </w14:solidFill>
          </w14:textFill>
        </w:rPr>
        <w:t>而西南由</w:t>
      </w:r>
      <w:r>
        <w:rPr>
          <w:rFonts w:hint="default" w:ascii="Times New Roman" w:hAnsi="Times New Roman" w:eastAsia="Times New Roman" w:cs="Times New Roman"/>
          <w:snapToGrid w:val="0"/>
          <w:color w:val="000000" w:themeColor="text1"/>
          <w:spacing w:val="-7"/>
          <w:kern w:val="0"/>
          <w:sz w:val="24"/>
          <w:szCs w:val="24"/>
          <w:highlight w:val="none"/>
          <w:lang w:eastAsia="en-US"/>
          <w14:textFill>
            <w14:solidFill>
              <w14:schemeClr w14:val="tx1"/>
            </w14:solidFill>
          </w14:textFill>
        </w:rPr>
        <w:t>SO</w:t>
      </w:r>
      <w:r>
        <w:rPr>
          <w:rFonts w:hint="default" w:ascii="Times New Roman" w:hAnsi="Times New Roman" w:eastAsia="Times New Roman" w:cs="Times New Roman"/>
          <w:snapToGrid w:val="0"/>
          <w:color w:val="000000" w:themeColor="text1"/>
          <w:spacing w:val="-7"/>
          <w:kern w:val="0"/>
          <w:sz w:val="15"/>
          <w:szCs w:val="15"/>
          <w:highlight w:val="none"/>
          <w:lang w:eastAsia="en-US"/>
          <w14:textFill>
            <w14:solidFill>
              <w14:schemeClr w14:val="tx1"/>
            </w14:solidFill>
          </w14:textFill>
        </w:rPr>
        <w:t>4</w:t>
      </w:r>
      <w:r>
        <w:rPr>
          <w:rFonts w:hint="default" w:ascii="Times New Roman" w:hAnsi="Times New Roman" w:eastAsia="Times New Roman" w:cs="Times New Roman"/>
          <w:snapToGrid w:val="0"/>
          <w:color w:val="000000" w:themeColor="text1"/>
          <w:spacing w:val="-7"/>
          <w:kern w:val="0"/>
          <w:sz w:val="24"/>
          <w:szCs w:val="24"/>
          <w:highlight w:val="none"/>
          <w:lang w:eastAsia="en-US"/>
          <w14:textFill>
            <w14:solidFill>
              <w14:schemeClr w14:val="tx1"/>
            </w14:solidFill>
          </w14:textFill>
        </w:rPr>
        <w:t>·Cl</w:t>
      </w:r>
      <w:r>
        <w:rPr>
          <w:rFonts w:hint="default" w:ascii="Times New Roman" w:hAnsi="Times New Roman" w:eastAsia="宋体" w:cs="Times New Roman"/>
          <w:snapToGrid w:val="0"/>
          <w:color w:val="000000" w:themeColor="text1"/>
          <w:spacing w:val="-14"/>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14"/>
          <w:kern w:val="0"/>
          <w:sz w:val="24"/>
          <w:szCs w:val="24"/>
          <w:highlight w:val="none"/>
          <w:lang w:eastAsia="en-US"/>
          <w14:textFill>
            <w14:solidFill>
              <w14:schemeClr w14:val="tx1"/>
            </w14:solidFill>
          </w14:textFill>
        </w:rPr>
        <w:t>HCO</w:t>
      </w:r>
      <w:r>
        <w:rPr>
          <w:rFonts w:hint="default" w:ascii="Times New Roman" w:hAnsi="Times New Roman" w:eastAsia="Times New Roman" w:cs="Times New Roman"/>
          <w:snapToGrid w:val="0"/>
          <w:color w:val="000000" w:themeColor="text1"/>
          <w:spacing w:val="5"/>
          <w:kern w:val="0"/>
          <w:sz w:val="15"/>
          <w:szCs w:val="15"/>
          <w:highlight w:val="none"/>
          <w:lang w:eastAsia="en-US"/>
          <w14:textFill>
            <w14:solidFill>
              <w14:schemeClr w14:val="tx1"/>
            </w14:solidFill>
          </w14:textFill>
        </w:rPr>
        <w:t>3</w:t>
      </w:r>
      <w:r>
        <w:rPr>
          <w:rFonts w:hint="default" w:ascii="Times New Roman" w:hAnsi="Times New Roman" w:eastAsia="宋体" w:cs="Times New Roman"/>
          <w:snapToGrid w:val="0"/>
          <w:color w:val="000000" w:themeColor="text1"/>
          <w:spacing w:val="-11"/>
          <w:kern w:val="0"/>
          <w:sz w:val="24"/>
          <w:szCs w:val="24"/>
          <w:highlight w:val="none"/>
          <w:lang w:eastAsia="en-US"/>
          <w14:textFill>
            <w14:solidFill>
              <w14:schemeClr w14:val="tx1"/>
            </w14:solidFill>
          </w14:textFill>
        </w:rPr>
        <w:t>）</w:t>
      </w:r>
      <w:r>
        <w:rPr>
          <w:rFonts w:hint="default" w:ascii="Times New Roman" w:hAnsi="Times New Roman" w:eastAsia="宋体" w:cs="Times New Roman"/>
          <w:snapToGrid w:val="0"/>
          <w:color w:val="000000" w:themeColor="text1"/>
          <w:spacing w:val="-11"/>
          <w:kern w:val="0"/>
          <w:sz w:val="24"/>
          <w:szCs w:val="24"/>
          <w:highlight w:val="none"/>
          <w:lang w:eastAsia="zh-CN"/>
          <w14:textFill>
            <w14:solidFill>
              <w14:schemeClr w14:val="tx1"/>
            </w14:solidFill>
          </w14:textFill>
        </w:rPr>
        <w:t>—</w:t>
      </w:r>
      <w:r>
        <w:rPr>
          <w:rFonts w:hint="default" w:ascii="Times New Roman" w:hAnsi="Times New Roman" w:eastAsia="Times New Roman" w:cs="Times New Roman"/>
          <w:snapToGrid w:val="0"/>
          <w:color w:val="000000" w:themeColor="text1"/>
          <w:spacing w:val="-11"/>
          <w:kern w:val="0"/>
          <w:sz w:val="24"/>
          <w:szCs w:val="24"/>
          <w:highlight w:val="none"/>
          <w:lang w:eastAsia="en-US"/>
          <w14:textFill>
            <w14:solidFill>
              <w14:schemeClr w14:val="tx1"/>
            </w14:solidFill>
          </w14:textFill>
        </w:rPr>
        <w:t>Na·Ca</w:t>
      </w:r>
      <w:r>
        <w:rPr>
          <w:rFonts w:hint="default" w:ascii="Times New Roman" w:hAnsi="Times New Roman" w:eastAsia="宋体" w:cs="Times New Roman"/>
          <w:snapToGrid w:val="0"/>
          <w:color w:val="000000" w:themeColor="text1"/>
          <w:spacing w:val="-11"/>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11"/>
          <w:kern w:val="0"/>
          <w:sz w:val="24"/>
          <w:szCs w:val="24"/>
          <w:highlight w:val="none"/>
          <w:lang w:eastAsia="en-US"/>
          <w14:textFill>
            <w14:solidFill>
              <w14:schemeClr w14:val="tx1"/>
            </w14:solidFill>
          </w14:textFill>
        </w:rPr>
        <w:t>Mg</w:t>
      </w:r>
      <w:r>
        <w:rPr>
          <w:rFonts w:hint="default" w:ascii="Times New Roman" w:hAnsi="Times New Roman" w:eastAsia="宋体" w:cs="Times New Roman"/>
          <w:snapToGrid w:val="0"/>
          <w:color w:val="000000" w:themeColor="text1"/>
          <w:spacing w:val="-11"/>
          <w:kern w:val="0"/>
          <w:sz w:val="24"/>
          <w:szCs w:val="24"/>
          <w:highlight w:val="none"/>
          <w:lang w:eastAsia="en-US"/>
          <w14:textFill>
            <w14:solidFill>
              <w14:schemeClr w14:val="tx1"/>
            </w14:solidFill>
          </w14:textFill>
        </w:rPr>
        <w:t>）型水变化为</w:t>
      </w:r>
      <w:r>
        <w:rPr>
          <w:rFonts w:hint="default" w:ascii="Times New Roman" w:hAnsi="Times New Roman" w:eastAsia="Times New Roman" w:cs="Times New Roman"/>
          <w:snapToGrid w:val="0"/>
          <w:color w:val="000000" w:themeColor="text1"/>
          <w:spacing w:val="-11"/>
          <w:kern w:val="0"/>
          <w:sz w:val="24"/>
          <w:szCs w:val="24"/>
          <w:highlight w:val="none"/>
          <w:lang w:eastAsia="en-US"/>
          <w14:textFill>
            <w14:solidFill>
              <w14:schemeClr w14:val="tx1"/>
            </w14:solidFill>
          </w14:textFill>
        </w:rPr>
        <w:t>HCO</w:t>
      </w:r>
      <w:r>
        <w:rPr>
          <w:rFonts w:hint="default" w:ascii="Times New Roman" w:hAnsi="Times New Roman" w:eastAsia="Times New Roman" w:cs="Times New Roman"/>
          <w:snapToGrid w:val="0"/>
          <w:color w:val="000000" w:themeColor="text1"/>
          <w:spacing w:val="3"/>
          <w:kern w:val="0"/>
          <w:sz w:val="15"/>
          <w:szCs w:val="15"/>
          <w:highlight w:val="none"/>
          <w:lang w:eastAsia="en-US"/>
          <w14:textFill>
            <w14:solidFill>
              <w14:schemeClr w14:val="tx1"/>
            </w14:solidFill>
          </w14:textFill>
        </w:rPr>
        <w:t>3</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kern w:val="0"/>
          <w:sz w:val="24"/>
          <w:szCs w:val="24"/>
          <w:highlight w:val="none"/>
          <w:lang w:eastAsia="en-US"/>
          <w14:textFill>
            <w14:solidFill>
              <w14:schemeClr w14:val="tx1"/>
            </w14:solidFill>
          </w14:textFill>
        </w:rPr>
        <w:t>Cl</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kern w:val="0"/>
          <w:sz w:val="24"/>
          <w:szCs w:val="24"/>
          <w:highlight w:val="none"/>
          <w:lang w:eastAsia="en-US"/>
          <w14:textFill>
            <w14:solidFill>
              <w14:schemeClr w14:val="tx1"/>
            </w14:solidFill>
          </w14:textFill>
        </w:rPr>
        <w:t>SO</w:t>
      </w:r>
      <w:r>
        <w:rPr>
          <w:rFonts w:hint="default" w:ascii="Times New Roman" w:hAnsi="Times New Roman" w:eastAsia="Times New Roman" w:cs="Times New Roman"/>
          <w:snapToGrid w:val="0"/>
          <w:color w:val="000000" w:themeColor="text1"/>
          <w:spacing w:val="3"/>
          <w:kern w:val="0"/>
          <w:sz w:val="15"/>
          <w:szCs w:val="15"/>
          <w:highlight w:val="none"/>
          <w:lang w:eastAsia="en-US"/>
          <w14:textFill>
            <w14:solidFill>
              <w14:schemeClr w14:val="tx1"/>
            </w14:solidFill>
          </w14:textFill>
        </w:rPr>
        <w:t>4</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kern w:val="0"/>
          <w:sz w:val="24"/>
          <w:szCs w:val="24"/>
          <w:highlight w:val="none"/>
          <w:lang w:eastAsia="en-US"/>
          <w14:textFill>
            <w14:solidFill>
              <w14:schemeClr w14:val="tx1"/>
            </w14:solidFill>
          </w14:textFill>
        </w:rPr>
        <w:t>Ca</w:t>
      </w:r>
      <w:r>
        <w:rPr>
          <w:rFonts w:hint="default" w:ascii="Times New Roman" w:hAnsi="Times New Roman" w:eastAsia="Times New Roman" w:cs="Times New Roman"/>
          <w:snapToGrid w:val="0"/>
          <w:color w:val="000000" w:themeColor="text1"/>
          <w:spacing w:val="3"/>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kern w:val="0"/>
          <w:sz w:val="24"/>
          <w:szCs w:val="24"/>
          <w:highlight w:val="none"/>
          <w:lang w:eastAsia="en-US"/>
          <w14:textFill>
            <w14:solidFill>
              <w14:schemeClr w14:val="tx1"/>
            </w14:solidFill>
          </w14:textFill>
        </w:rPr>
        <w:t>Na</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w:t>
      </w:r>
      <w:r>
        <w:rPr>
          <w:rFonts w:hint="default" w:ascii="Times New Roman" w:hAnsi="Times New Roman" w:eastAsia="Times New Roman" w:cs="Times New Roman"/>
          <w:snapToGrid w:val="0"/>
          <w:color w:val="000000" w:themeColor="text1"/>
          <w:spacing w:val="-5"/>
          <w:kern w:val="0"/>
          <w:sz w:val="24"/>
          <w:szCs w:val="24"/>
          <w:highlight w:val="none"/>
          <w:lang w:eastAsia="en-US"/>
          <w14:textFill>
            <w14:solidFill>
              <w14:schemeClr w14:val="tx1"/>
            </w14:solidFill>
          </w14:textFill>
        </w:rPr>
        <w:t>Mg</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）型水。在平面分布上，</w:t>
      </w:r>
      <w:r>
        <w:rPr>
          <w:rFonts w:hint="default" w:ascii="Times New Roman" w:hAnsi="Times New Roman" w:eastAsia="宋体" w:cs="Times New Roman"/>
          <w:snapToGrid w:val="0"/>
          <w:color w:val="000000" w:themeColor="text1"/>
          <w:spacing w:val="-5"/>
          <w:kern w:val="0"/>
          <w:sz w:val="24"/>
          <w:szCs w:val="24"/>
          <w:highlight w:val="none"/>
          <w:lang w:eastAsia="zh-CN"/>
          <w14:textFill>
            <w14:solidFill>
              <w14:schemeClr w14:val="tx1"/>
            </w14:solidFill>
          </w14:textFill>
        </w:rPr>
        <w:t>评价区</w:t>
      </w:r>
      <w:r>
        <w:rPr>
          <w:rFonts w:hint="default" w:ascii="Times New Roman" w:hAnsi="Times New Roman" w:eastAsia="宋体" w:cs="Times New Roman"/>
          <w:snapToGrid w:val="0"/>
          <w:color w:val="000000" w:themeColor="text1"/>
          <w:spacing w:val="-5"/>
          <w:kern w:val="0"/>
          <w:sz w:val="24"/>
          <w:szCs w:val="24"/>
          <w:highlight w:val="none"/>
          <w:lang w:eastAsia="en-US"/>
          <w14:textFill>
            <w14:solidFill>
              <w14:schemeClr w14:val="tx1"/>
            </w14:solidFill>
          </w14:textFill>
        </w:rPr>
        <w:t>地下水矿化度由东向西逐</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渐由小于</w:t>
      </w:r>
      <w:r>
        <w:rPr>
          <w:rFonts w:hint="default" w:ascii="Times New Roman" w:hAnsi="Times New Roman" w:eastAsia="宋体" w:cs="Times New Roman"/>
          <w:snapToGrid w:val="0"/>
          <w:color w:val="000000" w:themeColor="text1"/>
          <w:spacing w:val="-6"/>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spacing w:val="-6"/>
          <w:kern w:val="0"/>
          <w:sz w:val="24"/>
          <w:szCs w:val="24"/>
          <w:highlight w:val="none"/>
          <w:lang w:eastAsia="zh-CN"/>
          <w14:textFill>
            <w14:solidFill>
              <w14:schemeClr w14:val="tx1"/>
            </w14:solidFill>
          </w14:textFill>
        </w:rPr>
        <w:t>g/L</w:t>
      </w:r>
      <w:r>
        <w:rPr>
          <w:rFonts w:hint="default" w:ascii="Times New Roman" w:hAnsi="Times New Roman" w:eastAsia="宋体" w:cs="Times New Roman"/>
          <w:snapToGrid w:val="0"/>
          <w:color w:val="000000" w:themeColor="text1"/>
          <w:spacing w:val="-6"/>
          <w:kern w:val="0"/>
          <w:sz w:val="24"/>
          <w:szCs w:val="24"/>
          <w:highlight w:val="none"/>
          <w:lang w:eastAsia="en-US"/>
          <w14:textFill>
            <w14:solidFill>
              <w14:schemeClr w14:val="tx1"/>
            </w14:solidFill>
          </w14:textFill>
        </w:rPr>
        <w:t>变大</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至</w:t>
      </w:r>
      <w:r>
        <w:rPr>
          <w:rFonts w:hint="default" w:ascii="Times New Roman" w:hAnsi="Times New Roman" w:eastAsia="Times New Roman" w:cs="Times New Roman"/>
          <w:snapToGrid w:val="0"/>
          <w:color w:val="000000" w:themeColor="text1"/>
          <w:spacing w:val="-2"/>
          <w:kern w:val="0"/>
          <w:sz w:val="24"/>
          <w:szCs w:val="24"/>
          <w:highlight w:val="none"/>
          <w:lang w:eastAsia="en-US"/>
          <w14:textFill>
            <w14:solidFill>
              <w14:schemeClr w14:val="tx1"/>
            </w14:solidFill>
          </w14:textFill>
        </w:rPr>
        <w:t>1</w:t>
      </w:r>
      <w:r>
        <w:rPr>
          <w:rFonts w:hint="default" w:ascii="Times New Roman" w:hAnsi="Times New Roman" w:eastAsia="宋体" w:cs="Times New Roman"/>
          <w:snapToGrid w:val="0"/>
          <w:color w:val="000000" w:themeColor="text1"/>
          <w:spacing w:val="-2"/>
          <w:kern w:val="0"/>
          <w:sz w:val="24"/>
          <w:szCs w:val="24"/>
          <w:highlight w:val="none"/>
          <w:lang w:eastAsia="zh-CN"/>
          <w14:textFill>
            <w14:solidFill>
              <w14:schemeClr w14:val="tx1"/>
            </w14:solidFill>
          </w14:textFill>
        </w:rPr>
        <w:t>g/L</w:t>
      </w:r>
      <w:r>
        <w:rPr>
          <w:rFonts w:hint="default" w:ascii="Times New Roman" w:hAnsi="Times New Roman" w:eastAsia="宋体" w:cs="Times New Roman"/>
          <w:snapToGrid w:val="0"/>
          <w:color w:val="000000" w:themeColor="text1"/>
          <w:spacing w:val="-2"/>
          <w:kern w:val="0"/>
          <w:sz w:val="24"/>
          <w:szCs w:val="24"/>
          <w:highlight w:val="none"/>
          <w:lang w:eastAsia="en-US"/>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评价区内的潜水水质差，溶解性总固体含量在1g/L以上，多为Cl•SO</w:t>
      </w:r>
      <w:r>
        <w:rPr>
          <w:rFonts w:hint="default" w:ascii="Times New Roman" w:hAnsi="Times New Roman" w:eastAsia="宋体" w:cs="Times New Roman"/>
          <w:color w:val="000000" w:themeColor="text1"/>
          <w:sz w:val="24"/>
          <w:szCs w:val="24"/>
          <w:highlight w:val="none"/>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Na、Cl</w:t>
      </w:r>
      <w:r>
        <w:rPr>
          <w:rFonts w:hint="default"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Na型咸水，不适合</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生活用水</w:t>
      </w:r>
      <w:r>
        <w:rPr>
          <w:rFonts w:hint="eastAsia" w:ascii="Times New Roman" w:hAnsi="Times New Roman" w:eastAsia="宋体" w:cs="Times New Roman"/>
          <w:color w:val="000000" w:themeColor="text1"/>
          <w:spacing w:val="0"/>
          <w:kern w:val="0"/>
          <w:sz w:val="24"/>
          <w:szCs w:val="24"/>
          <w:highlight w:val="none"/>
          <w14:textFill>
            <w14:solidFill>
              <w14:schemeClr w14:val="tx1"/>
            </w14:solidFill>
          </w14:textFill>
        </w:rPr>
        <w:t>。</w:t>
      </w:r>
    </w:p>
    <w:bookmarkEnd w:id="972"/>
    <w:bookmarkEnd w:id="973"/>
    <w:bookmarkEnd w:id="974"/>
    <w:p w14:paraId="1645A686">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.2施工期地下水环境影响分析</w:t>
      </w:r>
    </w:p>
    <w:p w14:paraId="482E0B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（1）施工期间废水对地下水影响分析</w:t>
      </w:r>
    </w:p>
    <w:p w14:paraId="29C420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根据工程分析，施工期</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各类</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废水、生活污水</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不外排，对地下水环境影响很小。</w:t>
      </w:r>
    </w:p>
    <w:p w14:paraId="2C7081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（2）钻井过程对地下水影响分析</w:t>
      </w:r>
    </w:p>
    <w:p w14:paraId="63093D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钻井过程中采用套管与土壤隔离，并在套管与地层之间注入水泥进行固井，水泥浆返至地面，封隔疏松地层和水层；</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井身的表层套管的下入深度</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m，采用水泥浆进行固井，水泥浆返至地面，可满足</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的地下水保护需要，可</w:t>
      </w:r>
      <w:r>
        <w:rPr>
          <w:rFonts w:hint="eastAsia" w:cs="Times New Roman"/>
          <w:color w:val="000000" w:themeColor="text1"/>
          <w:spacing w:val="0"/>
          <w:kern w:val="2"/>
          <w:sz w:val="24"/>
          <w:szCs w:val="20"/>
          <w:highlight w:val="none"/>
          <w:lang w:eastAsia="zh-CN"/>
          <w14:textFill>
            <w14:solidFill>
              <w14:schemeClr w14:val="tx1"/>
            </w14:solidFill>
          </w14:textFill>
        </w:rPr>
        <w:t>有效地</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保护地下水环境不受污染。</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使用水基钻井液，钻井过程中，严格要求套管下入深度等措施，可以有效控制钻井液在地层中的漏失，减轻对地下水环境的影响。由于</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油藏目的层与地下水处于不同层系，远远超出本区域地下水含水层深度，在施工过程中采用下套管注水泥固井、完井方式进行水泥固井，对含水层进行了固封处理，有效保护地下水层。项目在钻井过程中产生的废水不与当地水体发生水力联系，同时对产生的废水排放进行严格管理，因此基本不会对所在区域水环境产生影响。</w:t>
      </w:r>
    </w:p>
    <w:p w14:paraId="0AF78C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施工期间钻井井场内的钻井平台、泥浆不落地系统、发电机房、材料堆场等均铺设HDPE防渗膜，可对土壤及包气带起到良好的防护。</w:t>
      </w:r>
    </w:p>
    <w:p w14:paraId="7266CB1C">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综上，本工程施工期间无废水外排，施工过程中产生的废水和固体废物均得到妥善处理。故施工期对地下水环境的影响很小。在严格执行环境保护措施的前提下，</w:t>
      </w: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施工期废水不会对周围地下水环境产生明显影响。</w:t>
      </w:r>
    </w:p>
    <w:p w14:paraId="65924841">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eastAsia" w:cs="Times New Roman"/>
          <w:color w:val="000000" w:themeColor="text1"/>
          <w:spacing w:val="0"/>
          <w:kern w:val="2"/>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）钻井过程井漏事故泥浆对地下水的影响评价</w:t>
      </w:r>
    </w:p>
    <w:p w14:paraId="56380F68">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井漏事故对地下水的污染是指在钻井过程中，钻井废水、泥浆漏失于地下水含水层中，造成地下含水层水质污染。就钻井源漏失而言，发生在局部且持续时间较短。</w:t>
      </w:r>
    </w:p>
    <w:p w14:paraId="0984EC3E">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一开钻井泥浆主要成分为膨润土浆，不含有毒有害物质，一开基本涵盖了可能具有使用功能的地下水，因此</w:t>
      </w: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一开钻井过程不会对可能具备使用功能的地下水造成影响。二开以下井段的施工时，表层套管已完成固井，因此钻井泥浆不会在表层套管范围内漏失，漏失发生在表层套管以下的二开以下井段的范围内，二开以下井段范围内的地层地下水埋深较深，不具备使用功能。</w:t>
      </w:r>
    </w:p>
    <w:p w14:paraId="3FE63BA2">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井漏主要发生于具有特殊地质结构的油藏区，如具有溶洞、裂隙等不稳定的地层构造区域。施工单位针对井漏制定有完善的应对措施，钻井过程中一旦发现异常，施工单位将立即停钻采取添加桥堵剂、打水泥塞等措施，防止井漏事故的发生，可有效减轻井漏对地下水的影响。井漏事故发生概率较低，</w:t>
      </w: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钻井液采用无毒泥浆，不含重金属等有毒物质，且</w:t>
      </w:r>
      <w:r>
        <w:rPr>
          <w:rFonts w:hint="eastAsia"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开发区域地下水不具备饮用水功能。</w:t>
      </w:r>
    </w:p>
    <w:p w14:paraId="3CF161BC">
      <w:pPr>
        <w:pStyle w:val="129"/>
        <w:pageBreakBefore w:val="0"/>
        <w:kinsoku/>
        <w:wordWrap/>
        <w:overflowPunct/>
        <w:topLinePunct w:val="0"/>
        <w:autoSpaceDE/>
        <w:autoSpaceDN/>
        <w:bidi w:val="0"/>
        <w:adjustRightInd w:val="0"/>
        <w:snapToGrid w:val="0"/>
        <w:spacing w:beforeLines="0" w:afterLines="0"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bookmarkStart w:id="982" w:name="OLE_LINK994"/>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.3</w:t>
      </w:r>
      <w:bookmarkEnd w:id="982"/>
      <w:r>
        <w:rPr>
          <w:rFonts w:hint="default" w:ascii="Times New Roman" w:hAnsi="Times New Roman" w:cs="Times New Roman"/>
          <w:color w:val="000000" w:themeColor="text1"/>
          <w:highlight w:val="none"/>
          <w14:textFill>
            <w14:solidFill>
              <w14:schemeClr w14:val="tx1"/>
            </w14:solidFill>
          </w14:textFill>
        </w:rPr>
        <w:t>运营期地下水环境影响</w:t>
      </w:r>
      <w:r>
        <w:rPr>
          <w:rFonts w:hint="eastAsia" w:cs="Times New Roman"/>
          <w:color w:val="000000" w:themeColor="text1"/>
          <w:highlight w:val="none"/>
          <w:lang w:val="en-US" w:eastAsia="zh-CN"/>
          <w14:textFill>
            <w14:solidFill>
              <w14:schemeClr w14:val="tx1"/>
            </w14:solidFill>
          </w14:textFill>
        </w:rPr>
        <w:t>评价</w:t>
      </w:r>
    </w:p>
    <w:p w14:paraId="1582FA5A">
      <w:pPr>
        <w:keepLines/>
        <w:widowControl/>
        <w:adjustRightInd w:val="0"/>
        <w:snapToGrid w:val="0"/>
        <w:spacing w:line="360" w:lineRule="auto"/>
        <w:ind w:firstLine="0" w:firstLineChars="0"/>
        <w:jc w:val="left"/>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5.2.3.1正常状况下地下水环境影响分析</w:t>
      </w:r>
    </w:p>
    <w:p w14:paraId="52B0B25B">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（1）废水</w:t>
      </w:r>
    </w:p>
    <w:p w14:paraId="5B9E6F88">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根据工程分析，</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产生的各类废水不外排，正常情况下不会对地下水产生污染影响。另外，</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采出水及井下作业废液经处理达标后</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综合利用</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，一般不会对区内地下水环境产生影响。</w:t>
      </w:r>
    </w:p>
    <w:p w14:paraId="76FD2EF3">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（2）落地油</w:t>
      </w:r>
    </w:p>
    <w:p w14:paraId="3AE22FC6">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在修井及采</w:t>
      </w:r>
      <w:r>
        <w:rPr>
          <w:rFonts w:hint="eastAsia" w:cs="Times New Roman"/>
          <w:color w:val="000000" w:themeColor="text1"/>
          <w:spacing w:val="0"/>
          <w:kern w:val="2"/>
          <w:sz w:val="24"/>
          <w:szCs w:val="20"/>
          <w:highlight w:val="none"/>
          <w:lang w:val="en-US" w:eastAsia="zh-CN"/>
          <w14:textFill>
            <w14:solidFill>
              <w14:schemeClr w14:val="tx1"/>
            </w14:solidFill>
          </w14:textFill>
        </w:rPr>
        <w:t>气</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等过程中都可能产生</w:t>
      </w:r>
      <w:bookmarkStart w:id="983" w:name="OLE_LINK1484"/>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落地油</w:t>
      </w:r>
      <w:bookmarkEnd w:id="983"/>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西北油田分公司的</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要求，各作业队伍在作业过程中尽可能避免落地油的产生，井下作业必须采用带罐进行，落地油一旦产生须及时、彻底进行回收，井口排出物全部进罐，故基本无落地油产生。在措施落实、管理到位的前提下，可最大限度减少落地油量，故落地油对开发区域地下水的影响很小。</w:t>
      </w:r>
    </w:p>
    <w:p w14:paraId="286DF58B">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（3）</w:t>
      </w:r>
      <w:bookmarkStart w:id="984" w:name="OLE_LINK1485"/>
      <w:r>
        <w:rPr>
          <w:rFonts w:hint="eastAsia" w:cs="Times New Roman"/>
          <w:color w:val="000000" w:themeColor="text1"/>
          <w:spacing w:val="0"/>
          <w:kern w:val="2"/>
          <w:sz w:val="24"/>
          <w:szCs w:val="20"/>
          <w:highlight w:val="none"/>
          <w:lang w:val="en-US" w:eastAsia="zh-CN"/>
          <w14:textFill>
            <w14:solidFill>
              <w14:schemeClr w14:val="tx1"/>
            </w14:solidFill>
          </w14:textFill>
        </w:rPr>
        <w:t>站内管网</w:t>
      </w:r>
      <w:bookmarkEnd w:id="984"/>
    </w:p>
    <w:p w14:paraId="4011A98A">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本工程</w:t>
      </w:r>
      <w:r>
        <w:rPr>
          <w:rFonts w:hint="eastAsia" w:cs="Times New Roman"/>
          <w:color w:val="000000" w:themeColor="text1"/>
          <w:spacing w:val="0"/>
          <w:kern w:val="2"/>
          <w:sz w:val="24"/>
          <w:szCs w:val="20"/>
          <w:highlight w:val="none"/>
          <w:lang w:val="en-US" w:eastAsia="zh-CN"/>
          <w14:textFill>
            <w14:solidFill>
              <w14:schemeClr w14:val="tx1"/>
            </w14:solidFill>
          </w14:textFill>
        </w:rPr>
        <w:t>站内管网</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均是全封闭系统，管线采用柔性复合管及无缝钢管，采取严格的防腐防渗措施。正常状况下，输送、储存的介质不会与地下水水体之间发生联系，不会对区域地下水环境产生污染影响。</w:t>
      </w:r>
    </w:p>
    <w:p w14:paraId="63616390">
      <w:pPr>
        <w:widowControl w:val="0"/>
        <w:adjustRightInd w:val="0"/>
        <w:snapToGrid w:val="0"/>
        <w:spacing w:line="360" w:lineRule="auto"/>
        <w:ind w:firstLine="480" w:firstLineChars="200"/>
        <w:jc w:val="both"/>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bookmarkStart w:id="985" w:name="_Hlk112856379"/>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综上，正常情况下，</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的实施对地下水的影响较小。</w:t>
      </w:r>
      <w:bookmarkEnd w:id="985"/>
    </w:p>
    <w:p w14:paraId="02D787C1">
      <w:pPr>
        <w:keepLines/>
        <w:widowControl/>
        <w:adjustRightInd w:val="0"/>
        <w:snapToGrid w:val="0"/>
        <w:spacing w:line="360" w:lineRule="auto"/>
        <w:ind w:firstLine="0" w:firstLineChars="0"/>
        <w:jc w:val="left"/>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5.2.3.</w:t>
      </w:r>
      <w:r>
        <w:rPr>
          <w:rFonts w:hint="default" w:ascii="Times New Roman" w:hAnsi="Times New Roman" w:eastAsia="宋体" w:cs="Times New Roman"/>
          <w:b/>
          <w:color w:val="000000" w:themeColor="text1"/>
          <w:spacing w:val="0"/>
          <w:kern w:val="0"/>
          <w:sz w:val="24"/>
          <w:szCs w:val="24"/>
          <w:highlight w:val="none"/>
          <w:lang w:val="en-US" w:eastAsia="zh-CN"/>
          <w14:textFill>
            <w14:solidFill>
              <w14:schemeClr w14:val="tx1"/>
            </w14:solidFill>
          </w14:textFill>
        </w:rPr>
        <w:t>2非</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正常状况下地下水环境影响分析</w:t>
      </w:r>
    </w:p>
    <w:p w14:paraId="65CEFC44">
      <w:pPr>
        <w:widowControl w:val="0"/>
        <w:adjustRightInd w:val="0"/>
        <w:snapToGrid w:val="0"/>
        <w:spacing w:line="480" w:lineRule="exact"/>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油田工程生产过程中，</w:t>
      </w:r>
      <w:r>
        <w:rPr>
          <w:rFonts w:hint="eastAsia" w:cs="Times New Roman"/>
          <w:color w:val="000000" w:themeColor="text1"/>
          <w:spacing w:val="0"/>
          <w:kern w:val="2"/>
          <w:sz w:val="24"/>
          <w:szCs w:val="20"/>
          <w:highlight w:val="none"/>
          <w:lang w:eastAsia="zh-CN"/>
          <w14:textFill>
            <w14:solidFill>
              <w14:schemeClr w14:val="tx1"/>
            </w14:solidFill>
          </w14:textFill>
        </w:rPr>
        <w:t>各个环节</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都存在着易燃、易爆、有害物质，除危害工程本身安全外，同时对地下水也构成污染的危险。主要表现因操作失误或处理措施不当而发生的井喷或井漏等工程事故；自然灾害引起的油田污染事故；管线、阀组运行过程中，管线腐蚀穿孔，误操作及人为破坏等原因造成的管线破裂使油品泄漏。无论是人为因素还是自然因素所造成的事故，对</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评价区</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地下水体均可能产生污染的风险。</w:t>
      </w:r>
    </w:p>
    <w:p w14:paraId="55AA3046">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开</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发对地下水产生污染的途径主要有两种方式，即渗透污染和穿透污染途径。</w:t>
      </w:r>
    </w:p>
    <w:p w14:paraId="63E7AC94">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1"/>
          <w:highlight w:val="none"/>
          <w:lang w:val="en-US" w:eastAsia="zh-CN"/>
          <w14:textFill>
            <w14:solidFill>
              <w14:schemeClr w14:val="tx1"/>
            </w14:solidFill>
          </w14:textFill>
        </w:rPr>
        <w:t>穿透污染：</w:t>
      </w:r>
      <w:r>
        <w:rPr>
          <w:rFonts w:hint="eastAsia" w:ascii="Times New Roman" w:hAnsi="Times New Roman" w:eastAsia="宋体" w:cs="Times New Roman"/>
          <w:color w:val="000000" w:themeColor="text1"/>
          <w:spacing w:val="0"/>
          <w:kern w:val="0"/>
          <w:sz w:val="24"/>
          <w:szCs w:val="21"/>
          <w:highlight w:val="none"/>
          <w:lang w:val="en-US" w:eastAsia="zh-CN"/>
          <w14:textFill>
            <w14:solidFill>
              <w14:schemeClr w14:val="tx1"/>
            </w14:solidFill>
          </w14:textFill>
        </w:rPr>
        <w:t>本工程</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eastAsia="宋体" w:cs="Times New Roman"/>
          <w:color w:val="000000" w:themeColor="text1"/>
          <w:spacing w:val="0"/>
          <w:kern w:val="0"/>
          <w:sz w:val="24"/>
          <w:szCs w:val="21"/>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pacing w:val="0"/>
          <w:kern w:val="0"/>
          <w:sz w:val="24"/>
          <w:szCs w:val="21"/>
          <w:highlight w:val="none"/>
          <w:lang w:val="en-US" w:eastAsia="zh-CN"/>
          <w14:textFill>
            <w14:solidFill>
              <w14:schemeClr w14:val="tx1"/>
            </w14:solidFill>
          </w14:textFill>
        </w:rPr>
        <w:t>采气</w:t>
      </w:r>
      <w:r>
        <w:rPr>
          <w:rFonts w:hint="default" w:ascii="Times New Roman" w:hAnsi="Times New Roman" w:eastAsia="宋体" w:cs="Times New Roman"/>
          <w:color w:val="000000" w:themeColor="text1"/>
          <w:spacing w:val="0"/>
          <w:kern w:val="0"/>
          <w:sz w:val="24"/>
          <w:szCs w:val="21"/>
          <w:highlight w:val="none"/>
          <w:lang w:val="en-US" w:eastAsia="zh-CN"/>
          <w14:textFill>
            <w14:solidFill>
              <w14:schemeClr w14:val="tx1"/>
            </w14:solidFill>
          </w14:textFill>
        </w:rPr>
        <w:t>过程中，</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污染物沿着裂隙或孔隙直接到达含水层从而污染地下水的方式称为穿透污染</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窜层</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。以该种方式污染地下水的主要是固井</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效果差或套管破损、</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井壁</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侧漏等导致生产</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过程中</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发生</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套外返水，采出液在水头压力差的作用下，可能直接进入含水层，发生油水窜层，并在含水层中扩散迁移，污染地下水。由废弃井、套管被腐蚀破坏而污染到地下水的现象，在前期不会发生，待</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油田</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开发到中后期时，废弃井、套管被腐蚀破坏，才可能会对地下水有影响：废弃井在长期闲置过程中，在地下各种复合作用下，固井水泥被腐蚀，套管被腐蚀穿孔，加上只封死井口，油气物质失去了释放通道，会通过</w:t>
      </w:r>
      <w:bookmarkStart w:id="986" w:name="OLE_LINK1331"/>
      <w:r>
        <w:rPr>
          <w:rFonts w:hint="eastAsia" w:cs="Times New Roman"/>
          <w:color w:val="000000" w:themeColor="text1"/>
          <w:spacing w:val="0"/>
          <w:kern w:val="2"/>
          <w:sz w:val="24"/>
          <w:szCs w:val="20"/>
          <w:highlight w:val="none"/>
          <w:lang w:eastAsia="zh-CN"/>
          <w14:textFill>
            <w14:solidFill>
              <w14:schemeClr w14:val="tx1"/>
            </w14:solidFill>
          </w14:textFill>
        </w:rPr>
        <w:t>径流</w:t>
      </w:r>
      <w:bookmarkEnd w:id="986"/>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进入潜水含水层，参与地下水循环。虽然此时油层几乎没有多少压力，凝析油不大可能</w:t>
      </w:r>
      <w:r>
        <w:rPr>
          <w:rFonts w:hint="eastAsia" w:cs="Times New Roman"/>
          <w:color w:val="000000" w:themeColor="text1"/>
          <w:spacing w:val="0"/>
          <w:kern w:val="2"/>
          <w:sz w:val="24"/>
          <w:szCs w:val="20"/>
          <w:highlight w:val="none"/>
          <w:lang w:eastAsia="zh-CN"/>
          <w14:textFill>
            <w14:solidFill>
              <w14:schemeClr w14:val="tx1"/>
            </w14:solidFill>
          </w14:textFill>
        </w:rPr>
        <w:t>进入</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含水层污染地下水，但这一现象仍应引起重视。</w:t>
      </w:r>
    </w:p>
    <w:p w14:paraId="31A03836">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渗透污染：</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地面及包气带污染物沿着松散的孔隙下渗至含水层致使地下水污染的方式称渗透污染。</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可能产生的渗透污染主要是井喷、管线</w:t>
      </w:r>
      <w:r>
        <w:rPr>
          <w:rFonts w:hint="eastAsia" w:cs="Times New Roman"/>
          <w:color w:val="000000" w:themeColor="text1"/>
          <w:spacing w:val="0"/>
          <w:kern w:val="2"/>
          <w:sz w:val="24"/>
          <w:szCs w:val="20"/>
          <w:highlight w:val="none"/>
          <w:lang w:eastAsia="zh-CN"/>
          <w14:textFill>
            <w14:solidFill>
              <w14:schemeClr w14:val="tx1"/>
            </w14:solidFill>
          </w14:textFill>
        </w:rPr>
        <w:t>泄漏</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落地油渗漏等，都是通过包气带渗透到潜水含水层而污染地下水的。包气带厚度愈薄，透水性愈好，就愈造成潜水污染，反之，包气带愈厚、透水性愈差，则其隔污能力就愈强，则潜水污染就愈轻。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通常泄漏事故对地下水环境的影响程度主要取决于凝析油的物理性质、泄漏方式、多孔介质特征及地下水位埋深等多种因素。由于管线泄漏事故为短期大量排放，污染物的泄漏以地表扩展为主，一般能及时发现，并可很快加以控制，石油烃等污染物在其中迁移的阻滞作用较强，迁移及衰减速度较慢，其影响范围不大，对地下水环境一般不易产生不利影响。</w:t>
      </w:r>
    </w:p>
    <w:p w14:paraId="368E9320">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污染物进入地下后，污染物向地下水系统的迁移途径为：</w:t>
      </w:r>
    </w:p>
    <w:p w14:paraId="22AF668C">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入渗污染物→表土层→包气带→含水层→迁移</w:t>
      </w:r>
    </w:p>
    <w:p w14:paraId="01EB1D33">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为了评价污染物入渗对评价区内地下水水质的影响，故本次地下水环境影响预测采用解析法，针对石油类污染物进入含水层后的运移进行重点预测、评价。</w:t>
      </w:r>
    </w:p>
    <w:p w14:paraId="78344C7D">
      <w:pPr>
        <w:widowControl w:val="0"/>
        <w:numPr>
          <w:ilvl w:val="0"/>
          <w:numId w:val="0"/>
        </w:numPr>
        <w:adjustRightInd/>
        <w:snapToGrid/>
        <w:spacing w:line="360" w:lineRule="auto"/>
        <w:ind w:leftChars="200"/>
        <w:jc w:val="both"/>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结合上述分析，本次评价对非正常状况下的预测情景设置及预测内容如下：</w:t>
      </w:r>
    </w:p>
    <w:p w14:paraId="0FCE7EC0">
      <w:pPr>
        <w:widowControl w:val="0"/>
        <w:adjustRightInd/>
        <w:snapToGrid/>
        <w:spacing w:line="360" w:lineRule="auto"/>
        <w:ind w:firstLine="482" w:firstLineChars="200"/>
        <w:jc w:val="both"/>
        <w:rPr>
          <w:rFonts w:hint="default" w:ascii="Times New Roman" w:hAnsi="Times New Roman" w:eastAsia="宋体" w:cs="Times New Roman"/>
          <w:b/>
          <w:bCs/>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0"/>
          <w:highlight w:val="none"/>
          <w14:textFill>
            <w14:solidFill>
              <w14:schemeClr w14:val="tx1"/>
            </w14:solidFill>
          </w14:textFill>
        </w:rPr>
        <w:t>（1）情景1：穿透污染（窜层</w:t>
      </w:r>
      <w:r>
        <w:rPr>
          <w:rFonts w:hint="default" w:ascii="Times New Roman" w:hAnsi="Times New Roman" w:eastAsia="宋体" w:cs="Times New Roman"/>
          <w:b/>
          <w:bCs/>
          <w:color w:val="000000" w:themeColor="text1"/>
          <w:spacing w:val="0"/>
          <w:kern w:val="2"/>
          <w:sz w:val="24"/>
          <w:szCs w:val="20"/>
          <w:highlight w:val="none"/>
          <w:lang w:val="en-US" w:eastAsia="zh-CN"/>
          <w14:textFill>
            <w14:solidFill>
              <w14:schemeClr w14:val="tx1"/>
            </w14:solidFill>
          </w14:textFill>
        </w:rPr>
        <w:t>污染</w:t>
      </w:r>
      <w:r>
        <w:rPr>
          <w:rFonts w:hint="default" w:ascii="Times New Roman" w:hAnsi="Times New Roman" w:eastAsia="宋体" w:cs="Times New Roman"/>
          <w:b/>
          <w:bCs/>
          <w:color w:val="000000" w:themeColor="text1"/>
          <w:spacing w:val="0"/>
          <w:kern w:val="2"/>
          <w:sz w:val="24"/>
          <w:szCs w:val="20"/>
          <w:highlight w:val="none"/>
          <w14:textFill>
            <w14:solidFill>
              <w14:schemeClr w14:val="tx1"/>
            </w14:solidFill>
          </w14:textFill>
        </w:rPr>
        <w:t>）</w:t>
      </w:r>
    </w:p>
    <w:p w14:paraId="40297CB5">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①预测情景</w:t>
      </w:r>
    </w:p>
    <w:p w14:paraId="33CB8E0E">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本次地下水环境影响评价主要考虑最不利的极端情况下，油水窜层后对第四系含水层水质的影响，针对污染物进入第四系孔隙水含水层后的运移进行重点预测、评价</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考虑</w:t>
      </w:r>
      <w:r>
        <w:rPr>
          <w:rFonts w:hint="eastAsia"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采气</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时发生</w:t>
      </w:r>
      <w:r>
        <w:rPr>
          <w:rFonts w:hint="eastAsia" w:cs="Times New Roman"/>
          <w:color w:val="000000" w:themeColor="text1"/>
          <w:spacing w:val="0"/>
          <w:kern w:val="0"/>
          <w:sz w:val="24"/>
          <w:szCs w:val="24"/>
          <w:highlight w:val="none"/>
          <w:lang w:eastAsia="zh-CN"/>
          <w14:textFill>
            <w14:solidFill>
              <w14:schemeClr w14:val="tx1"/>
            </w14:solidFill>
          </w14:textFill>
        </w:rPr>
        <w:t>泄漏</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，污染物泄漏为连续排放，发生窜层后，</w:t>
      </w: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若未及时发现，</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工程区内的污染物通过</w:t>
      </w: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空隙</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径流至下游第四系含水层的水质。因此污染物在含水层中的迁移，可将预测情形概化为一维连续</w:t>
      </w:r>
      <w:r>
        <w:rPr>
          <w:rFonts w:hint="eastAsia" w:cs="Times New Roman"/>
          <w:color w:val="000000" w:themeColor="text1"/>
          <w:spacing w:val="0"/>
          <w:kern w:val="0"/>
          <w:sz w:val="24"/>
          <w:szCs w:val="24"/>
          <w:highlight w:val="none"/>
          <w:lang w:eastAsia="zh-CN"/>
          <w14:textFill>
            <w14:solidFill>
              <w14:schemeClr w14:val="tx1"/>
            </w14:solidFill>
          </w14:textFill>
        </w:rPr>
        <w:t>泄漏点源</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的水动力弥散问题。</w:t>
      </w:r>
    </w:p>
    <w:p w14:paraId="3C7B12BB">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②预测方法</w:t>
      </w:r>
    </w:p>
    <w:p w14:paraId="6E309456">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按照《</w:t>
      </w:r>
      <w:bookmarkStart w:id="987" w:name="OLE_LINK1486"/>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环境影响评价技术导则</w:t>
      </w:r>
      <w:r>
        <w:rPr>
          <w:rFonts w:hint="eastAsia" w:cs="Times New Roman"/>
          <w:color w:val="000000" w:themeColor="text1"/>
          <w:spacing w:val="0"/>
          <w:kern w:val="2"/>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地下水环境</w:t>
      </w:r>
      <w:bookmarkEnd w:id="987"/>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HJ610-2016</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评价区水文地质条件较简单、评价区内含水层的基本参数变化很小、污染物的排放对地下水流场没有明显的影响，本报告采用解析法对地下水环境影响进行预测。</w:t>
      </w:r>
    </w:p>
    <w:p w14:paraId="5D4C7A0A">
      <w:pPr>
        <w:pStyle w:val="131"/>
        <w:bidi w:val="0"/>
        <w:spacing w:line="360" w:lineRule="auto"/>
        <w:ind w:firstLine="480"/>
        <w:rPr>
          <w:rFonts w:hint="eastAsia"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t>③预测范围及时间</w:t>
      </w:r>
    </w:p>
    <w:p w14:paraId="73655803">
      <w:pPr>
        <w:pStyle w:val="131"/>
        <w:bidi w:val="0"/>
        <w:spacing w:line="360" w:lineRule="auto"/>
        <w:ind w:firstLine="480"/>
        <w:rPr>
          <w:rFonts w:hint="eastAsia"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t>本次影响预测范围与调查评价范围一致，预测层位为第四系含水层。</w:t>
      </w:r>
    </w:p>
    <w:p w14:paraId="68CA1BAE">
      <w:pPr>
        <w:spacing w:line="360" w:lineRule="auto"/>
        <w:ind w:firstLine="480" w:firstLineChars="200"/>
        <w:rPr>
          <w:rFonts w:hint="default"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pPr>
      <w:r>
        <w:rPr>
          <w:rFonts w:hint="eastAsia"/>
          <w:color w:val="000000" w:themeColor="text1"/>
          <w:sz w:val="24"/>
          <w:szCs w:val="22"/>
          <w:highlight w:val="none"/>
          <w14:textFill>
            <w14:solidFill>
              <w14:schemeClr w14:val="tx1"/>
            </w14:solidFill>
          </w14:textFill>
        </w:rPr>
        <w:t>根据</w:t>
      </w:r>
      <w:r>
        <w:rPr>
          <w:rFonts w:hint="eastAsia"/>
          <w:color w:val="000000" w:themeColor="text1"/>
          <w:sz w:val="24"/>
          <w:szCs w:val="22"/>
          <w:highlight w:val="none"/>
          <w:lang w:val="en-US" w:eastAsia="zh-CN"/>
          <w14:textFill>
            <w14:solidFill>
              <w14:schemeClr w14:val="tx1"/>
            </w14:solidFill>
          </w14:textFill>
        </w:rPr>
        <w:t>本工程</w:t>
      </w:r>
      <w:r>
        <w:rPr>
          <w:rFonts w:hint="eastAsia"/>
          <w:color w:val="000000" w:themeColor="text1"/>
          <w:sz w:val="24"/>
          <w:szCs w:val="22"/>
          <w:highlight w:val="none"/>
          <w14:textFill>
            <w14:solidFill>
              <w14:schemeClr w14:val="tx1"/>
            </w14:solidFill>
          </w14:textFill>
        </w:rPr>
        <w:t>特点，预测时段</w:t>
      </w:r>
      <w:r>
        <w:rPr>
          <w:rFonts w:hint="eastAsia"/>
          <w:color w:val="000000" w:themeColor="text1"/>
          <w:sz w:val="24"/>
          <w:szCs w:val="22"/>
          <w:highlight w:val="none"/>
          <w:lang w:val="en-US" w:eastAsia="zh-CN"/>
          <w14:textFill>
            <w14:solidFill>
              <w14:schemeClr w14:val="tx1"/>
            </w14:solidFill>
          </w14:textFill>
        </w:rPr>
        <w:t>选取</w:t>
      </w:r>
      <w:r>
        <w:rPr>
          <w:rFonts w:hint="eastAsia"/>
          <w:color w:val="000000" w:themeColor="text1"/>
          <w:sz w:val="24"/>
          <w:szCs w:val="22"/>
          <w:highlight w:val="none"/>
          <w14:textFill>
            <w14:solidFill>
              <w14:schemeClr w14:val="tx1"/>
            </w14:solidFill>
          </w14:textFill>
        </w:rPr>
        <w:t>污染发生后</w:t>
      </w:r>
      <w:r>
        <w:rPr>
          <w:rFonts w:hint="eastAsia"/>
          <w:color w:val="000000" w:themeColor="text1"/>
          <w:sz w:val="24"/>
          <w:szCs w:val="22"/>
          <w:highlight w:val="none"/>
          <w:lang w:val="en-US" w:eastAsia="zh-CN"/>
          <w14:textFill>
            <w14:solidFill>
              <w14:schemeClr w14:val="tx1"/>
            </w14:solidFill>
          </w14:textFill>
        </w:rPr>
        <w:t>1d、</w:t>
      </w:r>
      <w:r>
        <w:rPr>
          <w:color w:val="000000" w:themeColor="text1"/>
          <w:sz w:val="24"/>
          <w:szCs w:val="22"/>
          <w:highlight w:val="none"/>
          <w14:textFill>
            <w14:solidFill>
              <w14:schemeClr w14:val="tx1"/>
            </w14:solidFill>
          </w14:textFill>
        </w:rPr>
        <w:t>100d</w:t>
      </w:r>
      <w:r>
        <w:rPr>
          <w:rFonts w:hint="eastAsia"/>
          <w:color w:val="000000" w:themeColor="text1"/>
          <w:sz w:val="24"/>
          <w:szCs w:val="22"/>
          <w:highlight w:val="none"/>
          <w14:textFill>
            <w14:solidFill>
              <w14:schemeClr w14:val="tx1"/>
            </w14:solidFill>
          </w14:textFill>
        </w:rPr>
        <w:t>、</w:t>
      </w:r>
      <w:r>
        <w:rPr>
          <w:color w:val="000000" w:themeColor="text1"/>
          <w:sz w:val="24"/>
          <w:szCs w:val="22"/>
          <w:highlight w:val="none"/>
          <w14:textFill>
            <w14:solidFill>
              <w14:schemeClr w14:val="tx1"/>
            </w14:solidFill>
          </w14:textFill>
        </w:rPr>
        <w:t>1000d</w:t>
      </w:r>
      <w:r>
        <w:rPr>
          <w:rFonts w:hint="eastAsia"/>
          <w:color w:val="000000" w:themeColor="text1"/>
          <w:sz w:val="24"/>
          <w:szCs w:val="22"/>
          <w:highlight w:val="none"/>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1825</w:t>
      </w:r>
      <w:r>
        <w:rPr>
          <w:rFonts w:hint="eastAsia"/>
          <w:color w:val="000000" w:themeColor="text1"/>
          <w:sz w:val="24"/>
          <w:szCs w:val="22"/>
          <w:highlight w:val="none"/>
          <w14:textFill>
            <w14:solidFill>
              <w14:schemeClr w14:val="tx1"/>
            </w14:solidFill>
          </w14:textFill>
        </w:rPr>
        <w:t>d</w:t>
      </w:r>
      <w:r>
        <w:rPr>
          <w:rFonts w:hint="eastAsia"/>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5年</w:t>
      </w:r>
      <w:r>
        <w:rPr>
          <w:rFonts w:hint="eastAsia"/>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14:textFill>
            <w14:solidFill>
              <w14:schemeClr w14:val="tx1"/>
            </w14:solidFill>
          </w14:textFill>
        </w:rPr>
        <w:t>。</w:t>
      </w:r>
    </w:p>
    <w:p w14:paraId="7950255F">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预测因子</w:t>
      </w:r>
    </w:p>
    <w:p w14:paraId="5259E2EE">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套管发生泄漏，污染物主要有石油类</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耗氧量、氨氮、盐分</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等污染物。根据《环境影响评价技术导则</w:t>
      </w:r>
      <w:r>
        <w:rPr>
          <w:rFonts w:hint="eastAsia" w:cs="Times New Roman"/>
          <w:color w:val="000000" w:themeColor="text1"/>
          <w:spacing w:val="0"/>
          <w:kern w:val="2"/>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地下水环境》（HJ610-2016）中情景设置预测因子相关要求，对每一类别中的各项因子采取标准指数法进行排序，分别取标准指数较大的因子作为预测因子。根据</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采出液</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污染物特征，本次选取石油类作为预测特征因子。</w:t>
      </w:r>
    </w:p>
    <w:p w14:paraId="1E2E61CD">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预测模型</w:t>
      </w:r>
    </w:p>
    <w:p w14:paraId="69AA9D19">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本次地下水污染模拟仅考虑污染物随地下水发生对流、弥散作用，对污染物与液体介质</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、固体介质</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包气带介质和地下水含水介质</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等的化学反应</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如酸碱反应、氧化还原反应、吸附、交换、挥发及生物化学反应</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等可能存在的环境消减因素做保守考虑。这样选择的理由是：</w:t>
      </w:r>
    </w:p>
    <w:p w14:paraId="2C6EEB3D">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1）对于长期持续的污染事件，环境自净作用属于次要因素，而水体的对流、弥散作用是污染物</w:t>
      </w:r>
      <w:bookmarkStart w:id="988" w:name="OLE_LINK1332"/>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运移</w:t>
      </w:r>
      <w:bookmarkEnd w:id="988"/>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的主要因素。</w:t>
      </w:r>
    </w:p>
    <w:p w14:paraId="30DBDB04">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2）污染物在地下水中的反应运移非常复杂，物理、化学、微生物等环境自净作用往往会使污染浓度衰减。忽略这些环境自净因素可以模拟出污染的最大</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或潜在</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影响范围，符合保守性评价原则。</w:t>
      </w:r>
    </w:p>
    <w:p w14:paraId="558D9249">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3）对这些化学、生物化学作用进行精确模拟还属于国际性难题，一些模拟参数还存在很大争议，精确的模拟还需要大量的实验支持。</w:t>
      </w:r>
    </w:p>
    <w:p w14:paraId="6FC10E0C">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4）在国际上有很多用保守型污染物作为模拟因子的环境质量评价的实例，保守型考虑符合环境评价的思想。</w:t>
      </w:r>
    </w:p>
    <w:p w14:paraId="09172E47">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污染物在含水层中的迁移，特别是</w:t>
      </w:r>
      <w:r>
        <w:rPr>
          <w:rFonts w:hint="eastAsia" w:cs="Times New Roman"/>
          <w:color w:val="000000" w:themeColor="text1"/>
          <w:spacing w:val="0"/>
          <w:kern w:val="2"/>
          <w:sz w:val="24"/>
          <w:szCs w:val="20"/>
          <w:highlight w:val="none"/>
          <w:lang w:eastAsia="zh-CN"/>
          <w14:textFill>
            <w14:solidFill>
              <w14:schemeClr w14:val="tx1"/>
            </w14:solidFill>
          </w14:textFill>
        </w:rPr>
        <w:t>泄漏</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点的连续泄漏，造成的水环境污染会更加严重。本次按照《环境影响评价技术导则 地下水环境》（HJ610-2016）附录D中一维无限长多孔介质柱体，一端为定浓度边界预测模型进行预测，计算公式如下：</w:t>
      </w:r>
    </w:p>
    <w:p w14:paraId="0EF6F477">
      <w:pPr>
        <w:widowControl w:val="0"/>
        <w:adjustRightInd/>
        <w:snapToGrid/>
        <w:spacing w:line="360" w:lineRule="auto"/>
        <w:ind w:firstLine="480" w:firstLineChars="200"/>
        <w:jc w:val="cente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drawing>
          <wp:inline distT="0" distB="0" distL="114300" distR="114300">
            <wp:extent cx="2966085" cy="588645"/>
            <wp:effectExtent l="0" t="0" r="5715"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6"/>
                    <a:stretch>
                      <a:fillRect/>
                    </a:stretch>
                  </pic:blipFill>
                  <pic:spPr>
                    <a:xfrm>
                      <a:off x="0" y="0"/>
                      <a:ext cx="2966085" cy="588645"/>
                    </a:xfrm>
                    <a:prstGeom prst="rect">
                      <a:avLst/>
                    </a:prstGeom>
                    <a:noFill/>
                    <a:ln>
                      <a:noFill/>
                    </a:ln>
                  </pic:spPr>
                </pic:pic>
              </a:graphicData>
            </a:graphic>
          </wp:inline>
        </w:drawing>
      </w:r>
    </w:p>
    <w:p w14:paraId="19A11389">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以上式中：</w:t>
      </w: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x</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距注入点的距离，m；</w:t>
      </w:r>
    </w:p>
    <w:p w14:paraId="6053C546">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时间，d；</w:t>
      </w:r>
    </w:p>
    <w:p w14:paraId="75D508D2">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C（x，t）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时刻</w:t>
      </w: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x</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处的示踪剂浓度，g/l；</w:t>
      </w:r>
    </w:p>
    <w:p w14:paraId="643AA5C3">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C</w:t>
      </w:r>
      <w:r>
        <w:rPr>
          <w:rFonts w:hint="default" w:ascii="Times New Roman" w:hAnsi="Times New Roman" w:eastAsia="宋体" w:cs="Times New Roman"/>
          <w:i/>
          <w:color w:val="000000" w:themeColor="text1"/>
          <w:spacing w:val="0"/>
          <w:kern w:val="2"/>
          <w:sz w:val="24"/>
          <w:szCs w:val="20"/>
          <w:highlight w:val="none"/>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注入的示踪剂浓度，g/l；</w:t>
      </w:r>
    </w:p>
    <w:p w14:paraId="727C4065">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u</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水流速度，m/d；</w:t>
      </w:r>
    </w:p>
    <w:p w14:paraId="1980B4FA">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n</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 xml:space="preserve">有效孔隙度，无量纲； </w:t>
      </w:r>
    </w:p>
    <w:p w14:paraId="4A35F19E">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D</w:t>
      </w:r>
      <w:r>
        <w:rPr>
          <w:rFonts w:hint="default" w:ascii="Times New Roman" w:hAnsi="Times New Roman" w:eastAsia="宋体" w:cs="Times New Roman"/>
          <w:i/>
          <w:color w:val="000000" w:themeColor="text1"/>
          <w:spacing w:val="0"/>
          <w:kern w:val="2"/>
          <w:sz w:val="24"/>
          <w:szCs w:val="20"/>
          <w:highlight w:val="none"/>
          <w:vertAlign w:val="subscript"/>
          <w14:textFill>
            <w14:solidFill>
              <w14:schemeClr w14:val="tx1"/>
            </w14:solidFill>
          </w14:textFill>
        </w:rPr>
        <w:t>L</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纵向弥散系数，m</w:t>
      </w:r>
      <w:r>
        <w:rPr>
          <w:rFonts w:hint="default" w:ascii="Times New Roman" w:hAnsi="Times New Roman" w:eastAsia="宋体" w:cs="Times New Roman"/>
          <w:color w:val="000000" w:themeColor="text1"/>
          <w:spacing w:val="0"/>
          <w:kern w:val="2"/>
          <w:sz w:val="24"/>
          <w:szCs w:val="20"/>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/d；</w:t>
      </w:r>
    </w:p>
    <w:p w14:paraId="26FBB3EF">
      <w:pPr>
        <w:widowControl w:val="0"/>
        <w:adjustRightInd/>
        <w:snapToGrid/>
        <w:spacing w:line="360" w:lineRule="auto"/>
        <w:ind w:firstLine="1680" w:firstLineChars="7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i/>
          <w:color w:val="000000" w:themeColor="text1"/>
          <w:spacing w:val="0"/>
          <w:kern w:val="2"/>
          <w:sz w:val="24"/>
          <w:szCs w:val="20"/>
          <w:highlight w:val="none"/>
          <w14:textFill>
            <w14:solidFill>
              <w14:schemeClr w14:val="tx1"/>
            </w14:solidFill>
          </w14:textFill>
        </w:rPr>
        <w:t>erf</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c</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 xml:space="preserve">  </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余误差函数。</w:t>
      </w:r>
    </w:p>
    <w:p w14:paraId="715D77FF">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预测参数</w:t>
      </w:r>
    </w:p>
    <w:p w14:paraId="553A88A7">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根据区域水文地质条件，评价区内第四系含水层岩性主要为砂。本次评价水文地质参数主要通过</w:t>
      </w:r>
      <w:r>
        <w:rPr>
          <w:rFonts w:hint="default" w:ascii="Times New Roman" w:hAnsi="Times New Roman" w:cs="Times New Roman"/>
          <w:color w:val="000000" w:themeColor="text1"/>
          <w:spacing w:val="0"/>
          <w:kern w:val="2"/>
          <w:sz w:val="24"/>
          <w:szCs w:val="20"/>
          <w:highlight w:val="none"/>
          <w:lang w:val="en-US" w:eastAsia="zh-CN"/>
          <w14:textFill>
            <w14:solidFill>
              <w14:schemeClr w14:val="tx1"/>
            </w14:solidFill>
          </w14:textFill>
        </w:rPr>
        <w:t>区域的水文地质</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勘察资料确定。模型中所需参数及来源见表</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5.2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p>
    <w:p w14:paraId="4D200F83">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5.2-1   </w:t>
      </w: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水质预测模型所需参数一览表</w:t>
      </w:r>
      <w:r>
        <w:rPr>
          <w:rFonts w:hint="default" w:ascii="Times New Roman" w:hAnsi="Times New Roman" w:eastAsia="宋体" w:cs="Times New Roman"/>
          <w:b/>
          <w:bCs w:val="0"/>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情景1）</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64"/>
        <w:gridCol w:w="1351"/>
        <w:gridCol w:w="950"/>
        <w:gridCol w:w="5072"/>
      </w:tblGrid>
      <w:tr w14:paraId="49C3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14:paraId="2BEBC4B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序号</w:t>
            </w:r>
          </w:p>
        </w:tc>
        <w:tc>
          <w:tcPr>
            <w:tcW w:w="664" w:type="dxa"/>
            <w:tcBorders>
              <w:tl2br w:val="nil"/>
              <w:tr2bl w:val="nil"/>
            </w:tcBorders>
            <w:vAlign w:val="center"/>
          </w:tcPr>
          <w:p w14:paraId="43EA1AD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参数符号</w:t>
            </w:r>
          </w:p>
        </w:tc>
        <w:tc>
          <w:tcPr>
            <w:tcW w:w="1351" w:type="dxa"/>
            <w:tcBorders>
              <w:tl2br w:val="nil"/>
              <w:tr2bl w:val="nil"/>
            </w:tcBorders>
            <w:vAlign w:val="center"/>
          </w:tcPr>
          <w:p w14:paraId="339EDCA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参数名称</w:t>
            </w:r>
          </w:p>
        </w:tc>
        <w:tc>
          <w:tcPr>
            <w:tcW w:w="950" w:type="dxa"/>
            <w:tcBorders>
              <w:tl2br w:val="nil"/>
              <w:tr2bl w:val="nil"/>
            </w:tcBorders>
            <w:vAlign w:val="center"/>
          </w:tcPr>
          <w:p w14:paraId="576F79F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参数</w:t>
            </w:r>
          </w:p>
          <w:p w14:paraId="18EA841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数值</w:t>
            </w:r>
          </w:p>
        </w:tc>
        <w:tc>
          <w:tcPr>
            <w:tcW w:w="5072" w:type="dxa"/>
            <w:tcBorders>
              <w:tl2br w:val="nil"/>
              <w:tr2bl w:val="nil"/>
            </w:tcBorders>
            <w:vAlign w:val="center"/>
          </w:tcPr>
          <w:p w14:paraId="68F203A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数值来源</w:t>
            </w:r>
          </w:p>
        </w:tc>
      </w:tr>
      <w:tr w14:paraId="6576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14:paraId="1EFD327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w:t>
            </w:r>
          </w:p>
        </w:tc>
        <w:tc>
          <w:tcPr>
            <w:tcW w:w="664" w:type="dxa"/>
            <w:tcBorders>
              <w:tl2br w:val="nil"/>
              <w:tr2bl w:val="nil"/>
            </w:tcBorders>
            <w:vAlign w:val="center"/>
          </w:tcPr>
          <w:p w14:paraId="6F849B6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t>u</w:t>
            </w:r>
          </w:p>
        </w:tc>
        <w:tc>
          <w:tcPr>
            <w:tcW w:w="1351" w:type="dxa"/>
            <w:tcBorders>
              <w:tl2br w:val="nil"/>
              <w:tr2bl w:val="nil"/>
            </w:tcBorders>
            <w:vAlign w:val="center"/>
          </w:tcPr>
          <w:p w14:paraId="068DB43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水流速度</w:t>
            </w:r>
          </w:p>
        </w:tc>
        <w:tc>
          <w:tcPr>
            <w:tcW w:w="950" w:type="dxa"/>
            <w:tcBorders>
              <w:tl2br w:val="nil"/>
              <w:tr2bl w:val="nil"/>
            </w:tcBorders>
            <w:vAlign w:val="center"/>
          </w:tcPr>
          <w:p w14:paraId="09E042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0.</w:t>
            </w:r>
            <w:r>
              <w:rPr>
                <w:rFonts w:hint="default" w:ascii="Times New Roman" w:hAnsi="Times New Roman" w:cs="Times New Roman"/>
                <w:color w:val="000000" w:themeColor="text1"/>
                <w:sz w:val="21"/>
                <w:szCs w:val="21"/>
                <w:highlight w:val="none"/>
                <w:lang w:val="en-US" w:bidi="zh-CN"/>
                <w14:textFill>
                  <w14:solidFill>
                    <w14:schemeClr w14:val="tx1"/>
                  </w14:solidFill>
                </w14:textFill>
              </w:rPr>
              <w:t>11</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m/d</w:t>
            </w:r>
          </w:p>
        </w:tc>
        <w:tc>
          <w:tcPr>
            <w:tcW w:w="5072" w:type="dxa"/>
            <w:tcBorders>
              <w:tl2br w:val="nil"/>
              <w:tr2bl w:val="nil"/>
            </w:tcBorders>
            <w:vAlign w:val="center"/>
          </w:tcPr>
          <w:p w14:paraId="525B5B9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地下水的平均实际流速u=KI/n，</w:t>
            </w:r>
            <w:r>
              <w:rPr>
                <w:rFonts w:hint="default" w:ascii="Times New Roman" w:hAnsi="Times New Roman" w:cs="Times New Roman"/>
                <w:bCs/>
                <w:color w:val="000000" w:themeColor="text1"/>
                <w:kern w:val="0"/>
                <w:sz w:val="21"/>
                <w:szCs w:val="21"/>
                <w:highlight w:val="none"/>
                <w14:textFill>
                  <w14:solidFill>
                    <w14:schemeClr w14:val="tx1"/>
                  </w14:solidFill>
                </w14:textFill>
              </w:rPr>
              <w:t>根据评价区水文地质条件，含水层岩性主要以砂为主，</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各含水层</w:t>
            </w:r>
            <w:r>
              <w:rPr>
                <w:rFonts w:hint="default" w:ascii="Times New Roman" w:hAnsi="Times New Roman" w:cs="Times New Roman"/>
                <w:bCs/>
                <w:color w:val="000000" w:themeColor="text1"/>
                <w:kern w:val="0"/>
                <w:sz w:val="21"/>
                <w:szCs w:val="21"/>
                <w:highlight w:val="none"/>
                <w14:textFill>
                  <w14:solidFill>
                    <w14:schemeClr w14:val="tx1"/>
                  </w14:solidFill>
                </w14:textFill>
              </w:rPr>
              <w:t>渗透系数</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最大者为</w:t>
            </w:r>
            <w:r>
              <w:rPr>
                <w:rFonts w:hint="eastAsia" w:cs="Times New Roman"/>
                <w:bCs/>
                <w:color w:val="000000" w:themeColor="text1"/>
                <w:kern w:val="0"/>
                <w:sz w:val="21"/>
                <w:szCs w:val="21"/>
                <w:highlight w:val="none"/>
                <w:lang w:val="en-US" w:eastAsia="zh-CN"/>
                <w14:textFill>
                  <w14:solidFill>
                    <w14:schemeClr w14:val="tx1"/>
                  </w14:solidFill>
                </w14:textFill>
              </w:rPr>
              <w:t>星火7斜井</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处潜水含水层，渗透系数取25</w:t>
            </w:r>
            <w:r>
              <w:rPr>
                <w:rFonts w:hint="default" w:ascii="Times New Roman" w:hAnsi="Times New Roman" w:cs="Times New Roman"/>
                <w:bCs/>
                <w:color w:val="000000" w:themeColor="text1"/>
                <w:kern w:val="0"/>
                <w:sz w:val="21"/>
                <w:szCs w:val="21"/>
                <w:highlight w:val="none"/>
                <w14:textFill>
                  <w14:solidFill>
                    <w14:schemeClr w14:val="tx1"/>
                  </w14:solidFill>
                </w14:textFill>
              </w:rPr>
              <w:t>m/d</w:t>
            </w: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水力坡度取1.4‰</w:t>
            </w:r>
            <w:r>
              <w:rPr>
                <w:rFonts w:hint="default" w:ascii="Times New Roman" w:hAnsi="Times New Roman" w:cs="Times New Roman"/>
                <w:bCs/>
                <w:color w:val="000000" w:themeColor="text1"/>
                <w:sz w:val="21"/>
                <w:szCs w:val="21"/>
                <w:highlight w:val="none"/>
                <w14:textFill>
                  <w14:solidFill>
                    <w14:schemeClr w14:val="tx1"/>
                  </w14:solidFill>
                </w14:textFill>
              </w:rPr>
              <w:t>。</w:t>
            </w:r>
          </w:p>
        </w:tc>
      </w:tr>
      <w:tr w14:paraId="4666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dxa"/>
            <w:tcBorders>
              <w:tl2br w:val="nil"/>
              <w:tr2bl w:val="nil"/>
            </w:tcBorders>
            <w:vAlign w:val="center"/>
          </w:tcPr>
          <w:p w14:paraId="2798CA4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w:t>
            </w:r>
          </w:p>
        </w:tc>
        <w:tc>
          <w:tcPr>
            <w:tcW w:w="664" w:type="dxa"/>
            <w:tcBorders>
              <w:tl2br w:val="nil"/>
              <w:tr2bl w:val="nil"/>
            </w:tcBorders>
            <w:vAlign w:val="center"/>
          </w:tcPr>
          <w:p w14:paraId="423688C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t>D</w:t>
            </w:r>
            <w:r>
              <w:rPr>
                <w:rFonts w:hint="default" w:ascii="Times New Roman" w:hAnsi="Times New Roman" w:eastAsia="宋体" w:cs="Times New Roman"/>
                <w:i/>
                <w:iCs/>
                <w:color w:val="000000" w:themeColor="text1"/>
                <w:kern w:val="0"/>
                <w:sz w:val="21"/>
                <w:szCs w:val="21"/>
                <w:highlight w:val="none"/>
                <w:vertAlign w:val="subscript"/>
                <w:lang w:val="en-US" w:eastAsia="zh-CN" w:bidi="ar-SA"/>
                <w14:textFill>
                  <w14:solidFill>
                    <w14:schemeClr w14:val="tx1"/>
                  </w14:solidFill>
                </w14:textFill>
              </w:rPr>
              <w:t>L</w:t>
            </w:r>
          </w:p>
        </w:tc>
        <w:tc>
          <w:tcPr>
            <w:tcW w:w="1351" w:type="dxa"/>
            <w:tcBorders>
              <w:tl2br w:val="nil"/>
              <w:tr2bl w:val="nil"/>
            </w:tcBorders>
            <w:vAlign w:val="center"/>
          </w:tcPr>
          <w:p w14:paraId="4514D06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纵向弥散系数</w:t>
            </w:r>
          </w:p>
        </w:tc>
        <w:tc>
          <w:tcPr>
            <w:tcW w:w="950" w:type="dxa"/>
            <w:tcBorders>
              <w:tl2br w:val="nil"/>
              <w:tr2bl w:val="nil"/>
            </w:tcBorders>
            <w:vAlign w:val="center"/>
          </w:tcPr>
          <w:p w14:paraId="40822B5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1.1</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zh-CN" w:bidi="zh-CN"/>
                <w14:textFill>
                  <w14:solidFill>
                    <w14:schemeClr w14:val="tx1"/>
                  </w14:solidFill>
                </w14:textFill>
              </w:rPr>
              <w:t>2</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p>
        </w:tc>
        <w:tc>
          <w:tcPr>
            <w:tcW w:w="5072" w:type="dxa"/>
            <w:tcBorders>
              <w:tl2br w:val="nil"/>
              <w:tr2bl w:val="nil"/>
            </w:tcBorders>
            <w:vAlign w:val="center"/>
          </w:tcPr>
          <w:p w14:paraId="2BFA142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r>
              <w:rPr>
                <w:rFonts w:hint="default" w:ascii="Times New Roman" w:hAnsi="Times New Roman" w:cs="Times New Roman"/>
                <w:color w:val="000000" w:themeColor="text1"/>
                <w:sz w:val="21"/>
                <w:szCs w:val="21"/>
                <w:highlight w:val="none"/>
                <w:vertAlign w:val="subscript"/>
                <w:lang w:val="zh-CN" w:bidi="zh-CN"/>
                <w14:textFill>
                  <w14:solidFill>
                    <w14:schemeClr w14:val="tx1"/>
                  </w14:solidFill>
                </w14:textFill>
              </w:rPr>
              <w:t>L</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=αLu，aL为纵向弥散度。参考前人的研究成果，结合项目区水文地质条件，弥散度应介于1～10之间，按照最不利的评价原则，本次模拟取弥散度参数值取10。</w:t>
            </w:r>
          </w:p>
        </w:tc>
      </w:tr>
      <w:tr w14:paraId="7833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14:paraId="5355CB0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w:t>
            </w:r>
          </w:p>
        </w:tc>
        <w:tc>
          <w:tcPr>
            <w:tcW w:w="664" w:type="dxa"/>
            <w:tcBorders>
              <w:tl2br w:val="nil"/>
              <w:tr2bl w:val="nil"/>
            </w:tcBorders>
            <w:vAlign w:val="center"/>
          </w:tcPr>
          <w:p w14:paraId="176CB0D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t>n</w:t>
            </w:r>
          </w:p>
        </w:tc>
        <w:tc>
          <w:tcPr>
            <w:tcW w:w="1351" w:type="dxa"/>
            <w:tcBorders>
              <w:tl2br w:val="nil"/>
              <w:tr2bl w:val="nil"/>
            </w:tcBorders>
            <w:vAlign w:val="center"/>
          </w:tcPr>
          <w:p w14:paraId="6594D73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有效孔隙度</w:t>
            </w:r>
          </w:p>
        </w:tc>
        <w:tc>
          <w:tcPr>
            <w:tcW w:w="950" w:type="dxa"/>
            <w:tcBorders>
              <w:tl2br w:val="nil"/>
              <w:tr2bl w:val="nil"/>
            </w:tcBorders>
            <w:vAlign w:val="center"/>
          </w:tcPr>
          <w:p w14:paraId="45565F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32%</w:t>
            </w:r>
          </w:p>
        </w:tc>
        <w:tc>
          <w:tcPr>
            <w:tcW w:w="5072" w:type="dxa"/>
            <w:tcBorders>
              <w:tl2br w:val="nil"/>
              <w:tr2bl w:val="nil"/>
            </w:tcBorders>
            <w:vAlign w:val="center"/>
          </w:tcPr>
          <w:p w14:paraId="2DA1ECE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依据《水文地质手册》（第二版），砂的孔隙度为0.4~0.42，而根据以往</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生产</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经验，有效孔隙度一般比孔隙度小10%～20%，因此本次取</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相对</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最小有效孔隙度n=0.4×0.8=0.32。</w:t>
            </w:r>
          </w:p>
        </w:tc>
      </w:tr>
      <w:tr w14:paraId="637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dxa"/>
            <w:tcBorders>
              <w:tl2br w:val="nil"/>
              <w:tr2bl w:val="nil"/>
            </w:tcBorders>
            <w:vAlign w:val="center"/>
          </w:tcPr>
          <w:p w14:paraId="69B3617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w:t>
            </w:r>
          </w:p>
        </w:tc>
        <w:tc>
          <w:tcPr>
            <w:tcW w:w="664" w:type="dxa"/>
            <w:tcBorders>
              <w:tl2br w:val="nil"/>
              <w:tr2bl w:val="nil"/>
            </w:tcBorders>
            <w:vAlign w:val="center"/>
          </w:tcPr>
          <w:p w14:paraId="6E84474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t>t</w:t>
            </w:r>
          </w:p>
        </w:tc>
        <w:tc>
          <w:tcPr>
            <w:tcW w:w="1351" w:type="dxa"/>
            <w:tcBorders>
              <w:tl2br w:val="nil"/>
              <w:tr2bl w:val="nil"/>
            </w:tcBorders>
            <w:vAlign w:val="center"/>
          </w:tcPr>
          <w:p w14:paraId="597E9D3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时间</w:t>
            </w:r>
          </w:p>
        </w:tc>
        <w:tc>
          <w:tcPr>
            <w:tcW w:w="6022" w:type="dxa"/>
            <w:gridSpan w:val="2"/>
            <w:tcBorders>
              <w:tl2br w:val="nil"/>
              <w:tr2bl w:val="nil"/>
            </w:tcBorders>
            <w:vAlign w:val="center"/>
          </w:tcPr>
          <w:p w14:paraId="263E76E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计算发生渗漏后</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1d、</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100d、10</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00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d、1825d（5a）后各预测点的浓度</w:t>
            </w:r>
          </w:p>
        </w:tc>
      </w:tr>
      <w:tr w14:paraId="55CA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14:paraId="4C27338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w:t>
            </w:r>
          </w:p>
        </w:tc>
        <w:tc>
          <w:tcPr>
            <w:tcW w:w="664" w:type="dxa"/>
            <w:tcBorders>
              <w:tl2br w:val="nil"/>
              <w:tr2bl w:val="nil"/>
            </w:tcBorders>
            <w:vAlign w:val="center"/>
          </w:tcPr>
          <w:p w14:paraId="3755D1C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i/>
                <w:iCs/>
                <w:color w:val="000000" w:themeColor="text1"/>
                <w:kern w:val="0"/>
                <w:sz w:val="21"/>
                <w:szCs w:val="21"/>
                <w:highlight w:val="none"/>
                <w:vertAlign w:val="subscript"/>
                <w:lang w:val="en-US" w:eastAsia="zh-CN" w:bidi="ar-SA"/>
                <w14:textFill>
                  <w14:solidFill>
                    <w14:schemeClr w14:val="tx1"/>
                  </w14:solidFill>
                </w14:textFill>
              </w:rPr>
              <w:t>0</w:t>
            </w:r>
          </w:p>
        </w:tc>
        <w:tc>
          <w:tcPr>
            <w:tcW w:w="1351" w:type="dxa"/>
            <w:tcBorders>
              <w:tl2br w:val="nil"/>
              <w:tr2bl w:val="nil"/>
            </w:tcBorders>
            <w:vAlign w:val="center"/>
          </w:tcPr>
          <w:p w14:paraId="02D4F62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污染物浓度</w:t>
            </w:r>
          </w:p>
        </w:tc>
        <w:tc>
          <w:tcPr>
            <w:tcW w:w="6022" w:type="dxa"/>
            <w:gridSpan w:val="2"/>
            <w:tcBorders>
              <w:tl2br w:val="nil"/>
              <w:tr2bl w:val="nil"/>
            </w:tcBorders>
            <w:vAlign w:val="center"/>
          </w:tcPr>
          <w:p w14:paraId="6410E4B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石油类如前文所述，取其溶解度18mg/L作为污染物进入含水层中的浓度。</w:t>
            </w:r>
          </w:p>
        </w:tc>
      </w:tr>
    </w:tbl>
    <w:p w14:paraId="230BBD8A">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⑦</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预测结果与分析</w:t>
      </w:r>
    </w:p>
    <w:p w14:paraId="6C6BCCCD">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将以上确定的参数代入模型，便可以求出不同时段，在预测情景下，</w:t>
      </w:r>
      <w:r>
        <w:rPr>
          <w:rFonts w:hint="default" w:ascii="Times New Roman" w:hAnsi="Times New Roman" w:cs="Times New Roman"/>
          <w:color w:val="000000" w:themeColor="text1"/>
          <w:spacing w:val="0"/>
          <w:kern w:val="2"/>
          <w:sz w:val="24"/>
          <w:szCs w:val="20"/>
          <w:highlight w:val="none"/>
          <w:lang w:eastAsia="zh-CN"/>
          <w14:textFill>
            <w14:solidFill>
              <w14:schemeClr w14:val="tx1"/>
            </w14:solidFill>
          </w14:textFill>
        </w:rPr>
        <w:t>泄漏</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了不同天数（</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1天、</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100天、1000天、</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1825</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天）时，污染物在含水层不同位置的浓度分布情况。具体见表5.2-</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、表5.2-</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，图</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5.2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p>
    <w:p w14:paraId="3733854C">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kern w:val="2"/>
          <w:sz w:val="21"/>
          <w:szCs w:val="21"/>
          <w:highlight w:val="none"/>
          <w:lang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 xml:space="preserve">   污染物在潜水含水层中的浓度迁移预测结果（情景1）</w:t>
      </w:r>
    </w:p>
    <w:tbl>
      <w:tblPr>
        <w:tblStyle w:val="37"/>
        <w:tblW w:w="0" w:type="auto"/>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7"/>
        <w:gridCol w:w="989"/>
        <w:gridCol w:w="1056"/>
        <w:gridCol w:w="989"/>
        <w:gridCol w:w="1056"/>
        <w:gridCol w:w="989"/>
        <w:gridCol w:w="1056"/>
        <w:gridCol w:w="989"/>
        <w:gridCol w:w="1056"/>
      </w:tblGrid>
      <w:tr w14:paraId="4308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BC946">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污染物</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7CB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1d</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1C5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100d</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49E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1000d</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540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1825d</w:t>
            </w:r>
          </w:p>
        </w:tc>
      </w:tr>
      <w:tr w14:paraId="576A3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58CA2">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53D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距离（</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B03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浓度</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c(mg/l)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510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距离（</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DD1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浓度</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c(mg/l)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103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距离（</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5FD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浓度</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c(mg/l)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882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距离（</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49E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浓度</w:t>
            </w:r>
            <w:r>
              <w:rPr>
                <w:rStyle w:val="160"/>
                <w:rFonts w:hint="default" w:ascii="Times New Roman" w:hAnsi="Times New Roman" w:eastAsia="等线" w:cs="Times New Roman"/>
                <w:color w:val="000000" w:themeColor="text1"/>
                <w:highlight w:val="none"/>
                <w:lang w:val="en-US" w:eastAsia="zh-CN" w:bidi="ar"/>
                <w14:textFill>
                  <w14:solidFill>
                    <w14:schemeClr w14:val="tx1"/>
                  </w14:solidFill>
                </w14:textFill>
              </w:rPr>
              <w:t>c(mg/l)</w:t>
            </w:r>
          </w:p>
        </w:tc>
      </w:tr>
      <w:tr w14:paraId="5B3E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27F6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石油类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5A6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AA4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B2D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80636">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CDF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E92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42D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CCF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18.000</w:t>
            </w:r>
          </w:p>
        </w:tc>
      </w:tr>
      <w:tr w14:paraId="1C0CA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BDE79">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B9111">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7D6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9.450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125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337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CE4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968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17.100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3F0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79A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17.400</w:t>
            </w:r>
          </w:p>
        </w:tc>
      </w:tr>
      <w:tr w14:paraId="43E81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26571">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C8DA3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9A6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D1D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3B40">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7.330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F87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0DD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842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1B2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10.200</w:t>
            </w:r>
          </w:p>
        </w:tc>
      </w:tr>
      <w:tr w14:paraId="2E0F5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82BFB">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1108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72C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1B7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E20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CA9B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045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4.420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9D2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59C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1.330</w:t>
            </w:r>
          </w:p>
        </w:tc>
      </w:tr>
      <w:tr w14:paraId="00350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2BE07">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21EB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817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B57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32F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0.743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AEE1">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8AA0">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3792">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2C22">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0.049</w:t>
            </w:r>
          </w:p>
        </w:tc>
      </w:tr>
      <w:tr w14:paraId="4CC62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8396D">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51A1A">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2540">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4D4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7DF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250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09A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EB4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258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0.015</w:t>
            </w:r>
          </w:p>
        </w:tc>
      </w:tr>
      <w:tr w14:paraId="6C2C7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A811D">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47FD2B">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CE9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80C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98B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1DB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447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7EA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9DC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0.010</w:t>
            </w:r>
          </w:p>
        </w:tc>
      </w:tr>
      <w:tr w14:paraId="0B6E3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9675E">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9FE02">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89C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7F4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ABA4">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E968">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0FF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7623">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F759">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r>
      <w:tr w14:paraId="0DCF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0D151">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1D851">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4E62">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3F0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071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b/>
                <w:bCs/>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2"/>
                <w:szCs w:val="22"/>
                <w:highlight w:val="none"/>
                <w:u w:val="none"/>
                <w:lang w:val="en-US" w:eastAsia="zh-CN" w:bidi="ar"/>
                <w14:textFill>
                  <w14:solidFill>
                    <w14:schemeClr w14:val="tx1"/>
                  </w14:solidFill>
                </w14:textFill>
              </w:rPr>
              <w:t>0.009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102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211D">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4173">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5B3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r>
      <w:tr w14:paraId="0317A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15502">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729DE">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82E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BB9C">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419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F2A1">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6B58F">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nil"/>
              <w:left w:val="single" w:color="000000" w:sz="4" w:space="0"/>
              <w:bottom w:val="nil"/>
              <w:right w:val="single" w:color="000000" w:sz="4" w:space="0"/>
            </w:tcBorders>
            <w:shd w:val="clear" w:color="auto" w:fill="auto"/>
            <w:noWrap/>
            <w:vAlign w:val="center"/>
          </w:tcPr>
          <w:p w14:paraId="70F28973">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7CCA">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r>
      <w:tr w14:paraId="02DC7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7F247">
            <w:pPr>
              <w:keepNext w:val="0"/>
              <w:keepLines w:val="0"/>
              <w:pageBreakBefore w:val="0"/>
              <w:kinsoku/>
              <w:wordWrap/>
              <w:overflowPunct/>
              <w:topLinePunct w:val="0"/>
              <w:bidi w:val="0"/>
              <w:adjustRightInd w:val="0"/>
              <w:snapToGrid w:val="0"/>
              <w:spacing w:line="240" w:lineRule="auto"/>
              <w:ind w:left="0"/>
              <w:jc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9F23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5BA2">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FA1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0657">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2041">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00B0">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6D4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9FB5">
            <w:pPr>
              <w:keepNext w:val="0"/>
              <w:keepLines w:val="0"/>
              <w:pageBreakBefore w:val="0"/>
              <w:widowControl/>
              <w:suppressLineNumbers w:val="0"/>
              <w:kinsoku/>
              <w:wordWrap/>
              <w:overflowPunct/>
              <w:topLinePunct w:val="0"/>
              <w:bidi w:val="0"/>
              <w:adjustRightInd w:val="0"/>
              <w:snapToGrid w:val="0"/>
              <w:spacing w:line="240" w:lineRule="auto"/>
              <w:ind w:left="0"/>
              <w:jc w:val="center"/>
              <w:textAlignment w:val="center"/>
              <w:rPr>
                <w:rFonts w:hint="default" w:ascii="Times New Roman" w:hAnsi="Times New Roman" w:eastAsia="等线" w:cs="Times New Roman"/>
                <w:i w:val="0"/>
                <w:iCs w:val="0"/>
                <w:color w:val="000000" w:themeColor="text1"/>
                <w:sz w:val="22"/>
                <w:szCs w:val="22"/>
                <w:highlight w:val="none"/>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2"/>
                <w:szCs w:val="22"/>
                <w:highlight w:val="none"/>
                <w:u w:val="none"/>
                <w:lang w:val="en-US" w:eastAsia="zh-CN" w:bidi="ar"/>
                <w14:textFill>
                  <w14:solidFill>
                    <w14:schemeClr w14:val="tx1"/>
                  </w14:solidFill>
                </w14:textFill>
              </w:rPr>
              <w:t>0.000</w:t>
            </w:r>
          </w:p>
        </w:tc>
      </w:tr>
    </w:tbl>
    <w:p w14:paraId="1A8A2218">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kern w:val="2"/>
          <w:sz w:val="21"/>
          <w:szCs w:val="21"/>
          <w:highlight w:val="none"/>
          <w:lang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 xml:space="preserve">     预测结果统计表（情景1）</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141"/>
        <w:gridCol w:w="1756"/>
        <w:gridCol w:w="1766"/>
        <w:gridCol w:w="2716"/>
      </w:tblGrid>
      <w:tr w14:paraId="0585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noWrap w:val="0"/>
            <w:vAlign w:val="center"/>
          </w:tcPr>
          <w:p w14:paraId="2286C726">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预测因子</w:t>
            </w:r>
          </w:p>
        </w:tc>
        <w:tc>
          <w:tcPr>
            <w:tcW w:w="669" w:type="pct"/>
            <w:noWrap w:val="0"/>
            <w:vAlign w:val="center"/>
          </w:tcPr>
          <w:p w14:paraId="0E5FBF41">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预测时间</w:t>
            </w:r>
          </w:p>
        </w:tc>
        <w:tc>
          <w:tcPr>
            <w:tcW w:w="1030" w:type="pct"/>
            <w:noWrap w:val="0"/>
            <w:vAlign w:val="center"/>
          </w:tcPr>
          <w:p w14:paraId="467FFF92">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超标距离（m）</w:t>
            </w:r>
          </w:p>
        </w:tc>
        <w:tc>
          <w:tcPr>
            <w:tcW w:w="1036" w:type="pct"/>
            <w:noWrap w:val="0"/>
            <w:vAlign w:val="center"/>
          </w:tcPr>
          <w:p w14:paraId="6868A00C">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影响距离（m）</w:t>
            </w:r>
          </w:p>
        </w:tc>
        <w:tc>
          <w:tcPr>
            <w:tcW w:w="1593" w:type="pct"/>
            <w:noWrap w:val="0"/>
            <w:vAlign w:val="center"/>
          </w:tcPr>
          <w:p w14:paraId="3528BED3">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影响范围内水环境敏感点</w:t>
            </w:r>
          </w:p>
        </w:tc>
      </w:tr>
      <w:tr w14:paraId="338B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vMerge w:val="restart"/>
            <w:noWrap w:val="0"/>
            <w:vAlign w:val="center"/>
          </w:tcPr>
          <w:p w14:paraId="4A77A6DB">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石油类</w:t>
            </w:r>
          </w:p>
        </w:tc>
        <w:tc>
          <w:tcPr>
            <w:tcW w:w="669" w:type="pct"/>
            <w:noWrap w:val="0"/>
            <w:vAlign w:val="center"/>
          </w:tcPr>
          <w:p w14:paraId="76762747">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1d</w:t>
            </w:r>
          </w:p>
        </w:tc>
        <w:tc>
          <w:tcPr>
            <w:tcW w:w="1030" w:type="pct"/>
            <w:noWrap w:val="0"/>
            <w:vAlign w:val="center"/>
          </w:tcPr>
          <w:p w14:paraId="318D9FDD">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4.5</w:t>
            </w:r>
          </w:p>
        </w:tc>
        <w:tc>
          <w:tcPr>
            <w:tcW w:w="1036" w:type="pct"/>
            <w:noWrap w:val="0"/>
            <w:vAlign w:val="center"/>
          </w:tcPr>
          <w:p w14:paraId="216A4FC1">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5.3</w:t>
            </w:r>
          </w:p>
        </w:tc>
        <w:tc>
          <w:tcPr>
            <w:tcW w:w="1593" w:type="pct"/>
            <w:noWrap w:val="0"/>
            <w:vAlign w:val="center"/>
          </w:tcPr>
          <w:p w14:paraId="09EFCFA2">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无</w:t>
            </w:r>
          </w:p>
        </w:tc>
      </w:tr>
      <w:tr w14:paraId="7F53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vMerge w:val="continue"/>
            <w:noWrap w:val="0"/>
            <w:vAlign w:val="center"/>
          </w:tcPr>
          <w:p w14:paraId="09DF8A0E">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p>
        </w:tc>
        <w:tc>
          <w:tcPr>
            <w:tcW w:w="669" w:type="pct"/>
            <w:noWrap w:val="0"/>
            <w:vAlign w:val="center"/>
          </w:tcPr>
          <w:p w14:paraId="53626BF7">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100d</w:t>
            </w:r>
          </w:p>
        </w:tc>
        <w:tc>
          <w:tcPr>
            <w:tcW w:w="1030" w:type="pct"/>
            <w:noWrap w:val="0"/>
            <w:vAlign w:val="center"/>
          </w:tcPr>
          <w:p w14:paraId="326BD31C">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55</w:t>
            </w:r>
          </w:p>
        </w:tc>
        <w:tc>
          <w:tcPr>
            <w:tcW w:w="1036" w:type="pct"/>
            <w:noWrap w:val="0"/>
            <w:vAlign w:val="center"/>
          </w:tcPr>
          <w:p w14:paraId="4B35D184">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62</w:t>
            </w:r>
          </w:p>
        </w:tc>
        <w:tc>
          <w:tcPr>
            <w:tcW w:w="1593" w:type="pct"/>
            <w:noWrap w:val="0"/>
            <w:vAlign w:val="center"/>
          </w:tcPr>
          <w:p w14:paraId="190C891A">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无</w:t>
            </w:r>
          </w:p>
        </w:tc>
      </w:tr>
      <w:tr w14:paraId="13D1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vMerge w:val="continue"/>
            <w:noWrap w:val="0"/>
            <w:vAlign w:val="center"/>
          </w:tcPr>
          <w:p w14:paraId="319DE747">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p>
        </w:tc>
        <w:tc>
          <w:tcPr>
            <w:tcW w:w="669" w:type="pct"/>
            <w:noWrap w:val="0"/>
            <w:vAlign w:val="center"/>
          </w:tcPr>
          <w:p w14:paraId="3288357C">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1000d</w:t>
            </w:r>
          </w:p>
        </w:tc>
        <w:tc>
          <w:tcPr>
            <w:tcW w:w="1030" w:type="pct"/>
            <w:noWrap w:val="0"/>
            <w:vAlign w:val="center"/>
          </w:tcPr>
          <w:p w14:paraId="44433704">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246</w:t>
            </w:r>
          </w:p>
        </w:tc>
        <w:tc>
          <w:tcPr>
            <w:tcW w:w="1036" w:type="pct"/>
            <w:noWrap w:val="0"/>
            <w:vAlign w:val="center"/>
          </w:tcPr>
          <w:p w14:paraId="53683071">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268</w:t>
            </w:r>
          </w:p>
        </w:tc>
        <w:tc>
          <w:tcPr>
            <w:tcW w:w="1593" w:type="pct"/>
            <w:noWrap w:val="0"/>
            <w:vAlign w:val="top"/>
          </w:tcPr>
          <w:p w14:paraId="11FC9036">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无</w:t>
            </w:r>
          </w:p>
        </w:tc>
      </w:tr>
      <w:tr w14:paraId="3AED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vMerge w:val="continue"/>
            <w:noWrap w:val="0"/>
            <w:vAlign w:val="center"/>
          </w:tcPr>
          <w:p w14:paraId="2C984EB2">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p>
        </w:tc>
        <w:tc>
          <w:tcPr>
            <w:tcW w:w="669" w:type="pct"/>
            <w:noWrap w:val="0"/>
            <w:vAlign w:val="center"/>
          </w:tcPr>
          <w:p w14:paraId="5E03006A">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5475</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p>
        </w:tc>
        <w:tc>
          <w:tcPr>
            <w:tcW w:w="1030" w:type="pct"/>
            <w:noWrap w:val="0"/>
            <w:vAlign w:val="center"/>
          </w:tcPr>
          <w:p w14:paraId="30387AAC">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377</w:t>
            </w:r>
          </w:p>
        </w:tc>
        <w:tc>
          <w:tcPr>
            <w:tcW w:w="1036" w:type="pct"/>
            <w:noWrap w:val="0"/>
            <w:vAlign w:val="center"/>
          </w:tcPr>
          <w:p w14:paraId="2ACF2A41">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408</w:t>
            </w:r>
          </w:p>
        </w:tc>
        <w:tc>
          <w:tcPr>
            <w:tcW w:w="1593" w:type="pct"/>
            <w:noWrap w:val="0"/>
            <w:vAlign w:val="top"/>
          </w:tcPr>
          <w:p w14:paraId="04CA92BE">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无</w:t>
            </w:r>
          </w:p>
        </w:tc>
      </w:tr>
    </w:tbl>
    <w:p w14:paraId="2E70B041">
      <w:pPr>
        <w:keepNext w:val="0"/>
        <w:keepLines w:val="0"/>
        <w:pageBreakBefore w:val="0"/>
        <w:widowControl w:val="0"/>
        <w:kinsoku/>
        <w:wordWrap/>
        <w:overflowPunct/>
        <w:topLinePunct w:val="0"/>
        <w:bidi w:val="0"/>
        <w:adjustRightInd w:val="0"/>
        <w:snapToGrid w:val="0"/>
        <w:spacing w:line="240" w:lineRule="auto"/>
        <w:ind w:left="0"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72000" cy="2228850"/>
            <wp:effectExtent l="0" t="0" r="0" b="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27"/>
                    <a:stretch>
                      <a:fillRect/>
                    </a:stretch>
                  </pic:blipFill>
                  <pic:spPr>
                    <a:xfrm>
                      <a:off x="0" y="0"/>
                      <a:ext cx="4572000" cy="2228850"/>
                    </a:xfrm>
                    <a:prstGeom prst="rect">
                      <a:avLst/>
                    </a:prstGeom>
                    <a:noFill/>
                    <a:ln>
                      <a:noFill/>
                    </a:ln>
                  </pic:spPr>
                </pic:pic>
              </a:graphicData>
            </a:graphic>
          </wp:inline>
        </w:drawing>
      </w:r>
    </w:p>
    <w:p w14:paraId="4420A75D">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图5.2-3   情景1：发生持续泄漏后石油类污染物浓度迁移变化曲线图</w:t>
      </w:r>
    </w:p>
    <w:p w14:paraId="5380FD98">
      <w:pPr>
        <w:widowControl/>
        <w:spacing w:line="360" w:lineRule="auto"/>
        <w:ind w:firstLine="480" w:firstLineChars="200"/>
        <w:jc w:val="both"/>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根据以上预测结果，在本次设定的预测情形下：预测期间，随着时间、距离增加，污染范围也呈增加趋势。影响范围内无居民饮用水井等敏感点，</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污染物的迁移对地下水有一定影响</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2"/>
          <w:highlight w:val="none"/>
          <w:vertAlign w:val="baseline"/>
          <w:lang w:val="en-US" w:eastAsia="zh-CN"/>
          <w14:textFill>
            <w14:solidFill>
              <w14:schemeClr w14:val="tx1"/>
            </w14:solidFill>
          </w14:textFill>
        </w:rPr>
        <w:t>其中1d的影响范围在厂界内，不会</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影响</w:t>
      </w:r>
      <w:r>
        <w:rPr>
          <w:rFonts w:hint="eastAsia" w:cs="Times New Roman"/>
          <w:snapToGrid w:val="0"/>
          <w:color w:val="000000" w:themeColor="text1"/>
          <w:kern w:val="0"/>
          <w:sz w:val="24"/>
          <w:szCs w:val="24"/>
          <w:highlight w:val="none"/>
          <w:lang w:val="en-US" w:eastAsia="zh-CN" w:bidi="ar-SA"/>
          <w14:textFill>
            <w14:solidFill>
              <w14:schemeClr w14:val="tx1"/>
            </w14:solidFill>
          </w14:textFill>
        </w:rPr>
        <w:t>范围</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外环境，各时段的预测影响范围内均</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无居民饮用水井等地下水环境敏感点。</w:t>
      </w:r>
      <w:r>
        <w:rPr>
          <w:rFonts w:hint="default" w:ascii="Times New Roman" w:hAnsi="Times New Roman" w:eastAsia="宋体" w:cs="Times New Roman"/>
          <w:color w:val="000000" w:themeColor="text1"/>
          <w:kern w:val="0"/>
          <w:sz w:val="24"/>
          <w:highlight w:val="none"/>
          <w14:textFill>
            <w14:solidFill>
              <w14:schemeClr w14:val="tx1"/>
            </w14:solidFill>
          </w14:textFill>
        </w:rPr>
        <w:t>为预防污染的发生和污染源的形成，表层套管严格封闭第四系含水层，定期维护，固井质量应符合要求，废弃井应全部打水泥塞，并经严格的试压以防窜漏污染地下水，尽量避免</w:t>
      </w:r>
      <w:r>
        <w:rPr>
          <w:rFonts w:hint="default" w:ascii="Times New Roman" w:hAnsi="Times New Roman" w:eastAsia="宋体" w:cs="Times New Roman"/>
          <w:bCs/>
          <w:color w:val="000000" w:themeColor="text1"/>
          <w:kern w:val="0"/>
          <w:sz w:val="24"/>
          <w:highlight w:val="none"/>
          <w14:textFill>
            <w14:solidFill>
              <w14:schemeClr w14:val="tx1"/>
            </w14:solidFill>
          </w14:textFill>
        </w:rPr>
        <w:t>窜层污染到泄漏点周边区域内的地下水。</w:t>
      </w:r>
      <w:r>
        <w:rPr>
          <w:rFonts w:hint="default" w:ascii="Times New Roman" w:hAnsi="Times New Roman" w:cs="Times New Roman"/>
          <w:bCs/>
          <w:color w:val="000000" w:themeColor="text1"/>
          <w:kern w:val="0"/>
          <w:sz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kern w:val="0"/>
          <w:sz w:val="24"/>
          <w:highlight w:val="none"/>
          <w14:textFill>
            <w14:solidFill>
              <w14:schemeClr w14:val="tx1"/>
            </w14:solidFill>
          </w14:textFill>
        </w:rPr>
        <w:t>套损发生后及时采取治理技术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的情况下，窜层对地下水的影响属可接受范围。</w:t>
      </w:r>
    </w:p>
    <w:p w14:paraId="4E41260A">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（2）情景2：渗透污染（</w:t>
      </w:r>
      <w:r>
        <w:rPr>
          <w:rFonts w:hint="default" w:ascii="Times New Roman" w:hAnsi="Times New Roman" w:cs="Times New Roman"/>
          <w:color w:val="000000" w:themeColor="text1"/>
          <w:spacing w:val="0"/>
          <w:kern w:val="2"/>
          <w:sz w:val="24"/>
          <w:szCs w:val="20"/>
          <w:highlight w:val="none"/>
          <w:lang w:val="en-US" w:eastAsia="zh-CN"/>
          <w14:textFill>
            <w14:solidFill>
              <w14:schemeClr w14:val="tx1"/>
            </w14:solidFill>
          </w14:textFill>
        </w:rPr>
        <w:t>凝析油储罐泄漏</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事故</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p>
    <w:p w14:paraId="705932F1">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①预测情景</w:t>
      </w:r>
    </w:p>
    <w:p w14:paraId="33817340">
      <w:pPr>
        <w:widowControl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2"/>
          <w:sz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14:textFill>
            <w14:solidFill>
              <w14:schemeClr w14:val="tx1"/>
            </w14:solidFill>
          </w14:textFill>
        </w:rPr>
        <w:t>非正常状况下，</w:t>
      </w:r>
      <w:r>
        <w:rPr>
          <w:rFonts w:hint="default" w:ascii="Times New Roman" w:hAnsi="Times New Roman" w:cs="Times New Roman"/>
          <w:color w:val="000000" w:themeColor="text1"/>
          <w:kern w:val="2"/>
          <w:sz w:val="24"/>
          <w:szCs w:val="21"/>
          <w:highlight w:val="none"/>
          <w:lang w:val="en-US" w:eastAsia="zh-CN"/>
          <w14:textFill>
            <w14:solidFill>
              <w14:schemeClr w14:val="tx1"/>
            </w14:solidFill>
          </w14:textFill>
        </w:rPr>
        <w:t>储罐（多功能储集器）、</w:t>
      </w:r>
      <w:r>
        <w:rPr>
          <w:rFonts w:hint="default" w:ascii="Times New Roman" w:hAnsi="Times New Roman" w:eastAsia="宋体" w:cs="Times New Roman"/>
          <w:color w:val="000000" w:themeColor="text1"/>
          <w:kern w:val="2"/>
          <w:sz w:val="24"/>
          <w:highlight w:val="none"/>
          <w14:textFill>
            <w14:solidFill>
              <w14:schemeClr w14:val="tx1"/>
            </w14:solidFill>
          </w14:textFill>
        </w:rPr>
        <w:t>阀门、</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场内的</w:t>
      </w:r>
      <w:r>
        <w:rPr>
          <w:rFonts w:hint="default" w:ascii="Times New Roman" w:hAnsi="Times New Roman" w:eastAsia="宋体" w:cs="Times New Roman"/>
          <w:color w:val="000000" w:themeColor="text1"/>
          <w:kern w:val="2"/>
          <w:sz w:val="24"/>
          <w:highlight w:val="none"/>
          <w14:textFill>
            <w14:solidFill>
              <w14:schemeClr w14:val="tx1"/>
            </w14:solidFill>
          </w14:textFill>
        </w:rPr>
        <w:t>管线泄漏事故会导致浅部隐蔽性污染源的产生，泄漏的</w:t>
      </w:r>
      <w:r>
        <w:rPr>
          <w:rFonts w:hint="default" w:ascii="Times New Roman" w:hAnsi="Times New Roman" w:eastAsia="宋体" w:cs="Times New Roman"/>
          <w:color w:val="000000" w:themeColor="text1"/>
          <w:kern w:val="2"/>
          <w:sz w:val="24"/>
          <w:highlight w:val="none"/>
          <w:lang w:eastAsia="zh-CN"/>
          <w14:textFill>
            <w14:solidFill>
              <w14:schemeClr w14:val="tx1"/>
            </w14:solidFill>
          </w14:textFill>
        </w:rPr>
        <w:t>凝析油</w:t>
      </w:r>
      <w:r>
        <w:rPr>
          <w:rFonts w:hint="default" w:ascii="Times New Roman" w:hAnsi="Times New Roman" w:eastAsia="宋体" w:cs="Times New Roman"/>
          <w:color w:val="000000" w:themeColor="text1"/>
          <w:kern w:val="2"/>
          <w:sz w:val="24"/>
          <w:highlight w:val="none"/>
          <w14:textFill>
            <w14:solidFill>
              <w14:schemeClr w14:val="tx1"/>
            </w14:solidFill>
          </w14:textFill>
        </w:rPr>
        <w:t>等下渗而可能导致地下水污染风险的发生。设备阀门、管线等发生泄漏的原因有如下几种：误操作、机械故障、外力作用和腐蚀，这几种因素的产生都是人为的或人为操控程度很高，发生污染的危害程度也取决于操作人员的处置和控制。</w:t>
      </w:r>
    </w:p>
    <w:p w14:paraId="4AD365BE">
      <w:pPr>
        <w:widowControl w:val="0"/>
        <w:adjustRightInd w:val="0"/>
        <w:snapToGrid w:val="0"/>
        <w:spacing w:line="360" w:lineRule="auto"/>
        <w:ind w:firstLine="480" w:firstLineChars="200"/>
        <w:jc w:val="both"/>
        <w:rPr>
          <w:rFonts w:hint="default" w:ascii="Times New Roman" w:hAnsi="Times New Roman"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kern w:val="2"/>
          <w:sz w:val="24"/>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kern w:val="2"/>
          <w:sz w:val="24"/>
          <w:szCs w:val="21"/>
          <w:highlight w:val="none"/>
          <w14:textFill>
            <w14:solidFill>
              <w14:schemeClr w14:val="tx1"/>
            </w14:solidFill>
          </w14:textFill>
        </w:rPr>
        <w:t>非正常状况下，</w:t>
      </w:r>
      <w:r>
        <w:rPr>
          <w:rFonts w:hint="default" w:ascii="Times New Roman" w:hAnsi="Times New Roman" w:eastAsia="宋体" w:cs="Times New Roman"/>
          <w:color w:val="000000" w:themeColor="text1"/>
          <w:kern w:val="2"/>
          <w:sz w:val="24"/>
          <w:szCs w:val="21"/>
          <w:highlight w:val="none"/>
          <w:lang w:val="en-US" w:eastAsia="zh-CN"/>
          <w14:textFill>
            <w14:solidFill>
              <w14:schemeClr w14:val="tx1"/>
            </w14:solidFill>
          </w14:textFill>
        </w:rPr>
        <w:t>发生</w:t>
      </w:r>
      <w:r>
        <w:rPr>
          <w:rFonts w:hint="default" w:ascii="Times New Roman" w:hAnsi="Times New Roman" w:cs="Times New Roman"/>
          <w:color w:val="000000" w:themeColor="text1"/>
          <w:kern w:val="2"/>
          <w:sz w:val="24"/>
          <w:szCs w:val="21"/>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kern w:val="2"/>
          <w:sz w:val="24"/>
          <w:szCs w:val="21"/>
          <w:highlight w:val="none"/>
          <w:lang w:val="en-US" w:eastAsia="zh-CN"/>
          <w14:textFill>
            <w14:solidFill>
              <w14:schemeClr w14:val="tx1"/>
            </w14:solidFill>
          </w14:textFill>
        </w:rPr>
        <w:t>事故后可快速发现并通过切断阀控制泄漏量，</w:t>
      </w:r>
      <w:r>
        <w:rPr>
          <w:rFonts w:hint="default" w:ascii="Times New Roman" w:hAnsi="Times New Roman" w:cs="Times New Roman"/>
          <w:color w:val="000000" w:themeColor="text1"/>
          <w:kern w:val="2"/>
          <w:sz w:val="24"/>
          <w:szCs w:val="21"/>
          <w:highlight w:val="none"/>
          <w:lang w:val="en-US" w:eastAsia="zh-CN"/>
          <w14:textFill>
            <w14:solidFill>
              <w14:schemeClr w14:val="tx1"/>
            </w14:solidFill>
          </w14:textFill>
        </w:rPr>
        <w:t>结合环境风险章节中核算的存在量，储罐发生</w:t>
      </w:r>
      <w:r>
        <w:rPr>
          <w:rFonts w:hint="default" w:ascii="Times New Roman" w:hAnsi="Times New Roman" w:eastAsia="宋体" w:cs="Times New Roman"/>
          <w:color w:val="000000" w:themeColor="text1"/>
          <w:kern w:val="2"/>
          <w:sz w:val="24"/>
          <w:highlight w:val="none"/>
          <w14:textFill>
            <w14:solidFill>
              <w14:schemeClr w14:val="tx1"/>
            </w14:solidFill>
          </w14:textFill>
        </w:rPr>
        <w:t>泄漏事故</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kern w:val="2"/>
          <w:sz w:val="24"/>
          <w:highlight w:val="none"/>
          <w14:textFill>
            <w14:solidFill>
              <w14:schemeClr w14:val="tx1"/>
            </w14:solidFill>
          </w14:textFill>
        </w:rPr>
        <w:t>泄漏的</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凝析油</w:t>
      </w:r>
      <w:r>
        <w:rPr>
          <w:rFonts w:hint="default" w:ascii="Times New Roman" w:hAnsi="Times New Roman" w:eastAsia="宋体" w:cs="Times New Roman"/>
          <w:color w:val="000000" w:themeColor="text1"/>
          <w:kern w:val="2"/>
          <w:sz w:val="24"/>
          <w:highlight w:val="none"/>
          <w14:textFill>
            <w14:solidFill>
              <w14:schemeClr w14:val="tx1"/>
            </w14:solidFill>
          </w14:textFill>
        </w:rPr>
        <w:t>下渗可能导致地下水污染风险的发生</w:t>
      </w:r>
      <w:r>
        <w:rPr>
          <w:rFonts w:hint="default" w:ascii="Times New Roman" w:hAnsi="Times New Roman" w:eastAsia="宋体" w:cs="Times New Roman"/>
          <w:color w:val="000000" w:themeColor="text1"/>
          <w:kern w:val="2"/>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对环境产生的影响较大。</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故</w:t>
      </w:r>
      <w:r>
        <w:rPr>
          <w:rFonts w:hint="default" w:ascii="Times New Roman" w:hAnsi="Times New Roman" w:cs="Times New Roman"/>
          <w:color w:val="000000" w:themeColor="text1"/>
          <w:sz w:val="24"/>
          <w:szCs w:val="22"/>
          <w:highlight w:val="none"/>
          <w14:textFill>
            <w14:solidFill>
              <w14:schemeClr w14:val="tx1"/>
            </w14:solidFill>
          </w14:textFill>
        </w:rPr>
        <w:t>综合考虑生产装置设施情况以及所在区域水文地质条件，非正常状况泄漏点设定为：</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单个</w:t>
      </w:r>
      <w:r>
        <w:rPr>
          <w:rFonts w:hint="default" w:ascii="Times New Roman" w:hAnsi="Times New Roman" w:cs="Times New Roman"/>
          <w:color w:val="000000" w:themeColor="text1"/>
          <w:kern w:val="0"/>
          <w:sz w:val="24"/>
          <w:szCs w:val="22"/>
          <w:highlight w:val="none"/>
          <w:lang w:val="en-US" w:eastAsia="zh-CN" w:bidi="ar"/>
          <w14:textFill>
            <w14:solidFill>
              <w14:schemeClr w14:val="tx1"/>
            </w14:solidFill>
          </w14:textFill>
        </w:rPr>
        <w:t>80m³的</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储罐</w:t>
      </w:r>
      <w:r>
        <w:rPr>
          <w:rFonts w:hint="default" w:ascii="Times New Roman" w:hAnsi="Times New Roman" w:cs="Times New Roman"/>
          <w:color w:val="000000" w:themeColor="text1"/>
          <w:sz w:val="24"/>
          <w:szCs w:val="22"/>
          <w:highlight w:val="none"/>
          <w14:textFill>
            <w14:solidFill>
              <w14:schemeClr w14:val="tx1"/>
            </w14:solidFill>
          </w14:textFill>
        </w:rPr>
        <w:t>泄漏，如不及时修复，</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储罐中的</w:t>
      </w:r>
      <w:r>
        <w:rPr>
          <w:rFonts w:hint="default" w:ascii="Times New Roman" w:hAnsi="Times New Roman" w:cs="Times New Roman"/>
          <w:color w:val="000000" w:themeColor="text1"/>
          <w:sz w:val="24"/>
          <w:szCs w:val="22"/>
          <w:highlight w:val="none"/>
          <w14:textFill>
            <w14:solidFill>
              <w14:schemeClr w14:val="tx1"/>
            </w14:solidFill>
          </w14:textFill>
        </w:rPr>
        <w:t>油</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类物质</w:t>
      </w:r>
      <w:r>
        <w:rPr>
          <w:rFonts w:hint="default" w:ascii="Times New Roman" w:hAnsi="Times New Roman" w:cs="Times New Roman"/>
          <w:color w:val="000000" w:themeColor="text1"/>
          <w:sz w:val="24"/>
          <w:szCs w:val="22"/>
          <w:highlight w:val="none"/>
          <w14:textFill>
            <w14:solidFill>
              <w14:schemeClr w14:val="tx1"/>
            </w14:solidFill>
          </w14:textFill>
        </w:rPr>
        <w:t>可能下渗对地下水造成影响。本次评价对非正常状况下</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储罐破裂</w:t>
      </w:r>
      <w:r>
        <w:rPr>
          <w:rFonts w:hint="default" w:ascii="Times New Roman" w:hAnsi="Times New Roman" w:cs="Times New Roman"/>
          <w:color w:val="000000" w:themeColor="text1"/>
          <w:sz w:val="24"/>
          <w:szCs w:val="22"/>
          <w:highlight w:val="none"/>
          <w14:textFill>
            <w14:solidFill>
              <w14:schemeClr w14:val="tx1"/>
            </w14:solidFill>
          </w14:textFill>
        </w:rPr>
        <w:t>情景运用解析模型进行模拟预测，以评价对地下水环境的影响。</w:t>
      </w:r>
    </w:p>
    <w:p w14:paraId="210D3B21">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②预测方法</w:t>
      </w:r>
    </w:p>
    <w:p w14:paraId="14A31FA3">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本次评价采用解析法对地下水环境影响进行预测。</w:t>
      </w:r>
    </w:p>
    <w:p w14:paraId="13AFCC0D">
      <w:pPr>
        <w:pStyle w:val="131"/>
        <w:bidi w:val="0"/>
        <w:spacing w:line="360" w:lineRule="auto"/>
        <w:ind w:firstLine="480"/>
        <w:rPr>
          <w:rFonts w:hint="default"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t>③预测范围及时间</w:t>
      </w:r>
    </w:p>
    <w:p w14:paraId="2773F812">
      <w:pPr>
        <w:pStyle w:val="131"/>
        <w:bidi w:val="0"/>
        <w:spacing w:line="360" w:lineRule="auto"/>
        <w:ind w:firstLine="480"/>
        <w:rPr>
          <w:rFonts w:hint="default"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bidi="ar-SA"/>
          <w14:textFill>
            <w14:solidFill>
              <w14:schemeClr w14:val="tx1"/>
            </w14:solidFill>
          </w14:textFill>
        </w:rPr>
        <w:t>本次影响预测范围与调查评价范围一致，根据地表渗透污染特点，预测层位为第四系潜水含水层。</w:t>
      </w:r>
    </w:p>
    <w:p w14:paraId="70C84B88">
      <w:pPr>
        <w:spacing w:line="360" w:lineRule="auto"/>
        <w:ind w:firstLine="480" w:firstLineChars="200"/>
        <w:rPr>
          <w:rFonts w:hint="default" w:ascii="Times New Roman" w:hAnsi="Times New Roman" w:cs="Times New Roman"/>
          <w:color w:val="000000" w:themeColor="text1"/>
          <w:sz w:val="24"/>
          <w:szCs w:val="22"/>
          <w:highlight w:val="none"/>
          <w14:textFill>
            <w14:solidFill>
              <w14:schemeClr w14:val="tx1"/>
            </w14:solidFill>
          </w14:textFill>
        </w:rPr>
      </w:pPr>
      <w:r>
        <w:rPr>
          <w:rFonts w:hint="default" w:ascii="Times New Roman" w:hAnsi="Times New Roman" w:cs="Times New Roman"/>
          <w:color w:val="000000" w:themeColor="text1"/>
          <w:sz w:val="24"/>
          <w:szCs w:val="22"/>
          <w:highlight w:val="none"/>
          <w14:textFill>
            <w14:solidFill>
              <w14:schemeClr w14:val="tx1"/>
            </w14:solidFill>
          </w14:textFill>
        </w:rPr>
        <w:t>根据项目特点，预测时段</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选取</w:t>
      </w:r>
      <w:r>
        <w:rPr>
          <w:rFonts w:hint="default" w:ascii="Times New Roman" w:hAnsi="Times New Roman" w:cs="Times New Roman"/>
          <w:color w:val="000000" w:themeColor="text1"/>
          <w:sz w:val="24"/>
          <w:szCs w:val="22"/>
          <w:highlight w:val="none"/>
          <w14:textFill>
            <w14:solidFill>
              <w14:schemeClr w14:val="tx1"/>
            </w14:solidFill>
          </w14:textFill>
        </w:rPr>
        <w:t>污染发生后</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1d、</w:t>
      </w:r>
      <w:r>
        <w:rPr>
          <w:rFonts w:hint="default" w:ascii="Times New Roman" w:hAnsi="Times New Roman" w:cs="Times New Roman"/>
          <w:color w:val="000000" w:themeColor="text1"/>
          <w:sz w:val="24"/>
          <w:szCs w:val="22"/>
          <w:highlight w:val="none"/>
          <w14:textFill>
            <w14:solidFill>
              <w14:schemeClr w14:val="tx1"/>
            </w14:solidFill>
          </w14:textFill>
        </w:rPr>
        <w:t>100d、1000d，</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1825</w:t>
      </w:r>
      <w:r>
        <w:rPr>
          <w:rFonts w:hint="default" w:ascii="Times New Roman" w:hAnsi="Times New Roman" w:cs="Times New Roman"/>
          <w:color w:val="000000" w:themeColor="text1"/>
          <w:sz w:val="24"/>
          <w:szCs w:val="22"/>
          <w:highlight w:val="none"/>
          <w14:textFill>
            <w14:solidFill>
              <w14:schemeClr w14:val="tx1"/>
            </w14:solidFill>
          </w14:textFill>
        </w:rPr>
        <w:t>d</w:t>
      </w:r>
      <w:r>
        <w:rPr>
          <w:rFonts w:hint="default" w:ascii="Times New Roman" w:hAnsi="Times New Roman"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5年</w:t>
      </w:r>
      <w:r>
        <w:rPr>
          <w:rFonts w:hint="default" w:ascii="Times New Roman" w:hAnsi="Times New Roman"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w:t>
      </w:r>
    </w:p>
    <w:p w14:paraId="61AFE190">
      <w:pPr>
        <w:spacing w:line="360" w:lineRule="auto"/>
        <w:ind w:firstLine="480" w:firstLineChars="200"/>
        <w:rPr>
          <w:rFonts w:hint="default" w:ascii="Times New Roman" w:hAnsi="Times New Roman"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④预测因子</w:t>
      </w:r>
    </w:p>
    <w:p w14:paraId="712582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2"/>
          <w:highlight w:val="none"/>
          <w14:textFill>
            <w14:solidFill>
              <w14:schemeClr w14:val="tx1"/>
            </w14:solidFill>
          </w14:textFill>
        </w:rPr>
      </w:pPr>
      <w:r>
        <w:rPr>
          <w:rFonts w:hint="default" w:ascii="Times New Roman" w:hAnsi="Times New Roman" w:cs="Times New Roman"/>
          <w:color w:val="000000" w:themeColor="text1"/>
          <w:sz w:val="24"/>
          <w:szCs w:val="22"/>
          <w:highlight w:val="none"/>
          <w:lang w:val="en-US" w:eastAsia="zh-CN" w:bidi="ar"/>
          <w14:textFill>
            <w14:solidFill>
              <w14:schemeClr w14:val="tx1"/>
            </w14:solidFill>
          </w14:textFill>
        </w:rPr>
        <w:t>结合前文分析，凝析油储罐（多功能储集器）泄漏，根据污染指数，</w:t>
      </w:r>
      <w:r>
        <w:rPr>
          <w:rFonts w:hint="default" w:ascii="Times New Roman" w:hAnsi="Times New Roman" w:cs="Times New Roman"/>
          <w:color w:val="000000" w:themeColor="text1"/>
          <w:sz w:val="24"/>
          <w:szCs w:val="22"/>
          <w:highlight w:val="none"/>
          <w14:textFill>
            <w14:solidFill>
              <w14:schemeClr w14:val="tx1"/>
            </w14:solidFill>
          </w14:textFill>
        </w:rPr>
        <w:t>选取</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泄漏后影响相对最大的</w:t>
      </w:r>
      <w:r>
        <w:rPr>
          <w:rFonts w:hint="default" w:ascii="Times New Roman" w:hAnsi="Times New Roman" w:cs="Times New Roman"/>
          <w:color w:val="000000" w:themeColor="text1"/>
          <w:sz w:val="24"/>
          <w:szCs w:val="22"/>
          <w:highlight w:val="none"/>
          <w14:textFill>
            <w14:solidFill>
              <w14:schemeClr w14:val="tx1"/>
            </w14:solidFill>
          </w14:textFill>
        </w:rPr>
        <w:t>特征污染物石油类作为代表性污染物进行预测。</w:t>
      </w:r>
    </w:p>
    <w:p w14:paraId="47C56C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⑤预测源强及参数</w:t>
      </w:r>
    </w:p>
    <w:p w14:paraId="088209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highlight w:val="none"/>
          <w14:textFill>
            <w14:solidFill>
              <w14:schemeClr w14:val="tx1"/>
            </w14:solidFill>
          </w14:textFill>
        </w:rPr>
      </w:pP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根据环境风险影响章节，单个</w:t>
      </w:r>
      <w:r>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0m³的凝析油储罐一次事故最大泄漏量约</w:t>
      </w:r>
      <w:r>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t>46.94</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t。而</w:t>
      </w:r>
      <w:r>
        <w:rPr>
          <w:rFonts w:hint="default" w:ascii="Times New Roman" w:hAnsi="Times New Roman" w:eastAsia="宋体" w:cs="Times New Roman"/>
          <w:color w:val="000000" w:themeColor="text1"/>
          <w:kern w:val="2"/>
          <w:sz w:val="24"/>
          <w:highlight w:val="none"/>
          <w14:textFill>
            <w14:solidFill>
              <w14:schemeClr w14:val="tx1"/>
            </w14:solidFill>
          </w14:textFill>
        </w:rPr>
        <w:t>包气带中的土壤颗粒可以通过吸附、分配、离子交换</w:t>
      </w:r>
      <w:r>
        <w:rPr>
          <w:rFonts w:hint="default" w:ascii="Times New Roman" w:hAnsi="Times New Roman" w:cs="Times New Roman"/>
          <w:color w:val="000000" w:themeColor="text1"/>
          <w:kern w:val="2"/>
          <w:sz w:val="24"/>
          <w:highlight w:val="none"/>
          <w:lang w:eastAsia="zh-CN"/>
          <w14:textFill>
            <w14:solidFill>
              <w14:schemeClr w14:val="tx1"/>
            </w14:solidFill>
          </w14:textFill>
        </w:rPr>
        <w:t>、</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生物作用</w:t>
      </w:r>
      <w:r>
        <w:rPr>
          <w:rFonts w:hint="default" w:ascii="Times New Roman" w:hAnsi="Times New Roman" w:eastAsia="宋体" w:cs="Times New Roman"/>
          <w:color w:val="000000" w:themeColor="text1"/>
          <w:kern w:val="2"/>
          <w:sz w:val="24"/>
          <w:highlight w:val="none"/>
          <w14:textFill>
            <w14:solidFill>
              <w14:schemeClr w14:val="tx1"/>
            </w14:solidFill>
          </w14:textFill>
        </w:rPr>
        <w:t>等多种作用机制截留有机污染物。</w:t>
      </w:r>
      <w:r>
        <w:rPr>
          <w:rFonts w:hint="default" w:ascii="Times New Roman" w:hAnsi="Times New Roman" w:cs="Times New Roman"/>
          <w:color w:val="000000" w:themeColor="text1"/>
          <w:kern w:val="0"/>
          <w:sz w:val="24"/>
          <w:szCs w:val="22"/>
          <w:highlight w:val="none"/>
          <w14:textFill>
            <w14:solidFill>
              <w14:schemeClr w14:val="tx1"/>
            </w14:solidFill>
          </w14:textFill>
        </w:rPr>
        <w:t>根据</w:t>
      </w:r>
      <w:r>
        <w:rPr>
          <w:rFonts w:hint="default" w:ascii="Times New Roman" w:hAnsi="Times New Roman" w:cs="Times New Roman"/>
          <w:color w:val="000000" w:themeColor="text1"/>
          <w:kern w:val="0"/>
          <w:sz w:val="24"/>
          <w:szCs w:val="22"/>
          <w:highlight w:val="none"/>
          <w:lang w:val="en-US" w:eastAsia="zh-CN"/>
          <w14:textFill>
            <w14:solidFill>
              <w14:schemeClr w14:val="tx1"/>
            </w14:solidFill>
          </w14:textFill>
        </w:rPr>
        <w:t>凝析油特点，</w:t>
      </w:r>
      <w:r>
        <w:rPr>
          <w:rFonts w:hint="default" w:ascii="Times New Roman" w:hAnsi="Times New Roman" w:cs="Times New Roman"/>
          <w:color w:val="000000" w:themeColor="text1"/>
          <w:kern w:val="0"/>
          <w:sz w:val="24"/>
          <w:szCs w:val="22"/>
          <w:highlight w:val="none"/>
          <w14:textFill>
            <w14:solidFill>
              <w14:schemeClr w14:val="tx1"/>
            </w14:solidFill>
          </w14:textFill>
        </w:rPr>
        <w:t>石油类</w:t>
      </w:r>
      <w:r>
        <w:rPr>
          <w:rFonts w:hint="default" w:ascii="Times New Roman" w:hAnsi="Times New Roman" w:cs="Times New Roman"/>
          <w:color w:val="000000" w:themeColor="text1"/>
          <w:kern w:val="0"/>
          <w:sz w:val="24"/>
          <w:szCs w:val="22"/>
          <w:highlight w:val="none"/>
          <w:lang w:val="en-US" w:eastAsia="zh-CN"/>
          <w14:textFill>
            <w14:solidFill>
              <w14:schemeClr w14:val="tx1"/>
            </w14:solidFill>
          </w14:textFill>
        </w:rPr>
        <w:t>污染物</w:t>
      </w:r>
      <w:r>
        <w:rPr>
          <w:rFonts w:hint="default" w:ascii="Times New Roman" w:hAnsi="Times New Roman" w:cs="Times New Roman"/>
          <w:color w:val="000000" w:themeColor="text1"/>
          <w:kern w:val="0"/>
          <w:sz w:val="24"/>
          <w:szCs w:val="22"/>
          <w:highlight w:val="none"/>
          <w14:textFill>
            <w14:solidFill>
              <w14:schemeClr w14:val="tx1"/>
            </w14:solidFill>
          </w14:textFill>
        </w:rPr>
        <w:t>很难在土壤剖面中随水下渗迁移，基本上被截留在0~10cm或0 ~20cm 表层土壤中，其中表层0~5cm土壤截留了90%以上的输入凝析油。</w:t>
      </w:r>
      <w:r>
        <w:rPr>
          <w:rFonts w:hint="default" w:ascii="Times New Roman" w:hAnsi="Times New Roman" w:eastAsia="宋体" w:cs="Times New Roman"/>
          <w:color w:val="000000" w:themeColor="text1"/>
          <w:kern w:val="2"/>
          <w:sz w:val="24"/>
          <w:highlight w:val="none"/>
          <w14:textFill>
            <w14:solidFill>
              <w14:schemeClr w14:val="tx1"/>
            </w14:solidFill>
          </w14:textFill>
        </w:rPr>
        <w:t>本次考虑</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较</w:t>
      </w:r>
      <w:r>
        <w:rPr>
          <w:rFonts w:hint="default" w:ascii="Times New Roman" w:hAnsi="Times New Roman" w:eastAsia="宋体" w:cs="Times New Roman"/>
          <w:color w:val="000000" w:themeColor="text1"/>
          <w:kern w:val="2"/>
          <w:sz w:val="24"/>
          <w:highlight w:val="none"/>
          <w14:textFill>
            <w14:solidFill>
              <w14:schemeClr w14:val="tx1"/>
            </w14:solidFill>
          </w14:textFill>
        </w:rPr>
        <w:t>不利情况，</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按照</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的污染物10％（</w:t>
      </w:r>
      <w:r>
        <w:rPr>
          <w:rFonts w:hint="eastAsia" w:cs="Times New Roman"/>
          <w:color w:val="000000" w:themeColor="text1"/>
          <w:kern w:val="2"/>
          <w:sz w:val="24"/>
          <w:highlight w:val="none"/>
          <w:lang w:val="en-US" w:eastAsia="zh-CN"/>
          <w14:textFill>
            <w14:solidFill>
              <w14:schemeClr w14:val="tx1"/>
            </w14:solidFill>
          </w14:textFill>
        </w:rPr>
        <w:t>4.69</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）通过</w:t>
      </w:r>
      <w:r>
        <w:rPr>
          <w:rFonts w:hint="default" w:ascii="Times New Roman" w:hAnsi="Times New Roman" w:eastAsia="宋体" w:cs="Times New Roman"/>
          <w:color w:val="000000" w:themeColor="text1"/>
          <w:kern w:val="2"/>
          <w:sz w:val="24"/>
          <w:highlight w:val="none"/>
          <w14:textFill>
            <w14:solidFill>
              <w14:schemeClr w14:val="tx1"/>
            </w14:solidFill>
          </w14:textFill>
        </w:rPr>
        <w:t>地表连续入渗通过包气带土壤</w:t>
      </w:r>
      <w:r>
        <w:rPr>
          <w:rFonts w:hint="default" w:ascii="Times New Roman" w:hAnsi="Times New Roman" w:eastAsia="宋体" w:cs="Times New Roman"/>
          <w:color w:val="000000" w:themeColor="text1"/>
          <w:kern w:val="2"/>
          <w:sz w:val="24"/>
          <w:highlight w:val="none"/>
          <w:lang w:val="en-US" w:eastAsia="zh-CN"/>
          <w14:textFill>
            <w14:solidFill>
              <w14:schemeClr w14:val="tx1"/>
            </w14:solidFill>
          </w14:textFill>
        </w:rPr>
        <w:t>全部</w:t>
      </w:r>
      <w:r>
        <w:rPr>
          <w:rFonts w:hint="default" w:ascii="Times New Roman" w:hAnsi="Times New Roman" w:eastAsia="宋体" w:cs="Times New Roman"/>
          <w:color w:val="000000" w:themeColor="text1"/>
          <w:kern w:val="2"/>
          <w:sz w:val="24"/>
          <w:highlight w:val="none"/>
          <w14:textFill>
            <w14:solidFill>
              <w14:schemeClr w14:val="tx1"/>
            </w14:solidFill>
          </w14:textFill>
        </w:rPr>
        <w:t>进入到地下水含水层中，针对污染物进入到含水层后的运移进行重点预测、评价。</w:t>
      </w:r>
    </w:p>
    <w:p w14:paraId="4B35299A">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表5.2-4   水质预测模型所需参数一览表（情景2）</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706"/>
        <w:gridCol w:w="1502"/>
        <w:gridCol w:w="1035"/>
        <w:gridCol w:w="4805"/>
      </w:tblGrid>
      <w:tr w14:paraId="3D3E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tblHeader/>
          <w:jc w:val="center"/>
        </w:trPr>
        <w:tc>
          <w:tcPr>
            <w:tcW w:w="278" w:type="pct"/>
            <w:noWrap w:val="0"/>
            <w:vAlign w:val="center"/>
          </w:tcPr>
          <w:p w14:paraId="50AAE009">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序号</w:t>
            </w:r>
          </w:p>
        </w:tc>
        <w:tc>
          <w:tcPr>
            <w:tcW w:w="414" w:type="pct"/>
            <w:noWrap w:val="0"/>
            <w:vAlign w:val="center"/>
          </w:tcPr>
          <w:p w14:paraId="6E8B93AA">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参数符号</w:t>
            </w:r>
          </w:p>
        </w:tc>
        <w:tc>
          <w:tcPr>
            <w:tcW w:w="881" w:type="pct"/>
            <w:noWrap w:val="0"/>
            <w:vAlign w:val="center"/>
          </w:tcPr>
          <w:p w14:paraId="44629D96">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参数名称</w:t>
            </w:r>
          </w:p>
        </w:tc>
        <w:tc>
          <w:tcPr>
            <w:tcW w:w="607" w:type="pct"/>
            <w:noWrap w:val="0"/>
            <w:vAlign w:val="center"/>
          </w:tcPr>
          <w:p w14:paraId="5AB234FE">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参数</w:t>
            </w:r>
          </w:p>
          <w:p w14:paraId="4E4F5485">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数值</w:t>
            </w:r>
          </w:p>
        </w:tc>
        <w:tc>
          <w:tcPr>
            <w:tcW w:w="2818" w:type="pct"/>
            <w:noWrap w:val="0"/>
            <w:vAlign w:val="center"/>
          </w:tcPr>
          <w:p w14:paraId="2B2950C4">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数值来源</w:t>
            </w:r>
          </w:p>
        </w:tc>
      </w:tr>
      <w:tr w14:paraId="4905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78" w:type="pct"/>
            <w:noWrap w:val="0"/>
            <w:vAlign w:val="center"/>
          </w:tcPr>
          <w:p w14:paraId="44B43042">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1</w:t>
            </w:r>
          </w:p>
        </w:tc>
        <w:tc>
          <w:tcPr>
            <w:tcW w:w="414" w:type="pct"/>
            <w:noWrap w:val="0"/>
            <w:vAlign w:val="center"/>
          </w:tcPr>
          <w:p w14:paraId="4D5E4030">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u</w:t>
            </w:r>
          </w:p>
        </w:tc>
        <w:tc>
          <w:tcPr>
            <w:tcW w:w="881" w:type="pct"/>
            <w:noWrap w:val="0"/>
            <w:vAlign w:val="center"/>
          </w:tcPr>
          <w:p w14:paraId="0EF56948">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水流速度</w:t>
            </w:r>
          </w:p>
        </w:tc>
        <w:tc>
          <w:tcPr>
            <w:tcW w:w="607" w:type="pct"/>
            <w:noWrap w:val="0"/>
            <w:vAlign w:val="center"/>
          </w:tcPr>
          <w:p w14:paraId="1C62D73F">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0.11m/d</w:t>
            </w:r>
          </w:p>
        </w:tc>
        <w:tc>
          <w:tcPr>
            <w:tcW w:w="2818" w:type="pct"/>
            <w:noWrap w:val="0"/>
            <w:vAlign w:val="center"/>
          </w:tcPr>
          <w:p w14:paraId="18DE2040">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zh-CN"/>
                <w14:textFill>
                  <w14:solidFill>
                    <w14:schemeClr w14:val="tx1"/>
                  </w14:solidFill>
                </w14:textFill>
              </w:rPr>
              <w:t>同情景1</w:t>
            </w:r>
          </w:p>
        </w:tc>
      </w:tr>
      <w:tr w14:paraId="5FC1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78" w:type="pct"/>
            <w:noWrap w:val="0"/>
            <w:vAlign w:val="center"/>
          </w:tcPr>
          <w:p w14:paraId="5109C0E5">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2</w:t>
            </w:r>
          </w:p>
        </w:tc>
        <w:tc>
          <w:tcPr>
            <w:tcW w:w="414" w:type="pct"/>
            <w:noWrap w:val="0"/>
            <w:vAlign w:val="center"/>
          </w:tcPr>
          <w:p w14:paraId="61636B87">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r>
              <w:rPr>
                <w:rFonts w:hint="default" w:ascii="Times New Roman" w:hAnsi="Times New Roman" w:cs="Times New Roman"/>
                <w:color w:val="000000" w:themeColor="text1"/>
                <w:sz w:val="21"/>
                <w:szCs w:val="21"/>
                <w:highlight w:val="none"/>
                <w:vertAlign w:val="subscript"/>
                <w:lang w:val="zh-CN" w:bidi="zh-CN"/>
                <w14:textFill>
                  <w14:solidFill>
                    <w14:schemeClr w14:val="tx1"/>
                  </w14:solidFill>
                </w14:textFill>
              </w:rPr>
              <w:t>L</w:t>
            </w:r>
          </w:p>
        </w:tc>
        <w:tc>
          <w:tcPr>
            <w:tcW w:w="881" w:type="pct"/>
            <w:noWrap w:val="0"/>
            <w:vAlign w:val="center"/>
          </w:tcPr>
          <w:p w14:paraId="6AE3FFE4">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纵向弥散系数</w:t>
            </w:r>
          </w:p>
        </w:tc>
        <w:tc>
          <w:tcPr>
            <w:tcW w:w="607" w:type="pct"/>
            <w:noWrap w:val="0"/>
            <w:vAlign w:val="center"/>
          </w:tcPr>
          <w:p w14:paraId="070A5791">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1.1</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zh-CN" w:bidi="zh-CN"/>
                <w14:textFill>
                  <w14:solidFill>
                    <w14:schemeClr w14:val="tx1"/>
                  </w14:solidFill>
                </w14:textFill>
              </w:rPr>
              <w:t>2</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p>
        </w:tc>
        <w:tc>
          <w:tcPr>
            <w:tcW w:w="2818" w:type="pct"/>
            <w:noWrap w:val="0"/>
            <w:vAlign w:val="center"/>
          </w:tcPr>
          <w:p w14:paraId="703084E7">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zh-CN"/>
                <w14:textFill>
                  <w14:solidFill>
                    <w14:schemeClr w14:val="tx1"/>
                  </w14:solidFill>
                </w14:textFill>
              </w:rPr>
              <w:t>同情景1</w:t>
            </w:r>
          </w:p>
        </w:tc>
      </w:tr>
      <w:tr w14:paraId="4E5B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noWrap w:val="0"/>
            <w:vAlign w:val="center"/>
          </w:tcPr>
          <w:p w14:paraId="273B9722">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3</w:t>
            </w:r>
          </w:p>
        </w:tc>
        <w:tc>
          <w:tcPr>
            <w:tcW w:w="414" w:type="pct"/>
            <w:noWrap w:val="0"/>
            <w:vAlign w:val="center"/>
          </w:tcPr>
          <w:p w14:paraId="6E108BB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r>
              <w:rPr>
                <w:rFonts w:hint="default" w:ascii="Times New Roman" w:hAnsi="Times New Roman" w:cs="Times New Roman"/>
                <w:color w:val="000000" w:themeColor="text1"/>
                <w:sz w:val="21"/>
                <w:szCs w:val="21"/>
                <w:highlight w:val="none"/>
                <w:vertAlign w:val="subscript"/>
                <w:lang w:val="en-US" w:bidi="zh-CN"/>
                <w14:textFill>
                  <w14:solidFill>
                    <w14:schemeClr w14:val="tx1"/>
                  </w14:solidFill>
                </w14:textFill>
              </w:rPr>
              <w:t>T</w:t>
            </w:r>
          </w:p>
        </w:tc>
        <w:tc>
          <w:tcPr>
            <w:tcW w:w="881" w:type="pct"/>
            <w:noWrap w:val="0"/>
            <w:vAlign w:val="center"/>
          </w:tcPr>
          <w:p w14:paraId="64AFBE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横向</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弥散系数</w:t>
            </w:r>
          </w:p>
        </w:tc>
        <w:tc>
          <w:tcPr>
            <w:tcW w:w="607" w:type="pct"/>
            <w:noWrap w:val="0"/>
            <w:vAlign w:val="center"/>
          </w:tcPr>
          <w:p w14:paraId="23E5DC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0.11</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zh-CN" w:bidi="zh-CN"/>
                <w14:textFill>
                  <w14:solidFill>
                    <w14:schemeClr w14:val="tx1"/>
                  </w14:solidFill>
                </w14:textFill>
              </w:rPr>
              <w:t>2</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p>
        </w:tc>
        <w:tc>
          <w:tcPr>
            <w:tcW w:w="2818" w:type="pct"/>
            <w:noWrap w:val="0"/>
            <w:vAlign w:val="center"/>
          </w:tcPr>
          <w:p w14:paraId="4083CC1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依据美国环保署（EPA）提出的经验数据：横/纵向弥散度比（D</w:t>
            </w:r>
            <w:r>
              <w:rPr>
                <w:rFonts w:hint="default" w:ascii="Times New Roman" w:hAnsi="Times New Roman" w:cs="Times New Roman"/>
                <w:color w:val="000000" w:themeColor="text1"/>
                <w:sz w:val="21"/>
                <w:szCs w:val="21"/>
                <w:highlight w:val="none"/>
                <w:vertAlign w:val="subscript"/>
                <w:lang w:val="zh-CN" w:bidi="zh-CN"/>
                <w14:textFill>
                  <w14:solidFill>
                    <w14:schemeClr w14:val="tx1"/>
                  </w14:solidFill>
                </w14:textFill>
              </w:rPr>
              <w:t>T</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r>
              <w:rPr>
                <w:rFonts w:hint="default" w:ascii="Times New Roman" w:hAnsi="Times New Roman" w:cs="Times New Roman"/>
                <w:color w:val="000000" w:themeColor="text1"/>
                <w:sz w:val="21"/>
                <w:szCs w:val="21"/>
                <w:highlight w:val="none"/>
                <w:vertAlign w:val="subscript"/>
                <w:lang w:val="zh-CN" w:bidi="zh-CN"/>
                <w14:textFill>
                  <w14:solidFill>
                    <w14:schemeClr w14:val="tx1"/>
                  </w14:solidFill>
                </w14:textFill>
              </w:rPr>
              <w:t>L</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）一般为0.1，则横向弥散系数为0.</w:t>
            </w:r>
            <w:r>
              <w:rPr>
                <w:rFonts w:hint="default" w:ascii="Times New Roman" w:hAnsi="Times New Roman" w:cs="Times New Roman"/>
                <w:color w:val="000000" w:themeColor="text1"/>
                <w:sz w:val="21"/>
                <w:szCs w:val="21"/>
                <w:highlight w:val="none"/>
                <w:lang w:val="en-US" w:bidi="zh-CN"/>
                <w14:textFill>
                  <w14:solidFill>
                    <w14:schemeClr w14:val="tx1"/>
                  </w14:solidFill>
                </w14:textFill>
              </w:rPr>
              <w:t>11</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zh-CN" w:bidi="zh-CN"/>
                <w14:textFill>
                  <w14:solidFill>
                    <w14:schemeClr w14:val="tx1"/>
                  </w14:solidFill>
                </w14:textFill>
              </w:rPr>
              <w:t>2</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p>
        </w:tc>
      </w:tr>
      <w:tr w14:paraId="1E5B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78" w:type="pct"/>
            <w:noWrap w:val="0"/>
            <w:vAlign w:val="center"/>
          </w:tcPr>
          <w:p w14:paraId="1A186B78">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4</w:t>
            </w:r>
          </w:p>
        </w:tc>
        <w:tc>
          <w:tcPr>
            <w:tcW w:w="414" w:type="pct"/>
            <w:noWrap w:val="0"/>
            <w:vAlign w:val="center"/>
          </w:tcPr>
          <w:p w14:paraId="4F04067A">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M</w:t>
            </w:r>
          </w:p>
        </w:tc>
        <w:tc>
          <w:tcPr>
            <w:tcW w:w="881" w:type="pct"/>
            <w:noWrap w:val="0"/>
            <w:vAlign w:val="center"/>
          </w:tcPr>
          <w:p w14:paraId="3E5AA45E">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eastAsia="宋体"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含水层厚度</w:t>
            </w:r>
          </w:p>
        </w:tc>
        <w:tc>
          <w:tcPr>
            <w:tcW w:w="607" w:type="pct"/>
            <w:noWrap w:val="0"/>
            <w:vAlign w:val="center"/>
          </w:tcPr>
          <w:p w14:paraId="5CBE2A1E">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eastAsia="宋体"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m</w:t>
            </w:r>
          </w:p>
        </w:tc>
        <w:tc>
          <w:tcPr>
            <w:tcW w:w="2818" w:type="pct"/>
            <w:noWrap w:val="0"/>
            <w:vAlign w:val="center"/>
          </w:tcPr>
          <w:p w14:paraId="6D13AC0B">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eastAsia="宋体"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根据评价区水文地质资料，评价区内含水层厚度大于20m，</w:t>
            </w: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含水层越薄，模型预测的污染物运移的影响程度越严重，故按最不利原则考虑，本次含水层厚度按20m进行预测。</w:t>
            </w:r>
          </w:p>
        </w:tc>
      </w:tr>
      <w:tr w14:paraId="4D7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78" w:type="pct"/>
            <w:noWrap w:val="0"/>
            <w:vAlign w:val="center"/>
          </w:tcPr>
          <w:p w14:paraId="3DA5D3CB">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5</w:t>
            </w:r>
          </w:p>
        </w:tc>
        <w:tc>
          <w:tcPr>
            <w:tcW w:w="414" w:type="pct"/>
            <w:noWrap w:val="0"/>
            <w:vAlign w:val="center"/>
          </w:tcPr>
          <w:p w14:paraId="7FA6C3AC">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n</w:t>
            </w:r>
          </w:p>
        </w:tc>
        <w:tc>
          <w:tcPr>
            <w:tcW w:w="881" w:type="pct"/>
            <w:noWrap w:val="0"/>
            <w:vAlign w:val="center"/>
          </w:tcPr>
          <w:p w14:paraId="6BBACA64">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有效孔隙度</w:t>
            </w:r>
          </w:p>
        </w:tc>
        <w:tc>
          <w:tcPr>
            <w:tcW w:w="607" w:type="pct"/>
            <w:noWrap w:val="0"/>
            <w:vAlign w:val="center"/>
          </w:tcPr>
          <w:p w14:paraId="21630F5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32%</w:t>
            </w:r>
          </w:p>
        </w:tc>
        <w:tc>
          <w:tcPr>
            <w:tcW w:w="2818" w:type="pct"/>
            <w:noWrap w:val="0"/>
            <w:vAlign w:val="center"/>
          </w:tcPr>
          <w:p w14:paraId="07E3B7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zh-CN"/>
                <w14:textFill>
                  <w14:solidFill>
                    <w14:schemeClr w14:val="tx1"/>
                  </w14:solidFill>
                </w14:textFill>
              </w:rPr>
              <w:t>同情景1</w:t>
            </w:r>
          </w:p>
        </w:tc>
      </w:tr>
      <w:tr w14:paraId="13AE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78" w:type="pct"/>
            <w:noWrap w:val="0"/>
            <w:vAlign w:val="center"/>
          </w:tcPr>
          <w:p w14:paraId="2BABA314">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6</w:t>
            </w:r>
          </w:p>
        </w:tc>
        <w:tc>
          <w:tcPr>
            <w:tcW w:w="414" w:type="pct"/>
            <w:noWrap w:val="0"/>
            <w:vAlign w:val="center"/>
          </w:tcPr>
          <w:p w14:paraId="413E0969">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t</w:t>
            </w:r>
          </w:p>
        </w:tc>
        <w:tc>
          <w:tcPr>
            <w:tcW w:w="881" w:type="pct"/>
            <w:noWrap w:val="0"/>
            <w:vAlign w:val="center"/>
          </w:tcPr>
          <w:p w14:paraId="23A56C4C">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时间</w:t>
            </w:r>
          </w:p>
        </w:tc>
        <w:tc>
          <w:tcPr>
            <w:tcW w:w="3425" w:type="pct"/>
            <w:gridSpan w:val="2"/>
            <w:noWrap w:val="0"/>
            <w:vAlign w:val="center"/>
          </w:tcPr>
          <w:p w14:paraId="60D3F4C5">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zh-CN" w:bidi="zh-CN"/>
                <w14:textFill>
                  <w14:solidFill>
                    <w14:schemeClr w14:val="tx1"/>
                  </w14:solidFill>
                </w14:textFill>
              </w:rPr>
              <w:t>计算发生渗漏后</w:t>
            </w:r>
            <w:r>
              <w:rPr>
                <w:rFonts w:hint="default" w:ascii="Times New Roman" w:hAnsi="Times New Roman" w:cs="Times New Roman"/>
                <w:color w:val="000000" w:themeColor="text1"/>
                <w:sz w:val="21"/>
                <w:szCs w:val="21"/>
                <w:highlight w:val="none"/>
                <w:lang w:val="en-US" w:bidi="zh-CN"/>
                <w14:textFill>
                  <w14:solidFill>
                    <w14:schemeClr w14:val="tx1"/>
                  </w14:solidFill>
                </w14:textFill>
              </w:rPr>
              <w:t>1d、</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100d、</w:t>
            </w:r>
            <w:r>
              <w:rPr>
                <w:rFonts w:hint="default" w:ascii="Times New Roman" w:hAnsi="Times New Roman" w:cs="Times New Roman"/>
                <w:color w:val="000000" w:themeColor="text1"/>
                <w:sz w:val="21"/>
                <w:szCs w:val="21"/>
                <w:highlight w:val="none"/>
                <w:lang w:val="en-US" w:bidi="zh-CN"/>
                <w14:textFill>
                  <w14:solidFill>
                    <w14:schemeClr w14:val="tx1"/>
                  </w14:solidFill>
                </w14:textFill>
              </w:rPr>
              <w:t>1000</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w:t>
            </w:r>
            <w:r>
              <w:rPr>
                <w:rFonts w:hint="default" w:ascii="Times New Roman" w:hAnsi="Times New Roman" w:cs="Times New Roman"/>
                <w:color w:val="000000" w:themeColor="text1"/>
                <w:sz w:val="21"/>
                <w:szCs w:val="21"/>
                <w:highlight w:val="none"/>
                <w:lang w:val="en-US" w:bidi="zh-CN"/>
                <w14:textFill>
                  <w14:solidFill>
                    <w14:schemeClr w14:val="tx1"/>
                  </w14:solidFill>
                </w14:textFill>
              </w:rPr>
              <w:t>1825</w:t>
            </w:r>
            <w:r>
              <w:rPr>
                <w:rFonts w:hint="default" w:ascii="Times New Roman" w:hAnsi="Times New Roman" w:cs="Times New Roman"/>
                <w:color w:val="000000" w:themeColor="text1"/>
                <w:sz w:val="21"/>
                <w:szCs w:val="21"/>
                <w:highlight w:val="none"/>
                <w:lang w:val="zh-CN" w:bidi="zh-CN"/>
                <w14:textFill>
                  <w14:solidFill>
                    <w14:schemeClr w14:val="tx1"/>
                  </w14:solidFill>
                </w14:textFill>
              </w:rPr>
              <w:t>d后各预测点的浓度</w:t>
            </w:r>
          </w:p>
        </w:tc>
      </w:tr>
      <w:tr w14:paraId="659F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78" w:type="pct"/>
            <w:noWrap w:val="0"/>
            <w:vAlign w:val="center"/>
          </w:tcPr>
          <w:p w14:paraId="0C3207FE">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7</w:t>
            </w:r>
          </w:p>
        </w:tc>
        <w:tc>
          <w:tcPr>
            <w:tcW w:w="414" w:type="pct"/>
            <w:noWrap w:val="0"/>
            <w:vAlign w:val="center"/>
          </w:tcPr>
          <w:p w14:paraId="58E98F2E">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lang w:val="en-US" w:eastAsia="zh-CN" w:bidi="zh-CN"/>
                <w14:textFill>
                  <w14:solidFill>
                    <w14:schemeClr w14:val="tx1"/>
                  </w14:solidFill>
                </w14:textFill>
              </w:rPr>
              <w:t>M</w:t>
            </w:r>
          </w:p>
        </w:tc>
        <w:tc>
          <w:tcPr>
            <w:tcW w:w="881" w:type="pct"/>
            <w:noWrap w:val="0"/>
            <w:vAlign w:val="center"/>
          </w:tcPr>
          <w:p w14:paraId="7CB4491A">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eastAsia="宋体"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zh-CN"/>
                <w14:textFill>
                  <w14:solidFill>
                    <w14:schemeClr w14:val="tx1"/>
                  </w14:solidFill>
                </w14:textFill>
              </w:rPr>
              <w:t>瞬时注入污染物的质量</w:t>
            </w:r>
          </w:p>
        </w:tc>
        <w:tc>
          <w:tcPr>
            <w:tcW w:w="3425" w:type="pct"/>
            <w:gridSpan w:val="2"/>
            <w:noWrap w:val="0"/>
            <w:vAlign w:val="center"/>
          </w:tcPr>
          <w:p w14:paraId="5884A5C3">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default" w:ascii="Times New Roman" w:hAnsi="Times New Roman" w:cs="Times New Roman"/>
                <w:color w:val="000000" w:themeColor="text1"/>
                <w:sz w:val="21"/>
                <w:szCs w:val="21"/>
                <w:highlight w:val="none"/>
                <w:lang w:val="zh-CN"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根据前文计算，泄漏量取6.26t。</w:t>
            </w:r>
          </w:p>
        </w:tc>
      </w:tr>
    </w:tbl>
    <w:p w14:paraId="092726E2">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预测模型</w:t>
      </w:r>
    </w:p>
    <w:p w14:paraId="2576FC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非正常状况下，污染物运移通常可概化为两个相互衔接的过程：①污染物由地表垂直向下穿过包气带进入潜水含水层的过程</w:t>
      </w:r>
      <w:r>
        <w:rPr>
          <w:rFonts w:hint="eastAsia" w:hAnsi="宋体" w:cs="宋体"/>
          <w:color w:val="000000" w:themeColor="text1"/>
          <w:sz w:val="24"/>
          <w:szCs w:val="22"/>
          <w:highlight w:val="none"/>
          <w:lang w:eastAsia="zh-CN"/>
          <w14:textFill>
            <w14:solidFill>
              <w14:schemeClr w14:val="tx1"/>
            </w14:solidFill>
          </w14:textFill>
        </w:rPr>
        <w:t>。</w:t>
      </w:r>
      <w:r>
        <w:rPr>
          <w:rFonts w:hint="eastAsia" w:hAnsi="宋体" w:cs="宋体"/>
          <w:color w:val="000000" w:themeColor="text1"/>
          <w:sz w:val="24"/>
          <w:szCs w:val="22"/>
          <w:highlight w:val="none"/>
          <w14:textFill>
            <w14:solidFill>
              <w14:schemeClr w14:val="tx1"/>
            </w14:solidFill>
          </w14:textFill>
        </w:rPr>
        <w:t>②石油类污染物进入潜水含水层后，随地下水流进行迁移的过程。污染物在潜水含水层中随着水流不断扩散，根据</w:t>
      </w:r>
      <w:r>
        <w:rPr>
          <w:rFonts w:hint="eastAsia"/>
          <w:color w:val="000000" w:themeColor="text1"/>
          <w:sz w:val="24"/>
          <w:szCs w:val="22"/>
          <w:highlight w:val="none"/>
          <w14:textFill>
            <w14:solidFill>
              <w14:schemeClr w14:val="tx1"/>
            </w14:solidFill>
          </w14:textFill>
        </w:rPr>
        <w:t>拟建项目</w:t>
      </w:r>
      <w:r>
        <w:rPr>
          <w:rFonts w:hint="eastAsia" w:hAnsi="宋体" w:cs="宋体"/>
          <w:color w:val="000000" w:themeColor="text1"/>
          <w:sz w:val="24"/>
          <w:szCs w:val="22"/>
          <w:highlight w:val="none"/>
          <w14:textFill>
            <w14:solidFill>
              <w14:schemeClr w14:val="tx1"/>
            </w14:solidFill>
          </w14:textFill>
        </w:rPr>
        <w:t>非正常状况下污染源排放形式与排放规律，本次模型可概化为一维稳定流动二维水动力弥散问题的瞬时注入污染物</w:t>
      </w:r>
      <w:r>
        <w:rPr>
          <w:rFonts w:hAnsi="宋体" w:cs="宋体"/>
          <w:color w:val="000000" w:themeColor="text1"/>
          <w:sz w:val="24"/>
          <w:szCs w:val="22"/>
          <w:highlight w:val="none"/>
          <w14:textFill>
            <w14:solidFill>
              <w14:schemeClr w14:val="tx1"/>
            </w14:solidFill>
          </w14:textFill>
        </w:rPr>
        <w:t>—</w:t>
      </w:r>
      <w:r>
        <w:rPr>
          <w:rFonts w:hint="eastAsia" w:hAnsi="宋体" w:cs="宋体"/>
          <w:color w:val="000000" w:themeColor="text1"/>
          <w:sz w:val="24"/>
          <w:szCs w:val="22"/>
          <w:highlight w:val="none"/>
          <w14:textFill>
            <w14:solidFill>
              <w14:schemeClr w14:val="tx1"/>
            </w14:solidFill>
          </w14:textFill>
        </w:rPr>
        <w:t>平面瞬时</w:t>
      </w:r>
      <w:r>
        <w:rPr>
          <w:rFonts w:hint="eastAsia" w:hAnsi="宋体"/>
          <w:color w:val="000000" w:themeColor="text1"/>
          <w:sz w:val="24"/>
          <w:szCs w:val="22"/>
          <w:highlight w:val="none"/>
          <w14:textFill>
            <w14:solidFill>
              <w14:schemeClr w14:val="tx1"/>
            </w14:solidFill>
          </w14:textFill>
        </w:rPr>
        <w:t>点源的预测模型，其主要假设条件为：</w:t>
      </w:r>
    </w:p>
    <w:p w14:paraId="070B24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a.假定含水层等厚，均质，并在平面无限分布，含水层的厚度、宽度和长度比可忽略；</w:t>
      </w:r>
    </w:p>
    <w:p w14:paraId="75156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b.假定定量的定浓度的污水，在极短时间内注入整个含水层的厚度范围；</w:t>
      </w:r>
    </w:p>
    <w:p w14:paraId="0B116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c.污水的注入对含水层内的天然流场不产生影响。</w:t>
      </w:r>
    </w:p>
    <w:p w14:paraId="3CE318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根据《环境影响评价技术导则 地下水环境》</w:t>
      </w:r>
      <w:r>
        <w:rPr>
          <w:rFonts w:hint="eastAsia" w:hAnsi="宋体" w:cs="宋体"/>
          <w:color w:val="000000" w:themeColor="text1"/>
          <w:sz w:val="24"/>
          <w:szCs w:val="22"/>
          <w:highlight w:val="none"/>
          <w:lang w:eastAsia="zh-CN"/>
          <w14:textFill>
            <w14:solidFill>
              <w14:schemeClr w14:val="tx1"/>
            </w14:solidFill>
          </w14:textFill>
        </w:rPr>
        <w:t>（</w:t>
      </w:r>
      <w:r>
        <w:rPr>
          <w:rFonts w:hint="eastAsia" w:hAnsi="宋体" w:cs="宋体"/>
          <w:color w:val="000000" w:themeColor="text1"/>
          <w:sz w:val="24"/>
          <w:szCs w:val="22"/>
          <w:highlight w:val="none"/>
          <w14:textFill>
            <w14:solidFill>
              <w14:schemeClr w14:val="tx1"/>
            </w14:solidFill>
          </w14:textFill>
        </w:rPr>
        <w:t>HJ610-2016</w:t>
      </w:r>
      <w:r>
        <w:rPr>
          <w:rFonts w:hint="eastAsia" w:hAnsi="宋体" w:cs="宋体"/>
          <w:color w:val="000000" w:themeColor="text1"/>
          <w:sz w:val="24"/>
          <w:szCs w:val="22"/>
          <w:highlight w:val="none"/>
          <w:lang w:eastAsia="zh-CN"/>
          <w14:textFill>
            <w14:solidFill>
              <w14:schemeClr w14:val="tx1"/>
            </w14:solidFill>
          </w14:textFill>
        </w:rPr>
        <w:t>）</w:t>
      </w:r>
      <w:r>
        <w:rPr>
          <w:rFonts w:hint="eastAsia" w:hAnsi="宋体" w:cs="宋体"/>
          <w:color w:val="000000" w:themeColor="text1"/>
          <w:sz w:val="24"/>
          <w:szCs w:val="22"/>
          <w:highlight w:val="none"/>
          <w14:textFill>
            <w14:solidFill>
              <w14:schemeClr w14:val="tx1"/>
            </w14:solidFill>
          </w14:textFill>
        </w:rPr>
        <w:t>，一维稳定流动二维水动力弥散问题的瞬时注入示踪剂—平面瞬时点源的预测模型为：</w:t>
      </w:r>
    </w:p>
    <w:p w14:paraId="71BB2C33">
      <w:pPr>
        <w:topLinePunct/>
        <w:ind w:firstLine="48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pict>
          <v:shape id="_x0000_s1027" o:spid="_x0000_s1027" o:spt="75" type="#_x0000_t75" style="position:absolute;left:0pt;margin-left:113.05pt;margin-top:11pt;height:38.25pt;width:204pt;z-index:-251623424;mso-width-relative:page;mso-height-relative:page;" o:ole="t" filled="f" o:preferrelative="t" stroked="f" coordsize="21600,21600">
            <v:path/>
            <v:fill on="f" focussize="0,0"/>
            <v:stroke on="f"/>
            <v:imagedata r:id="rId29" o:title=""/>
            <o:lock v:ext="edit" aspectratio="t"/>
          </v:shape>
          <o:OLEObject Type="Embed" ProgID="" ShapeID="_x0000_s1027" DrawAspect="Content" ObjectID="_1468075725" r:id="rId28">
            <o:LockedField>false</o:LockedField>
          </o:OLEObject>
        </w:pict>
      </w:r>
    </w:p>
    <w:p w14:paraId="2D904926">
      <w:pPr>
        <w:rPr>
          <w:rFonts w:hint="eastAsia" w:hAnsi="宋体" w:cs="宋体"/>
          <w:color w:val="000000" w:themeColor="text1"/>
          <w:highlight w:val="none"/>
          <w14:textFill>
            <w14:solidFill>
              <w14:schemeClr w14:val="tx1"/>
            </w14:solidFill>
          </w14:textFill>
        </w:rPr>
      </w:pPr>
    </w:p>
    <w:p w14:paraId="1814D9F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hAnsi="宋体" w:cs="宋体"/>
          <w:color w:val="000000" w:themeColor="text1"/>
          <w:sz w:val="24"/>
          <w:szCs w:val="22"/>
          <w:highlight w:val="none"/>
          <w14:textFill>
            <w14:solidFill>
              <w14:schemeClr w14:val="tx1"/>
            </w14:solidFill>
          </w14:textFill>
        </w:rPr>
      </w:pPr>
    </w:p>
    <w:p w14:paraId="5023F7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式中：</w:t>
      </w:r>
      <w:r>
        <w:rPr>
          <w:rFonts w:hint="eastAsia"/>
          <w:color w:val="000000" w:themeColor="text1"/>
          <w:sz w:val="24"/>
          <w:szCs w:val="22"/>
          <w:highlight w:val="none"/>
          <w14:textFill>
            <w14:solidFill>
              <w14:schemeClr w14:val="tx1"/>
            </w14:solidFill>
          </w14:textFill>
        </w:rPr>
        <w:t>x，y</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计算点处的位置坐标；</w:t>
      </w:r>
    </w:p>
    <w:p w14:paraId="2D09AD16">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时间，d；</w:t>
      </w:r>
    </w:p>
    <w:p w14:paraId="2B1F411A">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C</w:t>
      </w:r>
      <w:r>
        <w:rPr>
          <w:rFonts w:hint="eastAsia"/>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14:textFill>
            <w14:solidFill>
              <w14:schemeClr w14:val="tx1"/>
            </w14:solidFill>
          </w14:textFill>
        </w:rPr>
        <w:t>x，y，t</w:t>
      </w:r>
      <w:r>
        <w:rPr>
          <w:rFonts w:hint="eastAsia"/>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t时刻点x，y处的污染物浓度，m</w:t>
      </w:r>
      <w:r>
        <w:rPr>
          <w:rFonts w:hint="eastAsia"/>
          <w:color w:val="000000" w:themeColor="text1"/>
          <w:sz w:val="24"/>
          <w:szCs w:val="22"/>
          <w:highlight w:val="none"/>
          <w:lang w:eastAsia="zh-CN"/>
          <w14:textFill>
            <w14:solidFill>
              <w14:schemeClr w14:val="tx1"/>
            </w14:solidFill>
          </w14:textFill>
        </w:rPr>
        <w:t>g/L</w:t>
      </w:r>
      <w:bookmarkStart w:id="989" w:name="OLE_LINK1487"/>
      <w:r>
        <w:rPr>
          <w:rFonts w:hint="eastAsia"/>
          <w:color w:val="000000" w:themeColor="text1"/>
          <w:sz w:val="24"/>
          <w:szCs w:val="22"/>
          <w:highlight w:val="none"/>
          <w14:textFill>
            <w14:solidFill>
              <w14:schemeClr w14:val="tx1"/>
            </w14:solidFill>
          </w14:textFill>
        </w:rPr>
        <w:t>；</w:t>
      </w:r>
      <w:bookmarkEnd w:id="989"/>
    </w:p>
    <w:p w14:paraId="0C297031">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M</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含水层厚度，m；评价区域含水层厚度；</w:t>
      </w:r>
    </w:p>
    <w:p w14:paraId="5F24DE12">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m</w:t>
      </w:r>
      <w:r>
        <w:rPr>
          <w:rFonts w:hint="eastAsia"/>
          <w:color w:val="000000" w:themeColor="text1"/>
          <w:sz w:val="24"/>
          <w:szCs w:val="22"/>
          <w:highlight w:val="none"/>
          <w:vertAlign w:val="subscript"/>
          <w14:textFill>
            <w14:solidFill>
              <w14:schemeClr w14:val="tx1"/>
            </w14:solidFill>
          </w14:textFill>
        </w:rPr>
        <w:t>M</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长度为M的线源瞬时注入污染物的质量，kg；</w:t>
      </w:r>
    </w:p>
    <w:p w14:paraId="0B42C333">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Ansi="宋体"/>
          <w:color w:val="000000" w:themeColor="text1"/>
          <w:sz w:val="24"/>
          <w:szCs w:val="22"/>
          <w:highlight w:val="none"/>
          <w14:textFill>
            <w14:solidFill>
              <w14:schemeClr w14:val="tx1"/>
            </w14:solidFill>
          </w14:textFill>
        </w:rPr>
        <w:t>u</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hAnsi="宋体"/>
          <w:color w:val="000000" w:themeColor="text1"/>
          <w:sz w:val="24"/>
          <w:szCs w:val="22"/>
          <w:highlight w:val="none"/>
          <w14:textFill>
            <w14:solidFill>
              <w14:schemeClr w14:val="tx1"/>
            </w14:solidFill>
          </w14:textFill>
        </w:rPr>
        <w:t>地下水流速度，</w:t>
      </w:r>
      <w:r>
        <w:rPr>
          <w:rFonts w:hAnsi="宋体"/>
          <w:color w:val="000000" w:themeColor="text1"/>
          <w:sz w:val="24"/>
          <w:szCs w:val="22"/>
          <w:highlight w:val="none"/>
          <w14:textFill>
            <w14:solidFill>
              <w14:schemeClr w14:val="tx1"/>
            </w14:solidFill>
          </w14:textFill>
        </w:rPr>
        <w:t>m/d</w:t>
      </w:r>
      <w:r>
        <w:rPr>
          <w:rFonts w:hint="eastAsia"/>
          <w:color w:val="000000" w:themeColor="text1"/>
          <w:sz w:val="24"/>
          <w:szCs w:val="22"/>
          <w:highlight w:val="none"/>
          <w14:textFill>
            <w14:solidFill>
              <w14:schemeClr w14:val="tx1"/>
            </w14:solidFill>
          </w14:textFill>
        </w:rPr>
        <w:t>；</w:t>
      </w:r>
    </w:p>
    <w:p w14:paraId="246512EA">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n</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有效孔隙度，无量纲；</w:t>
      </w:r>
    </w:p>
    <w:p w14:paraId="672B37DC">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D</w:t>
      </w:r>
      <w:r>
        <w:rPr>
          <w:rFonts w:hint="eastAsia"/>
          <w:color w:val="000000" w:themeColor="text1"/>
          <w:sz w:val="24"/>
          <w:szCs w:val="22"/>
          <w:highlight w:val="none"/>
          <w:vertAlign w:val="subscript"/>
          <w14:textFill>
            <w14:solidFill>
              <w14:schemeClr w14:val="tx1"/>
            </w14:solidFill>
          </w14:textFill>
        </w:rPr>
        <w:t>L</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纵向弥散系数，m</w:t>
      </w:r>
      <w:r>
        <w:rPr>
          <w:rFonts w:hint="eastAsia"/>
          <w:color w:val="000000" w:themeColor="text1"/>
          <w:sz w:val="24"/>
          <w:szCs w:val="22"/>
          <w:highlight w:val="none"/>
          <w:vertAlign w:val="superscript"/>
          <w14:textFill>
            <w14:solidFill>
              <w14:schemeClr w14:val="tx1"/>
            </w14:solidFill>
          </w14:textFill>
        </w:rPr>
        <w:t>2</w:t>
      </w:r>
      <w:r>
        <w:rPr>
          <w:rFonts w:hint="eastAsia"/>
          <w:color w:val="000000" w:themeColor="text1"/>
          <w:sz w:val="24"/>
          <w:szCs w:val="22"/>
          <w:highlight w:val="none"/>
          <w14:textFill>
            <w14:solidFill>
              <w14:schemeClr w14:val="tx1"/>
            </w14:solidFill>
          </w14:textFill>
        </w:rPr>
        <w:t>/d；</w:t>
      </w:r>
    </w:p>
    <w:p w14:paraId="0F829D4A">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D</w:t>
      </w:r>
      <w:r>
        <w:rPr>
          <w:rFonts w:hint="eastAsia"/>
          <w:color w:val="000000" w:themeColor="text1"/>
          <w:sz w:val="24"/>
          <w:szCs w:val="22"/>
          <w:highlight w:val="none"/>
          <w:vertAlign w:val="subscript"/>
          <w14:textFill>
            <w14:solidFill>
              <w14:schemeClr w14:val="tx1"/>
            </w14:solidFill>
          </w14:textFill>
        </w:rPr>
        <w:t>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横向y方向的弥散系数，m</w:t>
      </w:r>
      <w:r>
        <w:rPr>
          <w:rFonts w:hint="eastAsia"/>
          <w:color w:val="000000" w:themeColor="text1"/>
          <w:sz w:val="24"/>
          <w:szCs w:val="22"/>
          <w:highlight w:val="none"/>
          <w:vertAlign w:val="superscript"/>
          <w14:textFill>
            <w14:solidFill>
              <w14:schemeClr w14:val="tx1"/>
            </w14:solidFill>
          </w14:textFill>
        </w:rPr>
        <w:t>2</w:t>
      </w:r>
      <w:r>
        <w:rPr>
          <w:rFonts w:hint="eastAsia"/>
          <w:color w:val="000000" w:themeColor="text1"/>
          <w:sz w:val="24"/>
          <w:szCs w:val="22"/>
          <w:highlight w:val="none"/>
          <w14:textFill>
            <w14:solidFill>
              <w14:schemeClr w14:val="tx1"/>
            </w14:solidFill>
          </w14:textFill>
        </w:rPr>
        <w:t>/d；</w:t>
      </w:r>
    </w:p>
    <w:p w14:paraId="24519354">
      <w:pPr>
        <w:keepNext w:val="0"/>
        <w:keepLines w:val="0"/>
        <w:pageBreakBefore w:val="0"/>
        <w:widowControl w:val="0"/>
        <w:kinsoku/>
        <w:wordWrap/>
        <w:overflowPunct w:val="0"/>
        <w:topLinePunct w:val="0"/>
        <w:autoSpaceDE/>
        <w:autoSpaceDN/>
        <w:bidi w:val="0"/>
        <w:adjustRightInd/>
        <w:snapToGrid/>
        <w:spacing w:line="360" w:lineRule="auto"/>
        <w:ind w:firstLine="1200" w:firstLineChars="5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π</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hint="eastAsia"/>
          <w:color w:val="000000" w:themeColor="text1"/>
          <w:sz w:val="24"/>
          <w:szCs w:val="22"/>
          <w:highlight w:val="none"/>
          <w14:textFill>
            <w14:solidFill>
              <w14:schemeClr w14:val="tx1"/>
            </w14:solidFill>
          </w14:textFill>
        </w:rPr>
        <w:t>圆周率。</w:t>
      </w:r>
    </w:p>
    <w:p w14:paraId="04EABD49">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⑤预测结果与分析</w:t>
      </w:r>
    </w:p>
    <w:p w14:paraId="2C0F2682">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将以上确定的参数代入模型，便可以求出不同时段，石油类在预测情景下，不同天数（</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天</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100</w:t>
      </w:r>
      <w:bookmarkStart w:id="990" w:name="OLE_LINK1488"/>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天</w:t>
      </w:r>
      <w:bookmarkEnd w:id="990"/>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、1000天、</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1825</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天）时，污染物在含水层不同位置的浓度分布情况。具体见表</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5.2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，图</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5.2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4~5.2-7</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p>
    <w:p w14:paraId="6A1D8D9C">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表5.</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2-5</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 xml:space="preserve"> 在非正常状况下石油类在潜水含水层中运移情况一览表（</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情景2</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641"/>
        <w:gridCol w:w="1642"/>
        <w:gridCol w:w="1291"/>
        <w:gridCol w:w="1470"/>
        <w:gridCol w:w="1649"/>
      </w:tblGrid>
      <w:tr w14:paraId="2DEA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5" w:type="pct"/>
            <w:tcBorders>
              <w:tl2br w:val="nil"/>
              <w:tr2bl w:val="nil"/>
            </w:tcBorders>
            <w:noWrap w:val="0"/>
            <w:vAlign w:val="center"/>
          </w:tcPr>
          <w:p w14:paraId="505180B8">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预测</w:t>
            </w:r>
          </w:p>
          <w:p w14:paraId="522366E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时间</w:t>
            </w:r>
          </w:p>
        </w:tc>
        <w:tc>
          <w:tcPr>
            <w:tcW w:w="963" w:type="pct"/>
            <w:tcBorders>
              <w:tl2br w:val="nil"/>
              <w:tr2bl w:val="nil"/>
            </w:tcBorders>
            <w:noWrap w:val="0"/>
            <w:vAlign w:val="center"/>
          </w:tcPr>
          <w:p w14:paraId="0A9D5F2F">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超标面积（m</w:t>
            </w:r>
            <w:r>
              <w:rPr>
                <w:rFonts w:hint="default" w:ascii="Times New Roman" w:hAnsi="Times New Roman" w:eastAsia="宋体" w:cs="Times New Roman"/>
                <w:color w:val="000000" w:themeColor="text1"/>
                <w:spacing w:val="-1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w:t>
            </w:r>
          </w:p>
        </w:tc>
        <w:tc>
          <w:tcPr>
            <w:tcW w:w="963" w:type="pct"/>
            <w:tcBorders>
              <w:tl2br w:val="nil"/>
              <w:tr2bl w:val="nil"/>
            </w:tcBorders>
            <w:noWrap w:val="0"/>
            <w:vAlign w:val="center"/>
          </w:tcPr>
          <w:p w14:paraId="0419AA29">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影响面积（m</w:t>
            </w:r>
            <w:r>
              <w:rPr>
                <w:rFonts w:hint="default" w:ascii="Times New Roman" w:hAnsi="Times New Roman" w:eastAsia="宋体" w:cs="Times New Roman"/>
                <w:color w:val="000000" w:themeColor="text1"/>
                <w:spacing w:val="-1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w:t>
            </w:r>
          </w:p>
        </w:tc>
        <w:tc>
          <w:tcPr>
            <w:tcW w:w="757" w:type="pct"/>
            <w:tcBorders>
              <w:tl2br w:val="nil"/>
              <w:tr2bl w:val="nil"/>
            </w:tcBorders>
            <w:noWrap w:val="0"/>
            <w:vAlign w:val="center"/>
          </w:tcPr>
          <w:p w14:paraId="66A5F001">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超标距离</w:t>
            </w:r>
          </w:p>
          <w:p w14:paraId="40124EC1">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m</w:t>
            </w:r>
            <w:r>
              <w:rPr>
                <w:rFonts w:hint="eastAsia" w:cs="Times New Roman"/>
                <w:color w:val="000000" w:themeColor="text1"/>
                <w:spacing w:val="-10"/>
                <w:sz w:val="21"/>
                <w:szCs w:val="21"/>
                <w:highlight w:val="none"/>
                <w:lang w:val="en-US" w:eastAsia="zh-CN"/>
                <w14:textFill>
                  <w14:solidFill>
                    <w14:schemeClr w14:val="tx1"/>
                  </w14:solidFill>
                </w14:textFill>
              </w:rPr>
              <w:t>)</w:t>
            </w:r>
          </w:p>
        </w:tc>
        <w:tc>
          <w:tcPr>
            <w:tcW w:w="862" w:type="pct"/>
            <w:tcBorders>
              <w:tl2br w:val="nil"/>
              <w:tr2bl w:val="nil"/>
            </w:tcBorders>
            <w:noWrap w:val="0"/>
            <w:vAlign w:val="center"/>
          </w:tcPr>
          <w:p w14:paraId="57FE2DE9">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影响距离（m）</w:t>
            </w:r>
          </w:p>
        </w:tc>
        <w:tc>
          <w:tcPr>
            <w:tcW w:w="967" w:type="pct"/>
            <w:tcBorders>
              <w:tl2br w:val="nil"/>
              <w:tr2bl w:val="nil"/>
            </w:tcBorders>
            <w:noWrap w:val="0"/>
            <w:vAlign w:val="center"/>
          </w:tcPr>
          <w:p w14:paraId="735C1937">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影响范围内</w:t>
            </w:r>
          </w:p>
          <w:p w14:paraId="06442A0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水环境敏感点</w:t>
            </w:r>
          </w:p>
        </w:tc>
      </w:tr>
      <w:tr w14:paraId="7A15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5" w:type="pct"/>
            <w:tcBorders>
              <w:tl2br w:val="nil"/>
              <w:tr2bl w:val="nil"/>
            </w:tcBorders>
            <w:noWrap w:val="0"/>
            <w:vAlign w:val="center"/>
          </w:tcPr>
          <w:p w14:paraId="6F63CD6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1d</w:t>
            </w:r>
          </w:p>
        </w:tc>
        <w:tc>
          <w:tcPr>
            <w:tcW w:w="963" w:type="pct"/>
            <w:tcBorders>
              <w:tl2br w:val="nil"/>
              <w:tr2bl w:val="nil"/>
            </w:tcBorders>
            <w:noWrap w:val="0"/>
            <w:vAlign w:val="center"/>
          </w:tcPr>
          <w:p w14:paraId="3676491E">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64.99</w:t>
            </w:r>
          </w:p>
        </w:tc>
        <w:tc>
          <w:tcPr>
            <w:tcW w:w="963" w:type="pct"/>
            <w:tcBorders>
              <w:tl2br w:val="nil"/>
              <w:tr2bl w:val="nil"/>
            </w:tcBorders>
            <w:noWrap w:val="0"/>
            <w:vAlign w:val="center"/>
          </w:tcPr>
          <w:p w14:paraId="1A96B0F8">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72.58</w:t>
            </w:r>
          </w:p>
        </w:tc>
        <w:tc>
          <w:tcPr>
            <w:tcW w:w="757" w:type="pct"/>
            <w:tcBorders>
              <w:tl2br w:val="nil"/>
              <w:tr2bl w:val="nil"/>
            </w:tcBorders>
            <w:noWrap w:val="0"/>
            <w:vAlign w:val="center"/>
          </w:tcPr>
          <w:p w14:paraId="56FB73E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8.3</w:t>
            </w:r>
          </w:p>
        </w:tc>
        <w:tc>
          <w:tcPr>
            <w:tcW w:w="862" w:type="pct"/>
            <w:tcBorders>
              <w:tl2br w:val="nil"/>
              <w:tr2bl w:val="nil"/>
            </w:tcBorders>
            <w:noWrap w:val="0"/>
            <w:vAlign w:val="center"/>
          </w:tcPr>
          <w:p w14:paraId="71E8C3C8">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8.7</w:t>
            </w:r>
          </w:p>
        </w:tc>
        <w:tc>
          <w:tcPr>
            <w:tcW w:w="967" w:type="pct"/>
            <w:tcBorders>
              <w:tl2br w:val="nil"/>
              <w:tr2bl w:val="nil"/>
            </w:tcBorders>
            <w:noWrap w:val="0"/>
            <w:vAlign w:val="center"/>
          </w:tcPr>
          <w:p w14:paraId="7BC42C6E">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无</w:t>
            </w:r>
          </w:p>
        </w:tc>
      </w:tr>
      <w:tr w14:paraId="2D74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tcBorders>
              <w:tl2br w:val="nil"/>
              <w:tr2bl w:val="nil"/>
            </w:tcBorders>
            <w:noWrap w:val="0"/>
            <w:vAlign w:val="center"/>
          </w:tcPr>
          <w:p w14:paraId="1BF24D78">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100d</w:t>
            </w:r>
          </w:p>
        </w:tc>
        <w:tc>
          <w:tcPr>
            <w:tcW w:w="963" w:type="pct"/>
            <w:tcBorders>
              <w:tl2br w:val="nil"/>
              <w:tr2bl w:val="nil"/>
            </w:tcBorders>
            <w:noWrap w:val="0"/>
            <w:vAlign w:val="center"/>
          </w:tcPr>
          <w:p w14:paraId="159D5578">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4546.61</w:t>
            </w:r>
          </w:p>
        </w:tc>
        <w:tc>
          <w:tcPr>
            <w:tcW w:w="963" w:type="pct"/>
            <w:tcBorders>
              <w:tl2br w:val="nil"/>
              <w:tr2bl w:val="nil"/>
            </w:tcBorders>
            <w:noWrap w:val="0"/>
            <w:vAlign w:val="center"/>
          </w:tcPr>
          <w:p w14:paraId="07C8092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5311.24</w:t>
            </w:r>
          </w:p>
        </w:tc>
        <w:tc>
          <w:tcPr>
            <w:tcW w:w="757" w:type="pct"/>
            <w:tcBorders>
              <w:tl2br w:val="nil"/>
              <w:tr2bl w:val="nil"/>
            </w:tcBorders>
            <w:noWrap w:val="0"/>
            <w:vAlign w:val="center"/>
          </w:tcPr>
          <w:p w14:paraId="241213B2">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80</w:t>
            </w:r>
          </w:p>
        </w:tc>
        <w:tc>
          <w:tcPr>
            <w:tcW w:w="862" w:type="pct"/>
            <w:tcBorders>
              <w:tl2br w:val="nil"/>
              <w:tr2bl w:val="nil"/>
            </w:tcBorders>
            <w:noWrap w:val="0"/>
            <w:vAlign w:val="center"/>
          </w:tcPr>
          <w:p w14:paraId="3C877F7B">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86</w:t>
            </w:r>
          </w:p>
        </w:tc>
        <w:tc>
          <w:tcPr>
            <w:tcW w:w="967" w:type="pct"/>
            <w:tcBorders>
              <w:tl2br w:val="nil"/>
              <w:tr2bl w:val="nil"/>
            </w:tcBorders>
            <w:noWrap w:val="0"/>
            <w:vAlign w:val="center"/>
          </w:tcPr>
          <w:p w14:paraId="18FC0329">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无</w:t>
            </w:r>
          </w:p>
        </w:tc>
      </w:tr>
      <w:tr w14:paraId="5852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5" w:type="pct"/>
            <w:tcBorders>
              <w:tl2br w:val="nil"/>
              <w:tr2bl w:val="nil"/>
            </w:tcBorders>
            <w:noWrap w:val="0"/>
            <w:vAlign w:val="center"/>
          </w:tcPr>
          <w:p w14:paraId="0C44FBE6">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1000d</w:t>
            </w:r>
          </w:p>
        </w:tc>
        <w:tc>
          <w:tcPr>
            <w:tcW w:w="963" w:type="pct"/>
            <w:tcBorders>
              <w:tl2br w:val="nil"/>
              <w:tr2bl w:val="nil"/>
            </w:tcBorders>
            <w:noWrap w:val="0"/>
            <w:vAlign w:val="center"/>
          </w:tcPr>
          <w:p w14:paraId="5E74A674">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35682.78</w:t>
            </w:r>
          </w:p>
        </w:tc>
        <w:tc>
          <w:tcPr>
            <w:tcW w:w="963" w:type="pct"/>
            <w:tcBorders>
              <w:tl2br w:val="nil"/>
              <w:tr2bl w:val="nil"/>
            </w:tcBorders>
            <w:noWrap w:val="0"/>
            <w:vAlign w:val="center"/>
          </w:tcPr>
          <w:p w14:paraId="4D9008D0">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42270.37</w:t>
            </w:r>
          </w:p>
        </w:tc>
        <w:tc>
          <w:tcPr>
            <w:tcW w:w="757" w:type="pct"/>
            <w:tcBorders>
              <w:tl2br w:val="nil"/>
              <w:tr2bl w:val="nil"/>
            </w:tcBorders>
            <w:noWrap w:val="0"/>
            <w:vAlign w:val="center"/>
          </w:tcPr>
          <w:p w14:paraId="131FFF66">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295</w:t>
            </w:r>
          </w:p>
        </w:tc>
        <w:tc>
          <w:tcPr>
            <w:tcW w:w="862" w:type="pct"/>
            <w:tcBorders>
              <w:tl2br w:val="nil"/>
              <w:tr2bl w:val="nil"/>
            </w:tcBorders>
            <w:noWrap w:val="0"/>
            <w:vAlign w:val="center"/>
          </w:tcPr>
          <w:p w14:paraId="25D68971">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320</w:t>
            </w:r>
          </w:p>
        </w:tc>
        <w:tc>
          <w:tcPr>
            <w:tcW w:w="967" w:type="pct"/>
            <w:tcBorders>
              <w:tl2br w:val="nil"/>
              <w:tr2bl w:val="nil"/>
            </w:tcBorders>
            <w:noWrap w:val="0"/>
            <w:vAlign w:val="center"/>
          </w:tcPr>
          <w:p w14:paraId="0F2FAA2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无</w:t>
            </w:r>
          </w:p>
        </w:tc>
      </w:tr>
      <w:tr w14:paraId="5C6B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5" w:type="pct"/>
            <w:tcBorders>
              <w:tl2br w:val="nil"/>
              <w:tr2bl w:val="nil"/>
            </w:tcBorders>
            <w:noWrap w:val="0"/>
            <w:vAlign w:val="center"/>
          </w:tcPr>
          <w:p w14:paraId="2627A0E6">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1825</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d</w:t>
            </w:r>
          </w:p>
        </w:tc>
        <w:tc>
          <w:tcPr>
            <w:tcW w:w="963" w:type="pct"/>
            <w:tcBorders>
              <w:tl2br w:val="nil"/>
              <w:tr2bl w:val="nil"/>
            </w:tcBorders>
            <w:noWrap w:val="0"/>
            <w:vAlign w:val="center"/>
          </w:tcPr>
          <w:p w14:paraId="785133F9">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60386.24</w:t>
            </w:r>
          </w:p>
        </w:tc>
        <w:tc>
          <w:tcPr>
            <w:tcW w:w="963" w:type="pct"/>
            <w:tcBorders>
              <w:tl2br w:val="nil"/>
              <w:tr2bl w:val="nil"/>
            </w:tcBorders>
            <w:noWrap w:val="0"/>
            <w:vAlign w:val="center"/>
          </w:tcPr>
          <w:p w14:paraId="1FBEDEAC">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73561.42</w:t>
            </w:r>
          </w:p>
        </w:tc>
        <w:tc>
          <w:tcPr>
            <w:tcW w:w="757" w:type="pct"/>
            <w:tcBorders>
              <w:tl2br w:val="nil"/>
              <w:tr2bl w:val="nil"/>
            </w:tcBorders>
            <w:noWrap w:val="0"/>
            <w:vAlign w:val="center"/>
          </w:tcPr>
          <w:p w14:paraId="3CD3D653">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435</w:t>
            </w:r>
          </w:p>
        </w:tc>
        <w:tc>
          <w:tcPr>
            <w:tcW w:w="862" w:type="pct"/>
            <w:tcBorders>
              <w:tl2br w:val="nil"/>
              <w:tr2bl w:val="nil"/>
            </w:tcBorders>
            <w:noWrap w:val="0"/>
            <w:vAlign w:val="center"/>
          </w:tcPr>
          <w:p w14:paraId="7EBB9E9B">
            <w:pPr>
              <w:keepNext w:val="0"/>
              <w:keepLines w:val="0"/>
              <w:pageBreakBefore w:val="0"/>
              <w:widowControl w:val="0"/>
              <w:suppressLineNumbers w:val="0"/>
              <w:kinsoku/>
              <w:wordWrap/>
              <w:overflowPunct/>
              <w:topLinePunct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460</w:t>
            </w:r>
          </w:p>
        </w:tc>
        <w:tc>
          <w:tcPr>
            <w:tcW w:w="967" w:type="pct"/>
            <w:tcBorders>
              <w:tl2br w:val="nil"/>
              <w:tr2bl w:val="nil"/>
            </w:tcBorders>
            <w:noWrap w:val="0"/>
            <w:vAlign w:val="center"/>
          </w:tcPr>
          <w:p w14:paraId="2FDC608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无</w:t>
            </w:r>
          </w:p>
        </w:tc>
      </w:tr>
    </w:tbl>
    <w:p w14:paraId="3376CB95">
      <w:pPr>
        <w:keepNext w:val="0"/>
        <w:keepLines w:val="0"/>
        <w:pageBreakBefore w:val="0"/>
        <w:widowControl w:val="0"/>
        <w:kinsoku/>
        <w:wordWrap/>
        <w:overflowPunct/>
        <w:topLinePunct w:val="0"/>
        <w:bidi w:val="0"/>
        <w:adjustRightInd w:val="0"/>
        <w:snapToGrid w:val="0"/>
        <w:spacing w:line="240" w:lineRule="auto"/>
        <w:jc w:val="both"/>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5269865" cy="3587750"/>
            <wp:effectExtent l="9525" t="9525" r="16510" b="22225"/>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30"/>
                    <a:stretch>
                      <a:fillRect/>
                    </a:stretch>
                  </pic:blipFill>
                  <pic:spPr>
                    <a:xfrm>
                      <a:off x="0" y="0"/>
                      <a:ext cx="5269865" cy="3587750"/>
                    </a:xfrm>
                    <a:prstGeom prst="rect">
                      <a:avLst/>
                    </a:prstGeom>
                    <a:noFill/>
                    <a:ln>
                      <a:solidFill>
                        <a:schemeClr val="tx1"/>
                      </a:solidFill>
                    </a:ln>
                  </pic:spPr>
                </pic:pic>
              </a:graphicData>
            </a:graphic>
          </wp:inline>
        </w:drawing>
      </w:r>
    </w:p>
    <w:p w14:paraId="7B92BDA6">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图</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4</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 情景2</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天石油类污染晕运移</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分布</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图</w:t>
      </w:r>
    </w:p>
    <w:p w14:paraId="28266EAE">
      <w:pPr>
        <w:pStyle w:val="19"/>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5273040" cy="3310255"/>
            <wp:effectExtent l="9525" t="9525" r="13335" b="1397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31"/>
                    <a:stretch>
                      <a:fillRect/>
                    </a:stretch>
                  </pic:blipFill>
                  <pic:spPr>
                    <a:xfrm>
                      <a:off x="0" y="0"/>
                      <a:ext cx="5273040" cy="3310255"/>
                    </a:xfrm>
                    <a:prstGeom prst="rect">
                      <a:avLst/>
                    </a:prstGeom>
                    <a:noFill/>
                    <a:ln>
                      <a:solidFill>
                        <a:schemeClr val="tx1"/>
                      </a:solidFill>
                    </a:ln>
                  </pic:spPr>
                </pic:pic>
              </a:graphicData>
            </a:graphic>
          </wp:inline>
        </w:drawing>
      </w:r>
    </w:p>
    <w:p w14:paraId="054F592A">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图</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情景2</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100</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天石油类污染晕运移</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分布</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图</w:t>
      </w:r>
    </w:p>
    <w:p w14:paraId="37B9B57D">
      <w:pPr>
        <w:pStyle w:val="19"/>
        <w:keepNext w:val="0"/>
        <w:keepLines w:val="0"/>
        <w:pageBreakBefore w:val="0"/>
        <w:kinsoku/>
        <w:wordWrap/>
        <w:overflowPunct/>
        <w:topLinePunct w:val="0"/>
        <w:bidi w:val="0"/>
        <w:adjustRightInd w:val="0"/>
        <w:snapToGrid w:val="0"/>
        <w:spacing w:line="240" w:lineRule="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114300" distR="114300">
            <wp:extent cx="5290820" cy="4077335"/>
            <wp:effectExtent l="9525" t="9525" r="14605" b="27940"/>
            <wp:docPr id="24" name="图片 24" descr="wechat_2025-05-15_154216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echat_2025-05-15_154216_194"/>
                    <pic:cNvPicPr>
                      <a:picLocks noChangeAspect="1"/>
                    </pic:cNvPicPr>
                  </pic:nvPicPr>
                  <pic:blipFill>
                    <a:blip r:embed="rId32"/>
                    <a:stretch>
                      <a:fillRect/>
                    </a:stretch>
                  </pic:blipFill>
                  <pic:spPr>
                    <a:xfrm>
                      <a:off x="0" y="0"/>
                      <a:ext cx="5290820" cy="4077335"/>
                    </a:xfrm>
                    <a:prstGeom prst="rect">
                      <a:avLst/>
                    </a:prstGeom>
                    <a:ln>
                      <a:solidFill>
                        <a:schemeClr val="tx1"/>
                      </a:solidFill>
                    </a:ln>
                  </pic:spPr>
                </pic:pic>
              </a:graphicData>
            </a:graphic>
          </wp:inline>
        </w:drawing>
      </w:r>
    </w:p>
    <w:p w14:paraId="602C5B13">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图</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情景2</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1000</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天石油类污染晕运移</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分布</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图</w:t>
      </w:r>
    </w:p>
    <w:p w14:paraId="4B242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黑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黑体" w:cs="Times New Roman"/>
          <w:bCs/>
          <w:color w:val="000000" w:themeColor="text1"/>
          <w:sz w:val="21"/>
          <w:szCs w:val="21"/>
          <w:highlight w:val="none"/>
          <w:lang w:eastAsia="zh-CN"/>
          <w14:textFill>
            <w14:solidFill>
              <w14:schemeClr w14:val="tx1"/>
            </w14:solidFill>
          </w14:textFill>
        </w:rPr>
        <w:drawing>
          <wp:inline distT="0" distB="0" distL="114300" distR="114300">
            <wp:extent cx="5276850" cy="3917315"/>
            <wp:effectExtent l="9525" t="9525" r="9525" b="16510"/>
            <wp:docPr id="26" name="图片 26" descr="wechat_2025-05-15_154216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echat_2025-05-15_154216_194"/>
                    <pic:cNvPicPr>
                      <a:picLocks noChangeAspect="1"/>
                    </pic:cNvPicPr>
                  </pic:nvPicPr>
                  <pic:blipFill>
                    <a:blip r:embed="rId32"/>
                    <a:srcRect t="963" b="1207"/>
                    <a:stretch>
                      <a:fillRect/>
                    </a:stretch>
                  </pic:blipFill>
                  <pic:spPr>
                    <a:xfrm>
                      <a:off x="0" y="0"/>
                      <a:ext cx="5276850" cy="3917315"/>
                    </a:xfrm>
                    <a:prstGeom prst="rect">
                      <a:avLst/>
                    </a:prstGeom>
                    <a:ln>
                      <a:solidFill>
                        <a:schemeClr val="tx1"/>
                      </a:solidFill>
                    </a:ln>
                  </pic:spPr>
                </pic:pic>
              </a:graphicData>
            </a:graphic>
          </wp:inline>
        </w:drawing>
      </w:r>
    </w:p>
    <w:p w14:paraId="0C24C931">
      <w:pPr>
        <w:pStyle w:val="159"/>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firstLine="422" w:firstLineChars="200"/>
        <w:jc w:val="center"/>
        <w:textAlignment w:val="auto"/>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图</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5.2</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 xml:space="preserve">-7 </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情景2</w:t>
      </w:r>
      <w:r>
        <w:rPr>
          <w:rFonts w:hint="eastAsia"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:1825</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天石油类污染晕运移</w:t>
      </w:r>
      <w:r>
        <w:rPr>
          <w:rFonts w:hint="default" w:ascii="Times New Roman" w:hAnsi="Times New Roman" w:eastAsia="宋体" w:cs="Times New Roman"/>
          <w:b/>
          <w:bCs w:val="0"/>
          <w:color w:val="000000" w:themeColor="text1"/>
          <w:kern w:val="2"/>
          <w:sz w:val="21"/>
          <w:szCs w:val="21"/>
          <w:highlight w:val="none"/>
          <w:lang w:val="en-US" w:eastAsia="zh-CN"/>
          <w14:textFill>
            <w14:solidFill>
              <w14:schemeClr w14:val="tx1"/>
            </w14:solidFill>
          </w14:textFill>
        </w:rPr>
        <w:t>分布</w:t>
      </w:r>
      <w:r>
        <w:rPr>
          <w:rFonts w:hint="default" w:ascii="Times New Roman" w:hAnsi="Times New Roman" w:eastAsia="宋体" w:cs="Times New Roman"/>
          <w:b/>
          <w:bCs w:val="0"/>
          <w:color w:val="000000" w:themeColor="text1"/>
          <w:kern w:val="2"/>
          <w:sz w:val="21"/>
          <w:szCs w:val="21"/>
          <w:highlight w:val="none"/>
          <w:lang w:val="zh-CN" w:eastAsia="zh-CN"/>
          <w14:textFill>
            <w14:solidFill>
              <w14:schemeClr w14:val="tx1"/>
            </w14:solidFill>
          </w14:textFill>
        </w:rPr>
        <w:t>图</w:t>
      </w:r>
    </w:p>
    <w:p w14:paraId="735E34B1">
      <w:pPr>
        <w:widowControl w:val="0"/>
        <w:shd w:val="clear" w:color="auto" w:fill="auto"/>
        <w:adjustRightInd/>
        <w:snapToGrid/>
        <w:spacing w:line="360" w:lineRule="auto"/>
        <w:ind w:firstLine="480" w:firstLineChars="200"/>
        <w:jc w:val="both"/>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根据以上预测结果，</w:t>
      </w:r>
      <w:r>
        <w:rPr>
          <w:rFonts w:hint="default" w:ascii="Times New Roman" w:hAnsi="Times New Roman" w:cs="Times New Roman"/>
          <w:color w:val="000000" w:themeColor="text1"/>
          <w:sz w:val="24"/>
          <w:szCs w:val="22"/>
          <w:highlight w:val="none"/>
          <w14:textFill>
            <w14:solidFill>
              <w14:schemeClr w14:val="tx1"/>
            </w14:solidFill>
          </w14:textFill>
        </w:rPr>
        <w:t>在非正常状况下，污染物进入含水层后，在水动力弥散作用下，瞬时注入的污染物将产生呈椭圆形的污染晕，污染晕中污染物的浓度由中心向四周逐渐降低。随着水动力弥散作用的进行，污染晕将不断沿水流方向运移，污染晕的范围也会发生变化</w:t>
      </w:r>
      <w:r>
        <w:rPr>
          <w:rFonts w:hint="default" w:ascii="Times New Roman" w:hAnsi="Times New Roman"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污染物泄漏</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发生后1d、</w:t>
      </w:r>
      <w:r>
        <w:rPr>
          <w:rFonts w:hint="default" w:ascii="Times New Roman" w:hAnsi="Times New Roman" w:cs="Times New Roman"/>
          <w:color w:val="000000" w:themeColor="text1"/>
          <w:sz w:val="24"/>
          <w:szCs w:val="22"/>
          <w:highlight w:val="none"/>
          <w14:textFill>
            <w14:solidFill>
              <w14:schemeClr w14:val="tx1"/>
            </w14:solidFill>
          </w14:textFill>
        </w:rPr>
        <w:t>100d</w:t>
      </w:r>
      <w:r>
        <w:rPr>
          <w:rFonts w:hint="default" w:ascii="Times New Roman" w:hAnsi="Times New Roman"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1000d、</w:t>
      </w:r>
      <w:r>
        <w:rPr>
          <w:rFonts w:hint="eastAsia" w:cs="Times New Roman"/>
          <w:color w:val="000000" w:themeColor="text1"/>
          <w:sz w:val="24"/>
          <w:szCs w:val="22"/>
          <w:highlight w:val="none"/>
          <w:lang w:val="en-US" w:eastAsia="zh-CN"/>
          <w14:textFill>
            <w14:solidFill>
              <w14:schemeClr w14:val="tx1"/>
            </w14:solidFill>
          </w14:textFill>
        </w:rPr>
        <w:t>1825d</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的</w:t>
      </w:r>
      <w:r>
        <w:rPr>
          <w:rFonts w:hint="default" w:ascii="Times New Roman" w:hAnsi="Times New Roman" w:cs="Times New Roman"/>
          <w:color w:val="000000" w:themeColor="text1"/>
          <w:sz w:val="24"/>
          <w:szCs w:val="22"/>
          <w:highlight w:val="none"/>
          <w14:textFill>
            <w14:solidFill>
              <w14:schemeClr w14:val="tx1"/>
            </w14:solidFill>
          </w14:textFill>
        </w:rPr>
        <w:t>污染晕</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超标范围分别为64.99m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4546.61m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35682.78m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60386.24m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2"/>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影响范围</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分别</w:t>
      </w:r>
      <w:r>
        <w:rPr>
          <w:rFonts w:hint="default" w:ascii="Times New Roman" w:hAnsi="Times New Roman" w:cs="Times New Roman"/>
          <w:color w:val="000000" w:themeColor="text1"/>
          <w:sz w:val="24"/>
          <w:szCs w:val="22"/>
          <w:highlight w:val="none"/>
          <w14:textFill>
            <w14:solidFill>
              <w14:schemeClr w14:val="tx1"/>
            </w14:solidFill>
          </w14:textFill>
        </w:rPr>
        <w:t>为72.58</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5311.24</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42270.37</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14:textFill>
            <w14:solidFill>
              <w14:schemeClr w14:val="tx1"/>
            </w14:solidFill>
          </w14:textFill>
        </w:rPr>
        <w:t>73561.42</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2"/>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污染物的迁移对地下水有一定影响</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当</w:t>
      </w:r>
      <w:r>
        <w:rPr>
          <w:rFonts w:hint="default" w:ascii="Times New Roman" w:hAnsi="Times New Roman" w:cs="Times New Roman"/>
          <w:color w:val="000000" w:themeColor="text1"/>
          <w:kern w:val="2"/>
          <w:sz w:val="24"/>
          <w:szCs w:val="24"/>
          <w:highlight w:val="none"/>
          <w:lang w:eastAsia="zh-CN"/>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发生后，在预测期间，随着泄漏后的时间的增加，影响范围呈增加趋势</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vertAlign w:val="baseline"/>
          <w:lang w:val="en-US" w:eastAsia="zh-CN"/>
          <w14:textFill>
            <w14:solidFill>
              <w14:schemeClr w14:val="tx1"/>
            </w14:solidFill>
          </w14:textFill>
        </w:rPr>
        <w:t>其中1d的影响范围在厂界内，不会</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影响范围</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到外环境，各时段的预测影响范围内均</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无居民饮用水井等地下水环境敏感点。</w:t>
      </w:r>
    </w:p>
    <w:p w14:paraId="322859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本工程井场</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采取</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了</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必要的防渗措施，</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发生</w:t>
      </w:r>
      <w:r>
        <w:rPr>
          <w:rFonts w:hint="eastAsia" w:cs="Times New Roman"/>
          <w:snapToGrid w:val="0"/>
          <w:color w:val="000000" w:themeColor="text1"/>
          <w:kern w:val="0"/>
          <w:sz w:val="24"/>
          <w:szCs w:val="24"/>
          <w:highlight w:val="none"/>
          <w:lang w:val="en-US" w:eastAsia="zh-CN" w:bidi="ar-SA"/>
          <w14:textFill>
            <w14:solidFill>
              <w14:schemeClr w14:val="tx1"/>
            </w14:solidFill>
          </w14:textFill>
        </w:rPr>
        <w:t>泄漏</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后</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，建设单位</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立即</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采取切断措施并及时组织专门力量进行污染物的清除工作，在最短的时间内清除地面及地下的污染物，</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避免出现</w:t>
      </w:r>
      <w:r>
        <w:rPr>
          <w:rFonts w:hint="eastAsia" w:cs="Times New Roman"/>
          <w:snapToGrid w:val="0"/>
          <w:color w:val="000000" w:themeColor="text1"/>
          <w:kern w:val="0"/>
          <w:sz w:val="24"/>
          <w:szCs w:val="24"/>
          <w:highlight w:val="none"/>
          <w:lang w:val="en-US" w:eastAsia="zh-CN" w:bidi="ar-SA"/>
          <w14:textFill>
            <w14:solidFill>
              <w14:schemeClr w14:val="tx1"/>
            </w14:solidFill>
          </w14:textFill>
        </w:rPr>
        <w:t>泄漏</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的污染物</w:t>
      </w:r>
      <w:r>
        <w:rPr>
          <w:rFonts w:hint="eastAsia" w:cs="Times New Roman"/>
          <w:snapToGrid w:val="0"/>
          <w:color w:val="000000" w:themeColor="text1"/>
          <w:kern w:val="0"/>
          <w:sz w:val="24"/>
          <w:szCs w:val="24"/>
          <w:highlight w:val="none"/>
          <w:lang w:val="en-US" w:eastAsia="zh-CN" w:bidi="ar-SA"/>
          <w14:textFill>
            <w14:solidFill>
              <w14:schemeClr w14:val="tx1"/>
            </w14:solidFill>
          </w14:textFill>
        </w:rPr>
        <w:t>进入</w:t>
      </w:r>
      <w:r>
        <w:rPr>
          <w:rFonts w:hint="default" w:ascii="Times New Roman" w:hAnsi="Times New Roman" w:cs="Times New Roman"/>
          <w:snapToGrid w:val="0"/>
          <w:color w:val="000000" w:themeColor="text1"/>
          <w:kern w:val="0"/>
          <w:sz w:val="24"/>
          <w:szCs w:val="24"/>
          <w:highlight w:val="none"/>
          <w:lang w:val="en-US" w:eastAsia="zh-CN" w:bidi="ar-SA"/>
          <w14:textFill>
            <w14:solidFill>
              <w14:schemeClr w14:val="tx1"/>
            </w14:solidFill>
          </w14:textFill>
        </w:rPr>
        <w:t>地下水并随地下水中迁移，</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建设单位和施工单位严格按照</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“源头控制、过程防控、跟踪监测、应急响应”相结合的原则，采取地下水污染</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防控</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措施</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的情况</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，非正常状况下，对地下水的影响属可接受范围。</w:t>
      </w:r>
    </w:p>
    <w:p w14:paraId="5194A67F">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4退役期地下水环境影响分析</w:t>
      </w:r>
    </w:p>
    <w:p w14:paraId="4BEB0EA4">
      <w:pPr>
        <w:adjustRightInd w:val="0"/>
        <w:snapToGrid w:val="0"/>
        <w:spacing w:line="360" w:lineRule="auto"/>
        <w:ind w:firstLine="480" w:firstLineChars="200"/>
        <w:jc w:val="left"/>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退役期主要污染源是设备拆除、井场清理产生的扬尘和固体废物等，退役期拆除设备时所用的时间较少，施工人员产生的生活污水量较少，产生的生活污水经井场一体化污水处理装置处理后，水质达到《农村生活污水处理排放标准》（DB65 4275-2019）表二的B级标准、《农田灌溉水质标准》（GB 5084-2021）表一旱地作物标准后用于井场及道路降尘，不外排，对环境影响较小。退役期井场拆除</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采气</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设备，在作业区铺设防渗材料，施工结束后及时清理场地，对地下水环境影响很小。</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退役期各</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采气</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井均使用水泥灌注进行封井，将井筒与地下水含水层彻底隔离，有效避免了污染物进入地下水含水层造成水质污染。</w:t>
      </w:r>
    </w:p>
    <w:p w14:paraId="5A0E0264">
      <w:pPr>
        <w:adjustRightInd w:val="0"/>
        <w:snapToGrid w:val="0"/>
        <w:spacing w:line="360" w:lineRule="auto"/>
        <w:ind w:firstLine="480" w:firstLineChars="200"/>
        <w:jc w:val="left"/>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综上，退役期无废水外排，在加强环境管理的情况下，一般</w:t>
      </w:r>
      <w:r>
        <w:rPr>
          <w:rFonts w:hint="eastAsia" w:cs="Times New Roman"/>
          <w:bCs/>
          <w:color w:val="000000" w:themeColor="text1"/>
          <w:kern w:val="2"/>
          <w:sz w:val="24"/>
          <w:szCs w:val="24"/>
          <w:highlight w:val="none"/>
          <w:lang w:val="en-US" w:eastAsia="zh-CN" w:bidi="ar-SA"/>
          <w14:textFill>
            <w14:solidFill>
              <w14:schemeClr w14:val="tx1"/>
            </w14:solidFill>
          </w14:textFill>
        </w:rPr>
        <w:t>不会</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造成周边地下水环境污染。</w:t>
      </w:r>
    </w:p>
    <w:p w14:paraId="561D3211">
      <w:pPr>
        <w:pStyle w:val="129"/>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91" w:name="_Toc22059"/>
      <w:bookmarkStart w:id="992" w:name="_Toc6819"/>
      <w:bookmarkStart w:id="993" w:name="_Toc15223"/>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5</w:t>
      </w:r>
      <w:bookmarkEnd w:id="991"/>
      <w:bookmarkEnd w:id="992"/>
      <w:bookmarkEnd w:id="993"/>
      <w:r>
        <w:rPr>
          <w:rFonts w:hint="default" w:ascii="Times New Roman" w:hAnsi="Times New Roman" w:cs="Times New Roman"/>
          <w:color w:val="000000" w:themeColor="text1"/>
          <w:highlight w:val="none"/>
          <w14:textFill>
            <w14:solidFill>
              <w14:schemeClr w14:val="tx1"/>
            </w14:solidFill>
          </w14:textFill>
        </w:rPr>
        <w:t>地下水环境评价结论</w:t>
      </w:r>
    </w:p>
    <w:p w14:paraId="5EDDE7DE">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（1）在正常状况下，</w:t>
      </w:r>
      <w:bookmarkStart w:id="994" w:name="_Hlk48692703"/>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各阶段的废水均不外排，各类废水及固废均得到了妥善处置，</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在设计、施工和运行时，严把质量验收关，</w:t>
      </w:r>
      <w:r>
        <w:rPr>
          <w:rFonts w:hint="eastAsia" w:cs="Times New Roman"/>
          <w:color w:val="000000" w:themeColor="text1"/>
          <w:spacing w:val="0"/>
          <w:kern w:val="2"/>
          <w:sz w:val="24"/>
          <w:szCs w:val="24"/>
          <w:highlight w:val="none"/>
          <w:lang w:val="en-US" w:eastAsia="zh-CN" w:bidi="ar-SA"/>
          <w14:textFill>
            <w14:solidFill>
              <w14:schemeClr w14:val="tx1"/>
            </w14:solidFill>
          </w14:textFill>
        </w:rPr>
        <w:t>杜绝</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因管道材质、制管、防腐涂层、焊接缺陷及运行失误而造成管线泄漏</w:t>
      </w:r>
      <w:bookmarkEnd w:id="994"/>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。在生产运行过程中，强化监控手段，定期检查检验，检漏控漏，尽量杜绝事故性排放源的存在，</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对地下水环境的影响较小；钻井采用了套管，采取固井措施，有效防止了钻井液漏失污染地下水。</w:t>
      </w:r>
    </w:p>
    <w:p w14:paraId="78FD09D7">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（2）本次地下水评价，对</w:t>
      </w:r>
      <w:r>
        <w:rPr>
          <w:rFonts w:hint="eastAsia" w:cs="Times New Roman"/>
          <w:color w:val="000000" w:themeColor="text1"/>
          <w:spacing w:val="0"/>
          <w:kern w:val="0"/>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运营期在非正常情况的情景进行了预测分析，结果显示：若发生非正常状况，污染物一旦发生泄漏，将会对项目附近区域地下水造成一定影响，</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发生事故后建设单位及时启动应急预案，切断废水下渗污染源，采取补救措施，可将地下水环境影响降到最低，对地下水环境产生的影响较小。</w:t>
      </w:r>
      <w:bookmarkStart w:id="995" w:name="_Hlk112854270"/>
    </w:p>
    <w:p w14:paraId="2E559AAD">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需采取地下水污染防治措施按照“源头控制、分区防渗、跟踪监测、应急响应”相结合的原则，并定期开展地下水跟踪监测，在严格按照地下水污染防护措施后，</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对区域地下水环境影响可接受。</w:t>
      </w:r>
      <w:bookmarkEnd w:id="995"/>
    </w:p>
    <w:p w14:paraId="008B58E8">
      <w:pPr>
        <w:pStyle w:val="128"/>
        <w:pageBreakBefore w:val="0"/>
        <w:kinsoku/>
        <w:wordWrap/>
        <w:overflowPunct/>
        <w:topLinePunct w:val="0"/>
        <w:autoSpaceDE/>
        <w:autoSpaceDN/>
        <w:bidi w:val="0"/>
        <w:adjustRightInd w:val="0"/>
        <w:snapToGrid w:val="0"/>
        <w:spacing w:before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996" w:name="_Toc8225"/>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地表水环境影响评价</w:t>
      </w:r>
      <w:bookmarkEnd w:id="996"/>
    </w:p>
    <w:p w14:paraId="17077417">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按照《</w:t>
      </w:r>
      <w:r>
        <w:rPr>
          <w:rFonts w:hint="eastAsia" w:cs="Times New Roman"/>
          <w:bCs/>
          <w:color w:val="000000" w:themeColor="text1"/>
          <w:kern w:val="2"/>
          <w:sz w:val="24"/>
          <w:szCs w:val="20"/>
          <w:highlight w:val="none"/>
          <w:lang w:val="en-US" w:eastAsia="zh-CN" w:bidi="ar-SA"/>
          <w14:textFill>
            <w14:solidFill>
              <w14:schemeClr w14:val="tx1"/>
            </w14:solidFill>
          </w14:textFill>
        </w:rPr>
        <w:t>环境影响评价技术导则 地表水环境</w:t>
      </w:r>
      <w:r>
        <w:rPr>
          <w:rFonts w:hint="default"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w:t>
      </w:r>
      <w:r>
        <w:rPr>
          <w:rFonts w:hint="eastAsia" w:cs="Times New Roman"/>
          <w:bCs/>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HJ2.3-2018</w:t>
      </w:r>
      <w:r>
        <w:rPr>
          <w:rFonts w:hint="eastAsia" w:cs="Times New Roman"/>
          <w:bCs/>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中表1水污染影响型建设项目评价等级判定，判定</w:t>
      </w:r>
      <w:r>
        <w:rPr>
          <w:rFonts w:hint="eastAsia"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kern w:val="2"/>
          <w:sz w:val="24"/>
          <w:szCs w:val="20"/>
          <w:highlight w:val="none"/>
          <w:lang w:val="en-US" w:eastAsia="zh-CN" w:bidi="ar-SA"/>
          <w14:textFill>
            <w14:solidFill>
              <w14:schemeClr w14:val="tx1"/>
            </w14:solidFill>
          </w14:textFill>
        </w:rPr>
        <w:t>地表水环境评价等级为三级B。重点论证项目废水综合利用不外排的可行性和可靠性。</w:t>
      </w:r>
    </w:p>
    <w:p w14:paraId="5CC0753C">
      <w:pPr>
        <w:pStyle w:val="129"/>
        <w:pageBreakBefore w:val="0"/>
        <w:kinsoku/>
        <w:wordWrap/>
        <w:overflowPunct/>
        <w:topLinePunct w:val="0"/>
        <w:autoSpaceDE/>
        <w:autoSpaceDN/>
        <w:bidi w:val="0"/>
        <w:adjustRightInd w:val="0"/>
        <w:snapToGrid w:val="0"/>
        <w:spacing w:beforeLines="0" w:afterLines="0"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3.1施工期地表水环境影响分析</w:t>
      </w:r>
    </w:p>
    <w:p w14:paraId="4DBE880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0"/>
          <w:highlight w:val="none"/>
          <w14:textFill>
            <w14:solidFill>
              <w14:schemeClr w14:val="tx1"/>
            </w14:solidFill>
          </w14:textFill>
        </w:rPr>
        <w:t>在施工期，对地表水环境可能造成影响的污染源为生活污水、管道试压废水、钻井废水</w:t>
      </w:r>
      <w:r>
        <w:rPr>
          <w:rFonts w:hint="eastAsia" w:cs="Times New Roman"/>
          <w:color w:val="000000" w:themeColor="text1"/>
          <w:kern w:val="2"/>
          <w:sz w:val="24"/>
          <w:szCs w:val="20"/>
          <w:highlight w:val="none"/>
          <w:lang w:val="en-US" w:eastAsia="zh-CN"/>
          <w14:textFill>
            <w14:solidFill>
              <w14:schemeClr w14:val="tx1"/>
            </w14:solidFill>
          </w14:textFill>
        </w:rPr>
        <w:t>和</w:t>
      </w:r>
      <w:r>
        <w:rPr>
          <w:rFonts w:hint="eastAsia" w:hAnsi="Times New Roman"/>
          <w:color w:val="000000" w:themeColor="text1"/>
          <w:highlight w:val="none"/>
          <w:lang w:eastAsia="zh-CN"/>
          <w14:textFill>
            <w14:solidFill>
              <w14:schemeClr w14:val="tx1"/>
            </w14:solidFill>
          </w14:textFill>
        </w:rPr>
        <w:t>酸化压裂废水</w:t>
      </w:r>
      <w:r>
        <w:rPr>
          <w:rFonts w:hint="default" w:ascii="Times New Roman" w:hAnsi="Times New Roman" w:eastAsia="宋体" w:cs="Times New Roman"/>
          <w:color w:val="000000" w:themeColor="text1"/>
          <w:kern w:val="2"/>
          <w:sz w:val="24"/>
          <w:szCs w:val="20"/>
          <w:highlight w:val="none"/>
          <w14:textFill>
            <w14:solidFill>
              <w14:schemeClr w14:val="tx1"/>
            </w14:solidFill>
          </w14:textFill>
        </w:rPr>
        <w:t>。</w:t>
      </w:r>
    </w:p>
    <w:p w14:paraId="5363934E">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0"/>
          <w:highlight w:val="none"/>
          <w14:textFill>
            <w14:solidFill>
              <w14:schemeClr w14:val="tx1"/>
            </w14:solidFill>
          </w14:textFill>
        </w:rPr>
        <w:t>（1）生活污水</w:t>
      </w:r>
    </w:p>
    <w:p w14:paraId="4D15C8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highlight w:val="none"/>
          <w:lang w:val="en-US" w:eastAsia="zh-CN" w:bidi="ar-SA"/>
          <w14:textFill>
            <w14:solidFill>
              <w14:schemeClr w14:val="tx1"/>
            </w14:solidFill>
          </w14:textFill>
        </w:rPr>
        <w:t>生活污水经井场一体化污水处理装置处理后，水质达到《农村生活污水处理排放标准》（DB65 4275-2019）表二的B级标准、《农田灌溉水质标准》（GB 5084-2021）表一旱地作物标准后用于井场及道路降尘</w:t>
      </w:r>
      <w:r>
        <w:rPr>
          <w:rFonts w:hint="default" w:ascii="Times New Roman" w:hAnsi="Times New Roman" w:eastAsia="宋体" w:cs="Times New Roman"/>
          <w:color w:val="000000" w:themeColor="text1"/>
          <w:kern w:val="2"/>
          <w:sz w:val="24"/>
          <w:highlight w:val="none"/>
          <w:lang w:val="en-US" w:eastAsia="zh-CN" w:bidi="ar"/>
          <w14:textFill>
            <w14:solidFill>
              <w14:schemeClr w14:val="tx1"/>
            </w14:solidFill>
          </w14:textFill>
        </w:rPr>
        <w:t>。</w:t>
      </w:r>
    </w:p>
    <w:p w14:paraId="24C1D5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4"/>
          <w:highlight w:val="none"/>
          <w:lang w:val="en-US" w:eastAsia="zh-CN" w:bidi="ar"/>
          <w14:textFill>
            <w14:solidFill>
              <w14:schemeClr w14:val="tx1"/>
            </w14:solidFill>
          </w14:textFill>
        </w:rPr>
        <w:t>（2）钻井废水</w:t>
      </w:r>
    </w:p>
    <w:p w14:paraId="276CCE0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pPr>
      <w:bookmarkStart w:id="997" w:name="OLE_LINK1489"/>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本工程</w:t>
      </w:r>
      <w:r>
        <w:rPr>
          <w:rFonts w:hint="eastAsia" w:cs="Times New Roman"/>
          <w:snapToGrid w:val="0"/>
          <w:color w:val="000000" w:themeColor="text1"/>
          <w:kern w:val="2"/>
          <w:sz w:val="24"/>
          <w:highlight w:val="none"/>
          <w:lang w:val="en-US" w:eastAsia="zh-CN" w:bidi="ar-SA"/>
          <w14:textFill>
            <w14:solidFill>
              <w14:schemeClr w14:val="tx1"/>
            </w14:solidFill>
          </w14:textFill>
        </w:rPr>
        <w:t>钻井废水随</w:t>
      </w:r>
      <w:r>
        <w:rPr>
          <w:rFonts w:hint="default" w:ascii="Times New Roman" w:hAnsi="Times New Roman" w:eastAsia="宋体" w:cs="Times New Roman"/>
          <w:snapToGrid w:val="0"/>
          <w:color w:val="000000" w:themeColor="text1"/>
          <w:kern w:val="2"/>
          <w:sz w:val="24"/>
          <w:highlight w:val="none"/>
          <w:lang w:val="en-US" w:eastAsia="zh-CN" w:bidi="ar-SA"/>
          <w14:textFill>
            <w14:solidFill>
              <w14:schemeClr w14:val="tx1"/>
            </w14:solidFill>
          </w14:textFill>
        </w:rPr>
        <w:t>钻井泥浆、岩屑一同进入井队固控系统进行分离处理，分离后的液体统一转运至阿克苏塔河环保工程有限公司绿色环保工作站处置。</w:t>
      </w:r>
    </w:p>
    <w:p w14:paraId="7BC28634">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（3）</w:t>
      </w:r>
      <w:bookmarkStart w:id="998" w:name="OLE_LINK1491"/>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酸化压裂废水</w:t>
      </w:r>
      <w:bookmarkEnd w:id="998"/>
    </w:p>
    <w:p w14:paraId="7FD1A2D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eastAsia="zh-CN"/>
          <w14:textFill>
            <w14:solidFill>
              <w14:schemeClr w14:val="tx1"/>
            </w14:solidFill>
          </w14:textFill>
        </w:rPr>
        <w:t>本工程</w:t>
      </w:r>
      <w:r>
        <w:rPr>
          <w:rFonts w:hint="eastAsia" w:cs="Times New Roman"/>
          <w:color w:val="000000" w:themeColor="text1"/>
          <w:kern w:val="2"/>
          <w:sz w:val="24"/>
          <w:szCs w:val="20"/>
          <w:highlight w:val="none"/>
          <w:lang w:val="en-US" w:eastAsia="zh-CN"/>
          <w14:textFill>
            <w14:solidFill>
              <w14:schemeClr w14:val="tx1"/>
            </w14:solidFill>
          </w14:textFill>
        </w:rPr>
        <w:t>产生的</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酸化压裂废水</w:t>
      </w:r>
      <w:r>
        <w:rPr>
          <w:rFonts w:hAnsi="Times New Roman"/>
          <w:color w:val="000000" w:themeColor="text1"/>
          <w:highlight w:val="none"/>
          <w14:textFill>
            <w14:solidFill>
              <w14:schemeClr w14:val="tx1"/>
            </w14:solidFill>
          </w14:textFill>
        </w:rPr>
        <w:t>，采用专用废液收集罐收集后运至</w:t>
      </w:r>
      <w:r>
        <w:rPr>
          <w:rFonts w:hint="eastAsia" w:hAnsi="Times New Roman"/>
          <w:color w:val="000000" w:themeColor="text1"/>
          <w:highlight w:val="none"/>
          <w14:textFill>
            <w14:solidFill>
              <w14:schemeClr w14:val="tx1"/>
            </w14:solidFill>
          </w14:textFill>
        </w:rPr>
        <w:t>阿克苏塔河环保工程有限公司绿色环保工作站</w:t>
      </w:r>
      <w:r>
        <w:rPr>
          <w:rFonts w:hAnsi="Times New Roman"/>
          <w:color w:val="000000" w:themeColor="text1"/>
          <w:highlight w:val="none"/>
          <w14:textFill>
            <w14:solidFill>
              <w14:schemeClr w14:val="tx1"/>
            </w14:solidFill>
          </w14:textFill>
        </w:rPr>
        <w:t>处理。对于本工程产</w:t>
      </w:r>
      <w:r>
        <w:rPr>
          <w:rFonts w:hint="eastAsia" w:hAnsi="Times New Roman"/>
          <w:color w:val="000000" w:themeColor="text1"/>
          <w:highlight w:val="none"/>
          <w:lang w:eastAsia="zh-CN"/>
          <w14:textFill>
            <w14:solidFill>
              <w14:schemeClr w14:val="tx1"/>
            </w14:solidFill>
          </w14:textFill>
        </w:rPr>
        <w:t>生的</w:t>
      </w:r>
      <w:r>
        <w:rPr>
          <w:rFonts w:hAnsi="Times New Roman"/>
          <w:color w:val="000000" w:themeColor="text1"/>
          <w:highlight w:val="none"/>
          <w14:textFill>
            <w14:solidFill>
              <w14:schemeClr w14:val="tx1"/>
            </w14:solidFill>
          </w14:textFill>
        </w:rPr>
        <w:t>危险废物由专用运输车辆进行运输、转移，并严格按照《危险废物转移联单管理办法》，实施危险废物转移联单管理制度</w:t>
      </w:r>
    </w:p>
    <w:bookmarkEnd w:id="997"/>
    <w:p w14:paraId="3EC719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0"/>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kern w:val="2"/>
          <w:sz w:val="24"/>
          <w:szCs w:val="20"/>
          <w:highlight w:val="none"/>
          <w14:textFill>
            <w14:solidFill>
              <w14:schemeClr w14:val="tx1"/>
            </w14:solidFill>
          </w14:textFill>
        </w:rPr>
        <w:t>施工期间废水全部妥善处理，</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由于</w:t>
      </w:r>
      <w:r>
        <w:rPr>
          <w:rFonts w:hint="eastAsia" w:cs="Times New Roman"/>
          <w:color w:val="000000" w:themeColor="text1"/>
          <w:kern w:val="2"/>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区附近无地表水体，</w:t>
      </w:r>
      <w:r>
        <w:rPr>
          <w:rFonts w:hint="eastAsia" w:cs="Times New Roman"/>
          <w:color w:val="000000" w:themeColor="text1"/>
          <w:kern w:val="2"/>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开发</w:t>
      </w:r>
      <w:r>
        <w:rPr>
          <w:rFonts w:hint="eastAsia" w:cs="Times New Roman"/>
          <w:color w:val="000000" w:themeColor="text1"/>
          <w:kern w:val="2"/>
          <w:sz w:val="24"/>
          <w:szCs w:val="24"/>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产生废水也不排入地表水体，因此，</w:t>
      </w:r>
      <w:r>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在施工期对区域地表水体不产生影响。</w:t>
      </w:r>
    </w:p>
    <w:p w14:paraId="569D6A0D">
      <w:pPr>
        <w:pStyle w:val="129"/>
        <w:pageBreakBefore w:val="0"/>
        <w:kinsoku/>
        <w:wordWrap/>
        <w:overflowPunct/>
        <w:topLinePunct w:val="0"/>
        <w:autoSpaceDE/>
        <w:autoSpaceDN/>
        <w:bidi w:val="0"/>
        <w:adjustRightInd w:val="0"/>
        <w:snapToGrid w:val="0"/>
        <w:spacing w:beforeLines="0" w:afterLines="0"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3.2运营期地表水环境影响评价</w:t>
      </w:r>
    </w:p>
    <w:p w14:paraId="47147C0F">
      <w:pPr>
        <w:pStyle w:val="81"/>
        <w:pageBreakBefore w:val="0"/>
        <w:kinsoku/>
        <w:wordWrap/>
        <w:overflowPunct/>
        <w:topLinePunct w:val="0"/>
        <w:autoSpaceDE/>
        <w:autoSpaceDN/>
        <w:bidi w:val="0"/>
        <w:spacing w:before="0" w:after="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根据工程分析，本工程运营期产生的废水主要有</w:t>
      </w:r>
      <w:bookmarkStart w:id="999" w:name="OLE_LINK1493"/>
      <w:r>
        <w:rPr>
          <w:rFonts w:hint="default" w:ascii="Times New Roman" w:hAnsi="Times New Roman" w:cs="Times New Roman"/>
          <w:color w:val="000000" w:themeColor="text1"/>
          <w:highlight w:val="none"/>
          <w14:textFill>
            <w14:solidFill>
              <w14:schemeClr w14:val="tx1"/>
            </w14:solidFill>
          </w14:textFill>
        </w:rPr>
        <w:t>采出水、井下作业废水</w:t>
      </w:r>
      <w:bookmarkEnd w:id="999"/>
      <w:r>
        <w:rPr>
          <w:rFonts w:hint="default" w:ascii="Times New Roman" w:hAnsi="Times New Roman" w:cs="Times New Roman"/>
          <w:color w:val="000000" w:themeColor="text1"/>
          <w:highlight w:val="none"/>
          <w14:textFill>
            <w14:solidFill>
              <w14:schemeClr w14:val="tx1"/>
            </w14:solidFill>
          </w14:textFill>
        </w:rPr>
        <w:t>。</w:t>
      </w:r>
    </w:p>
    <w:p w14:paraId="7AD5145C">
      <w:pPr>
        <w:widowControl w:val="0"/>
        <w:adjustRightInd/>
        <w:snapToGrid/>
        <w:spacing w:line="360" w:lineRule="auto"/>
        <w:ind w:firstLine="480" w:firstLineChars="200"/>
        <w:jc w:val="both"/>
        <w:rPr>
          <w:rFonts w:hint="eastAsia" w:eastAsia="宋体" w:cs="Times New Roman"/>
          <w:color w:val="000000" w:themeColor="text1"/>
          <w:kern w:val="2"/>
          <w:sz w:val="24"/>
          <w:szCs w:val="20"/>
          <w:highlight w:val="none"/>
          <w:lang w:val="en-US" w:eastAsia="zh-CN"/>
          <w14:textFill>
            <w14:solidFill>
              <w14:schemeClr w14:val="tx1"/>
            </w14:solidFill>
          </w14:textFill>
        </w:rPr>
      </w:pPr>
      <w:r>
        <w:rPr>
          <w:rFonts w:hint="eastAsia" w:cs="Times New Roman"/>
          <w:color w:val="000000" w:themeColor="text1"/>
          <w:kern w:val="2"/>
          <w:sz w:val="24"/>
          <w:szCs w:val="20"/>
          <w:highlight w:val="none"/>
          <w:lang w:val="en-US" w:eastAsia="zh-CN"/>
          <w14:textFill>
            <w14:solidFill>
              <w14:schemeClr w14:val="tx1"/>
            </w14:solidFill>
          </w14:textFill>
        </w:rPr>
        <w:t>本工程产生的</w:t>
      </w:r>
      <w:bookmarkStart w:id="1000" w:name="OLE_LINK1496"/>
      <w:r>
        <w:rPr>
          <w:rFonts w:hint="default" w:ascii="Times New Roman" w:hAnsi="Times New Roman" w:cs="Times New Roman"/>
          <w:color w:val="000000" w:themeColor="text1"/>
          <w:highlight w:val="none"/>
          <w14:textFill>
            <w14:solidFill>
              <w14:schemeClr w14:val="tx1"/>
            </w14:solidFill>
          </w14:textFill>
        </w:rPr>
        <w:t>采出水、井下作业废水</w:t>
      </w:r>
      <w:bookmarkEnd w:id="1000"/>
      <w:r>
        <w:rPr>
          <w:rFonts w:hint="default" w:ascii="Times New Roman" w:hAnsi="Times New Roman" w:cs="Times New Roman"/>
          <w:color w:val="000000" w:themeColor="text1"/>
          <w:kern w:val="2"/>
          <w:sz w:val="24"/>
          <w:szCs w:val="20"/>
          <w:highlight w:val="none"/>
          <w14:textFill>
            <w14:solidFill>
              <w14:schemeClr w14:val="tx1"/>
            </w14:solidFill>
          </w14:textFill>
        </w:rPr>
        <w:t>，主要污染物为石油类、盐类</w:t>
      </w:r>
      <w:r>
        <w:rPr>
          <w:rFonts w:hint="default" w:ascii="Times New Roman" w:hAnsi="Times New Roman" w:cs="Times New Roman"/>
          <w:color w:val="000000" w:themeColor="text1"/>
          <w:kern w:val="2"/>
          <w:sz w:val="24"/>
          <w:szCs w:val="20"/>
          <w:highlight w:val="none"/>
          <w:lang w:eastAsia="zh-CN"/>
          <w14:textFill>
            <w14:solidFill>
              <w14:schemeClr w14:val="tx1"/>
            </w14:solidFill>
          </w14:textFill>
        </w:rPr>
        <w:t>、</w:t>
      </w:r>
      <w:r>
        <w:rPr>
          <w:rFonts w:hint="default" w:ascii="Times New Roman" w:hAnsi="Times New Roman" w:cs="Times New Roman"/>
          <w:color w:val="000000" w:themeColor="text1"/>
          <w:kern w:val="2"/>
          <w:sz w:val="24"/>
          <w:szCs w:val="20"/>
          <w:highlight w:val="none"/>
          <w:lang w:val="en-US" w:eastAsia="zh-CN"/>
          <w14:textFill>
            <w14:solidFill>
              <w14:schemeClr w14:val="tx1"/>
            </w14:solidFill>
          </w14:textFill>
        </w:rPr>
        <w:t>耗氧量、氨氮、盐分</w:t>
      </w:r>
      <w:r>
        <w:rPr>
          <w:rFonts w:hint="default" w:ascii="Times New Roman" w:hAnsi="Times New Roman" w:cs="Times New Roman"/>
          <w:color w:val="000000" w:themeColor="text1"/>
          <w:kern w:val="2"/>
          <w:sz w:val="24"/>
          <w:szCs w:val="20"/>
          <w:highlight w:val="none"/>
          <w14:textFill>
            <w14:solidFill>
              <w14:schemeClr w14:val="tx1"/>
            </w14:solidFill>
          </w14:textFill>
        </w:rPr>
        <w:t>等</w:t>
      </w:r>
      <w:r>
        <w:rPr>
          <w:rFonts w:hint="eastAsia" w:cs="Times New Roman"/>
          <w:color w:val="000000" w:themeColor="text1"/>
          <w:kern w:val="2"/>
          <w:sz w:val="24"/>
          <w:szCs w:val="20"/>
          <w:highlight w:val="none"/>
          <w:lang w:eastAsia="zh-CN"/>
          <w14:textFill>
            <w14:solidFill>
              <w14:schemeClr w14:val="tx1"/>
            </w14:solidFill>
          </w14:textFill>
        </w:rPr>
        <w:t>，</w:t>
      </w:r>
      <w:r>
        <w:rPr>
          <w:rFonts w:hint="default" w:ascii="Times New Roman" w:hAnsi="Times New Roman" w:cs="Times New Roman"/>
          <w:color w:val="000000" w:themeColor="text1"/>
          <w:kern w:val="2"/>
          <w:sz w:val="24"/>
          <w:szCs w:val="20"/>
          <w:highlight w:val="none"/>
          <w14:textFill>
            <w14:solidFill>
              <w14:schemeClr w14:val="tx1"/>
            </w14:solidFill>
          </w14:textFill>
        </w:rPr>
        <w:t>依托阿克苏塔河环保工程有限公司绿色环保工作站处理。</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运营期工作人员由雅克拉采气厂内部调剂解决，故不新增生活污水。</w:t>
      </w:r>
    </w:p>
    <w:p w14:paraId="41BDC232">
      <w:pPr>
        <w:widowControl w:val="0"/>
        <w:spacing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采取上述</w:t>
      </w:r>
      <w:r>
        <w:rPr>
          <w:rFonts w:hint="default" w:ascii="Times New Roman" w:hAnsi="Times New Roman" w:eastAsia="宋体" w:cs="Times New Roman"/>
          <w:snapToGrid w:val="0"/>
          <w:color w:val="000000" w:themeColor="text1"/>
          <w:kern w:val="0"/>
          <w:sz w:val="24"/>
          <w:szCs w:val="24"/>
          <w:highlight w:val="none"/>
          <w:lang w:val="zh-CN" w:eastAsia="zh-CN" w:bidi="ar-SA"/>
          <w14:textFill>
            <w14:solidFill>
              <w14:schemeClr w14:val="tx1"/>
            </w14:solidFill>
          </w14:textFill>
        </w:rPr>
        <w:t>水污染控制</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措施后，</w:t>
      </w:r>
      <w:r>
        <w:rPr>
          <w:rFonts w:hint="eastAsia" w:cs="Times New Roman"/>
          <w:snapToGrid w:val="0"/>
          <w:color w:val="000000" w:themeColor="text1"/>
          <w:kern w:val="0"/>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废水不外排，</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采出水、井下作业废水</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不会对周边水环境产生影响。水污染控制和水环境影响减缓措施有效，对水环境的影响较小。</w:t>
      </w:r>
    </w:p>
    <w:p w14:paraId="16CACDCB">
      <w:pPr>
        <w:pStyle w:val="129"/>
        <w:pageBreakBefore w:val="0"/>
        <w:kinsoku/>
        <w:wordWrap/>
        <w:overflowPunct/>
        <w:topLinePunct w:val="0"/>
        <w:autoSpaceDE/>
        <w:autoSpaceDN/>
        <w:bidi w:val="0"/>
        <w:adjustRightInd w:val="0"/>
        <w:snapToGrid w:val="0"/>
        <w:spacing w:beforeLines="0" w:afterLines="0"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3.3退役期地表水环境影响分析</w:t>
      </w:r>
    </w:p>
    <w:p w14:paraId="66094013">
      <w:pPr>
        <w:widowControl/>
        <w:spacing w:line="360" w:lineRule="auto"/>
        <w:ind w:firstLine="480" w:firstLineChars="200"/>
        <w:jc w:val="left"/>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cs="Times New Roman"/>
          <w:bCs/>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退役期拆除设备、封井和清理井场时，施工时间较短，施工人员产生的生活污水量较少，依托施工区域周边生活设施处理，不外排，对周围水环境影响较小。</w:t>
      </w:r>
    </w:p>
    <w:p w14:paraId="28C662FF">
      <w:pPr>
        <w:pStyle w:val="129"/>
        <w:pageBreakBefore w:val="0"/>
        <w:kinsoku/>
        <w:wordWrap/>
        <w:overflowPunct/>
        <w:topLinePunct w:val="0"/>
        <w:autoSpaceDE/>
        <w:autoSpaceDN/>
        <w:bidi w:val="0"/>
        <w:adjustRightInd w:val="0"/>
        <w:snapToGrid w:val="0"/>
        <w:spacing w:beforeLines="0" w:afterLines="0"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3.4地表水环境评价结论</w:t>
      </w:r>
    </w:p>
    <w:p w14:paraId="61D4A2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施工期、运营期、退役期产生的各类废水不外排，且</w:t>
      </w:r>
      <w:r>
        <w:rPr>
          <w:rFonts w:hint="eastAsia" w:cs="Times New Roman"/>
          <w:bCs/>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场地及周边临近区域无地表水体分布，因此</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的建设不会对地表水环境产生影响。</w:t>
      </w:r>
    </w:p>
    <w:p w14:paraId="49811CC1">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01" w:name="_Toc75438904"/>
      <w:bookmarkStart w:id="1002" w:name="_Toc13298"/>
      <w:bookmarkStart w:id="1003" w:name="_Toc21452"/>
      <w:r>
        <w:rPr>
          <w:rFonts w:hint="default" w:ascii="Times New Roman" w:hAnsi="Times New Roman" w:cs="Times New Roman"/>
          <w:color w:val="000000" w:themeColor="text1"/>
          <w:highlight w:val="none"/>
          <w14:textFill>
            <w14:solidFill>
              <w14:schemeClr w14:val="tx1"/>
            </w14:solidFill>
          </w14:textFill>
        </w:rPr>
        <w:t>5.</w:t>
      </w:r>
      <w:bookmarkEnd w:id="1001"/>
      <w:bookmarkEnd w:id="1002"/>
      <w:r>
        <w:rPr>
          <w:rFonts w:hint="default" w:ascii="Times New Roman" w:hAnsi="Times New Roman" w:cs="Times New Roman"/>
          <w:color w:val="000000" w:themeColor="text1"/>
          <w:highlight w:val="none"/>
          <w14:textFill>
            <w14:solidFill>
              <w14:schemeClr w14:val="tx1"/>
            </w14:solidFill>
          </w14:textFill>
        </w:rPr>
        <w:t>4土壤环境影响评价</w:t>
      </w:r>
      <w:bookmarkEnd w:id="1003"/>
    </w:p>
    <w:p w14:paraId="10BD7F2D">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04" w:name="_Toc7734"/>
      <w:bookmarkStart w:id="1005" w:name="_Toc27120"/>
      <w:bookmarkStart w:id="1006" w:name="_Toc12515"/>
      <w:bookmarkStart w:id="1007" w:name="OLE_LINK636"/>
      <w:r>
        <w:rPr>
          <w:rFonts w:hint="default" w:ascii="Times New Roman" w:hAnsi="Times New Roman" w:cs="Times New Roman"/>
          <w:color w:val="000000" w:themeColor="text1"/>
          <w:highlight w:val="none"/>
          <w14:textFill>
            <w14:solidFill>
              <w14:schemeClr w14:val="tx1"/>
            </w14:solidFill>
          </w14:textFill>
        </w:rPr>
        <w:t>5.</w:t>
      </w:r>
      <w:bookmarkEnd w:id="1004"/>
      <w:bookmarkEnd w:id="1005"/>
      <w:bookmarkEnd w:id="1006"/>
      <w:r>
        <w:rPr>
          <w:rFonts w:hint="default" w:ascii="Times New Roman" w:hAnsi="Times New Roman" w:cs="Times New Roman"/>
          <w:color w:val="000000" w:themeColor="text1"/>
          <w:highlight w:val="none"/>
          <w14:textFill>
            <w14:solidFill>
              <w14:schemeClr w14:val="tx1"/>
            </w14:solidFill>
          </w14:textFill>
        </w:rPr>
        <w:t>4.1</w:t>
      </w:r>
      <w:bookmarkEnd w:id="1007"/>
      <w:r>
        <w:rPr>
          <w:rFonts w:hint="default" w:ascii="Times New Roman" w:hAnsi="Times New Roman" w:cs="Times New Roman"/>
          <w:color w:val="000000" w:themeColor="text1"/>
          <w:highlight w:val="none"/>
          <w14:textFill>
            <w14:solidFill>
              <w14:schemeClr w14:val="tx1"/>
            </w14:solidFill>
          </w14:textFill>
        </w:rPr>
        <w:t xml:space="preserve">施工期土壤环境影响分析 </w:t>
      </w:r>
    </w:p>
    <w:p w14:paraId="2051554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施工期土壤环境影响主要</w:t>
      </w:r>
      <w:r>
        <w:rPr>
          <w:rFonts w:hint="eastAsia" w:cs="Times New Roman"/>
          <w:color w:val="000000" w:themeColor="text1"/>
          <w:sz w:val="24"/>
          <w:szCs w:val="20"/>
          <w:highlight w:val="none"/>
          <w:lang w:val="en-US" w:eastAsia="zh-CN"/>
          <w14:textFill>
            <w14:solidFill>
              <w14:schemeClr w14:val="tx1"/>
            </w14:solidFill>
          </w14:textFill>
        </w:rPr>
        <w:t>来自</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场建设的人为扰动</w:t>
      </w:r>
      <w:r>
        <w:rPr>
          <w:rFonts w:hint="eastAsia" w:cs="Times New Roman"/>
          <w:color w:val="000000" w:themeColor="text1"/>
          <w:sz w:val="24"/>
          <w:szCs w:val="20"/>
          <w:highlight w:val="none"/>
          <w:lang w:val="en-US" w:eastAsia="zh-CN"/>
          <w14:textFill>
            <w14:solidFill>
              <w14:schemeClr w14:val="tx1"/>
            </w14:solidFill>
          </w14:textFill>
        </w:rPr>
        <w:t>、车辆行驶和机械施工、各种废物污染影响</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0B7797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（1）钻井作业对土壤</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的影响</w:t>
      </w:r>
    </w:p>
    <w:p w14:paraId="13AB8D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施工期施工占地，将对地表土壤产生破坏性影响，如钻井井场等占地，以及堆积、挖掘、</w:t>
      </w:r>
      <w:r>
        <w:rPr>
          <w:rFonts w:hint="eastAsia" w:cs="Times New Roman"/>
          <w:color w:val="000000" w:themeColor="text1"/>
          <w:sz w:val="24"/>
          <w:szCs w:val="20"/>
          <w:highlight w:val="none"/>
          <w:lang w:val="en-US" w:eastAsia="zh-CN"/>
          <w14:textFill>
            <w14:solidFill>
              <w14:schemeClr w14:val="tx1"/>
            </w14:solidFill>
          </w14:textFill>
        </w:rPr>
        <w:t>碾压</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、践踏等均改变原有的土壤结构。油田施工期间，占地都将改变原有土壤的理化性质和土壤结构，使原有土壤结构和性状难以恢复。但是施工期对土壤的影响程度轻，影响特征是部分可逆，影响时间为短期。</w:t>
      </w:r>
    </w:p>
    <w:p w14:paraId="7A14843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工程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w:t>
      </w:r>
    </w:p>
    <w:p w14:paraId="46420E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废弃油基泥浆和废弃油基岩屑，均属于危险废物（071-002-08），产生环境在钻井环节，外观性状半固体，特征污染物为废矿物油，产生规律：连续产生。废弃油基泥浆和废弃油基岩屑在钻井井场配置储罐集中储存，委托有危废处置资质单位处置。</w:t>
      </w:r>
    </w:p>
    <w:p w14:paraId="64D9A4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bookmarkStart w:id="1008" w:name="OLE_LINK845"/>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地面工程施工对土壤</w:t>
      </w:r>
      <w:r>
        <w:rPr>
          <w:rFonts w:hint="default" w:ascii="Times New Roman" w:hAnsi="Times New Roman" w:cs="Times New Roman"/>
          <w:color w:val="000000" w:themeColor="text1"/>
          <w:highlight w:val="none"/>
          <w14:textFill>
            <w14:solidFill>
              <w14:schemeClr w14:val="tx1"/>
            </w14:solidFill>
          </w14:textFill>
        </w:rPr>
        <w:t>环境</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的影响</w:t>
      </w:r>
      <w:bookmarkEnd w:id="1008"/>
    </w:p>
    <w:p w14:paraId="453D226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themeColor="text1"/>
          <w:kern w:val="2"/>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油田开发</w:t>
      </w:r>
      <w:r>
        <w:rPr>
          <w:rFonts w:hint="eastAsia"/>
          <w:color w:val="000000" w:themeColor="text1"/>
          <w:kern w:val="2"/>
          <w:sz w:val="24"/>
          <w:highlight w:val="none"/>
          <w14:textFill>
            <w14:solidFill>
              <w14:schemeClr w14:val="tx1"/>
            </w14:solidFill>
          </w14:textFill>
        </w:rPr>
        <w:t xml:space="preserve">过程中，不可避免地要对土壤进行人为扰动，主要是井场建设过程中，车辆行驶和机械施工碾压和踩踏破坏土壤结构。 </w:t>
      </w:r>
    </w:p>
    <w:p w14:paraId="1CF649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kern w:val="2"/>
          <w:sz w:val="24"/>
          <w:highlight w:val="none"/>
          <w14:textFill>
            <w14:solidFill>
              <w14:schemeClr w14:val="tx1"/>
            </w14:solidFill>
          </w14:textFill>
        </w:rPr>
      </w:pPr>
      <w:bookmarkStart w:id="1009" w:name="OLE_LINK1460"/>
      <w:r>
        <w:rPr>
          <w:rFonts w:hint="eastAsia"/>
          <w:color w:val="000000" w:themeColor="text1"/>
          <w:kern w:val="2"/>
          <w:sz w:val="24"/>
          <w:highlight w:val="none"/>
          <w14:textFill>
            <w14:solidFill>
              <w14:schemeClr w14:val="tx1"/>
            </w14:solidFill>
          </w14:textFill>
        </w:rPr>
        <w:t>施工</w:t>
      </w:r>
      <w:r>
        <w:rPr>
          <w:rFonts w:hint="eastAsia"/>
          <w:color w:val="000000" w:themeColor="text1"/>
          <w:kern w:val="2"/>
          <w:sz w:val="24"/>
          <w:highlight w:val="none"/>
          <w:lang w:val="en-US" w:eastAsia="zh-CN"/>
          <w14:textFill>
            <w14:solidFill>
              <w14:schemeClr w14:val="tx1"/>
            </w14:solidFill>
          </w14:textFill>
        </w:rPr>
        <w:t>过程</w:t>
      </w:r>
      <w:r>
        <w:rPr>
          <w:rFonts w:hint="eastAsia"/>
          <w:color w:val="000000" w:themeColor="text1"/>
          <w:kern w:val="2"/>
          <w:sz w:val="24"/>
          <w:highlight w:val="none"/>
          <w14:textFill>
            <w14:solidFill>
              <w14:schemeClr w14:val="tx1"/>
            </w14:solidFill>
          </w14:textFill>
        </w:rPr>
        <w:t>中，</w:t>
      </w:r>
      <w:bookmarkEnd w:id="1009"/>
      <w:r>
        <w:rPr>
          <w:rFonts w:hint="eastAsia"/>
          <w:color w:val="000000" w:themeColor="text1"/>
          <w:kern w:val="2"/>
          <w:sz w:val="24"/>
          <w:highlight w:val="none"/>
          <w14:textFill>
            <w14:solidFill>
              <w14:schemeClr w14:val="tx1"/>
            </w14:solidFill>
          </w14:textFill>
        </w:rPr>
        <w:t xml:space="preserve">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为沙地。井场的施工场地等都存在这种影响。 </w:t>
      </w:r>
    </w:p>
    <w:p w14:paraId="58CFAB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bookmarkStart w:id="1010" w:name="OLE_LINK1463"/>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bookmarkStart w:id="1011" w:name="OLE_LINK1462"/>
      <w:r>
        <w:rPr>
          <w:rFonts w:hint="eastAsia" w:cs="Times New Roman"/>
          <w:color w:val="000000" w:themeColor="text1"/>
          <w:sz w:val="24"/>
          <w:szCs w:val="20"/>
          <w:highlight w:val="none"/>
          <w:lang w:val="en-US" w:eastAsia="zh-CN"/>
          <w14:textFill>
            <w14:solidFill>
              <w14:schemeClr w14:val="tx1"/>
            </w14:solidFill>
          </w14:textFill>
        </w:rPr>
        <w:t>永久基本</w:t>
      </w:r>
      <w:bookmarkStart w:id="1012" w:name="OLE_LINK1458"/>
      <w:r>
        <w:rPr>
          <w:rFonts w:hint="eastAsia" w:cs="Times New Roman"/>
          <w:color w:val="000000" w:themeColor="text1"/>
          <w:sz w:val="24"/>
          <w:szCs w:val="20"/>
          <w:highlight w:val="none"/>
          <w:lang w:val="en-US" w:eastAsia="zh-CN"/>
          <w14:textFill>
            <w14:solidFill>
              <w14:schemeClr w14:val="tx1"/>
            </w14:solidFill>
          </w14:textFill>
        </w:rPr>
        <w:t>农田</w:t>
      </w:r>
      <w:bookmarkEnd w:id="1011"/>
      <w:bookmarkEnd w:id="1012"/>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影响分析</w:t>
      </w:r>
    </w:p>
    <w:p w14:paraId="17A6FD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kern w:val="2"/>
          <w:sz w:val="24"/>
          <w:highlight w:val="none"/>
          <w:lang w:eastAsia="zh-CN"/>
          <w14:textFill>
            <w14:solidFill>
              <w14:schemeClr w14:val="tx1"/>
            </w14:solidFill>
          </w14:textFill>
        </w:rPr>
      </w:pPr>
      <w:bookmarkStart w:id="1013" w:name="OLE_LINK1457"/>
      <w:r>
        <w:rPr>
          <w:rFonts w:hint="eastAsia"/>
          <w:color w:val="000000" w:themeColor="text1"/>
          <w:kern w:val="2"/>
          <w:sz w:val="24"/>
          <w:highlight w:val="none"/>
          <w14:textFill>
            <w14:solidFill>
              <w14:schemeClr w14:val="tx1"/>
            </w14:solidFill>
          </w14:textFill>
        </w:rPr>
        <w:t>本工程不占用永久基本农田，评价范围涉及永久基本农田</w:t>
      </w:r>
      <w:r>
        <w:rPr>
          <w:rFonts w:hint="eastAsia"/>
          <w:color w:val="000000" w:themeColor="text1"/>
          <w:kern w:val="2"/>
          <w:sz w:val="24"/>
          <w:highlight w:val="none"/>
          <w:lang w:eastAsia="zh-CN"/>
          <w14:textFill>
            <w14:solidFill>
              <w14:schemeClr w14:val="tx1"/>
            </w14:solidFill>
          </w14:textFill>
        </w:rPr>
        <w:t>。</w:t>
      </w:r>
      <w:r>
        <w:rPr>
          <w:rFonts w:hint="eastAsia"/>
          <w:color w:val="000000" w:themeColor="text1"/>
          <w:kern w:val="2"/>
          <w:sz w:val="24"/>
          <w:highlight w:val="none"/>
          <w14:textFill>
            <w14:solidFill>
              <w14:schemeClr w14:val="tx1"/>
            </w14:solidFill>
          </w14:textFill>
        </w:rPr>
        <w:t>施工</w:t>
      </w:r>
      <w:r>
        <w:rPr>
          <w:rFonts w:hint="eastAsia"/>
          <w:color w:val="000000" w:themeColor="text1"/>
          <w:kern w:val="2"/>
          <w:sz w:val="24"/>
          <w:highlight w:val="none"/>
          <w:lang w:val="en-US" w:eastAsia="zh-CN"/>
          <w14:textFill>
            <w14:solidFill>
              <w14:schemeClr w14:val="tx1"/>
            </w14:solidFill>
          </w14:textFill>
        </w:rPr>
        <w:t>过程</w:t>
      </w:r>
      <w:r>
        <w:rPr>
          <w:rFonts w:hint="eastAsia"/>
          <w:color w:val="000000" w:themeColor="text1"/>
          <w:kern w:val="2"/>
          <w:sz w:val="24"/>
          <w:highlight w:val="none"/>
          <w14:textFill>
            <w14:solidFill>
              <w14:schemeClr w14:val="tx1"/>
            </w14:solidFill>
          </w14:textFill>
        </w:rPr>
        <w:t>中，</w:t>
      </w:r>
      <w:r>
        <w:rPr>
          <w:rFonts w:hint="eastAsia"/>
          <w:color w:val="000000" w:themeColor="text1"/>
          <w:kern w:val="2"/>
          <w:sz w:val="24"/>
          <w:highlight w:val="none"/>
          <w:lang w:val="en-US" w:eastAsia="zh-CN"/>
          <w14:textFill>
            <w14:solidFill>
              <w14:schemeClr w14:val="tx1"/>
            </w14:solidFill>
          </w14:textFill>
        </w:rPr>
        <w:t>严禁</w:t>
      </w:r>
      <w:r>
        <w:rPr>
          <w:rFonts w:hint="eastAsia"/>
          <w:color w:val="000000" w:themeColor="text1"/>
          <w:kern w:val="2"/>
          <w:sz w:val="24"/>
          <w:highlight w:val="none"/>
          <w14:textFill>
            <w14:solidFill>
              <w14:schemeClr w14:val="tx1"/>
            </w14:solidFill>
          </w14:textFill>
        </w:rPr>
        <w:t>对</w:t>
      </w:r>
      <w:r>
        <w:rPr>
          <w:rFonts w:hint="eastAsia"/>
          <w:color w:val="000000" w:themeColor="text1"/>
          <w:kern w:val="2"/>
          <w:sz w:val="24"/>
          <w:highlight w:val="none"/>
          <w:lang w:val="en-US" w:eastAsia="zh-CN"/>
          <w14:textFill>
            <w14:solidFill>
              <w14:schemeClr w14:val="tx1"/>
            </w14:solidFill>
          </w14:textFill>
        </w:rPr>
        <w:t>本工程周围分布的</w:t>
      </w:r>
      <w:r>
        <w:rPr>
          <w:rFonts w:hint="eastAsia" w:cs="Times New Roman"/>
          <w:color w:val="000000" w:themeColor="text1"/>
          <w:sz w:val="24"/>
          <w:szCs w:val="20"/>
          <w:highlight w:val="none"/>
          <w:lang w:val="en-US" w:eastAsia="zh-CN"/>
          <w14:textFill>
            <w14:solidFill>
              <w14:schemeClr w14:val="tx1"/>
            </w14:solidFill>
          </w14:textFill>
        </w:rPr>
        <w:t>永久基本农田</w:t>
      </w:r>
      <w:r>
        <w:rPr>
          <w:rFonts w:hint="eastAsia"/>
          <w:color w:val="000000" w:themeColor="text1"/>
          <w:kern w:val="2"/>
          <w:sz w:val="24"/>
          <w:highlight w:val="none"/>
          <w14:textFill>
            <w14:solidFill>
              <w14:schemeClr w14:val="tx1"/>
            </w14:solidFill>
          </w14:textFill>
        </w:rPr>
        <w:t>进行人为扰动</w:t>
      </w:r>
      <w:r>
        <w:rPr>
          <w:rFonts w:hint="eastAsia"/>
          <w:color w:val="000000" w:themeColor="text1"/>
          <w:kern w:val="2"/>
          <w:sz w:val="24"/>
          <w:highlight w:val="none"/>
          <w:lang w:eastAsia="zh-CN"/>
          <w14:textFill>
            <w14:solidFill>
              <w14:schemeClr w14:val="tx1"/>
            </w14:solidFill>
          </w14:textFill>
        </w:rPr>
        <w:t>。</w:t>
      </w:r>
    </w:p>
    <w:bookmarkEnd w:id="1010"/>
    <w:p w14:paraId="4E75E2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）水土流失影响分析</w:t>
      </w:r>
    </w:p>
    <w:bookmarkEnd w:id="1013"/>
    <w:p w14:paraId="5E8D4E7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油田工程建设对当地水土流失影响的方式包括扰动、损坏、破坏原地貌、地表土壤结构及植被。施工期间，施工车辆对地表的大面积碾压，使所经过地段的植被和地表结构遭到不同程度的破坏，使风蚀荒漠化的过程加剧</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在地面构筑物建设中，最直接而且易引起水土流失的是施工过程中使影响范围内的地表保护层变得松散，增加风蚀量。本</w:t>
      </w:r>
      <w:r>
        <w:rPr>
          <w:rFonts w:hint="eastAsia" w:cs="Times New Roman"/>
          <w:color w:val="000000" w:themeColor="text1"/>
          <w:sz w:val="24"/>
          <w:szCs w:val="20"/>
          <w:highlight w:val="none"/>
          <w:lang w:val="en-US" w:eastAsia="zh-CN"/>
          <w14:textFill>
            <w14:solidFill>
              <w14:schemeClr w14:val="tx1"/>
            </w14:solidFill>
          </w14:textFill>
        </w:rPr>
        <w:t>工程</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建设内容主要为</w:t>
      </w:r>
      <w:r>
        <w:rPr>
          <w:rFonts w:hint="eastAsia" w:cs="Times New Roman"/>
          <w:color w:val="000000" w:themeColor="text1"/>
          <w:sz w:val="24"/>
          <w:szCs w:val="20"/>
          <w:highlight w:val="none"/>
          <w:lang w:val="en-US" w:eastAsia="zh-CN"/>
          <w14:textFill>
            <w14:solidFill>
              <w14:schemeClr w14:val="tx1"/>
            </w14:solidFill>
          </w14:textFill>
        </w:rPr>
        <w:t>井</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场建设。永久占地范围内的地表彻底改变，地表经过砾石铺垫或者</w:t>
      </w:r>
      <w:r>
        <w:rPr>
          <w:rFonts w:hint="eastAsia" w:cs="Times New Roman"/>
          <w:color w:val="000000" w:themeColor="text1"/>
          <w:sz w:val="24"/>
          <w:szCs w:val="20"/>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硬化措施，风蚀量很少，不易发生水土流失</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26461077">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14" w:name="_Toc8971"/>
      <w:bookmarkStart w:id="1015" w:name="_Toc19903"/>
      <w:bookmarkStart w:id="1016" w:name="_Toc13881"/>
      <w:bookmarkStart w:id="1017" w:name="OLE_LINK653"/>
      <w:bookmarkStart w:id="1018" w:name="OLE_LINK503"/>
      <w:r>
        <w:rPr>
          <w:rFonts w:hint="default" w:ascii="Times New Roman" w:hAnsi="Times New Roman" w:cs="Times New Roman"/>
          <w:color w:val="000000" w:themeColor="text1"/>
          <w:highlight w:val="none"/>
          <w14:textFill>
            <w14:solidFill>
              <w14:schemeClr w14:val="tx1"/>
            </w14:solidFill>
          </w14:textFill>
        </w:rPr>
        <w:t>5.</w:t>
      </w:r>
      <w:bookmarkEnd w:id="1014"/>
      <w:bookmarkEnd w:id="1015"/>
      <w:bookmarkEnd w:id="1016"/>
      <w:r>
        <w:rPr>
          <w:rFonts w:hint="default" w:ascii="Times New Roman" w:hAnsi="Times New Roman" w:cs="Times New Roman"/>
          <w:color w:val="000000" w:themeColor="text1"/>
          <w:highlight w:val="none"/>
          <w14:textFill>
            <w14:solidFill>
              <w14:schemeClr w14:val="tx1"/>
            </w14:solidFill>
          </w14:textFill>
        </w:rPr>
        <w:t>4.2</w:t>
      </w:r>
      <w:bookmarkEnd w:id="1017"/>
      <w:r>
        <w:rPr>
          <w:rFonts w:hint="default" w:ascii="Times New Roman" w:hAnsi="Times New Roman" w:cs="Times New Roman"/>
          <w:color w:val="000000" w:themeColor="text1"/>
          <w:highlight w:val="none"/>
          <w14:textFill>
            <w14:solidFill>
              <w14:schemeClr w14:val="tx1"/>
            </w14:solidFill>
          </w14:textFill>
        </w:rPr>
        <w:t>运营期土壤环境影响评价</w:t>
      </w:r>
      <w:bookmarkEnd w:id="1018"/>
      <w:r>
        <w:rPr>
          <w:rFonts w:hint="default" w:ascii="Times New Roman" w:hAnsi="Times New Roman" w:cs="Times New Roman"/>
          <w:color w:val="000000" w:themeColor="text1"/>
          <w:highlight w:val="none"/>
          <w14:textFill>
            <w14:solidFill>
              <w14:schemeClr w14:val="tx1"/>
            </w14:solidFill>
          </w14:textFill>
        </w:rPr>
        <w:t xml:space="preserve"> </w:t>
      </w:r>
    </w:p>
    <w:p w14:paraId="19B2B57E">
      <w:pPr>
        <w:pageBreakBefore w:val="0"/>
        <w:widowControl w:val="0"/>
        <w:kinsoku/>
        <w:wordWrap/>
        <w:overflowPunct/>
        <w:topLinePunct w:val="0"/>
        <w:autoSpaceDE/>
        <w:autoSpaceDN/>
        <w:bidi w:val="0"/>
        <w:adjustRightInd w:val="0"/>
        <w:snapToGrid w:val="0"/>
        <w:spacing w:line="360" w:lineRule="auto"/>
        <w:jc w:val="both"/>
        <w:textAlignment w:val="auto"/>
        <w:outlineLvl w:val="3"/>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5.4.2</w:t>
      </w:r>
      <w:r>
        <w:rPr>
          <w:rFonts w:hint="eastAsia" w:eastAsia="宋体" w:cs="Times New Roman"/>
          <w:b/>
          <w:snapToGrid w:val="0"/>
          <w:color w:val="000000" w:themeColor="text1"/>
          <w:kern w:val="0"/>
          <w:sz w:val="24"/>
          <w:szCs w:val="21"/>
          <w:highlight w:val="none"/>
          <w:lang w:val="en-US" w:eastAsia="zh-CN" w:bidi="ar-SA"/>
          <w14:textFill>
            <w14:solidFill>
              <w14:schemeClr w14:val="tx1"/>
            </w14:solidFill>
          </w14:textFill>
        </w:rPr>
        <w:t>.1</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土壤污染途径</w:t>
      </w:r>
    </w:p>
    <w:p w14:paraId="10138FA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kern w:val="2"/>
          <w:sz w:val="24"/>
          <w:highlight w:val="none"/>
          <w:lang w:eastAsia="zh-CN"/>
          <w14:textFill>
            <w14:solidFill>
              <w14:schemeClr w14:val="tx1"/>
            </w14:solidFill>
          </w14:textFill>
        </w:rPr>
      </w:pPr>
      <w:r>
        <w:rPr>
          <w:rFonts w:hint="eastAsia"/>
          <w:color w:val="000000" w:themeColor="text1"/>
          <w:kern w:val="2"/>
          <w:sz w:val="24"/>
          <w:highlight w:val="none"/>
          <w:lang w:eastAsia="zh-CN"/>
          <w14:textFill>
            <w14:solidFill>
              <w14:schemeClr w14:val="tx1"/>
            </w14:solidFill>
          </w14:textFill>
        </w:rPr>
        <w:t>本工程</w:t>
      </w:r>
      <w:r>
        <w:rPr>
          <w:rFonts w:hint="eastAsia"/>
          <w:color w:val="000000" w:themeColor="text1"/>
          <w:kern w:val="2"/>
          <w:sz w:val="24"/>
          <w:highlight w:val="none"/>
          <w14:textFill>
            <w14:solidFill>
              <w14:schemeClr w14:val="tx1"/>
            </w14:solidFill>
          </w14:textFill>
        </w:rPr>
        <w:t>为</w:t>
      </w:r>
      <w:r>
        <w:rPr>
          <w:rFonts w:hint="eastAsia"/>
          <w:color w:val="000000" w:themeColor="text1"/>
          <w:kern w:val="2"/>
          <w:sz w:val="24"/>
          <w:highlight w:val="none"/>
          <w:lang w:val="en-US" w:eastAsia="zh-CN"/>
          <w14:textFill>
            <w14:solidFill>
              <w14:schemeClr w14:val="tx1"/>
            </w14:solidFill>
          </w14:textFill>
        </w:rPr>
        <w:t>天然气</w:t>
      </w:r>
      <w:r>
        <w:rPr>
          <w:rFonts w:hint="eastAsia"/>
          <w:color w:val="000000" w:themeColor="text1"/>
          <w:kern w:val="2"/>
          <w:sz w:val="24"/>
          <w:highlight w:val="none"/>
          <w14:textFill>
            <w14:solidFill>
              <w14:schemeClr w14:val="tx1"/>
            </w14:solidFill>
          </w14:textFill>
        </w:rPr>
        <w:t>开采项目，</w:t>
      </w:r>
      <w:r>
        <w:rPr>
          <w:rFonts w:hint="eastAsia"/>
          <w:color w:val="000000" w:themeColor="text1"/>
          <w:kern w:val="2"/>
          <w:sz w:val="24"/>
          <w:highlight w:val="none"/>
          <w:lang w:val="en-US" w:eastAsia="zh-CN"/>
          <w14:textFill>
            <w14:solidFill>
              <w14:schemeClr w14:val="tx1"/>
            </w14:solidFill>
          </w14:textFill>
        </w:rPr>
        <w:t>运营期主要以</w:t>
      </w:r>
      <w:r>
        <w:rPr>
          <w:rFonts w:hint="eastAsia"/>
          <w:color w:val="000000" w:themeColor="text1"/>
          <w:kern w:val="2"/>
          <w:sz w:val="24"/>
          <w:highlight w:val="none"/>
          <w14:textFill>
            <w14:solidFill>
              <w14:schemeClr w14:val="tx1"/>
            </w14:solidFill>
          </w14:textFill>
        </w:rPr>
        <w:t>污染影响为</w:t>
      </w:r>
      <w:r>
        <w:rPr>
          <w:rFonts w:hint="eastAsia"/>
          <w:color w:val="000000" w:themeColor="text1"/>
          <w:kern w:val="2"/>
          <w:sz w:val="24"/>
          <w:highlight w:val="none"/>
          <w:lang w:val="en-US" w:eastAsia="zh-CN"/>
          <w14:textFill>
            <w14:solidFill>
              <w14:schemeClr w14:val="tx1"/>
            </w14:solidFill>
          </w14:textFill>
        </w:rPr>
        <w:t>主</w:t>
      </w:r>
      <w:r>
        <w:rPr>
          <w:rFonts w:hint="eastAsia"/>
          <w:color w:val="000000" w:themeColor="text1"/>
          <w:kern w:val="2"/>
          <w:sz w:val="24"/>
          <w:highlight w:val="none"/>
          <w14:textFill>
            <w14:solidFill>
              <w14:schemeClr w14:val="tx1"/>
            </w14:solidFill>
          </w14:textFill>
        </w:rPr>
        <w:t>。运营期</w:t>
      </w:r>
      <w:r>
        <w:rPr>
          <w:rFonts w:hint="eastAsia"/>
          <w:color w:val="000000" w:themeColor="text1"/>
          <w:kern w:val="2"/>
          <w:sz w:val="24"/>
          <w:highlight w:val="none"/>
          <w:lang w:eastAsia="zh-CN"/>
          <w14:textFill>
            <w14:solidFill>
              <w14:schemeClr w14:val="tx1"/>
            </w14:solidFill>
          </w14:textFill>
        </w:rPr>
        <w:t>本工程</w:t>
      </w:r>
      <w:bookmarkStart w:id="1019" w:name="OLE_LINK637"/>
      <w:r>
        <w:rPr>
          <w:rFonts w:hint="eastAsia"/>
          <w:color w:val="000000" w:themeColor="text1"/>
          <w:kern w:val="2"/>
          <w:sz w:val="24"/>
          <w:highlight w:val="none"/>
          <w:lang w:val="en-US" w:eastAsia="zh-CN"/>
          <w14:textFill>
            <w14:solidFill>
              <w14:schemeClr w14:val="tx1"/>
            </w14:solidFill>
          </w14:textFill>
        </w:rPr>
        <w:t>天然气</w:t>
      </w:r>
      <w:bookmarkEnd w:id="1019"/>
      <w:r>
        <w:rPr>
          <w:rFonts w:hint="eastAsia"/>
          <w:color w:val="000000" w:themeColor="text1"/>
          <w:kern w:val="2"/>
          <w:sz w:val="24"/>
          <w:highlight w:val="none"/>
          <w:lang w:val="en-US" w:eastAsia="zh-CN"/>
          <w14:textFill>
            <w14:solidFill>
              <w14:schemeClr w14:val="tx1"/>
            </w14:solidFill>
          </w14:textFill>
        </w:rPr>
        <w:t>外输、</w:t>
      </w:r>
      <w:bookmarkStart w:id="1020" w:name="OLE_LINK638"/>
      <w:r>
        <w:rPr>
          <w:rFonts w:hint="eastAsia"/>
          <w:color w:val="000000" w:themeColor="text1"/>
          <w:kern w:val="2"/>
          <w:sz w:val="24"/>
          <w:highlight w:val="none"/>
          <w:lang w:val="en-US" w:eastAsia="zh-CN"/>
          <w14:textFill>
            <w14:solidFill>
              <w14:schemeClr w14:val="tx1"/>
            </w14:solidFill>
          </w14:textFill>
        </w:rPr>
        <w:t>凝析油</w:t>
      </w:r>
      <w:bookmarkEnd w:id="1020"/>
      <w:r>
        <w:rPr>
          <w:rFonts w:hint="eastAsia"/>
          <w:color w:val="000000" w:themeColor="text1"/>
          <w:kern w:val="2"/>
          <w:sz w:val="24"/>
          <w:highlight w:val="none"/>
          <w:lang w:val="en-US" w:eastAsia="zh-CN"/>
          <w14:textFill>
            <w14:solidFill>
              <w14:schemeClr w14:val="tx1"/>
            </w14:solidFill>
          </w14:textFill>
        </w:rPr>
        <w:t>罐车拉运，</w:t>
      </w:r>
      <w:r>
        <w:rPr>
          <w:rFonts w:hint="eastAsia"/>
          <w:color w:val="000000" w:themeColor="text1"/>
          <w:kern w:val="2"/>
          <w:sz w:val="24"/>
          <w:highlight w:val="none"/>
          <w14:textFill>
            <w14:solidFill>
              <w14:schemeClr w14:val="tx1"/>
            </w14:solidFill>
          </w14:textFill>
        </w:rPr>
        <w:t>正常情况下不会对土壤环境造成污染。非正常情况下</w:t>
      </w:r>
      <w:r>
        <w:rPr>
          <w:rFonts w:hint="eastAsia"/>
          <w:color w:val="000000" w:themeColor="text1"/>
          <w:kern w:val="2"/>
          <w:sz w:val="24"/>
          <w:highlight w:val="none"/>
          <w:lang w:val="en-US" w:eastAsia="zh-CN"/>
          <w14:textFill>
            <w14:solidFill>
              <w14:schemeClr w14:val="tx1"/>
            </w14:solidFill>
          </w14:textFill>
        </w:rPr>
        <w:t>凝析油、</w:t>
      </w:r>
      <w:r>
        <w:rPr>
          <w:rFonts w:hint="eastAsia"/>
          <w:color w:val="000000" w:themeColor="text1"/>
          <w:kern w:val="2"/>
          <w:sz w:val="24"/>
          <w:highlight w:val="none"/>
          <w14:textFill>
            <w14:solidFill>
              <w14:schemeClr w14:val="tx1"/>
            </w14:solidFill>
          </w14:textFill>
        </w:rPr>
        <w:t>含油污水泄漏可能会对土壤环境造成污染。结合</w:t>
      </w:r>
      <w:r>
        <w:rPr>
          <w:rFonts w:hint="eastAsia"/>
          <w:color w:val="000000" w:themeColor="text1"/>
          <w:kern w:val="2"/>
          <w:sz w:val="24"/>
          <w:highlight w:val="none"/>
          <w:lang w:val="en-US" w:eastAsia="zh-CN"/>
          <w14:textFill>
            <w14:solidFill>
              <w14:schemeClr w14:val="tx1"/>
            </w14:solidFill>
          </w14:textFill>
        </w:rPr>
        <w:t>本工程</w:t>
      </w:r>
      <w:r>
        <w:rPr>
          <w:rFonts w:hint="eastAsia"/>
          <w:color w:val="000000" w:themeColor="text1"/>
          <w:kern w:val="2"/>
          <w:sz w:val="24"/>
          <w:highlight w:val="none"/>
          <w14:textFill>
            <w14:solidFill>
              <w14:schemeClr w14:val="tx1"/>
            </w14:solidFill>
          </w14:textFill>
        </w:rPr>
        <w:t>特点，本节主要分析非正常状况下泄</w:t>
      </w:r>
      <w:r>
        <w:rPr>
          <w:rFonts w:hint="eastAsia"/>
          <w:color w:val="000000" w:themeColor="text1"/>
          <w:kern w:val="2"/>
          <w:sz w:val="24"/>
          <w:highlight w:val="none"/>
          <w:lang w:eastAsia="zh-CN"/>
          <w14:textFill>
            <w14:solidFill>
              <w14:schemeClr w14:val="tx1"/>
            </w14:solidFill>
          </w14:textFill>
        </w:rPr>
        <w:t>漏对土壤环境的污染影响，以及对土壤理化性质的影响和累积影响。</w:t>
      </w:r>
    </w:p>
    <w:p w14:paraId="1F0078EB">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kern w:val="2"/>
          <w:sz w:val="24"/>
          <w:highlight w:val="none"/>
          <w:lang w:eastAsia="zh-CN"/>
          <w14:textFill>
            <w14:solidFill>
              <w14:schemeClr w14:val="tx1"/>
            </w14:solidFill>
          </w14:textFill>
        </w:rPr>
      </w:pPr>
      <w:r>
        <w:rPr>
          <w:rFonts w:hint="eastAsia"/>
          <w:color w:val="000000" w:themeColor="text1"/>
          <w:kern w:val="2"/>
          <w:sz w:val="24"/>
          <w:highlight w:val="none"/>
          <w:lang w:val="en-US" w:eastAsia="zh-CN"/>
          <w14:textFill>
            <w14:solidFill>
              <w14:schemeClr w14:val="tx1"/>
            </w14:solidFill>
          </w14:textFill>
        </w:rPr>
        <w:t>气</w:t>
      </w:r>
      <w:r>
        <w:rPr>
          <w:rFonts w:hint="eastAsia"/>
          <w:color w:val="000000" w:themeColor="text1"/>
          <w:kern w:val="2"/>
          <w:sz w:val="24"/>
          <w:highlight w:val="none"/>
          <w:lang w:eastAsia="zh-CN"/>
          <w14:textFill>
            <w14:solidFill>
              <w14:schemeClr w14:val="tx1"/>
            </w14:solidFill>
          </w14:textFill>
        </w:rPr>
        <w:t>田土壤环境污染的分布为：污染物主要集中在</w:t>
      </w:r>
      <w:r>
        <w:rPr>
          <w:rFonts w:hint="eastAsia"/>
          <w:color w:val="000000" w:themeColor="text1"/>
          <w:kern w:val="2"/>
          <w:sz w:val="24"/>
          <w:highlight w:val="none"/>
          <w:lang w:val="en-US" w:eastAsia="zh-CN"/>
          <w14:textFill>
            <w14:solidFill>
              <w14:schemeClr w14:val="tx1"/>
            </w14:solidFill>
          </w14:textFill>
        </w:rPr>
        <w:t>井场</w:t>
      </w:r>
      <w:r>
        <w:rPr>
          <w:rFonts w:hint="eastAsia"/>
          <w:color w:val="000000" w:themeColor="text1"/>
          <w:kern w:val="2"/>
          <w:sz w:val="24"/>
          <w:highlight w:val="none"/>
          <w:lang w:eastAsia="zh-CN"/>
          <w14:textFill>
            <w14:solidFill>
              <w14:schemeClr w14:val="tx1"/>
            </w14:solidFill>
          </w14:textFill>
        </w:rPr>
        <w:t>永久占地内，各种污染物尤其是石油烃污染物主要集中在土壤表层，迁移深度较浅。</w:t>
      </w:r>
    </w:p>
    <w:p w14:paraId="0018220A">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kern w:val="2"/>
          <w:sz w:val="24"/>
          <w:highlight w:val="none"/>
          <w:lang w:eastAsia="zh-CN"/>
          <w14:textFill>
            <w14:solidFill>
              <w14:schemeClr w14:val="tx1"/>
            </w14:solidFill>
          </w14:textFill>
        </w:rPr>
      </w:pPr>
      <w:r>
        <w:rPr>
          <w:rFonts w:hint="eastAsia"/>
          <w:color w:val="000000" w:themeColor="text1"/>
          <w:kern w:val="2"/>
          <w:sz w:val="24"/>
          <w:highlight w:val="none"/>
          <w:lang w:eastAsia="zh-CN"/>
          <w14:textFill>
            <w14:solidFill>
              <w14:schemeClr w14:val="tx1"/>
            </w14:solidFill>
          </w14:textFill>
        </w:rPr>
        <w:t>事故时排放的</w:t>
      </w:r>
      <w:r>
        <w:rPr>
          <w:rFonts w:hint="eastAsia"/>
          <w:color w:val="000000" w:themeColor="text1"/>
          <w:kern w:val="2"/>
          <w:sz w:val="24"/>
          <w:highlight w:val="none"/>
          <w:lang w:val="en-US" w:eastAsia="zh-CN"/>
          <w14:textFill>
            <w14:solidFill>
              <w14:schemeClr w14:val="tx1"/>
            </w14:solidFill>
          </w14:textFill>
        </w:rPr>
        <w:t>凝析油、</w:t>
      </w:r>
      <w:r>
        <w:rPr>
          <w:rFonts w:hint="eastAsia"/>
          <w:color w:val="000000" w:themeColor="text1"/>
          <w:kern w:val="2"/>
          <w:sz w:val="24"/>
          <w:highlight w:val="none"/>
          <w:lang w:eastAsia="zh-CN"/>
          <w14:textFill>
            <w14:solidFill>
              <w14:schemeClr w14:val="tx1"/>
            </w14:solidFill>
          </w14:textFill>
        </w:rPr>
        <w:t>含油污水量大且集中，其危害主要表现为降低土壤透气、透水性，改变土壤微生物种群结构，消耗土壤氮素，使植物生长受阻，体内残留量增加，恶化土壤－植物及土壤-食物链系统的环境质量。因此，</w:t>
      </w:r>
      <w:r>
        <w:rPr>
          <w:rFonts w:hint="eastAsia"/>
          <w:color w:val="000000" w:themeColor="text1"/>
          <w:kern w:val="2"/>
          <w:sz w:val="24"/>
          <w:highlight w:val="none"/>
          <w:lang w:val="en-US" w:eastAsia="zh-CN"/>
          <w14:textFill>
            <w14:solidFill>
              <w14:schemeClr w14:val="tx1"/>
            </w14:solidFill>
          </w14:textFill>
        </w:rPr>
        <w:t>气</w:t>
      </w:r>
      <w:r>
        <w:rPr>
          <w:rFonts w:hint="eastAsia"/>
          <w:color w:val="000000" w:themeColor="text1"/>
          <w:kern w:val="2"/>
          <w:sz w:val="24"/>
          <w:highlight w:val="none"/>
          <w:lang w:eastAsia="zh-CN"/>
          <w14:textFill>
            <w14:solidFill>
              <w14:schemeClr w14:val="tx1"/>
            </w14:solidFill>
          </w14:textFill>
        </w:rPr>
        <w:t>田生产中一定要严防</w:t>
      </w:r>
      <w:r>
        <w:rPr>
          <w:rFonts w:hint="eastAsia"/>
          <w:color w:val="000000" w:themeColor="text1"/>
          <w:kern w:val="2"/>
          <w:sz w:val="24"/>
          <w:highlight w:val="none"/>
          <w:lang w:val="en-US" w:eastAsia="zh-CN"/>
          <w14:textFill>
            <w14:solidFill>
              <w14:schemeClr w14:val="tx1"/>
            </w14:solidFill>
          </w14:textFill>
        </w:rPr>
        <w:t>凝析油</w:t>
      </w:r>
      <w:r>
        <w:rPr>
          <w:rFonts w:hint="eastAsia"/>
          <w:color w:val="000000" w:themeColor="text1"/>
          <w:kern w:val="2"/>
          <w:sz w:val="24"/>
          <w:highlight w:val="none"/>
          <w:lang w:eastAsia="zh-CN"/>
          <w14:textFill>
            <w14:solidFill>
              <w14:schemeClr w14:val="tx1"/>
            </w14:solidFill>
          </w14:textFill>
        </w:rPr>
        <w:t>泄漏事故的发生，一旦发生事故，应立即采取事故应急措施，及时对</w:t>
      </w:r>
      <w:bookmarkStart w:id="1021" w:name="OLE_LINK648"/>
      <w:r>
        <w:rPr>
          <w:rFonts w:hint="eastAsia"/>
          <w:color w:val="000000" w:themeColor="text1"/>
          <w:kern w:val="2"/>
          <w:sz w:val="24"/>
          <w:highlight w:val="none"/>
          <w:lang w:val="en-US" w:eastAsia="zh-CN"/>
          <w14:textFill>
            <w14:solidFill>
              <w14:schemeClr w14:val="tx1"/>
            </w14:solidFill>
          </w14:textFill>
        </w:rPr>
        <w:t>凝析油</w:t>
      </w:r>
      <w:bookmarkEnd w:id="1021"/>
      <w:r>
        <w:rPr>
          <w:rFonts w:hint="eastAsia"/>
          <w:color w:val="000000" w:themeColor="text1"/>
          <w:kern w:val="2"/>
          <w:sz w:val="24"/>
          <w:highlight w:val="none"/>
          <w:lang w:val="en-US" w:eastAsia="zh-CN"/>
          <w14:textFill>
            <w14:solidFill>
              <w14:schemeClr w14:val="tx1"/>
            </w14:solidFill>
          </w14:textFill>
        </w:rPr>
        <w:t>、</w:t>
      </w:r>
      <w:r>
        <w:rPr>
          <w:rFonts w:hint="eastAsia"/>
          <w:color w:val="000000" w:themeColor="text1"/>
          <w:kern w:val="2"/>
          <w:sz w:val="24"/>
          <w:highlight w:val="none"/>
          <w:lang w:eastAsia="zh-CN"/>
          <w14:textFill>
            <w14:solidFill>
              <w14:schemeClr w14:val="tx1"/>
            </w14:solidFill>
          </w14:textFill>
        </w:rPr>
        <w:t>含油污水进行回收，最大限度地恢复地表原貌，为利用土壤的自净作用创造条件，在尽可能短的时间使土壤环境得到恢复。</w:t>
      </w:r>
    </w:p>
    <w:p w14:paraId="2C166D19">
      <w:pPr>
        <w:pageBreakBefore w:val="0"/>
        <w:widowControl w:val="0"/>
        <w:kinsoku/>
        <w:wordWrap/>
        <w:overflowPunct/>
        <w:topLinePunct w:val="0"/>
        <w:autoSpaceDE/>
        <w:autoSpaceDN/>
        <w:bidi w:val="0"/>
        <w:adjustRightInd w:val="0"/>
        <w:snapToGrid w:val="0"/>
        <w:spacing w:line="360" w:lineRule="auto"/>
        <w:jc w:val="both"/>
        <w:textAlignment w:val="auto"/>
        <w:outlineLvl w:val="3"/>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5.4.2</w:t>
      </w:r>
      <w:r>
        <w:rPr>
          <w:rFonts w:hint="eastAsia" w:eastAsia="宋体" w:cs="Times New Roman"/>
          <w:b/>
          <w:snapToGrid w:val="0"/>
          <w:color w:val="000000" w:themeColor="text1"/>
          <w:kern w:val="0"/>
          <w:sz w:val="24"/>
          <w:szCs w:val="21"/>
          <w:highlight w:val="none"/>
          <w:lang w:val="en-US" w:eastAsia="zh-CN" w:bidi="ar-SA"/>
          <w14:textFill>
            <w14:solidFill>
              <w14:schemeClr w14:val="tx1"/>
            </w14:solidFill>
          </w14:textFill>
        </w:rPr>
        <w:t>.2</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正常状况下对土壤环境的影响分析</w:t>
      </w:r>
    </w:p>
    <w:p w14:paraId="42287551">
      <w:pPr>
        <w:widowControl w:val="0"/>
        <w:spacing w:line="360" w:lineRule="auto"/>
        <w:ind w:firstLine="480" w:firstLineChars="200"/>
        <w:jc w:val="both"/>
        <w:rPr>
          <w:rStyle w:val="151"/>
          <w:rFonts w:ascii="Times New Roman" w:hAnsi="Times New Roman" w:eastAsia="宋体" w:cs="Times New Roman"/>
          <w:color w:val="000000" w:themeColor="text1"/>
          <w:sz w:val="24"/>
          <w:szCs w:val="20"/>
          <w:highlight w:val="none"/>
          <w:lang w:val="en-US" w:eastAsia="zh-CN" w:bidi="ar-SA"/>
          <w14:textFill>
            <w14:solidFill>
              <w14:schemeClr w14:val="tx1"/>
            </w14:solidFill>
          </w14:textFill>
        </w:rPr>
      </w:pPr>
      <w:r>
        <w:rPr>
          <w:rStyle w:val="151"/>
          <w:rFonts w:hint="eastAsia" w:ascii="Times New Roman" w:hAnsi="Times New Roman" w:eastAsia="宋体" w:cs="Times New Roman"/>
          <w:color w:val="000000" w:themeColor="text1"/>
          <w:szCs w:val="20"/>
          <w:highlight w:val="none"/>
          <w:lang w:val="en-US" w:eastAsia="zh-CN" w:bidi="ar-SA"/>
          <w14:textFill>
            <w14:solidFill>
              <w14:schemeClr w14:val="tx1"/>
            </w14:solidFill>
          </w14:textFill>
        </w:rPr>
        <w:t>本工程</w:t>
      </w:r>
      <w:r>
        <w:rPr>
          <w:rStyle w:val="151"/>
          <w:rFonts w:ascii="Times New Roman" w:hAnsi="Times New Roman" w:eastAsia="宋体" w:cs="Times New Roman"/>
          <w:color w:val="000000" w:themeColor="text1"/>
          <w:szCs w:val="20"/>
          <w:highlight w:val="none"/>
          <w:lang w:val="en-US" w:eastAsia="zh-CN" w:bidi="ar-SA"/>
          <w14:textFill>
            <w14:solidFill>
              <w14:schemeClr w14:val="tx1"/>
            </w14:solidFill>
          </w14:textFill>
        </w:rPr>
        <w:t>污染土壤的途径主要为</w:t>
      </w:r>
      <w:bookmarkStart w:id="1022" w:name="OLE_LINK640"/>
      <w:r>
        <w:rPr>
          <w:rFonts w:hint="eastAsia"/>
          <w:color w:val="000000" w:themeColor="text1"/>
          <w:kern w:val="2"/>
          <w:sz w:val="24"/>
          <w:highlight w:val="none"/>
          <w:lang w:val="en-US" w:eastAsia="zh-CN"/>
          <w14:textFill>
            <w14:solidFill>
              <w14:schemeClr w14:val="tx1"/>
            </w14:solidFill>
          </w14:textFill>
        </w:rPr>
        <w:t>凝析油</w:t>
      </w:r>
      <w:bookmarkEnd w:id="1022"/>
      <w:r>
        <w:rPr>
          <w:rStyle w:val="151"/>
          <w:rFonts w:hint="eastAsia" w:cs="Times New Roman"/>
          <w:color w:val="000000" w:themeColor="text1"/>
          <w:szCs w:val="20"/>
          <w:highlight w:val="none"/>
          <w:lang w:val="en-US" w:eastAsia="zh-CN" w:bidi="ar-SA"/>
          <w14:textFill>
            <w14:solidFill>
              <w14:schemeClr w14:val="tx1"/>
            </w14:solidFill>
          </w14:textFill>
        </w:rPr>
        <w:t>拉运</w:t>
      </w:r>
      <w:r>
        <w:rPr>
          <w:rStyle w:val="151"/>
          <w:rFonts w:ascii="Times New Roman" w:hAnsi="Times New Roman" w:eastAsia="宋体" w:cs="Times New Roman"/>
          <w:color w:val="000000" w:themeColor="text1"/>
          <w:szCs w:val="20"/>
          <w:highlight w:val="none"/>
          <w:lang w:val="en-US" w:eastAsia="zh-CN" w:bidi="ar-SA"/>
          <w14:textFill>
            <w14:solidFill>
              <w14:schemeClr w14:val="tx1"/>
            </w14:solidFill>
          </w14:textFill>
        </w:rPr>
        <w:t>及处理过程中发生跑冒滴漏，渗入土壤对土壤产生影响。</w:t>
      </w:r>
    </w:p>
    <w:p w14:paraId="17DB7FA4">
      <w:pPr>
        <w:widowControl w:val="0"/>
        <w:spacing w:line="360" w:lineRule="auto"/>
        <w:ind w:firstLine="456" w:firstLineChars="200"/>
        <w:jc w:val="both"/>
        <w:rPr>
          <w:rFonts w:ascii="Times New Roman" w:hAnsi="Times New Roman" w:eastAsia="宋体" w:cs="Times New Roman"/>
          <w:color w:val="000000" w:themeColor="text1"/>
          <w:sz w:val="24"/>
          <w:szCs w:val="20"/>
          <w:highlight w:val="none"/>
          <w:lang w:val="en-US" w:eastAsia="zh-CN" w:bidi="ar-SA"/>
          <w14:textFill>
            <w14:solidFill>
              <w14:schemeClr w14:val="tx1"/>
            </w14:solidFill>
          </w14:textFill>
        </w:rPr>
      </w:pPr>
      <w:r>
        <w:rPr>
          <w:rFonts w:hint="eastAsia" w:ascii="Calibri" w:hAnsi="Calibri" w:eastAsia="宋体" w:cs="Times New Roman"/>
          <w:color w:val="000000" w:themeColor="text1"/>
          <w:spacing w:val="-6"/>
          <w:kern w:val="24"/>
          <w:sz w:val="24"/>
          <w:szCs w:val="24"/>
          <w:highlight w:val="none"/>
          <w:lang w:val="en-US" w:eastAsia="zh-CN" w:bidi="ar-SA"/>
          <w14:textFill>
            <w14:solidFill>
              <w14:schemeClr w14:val="tx1"/>
            </w14:solidFill>
          </w14:textFill>
        </w:rPr>
        <w:t>运营期正常工况下，</w:t>
      </w:r>
      <w:r>
        <w:rPr>
          <w:rStyle w:val="151"/>
          <w:rFonts w:hint="eastAsia" w:ascii="Times New Roman" w:hAnsi="Times New Roman" w:eastAsia="宋体" w:cs="Times New Roman"/>
          <w:color w:val="000000" w:themeColor="text1"/>
          <w:spacing w:val="-6"/>
          <w:sz w:val="24"/>
          <w:szCs w:val="20"/>
          <w:highlight w:val="none"/>
          <w:lang w:val="en-US" w:eastAsia="zh-CN" w:bidi="ar-SA"/>
          <w14:textFill>
            <w14:solidFill>
              <w14:schemeClr w14:val="tx1"/>
            </w14:solidFill>
          </w14:textFill>
        </w:rPr>
        <w:t>本工程</w:t>
      </w:r>
      <w:bookmarkStart w:id="1023" w:name="OLE_LINK639"/>
      <w:r>
        <w:rPr>
          <w:rFonts w:hint="default" w:ascii="Times New Roman" w:hAnsi="Times New Roman" w:cs="Times New Roman"/>
          <w:color w:val="000000" w:themeColor="text1"/>
          <w:highlight w:val="none"/>
          <w14:textFill>
            <w14:solidFill>
              <w14:schemeClr w14:val="tx1"/>
            </w14:solidFill>
          </w14:textFill>
        </w:rPr>
        <w:t>生产废水</w:t>
      </w:r>
      <w:r>
        <w:rPr>
          <w:rFonts w:hint="eastAsia" w:cs="Times New Roman"/>
          <w:color w:val="000000" w:themeColor="text1"/>
          <w:highlight w:val="none"/>
          <w:lang w:eastAsia="zh-CN"/>
          <w14:textFill>
            <w14:solidFill>
              <w14:schemeClr w14:val="tx1"/>
            </w14:solidFill>
          </w14:textFill>
        </w:rPr>
        <w:t>和</w:t>
      </w:r>
      <w:r>
        <w:rPr>
          <w:rFonts w:hint="eastAsia" w:ascii="Calibri" w:hAnsi="Calibri" w:eastAsia="宋体" w:cs="Times New Roman"/>
          <w:color w:val="000000" w:themeColor="text1"/>
          <w:spacing w:val="-6"/>
          <w:kern w:val="24"/>
          <w:sz w:val="24"/>
          <w:szCs w:val="24"/>
          <w:highlight w:val="none"/>
          <w:lang w:val="en-US" w:eastAsia="zh-CN" w:bidi="ar-SA"/>
          <w14:textFill>
            <w14:solidFill>
              <w14:schemeClr w14:val="tx1"/>
            </w14:solidFill>
          </w14:textFill>
        </w:rPr>
        <w:t>井下作业废水</w:t>
      </w:r>
      <w:bookmarkEnd w:id="1023"/>
      <w:r>
        <w:rPr>
          <w:rFonts w:hint="eastAsia" w:ascii="Calibri" w:hAnsi="Calibri" w:eastAsia="宋体" w:cs="Times New Roman"/>
          <w:color w:val="000000" w:themeColor="text1"/>
          <w:spacing w:val="-6"/>
          <w:kern w:val="24"/>
          <w:sz w:val="24"/>
          <w:szCs w:val="24"/>
          <w:highlight w:val="none"/>
          <w:lang w:val="en-US" w:eastAsia="zh-CN" w:bidi="ar-SA"/>
          <w14:textFill>
            <w14:solidFill>
              <w14:schemeClr w14:val="tx1"/>
            </w14:solidFill>
          </w14:textFill>
        </w:rPr>
        <w:t>得到妥善处置</w:t>
      </w:r>
      <w:r>
        <w:rPr>
          <w:rFonts w:hint="eastAsia" w:ascii="Calibri" w:hAnsi="Calibri" w:cs="Times New Roman"/>
          <w:color w:val="000000" w:themeColor="text1"/>
          <w:spacing w:val="-6"/>
          <w:kern w:val="24"/>
          <w:sz w:val="24"/>
          <w:szCs w:val="24"/>
          <w:highlight w:val="none"/>
          <w:lang w:val="en-US" w:eastAsia="zh-CN" w:bidi="ar-SA"/>
          <w14:textFill>
            <w14:solidFill>
              <w14:schemeClr w14:val="tx1"/>
            </w14:solidFill>
          </w14:textFill>
        </w:rPr>
        <w:t>，</w:t>
      </w:r>
      <w:r>
        <w:rPr>
          <w:rFonts w:hint="eastAsia"/>
          <w:color w:val="000000" w:themeColor="text1"/>
          <w:kern w:val="2"/>
          <w:sz w:val="24"/>
          <w:highlight w:val="none"/>
          <w:lang w:val="en-US" w:eastAsia="zh-CN"/>
          <w14:textFill>
            <w14:solidFill>
              <w14:schemeClr w14:val="tx1"/>
            </w14:solidFill>
          </w14:textFill>
        </w:rPr>
        <w:t>凝析油</w:t>
      </w:r>
      <w:r>
        <w:rPr>
          <w:rFonts w:hint="eastAsia" w:ascii="Calibri" w:hAnsi="Calibri" w:cs="Times New Roman"/>
          <w:color w:val="000000" w:themeColor="text1"/>
          <w:spacing w:val="-6"/>
          <w:kern w:val="24"/>
          <w:sz w:val="24"/>
          <w:szCs w:val="24"/>
          <w:highlight w:val="none"/>
          <w:lang w:val="en-US" w:eastAsia="zh-CN" w:bidi="ar-SA"/>
          <w14:textFill>
            <w14:solidFill>
              <w14:schemeClr w14:val="tx1"/>
            </w14:solidFill>
          </w14:textFill>
        </w:rPr>
        <w:t>拉运严格遵守规章制度</w:t>
      </w:r>
      <w:r>
        <w:rPr>
          <w:rStyle w:val="151"/>
          <w:rFonts w:ascii="Times New Roman" w:hAnsi="Times New Roman" w:eastAsia="宋体" w:cs="Times New Roman"/>
          <w:color w:val="000000" w:themeColor="text1"/>
          <w:spacing w:val="-6"/>
          <w:sz w:val="24"/>
          <w:szCs w:val="20"/>
          <w:highlight w:val="none"/>
          <w:lang w:val="en-US" w:eastAsia="zh-CN" w:bidi="ar-SA"/>
          <w14:textFill>
            <w14:solidFill>
              <w14:schemeClr w14:val="tx1"/>
            </w14:solidFill>
          </w14:textFill>
        </w:rPr>
        <w:t>，不会出现溢出和</w:t>
      </w:r>
      <w:r>
        <w:rPr>
          <w:rStyle w:val="151"/>
          <w:rFonts w:hint="eastAsia" w:ascii="Times New Roman" w:hAnsi="Times New Roman" w:eastAsia="宋体" w:cs="Times New Roman"/>
          <w:color w:val="000000" w:themeColor="text1"/>
          <w:spacing w:val="-6"/>
          <w:sz w:val="24"/>
          <w:szCs w:val="20"/>
          <w:highlight w:val="none"/>
          <w:lang w:val="en-US" w:eastAsia="zh-CN" w:bidi="ar-SA"/>
          <w14:textFill>
            <w14:solidFill>
              <w14:schemeClr w14:val="tx1"/>
            </w14:solidFill>
          </w14:textFill>
        </w:rPr>
        <w:t>泄漏</w:t>
      </w:r>
      <w:r>
        <w:rPr>
          <w:rStyle w:val="151"/>
          <w:rFonts w:ascii="Times New Roman" w:hAnsi="Times New Roman" w:eastAsia="宋体" w:cs="Times New Roman"/>
          <w:color w:val="000000" w:themeColor="text1"/>
          <w:spacing w:val="-6"/>
          <w:sz w:val="24"/>
          <w:szCs w:val="20"/>
          <w:highlight w:val="none"/>
          <w:lang w:val="en-US" w:eastAsia="zh-CN" w:bidi="ar-SA"/>
          <w14:textFill>
            <w14:solidFill>
              <w14:schemeClr w14:val="tx1"/>
            </w14:solidFill>
          </w14:textFill>
        </w:rPr>
        <w:t>情况，实现可视可控。</w:t>
      </w:r>
    </w:p>
    <w:p w14:paraId="493F9F1C">
      <w:pPr>
        <w:pageBreakBefore w:val="0"/>
        <w:widowControl w:val="0"/>
        <w:kinsoku/>
        <w:wordWrap/>
        <w:overflowPunct/>
        <w:topLinePunct w:val="0"/>
        <w:autoSpaceDE/>
        <w:autoSpaceDN/>
        <w:bidi w:val="0"/>
        <w:adjustRightInd w:val="0"/>
        <w:snapToGrid w:val="0"/>
        <w:spacing w:line="360" w:lineRule="auto"/>
        <w:jc w:val="both"/>
        <w:textAlignment w:val="auto"/>
        <w:outlineLvl w:val="3"/>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pPr>
      <w:bookmarkStart w:id="1024" w:name="OLE_LINK656"/>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5.4.2</w:t>
      </w:r>
      <w:r>
        <w:rPr>
          <w:rFonts w:hint="eastAsia" w:eastAsia="宋体" w:cs="Times New Roman"/>
          <w:b/>
          <w:snapToGrid w:val="0"/>
          <w:color w:val="000000" w:themeColor="text1"/>
          <w:kern w:val="0"/>
          <w:sz w:val="24"/>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4"/>
          <w:szCs w:val="21"/>
          <w:highlight w:val="none"/>
          <w:lang w:val="en-US" w:eastAsia="zh-CN" w:bidi="ar-SA"/>
          <w14:textFill>
            <w14:solidFill>
              <w14:schemeClr w14:val="tx1"/>
            </w14:solidFill>
          </w14:textFill>
        </w:rPr>
        <w:t>非正常状况下对土壤环境的影响预测分析</w:t>
      </w:r>
    </w:p>
    <w:bookmarkEnd w:id="1024"/>
    <w:p w14:paraId="73DA778C">
      <w:pPr>
        <w:keepNext w:val="0"/>
        <w:keepLines w:val="0"/>
        <w:pageBreakBefore w:val="0"/>
        <w:widowControl w:val="0"/>
        <w:kinsoku/>
        <w:wordWrap/>
        <w:overflowPunct/>
        <w:topLinePunct w:val="0"/>
        <w:autoSpaceDE/>
        <w:autoSpaceDN/>
        <w:bidi w:val="0"/>
        <w:adjustRightInd w:val="0"/>
        <w:snapToGrid w:val="0"/>
        <w:spacing w:line="360" w:lineRule="auto"/>
        <w:ind w:firstLine="490" w:firstLineChars="196"/>
        <w:textAlignment w:val="auto"/>
        <w:rPr>
          <w:rFonts w:hint="default" w:ascii="Times New Roman" w:hAnsi="Times New Roman" w:eastAsia="宋体" w:cs="Times New Roman"/>
          <w:color w:val="000000" w:themeColor="text1"/>
          <w:spacing w:val="5"/>
          <w:sz w:val="24"/>
          <w:szCs w:val="24"/>
          <w:highlight w:val="none"/>
          <w14:textFill>
            <w14:solidFill>
              <w14:schemeClr w14:val="tx1"/>
            </w14:solidFill>
          </w14:textFill>
        </w:rPr>
      </w:pPr>
      <w:r>
        <w:rPr>
          <w:rFonts w:hint="eastAsia" w:eastAsia="宋体" w:cs="Times New Roman"/>
          <w:color w:val="000000" w:themeColor="text1"/>
          <w:spacing w:val="5"/>
          <w:sz w:val="24"/>
          <w:szCs w:val="24"/>
          <w:highlight w:val="none"/>
          <w:lang w:eastAsia="zh-CN"/>
          <w14:textFill>
            <w14:solidFill>
              <w14:schemeClr w14:val="tx1"/>
            </w14:solidFill>
          </w14:textFill>
        </w:rPr>
        <w:t>（</w:t>
      </w:r>
      <w:r>
        <w:rPr>
          <w:rFonts w:hint="eastAsia" w:eastAsia="宋体" w:cs="Times New Roman"/>
          <w:color w:val="000000" w:themeColor="text1"/>
          <w:spacing w:val="5"/>
          <w:sz w:val="24"/>
          <w:szCs w:val="24"/>
          <w:highlight w:val="none"/>
          <w:lang w:val="en-US" w:eastAsia="zh-CN"/>
          <w14:textFill>
            <w14:solidFill>
              <w14:schemeClr w14:val="tx1"/>
            </w14:solidFill>
          </w14:textFill>
        </w:rPr>
        <w:t>1</w:t>
      </w:r>
      <w:r>
        <w:rPr>
          <w:rFonts w:hint="eastAsia" w:eastAsia="宋体" w:cs="Times New Roman"/>
          <w:color w:val="000000" w:themeColor="text1"/>
          <w:spacing w:val="5"/>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生态影响型</w:t>
      </w:r>
    </w:p>
    <w:p w14:paraId="4FA792DE">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bookmarkStart w:id="1025" w:name="OLE_LINK221"/>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考虑事故状态下，</w:t>
      </w:r>
      <w:bookmarkEnd w:id="1025"/>
      <w:bookmarkStart w:id="1026" w:name="OLE_LINK649"/>
      <w:bookmarkStart w:id="1027" w:name="OLE_LINK657"/>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凝析油</w:t>
      </w:r>
      <w:bookmarkEnd w:id="1026"/>
      <w:bookmarkStart w:id="1028" w:name="OLE_LINK662"/>
      <w:r>
        <w:rPr>
          <w:rFonts w:hint="eastAsia" w:eastAsia="宋体" w:cs="Times New Roman"/>
          <w:snapToGrid w:val="0"/>
          <w:color w:val="000000" w:themeColor="text1"/>
          <w:spacing w:val="4"/>
          <w:kern w:val="2"/>
          <w:sz w:val="24"/>
          <w:highlight w:val="none"/>
          <w:lang w:val="en-US" w:eastAsia="zh-CN" w:bidi="ar-SA"/>
          <w14:textFill>
            <w14:solidFill>
              <w14:schemeClr w14:val="tx1"/>
            </w14:solidFill>
          </w14:textFill>
        </w:rPr>
        <w:t>多功能储集器</w:t>
      </w:r>
      <w:bookmarkEnd w:id="1027"/>
      <w:bookmarkEnd w:id="1028"/>
      <w:r>
        <w:rPr>
          <w:rFonts w:hint="eastAsia"/>
          <w:color w:val="000000" w:themeColor="text1"/>
          <w:kern w:val="2"/>
          <w:sz w:val="24"/>
          <w:szCs w:val="32"/>
          <w:highlight w:val="none"/>
          <w14:textFill>
            <w14:solidFill>
              <w14:schemeClr w14:val="tx1"/>
            </w14:solidFill>
          </w14:textFill>
        </w:rPr>
        <w:t>中</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凝析油</w:t>
      </w:r>
      <w:r>
        <w:rPr>
          <w:rFonts w:hint="eastAsia"/>
          <w:color w:val="000000" w:themeColor="text1"/>
          <w:kern w:val="2"/>
          <w:sz w:val="24"/>
          <w:szCs w:val="32"/>
          <w:highlight w:val="none"/>
          <w14:textFill>
            <w14:solidFill>
              <w14:schemeClr w14:val="tx1"/>
            </w14:solidFill>
          </w14:textFill>
        </w:rPr>
        <w:t>进入表层土壤中</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。初步估算，</w:t>
      </w:r>
      <w:r>
        <w:rPr>
          <w:color w:val="000000" w:themeColor="text1"/>
          <w:kern w:val="2"/>
          <w:sz w:val="24"/>
          <w:szCs w:val="32"/>
          <w:highlight w:val="none"/>
          <w14:textFill>
            <w14:solidFill>
              <w14:schemeClr w14:val="tx1"/>
            </w14:solidFill>
          </w14:textFill>
        </w:rPr>
        <w:t>预计</w:t>
      </w:r>
      <w:r>
        <w:rPr>
          <w:rFonts w:hint="eastAsia"/>
          <w:color w:val="000000" w:themeColor="text1"/>
          <w:kern w:val="2"/>
          <w:sz w:val="24"/>
          <w:szCs w:val="32"/>
          <w:highlight w:val="none"/>
          <w14:textFill>
            <w14:solidFill>
              <w14:schemeClr w14:val="tx1"/>
            </w14:solidFill>
          </w14:textFill>
        </w:rPr>
        <w:t>1h</w:t>
      </w:r>
      <w:r>
        <w:rPr>
          <w:color w:val="000000" w:themeColor="text1"/>
          <w:kern w:val="2"/>
          <w:sz w:val="24"/>
          <w:szCs w:val="32"/>
          <w:highlight w:val="none"/>
          <w14:textFill>
            <w14:solidFill>
              <w14:schemeClr w14:val="tx1"/>
            </w14:solidFill>
          </w14:textFill>
        </w:rPr>
        <w:t>泄漏的量为</w:t>
      </w:r>
      <w:bookmarkStart w:id="1029" w:name="OLE_LINK650"/>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.67</w:t>
      </w:r>
      <w:bookmarkEnd w:id="1029"/>
      <w:bookmarkStart w:id="1030" w:name="OLE_LINK652"/>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m³</w:t>
      </w:r>
      <w:bookmarkEnd w:id="1030"/>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凝析油</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中的</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矿化度为</w:t>
      </w:r>
      <w:bookmarkStart w:id="1031" w:name="OLE_LINK651"/>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1</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72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000</w:t>
      </w:r>
      <w:bookmarkEnd w:id="1031"/>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mg/L，则估算进入土壤中的盐分含量为=</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.67m³×1</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72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000mg/L=</w:t>
      </w:r>
      <w:bookmarkStart w:id="1032" w:name="OLE_LINK1007"/>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287240</w:t>
      </w:r>
      <w:bookmarkEnd w:id="1032"/>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g。</w:t>
      </w:r>
    </w:p>
    <w:p w14:paraId="702B3B74">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bookmarkStart w:id="1033" w:name="OLE_LINK641"/>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本次预测采用</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bookmarkEnd w:id="1033"/>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附录E</w:t>
      </w:r>
      <w:bookmarkStart w:id="1034" w:name="OLE_LINK642"/>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.1.3中预测方法，预测公式如下：</w:t>
      </w:r>
      <w:bookmarkEnd w:id="1034"/>
    </w:p>
    <w:p w14:paraId="0BB6610C">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bookmarkStart w:id="1035" w:name="OLE_LINK643"/>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end"/>
      </w:r>
      <w:bookmarkEnd w:id="1035"/>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单位质量土壤中某种物质的增量</w:t>
      </w:r>
    </w:p>
    <w:p w14:paraId="4F142E39">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center"/>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drawing>
          <wp:inline distT="0" distB="0" distL="114300" distR="114300">
            <wp:extent cx="2809875" cy="304800"/>
            <wp:effectExtent l="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3"/>
                    <a:stretch>
                      <a:fillRect/>
                    </a:stretch>
                  </pic:blipFill>
                  <pic:spPr>
                    <a:xfrm>
                      <a:off x="0" y="0"/>
                      <a:ext cx="2809875" cy="304800"/>
                    </a:xfrm>
                    <a:prstGeom prst="rect">
                      <a:avLst/>
                    </a:prstGeom>
                    <a:noFill/>
                    <a:ln>
                      <a:noFill/>
                    </a:ln>
                  </pic:spPr>
                </pic:pic>
              </a:graphicData>
            </a:graphic>
          </wp:inline>
        </w:drawing>
      </w:r>
    </w:p>
    <w:p w14:paraId="43EC1127">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式中：△</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单位质量表层土壤中某种物质的增量，g/kg；</w:t>
      </w:r>
    </w:p>
    <w:p w14:paraId="0EAE31A5">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I</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预测评价范围内单位年份表层土壤中某种物质的输入量，g；</w:t>
      </w:r>
    </w:p>
    <w:p w14:paraId="4290F83D">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bookmarkStart w:id="1036" w:name="OLE_LINK654"/>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s</w:t>
      </w:r>
      <w:bookmarkEnd w:id="1036"/>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预测评价范围内单位年份表层土壤中某种物质经淋溶排出的量，g；</w:t>
      </w:r>
    </w:p>
    <w:p w14:paraId="1E17CB09">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bookmarkStart w:id="1037" w:name="OLE_LINK655"/>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R</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s</w:t>
      </w:r>
      <w:bookmarkEnd w:id="1037"/>
      <w:bookmarkStart w:id="1038" w:name="OLE_LINK647"/>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bookmarkEnd w:id="1038"/>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预测评价范围内单位年份表层土壤中某种物质经径流排出的量，g；</w:t>
      </w:r>
    </w:p>
    <w:p w14:paraId="431F4266">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ρ</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b</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表层土壤容重，kg/m³；</w:t>
      </w:r>
    </w:p>
    <w:p w14:paraId="671DFEE2">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预测评价范围，m</w:t>
      </w:r>
      <w:r>
        <w:rPr>
          <w:rFonts w:hint="default" w:ascii="Times New Roman" w:hAnsi="Times New Roman" w:eastAsia="宋体" w:cs="Times New Roman"/>
          <w:color w:val="000000" w:themeColor="text1"/>
          <w:spacing w:val="4"/>
          <w:kern w:val="24"/>
          <w:sz w:val="24"/>
          <w:szCs w:val="22"/>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p>
    <w:p w14:paraId="2BC333B7">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表层土壤深度，一般取0.2m，可根据实际情况适当调整；</w:t>
      </w:r>
    </w:p>
    <w:p w14:paraId="557369E3">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持续年份，a。</w:t>
      </w:r>
    </w:p>
    <w:p w14:paraId="5BFD60CF">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单位质量土壤中某种物质的预测值</w:t>
      </w:r>
    </w:p>
    <w:p w14:paraId="20587E3B">
      <w:pPr>
        <w:keepNext w:val="0"/>
        <w:keepLines w:val="0"/>
        <w:pageBreakBefore w:val="0"/>
        <w:widowControl w:val="0"/>
        <w:kinsoku/>
        <w:wordWrap/>
        <w:overflowPunct/>
        <w:topLinePunct w:val="0"/>
        <w:autoSpaceDE/>
        <w:autoSpaceDN/>
        <w:bidi w:val="0"/>
        <w:adjustRightInd w:val="0"/>
        <w:snapToGrid w:val="0"/>
        <w:spacing w:line="360" w:lineRule="auto"/>
        <w:ind w:firstLine="992" w:firstLineChars="400"/>
        <w:jc w:val="center"/>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r>
        <w:rPr>
          <w:rFonts w:hint="default" w:ascii="Times New Roman" w:hAnsi="Times New Roman" w:eastAsia="宋体" w:cs="Times New Roman"/>
          <w:i w:val="0"/>
          <w:iCs w:val="0"/>
          <w:color w:val="000000" w:themeColor="text1"/>
          <w:spacing w:val="4"/>
          <w:kern w:val="24"/>
          <w:sz w:val="24"/>
          <w:szCs w:val="22"/>
          <w:highlight w:val="none"/>
          <w:vertAlign w:val="subscript"/>
          <w:lang w:val="en-US" w:eastAsia="zh-CN" w:bidi="ar-SA"/>
          <w14:textFill>
            <w14:solidFill>
              <w14:schemeClr w14:val="tx1"/>
            </w14:solidFill>
          </w14:textFill>
        </w:rPr>
        <w:t>b</w:t>
      </w:r>
      <w:r>
        <w:rPr>
          <w:rFonts w:hint="default" w:ascii="Times New Roman" w:hAnsi="Times New Roman" w:eastAsia="宋体" w:cs="Times New Roman"/>
          <w:i w:val="0"/>
          <w:iCs w:val="0"/>
          <w:color w:val="000000" w:themeColor="text1"/>
          <w:spacing w:val="4"/>
          <w:kern w:val="2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p>
    <w:p w14:paraId="5D85E72D">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式中：</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4"/>
          <w:kern w:val="24"/>
          <w:sz w:val="24"/>
          <w:szCs w:val="22"/>
          <w:highlight w:val="none"/>
          <w:vertAlign w:val="subscript"/>
          <w:lang w:val="en-US" w:eastAsia="zh-CN" w:bidi="ar-SA"/>
          <w14:textFill>
            <w14:solidFill>
              <w14:schemeClr w14:val="tx1"/>
            </w14:solidFill>
          </w14:textFill>
        </w:rPr>
        <w:t>b</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单位质量土壤中某种物质的现状值，g/kg；</w:t>
      </w:r>
    </w:p>
    <w:p w14:paraId="5072BA27">
      <w:pPr>
        <w:keepNext w:val="0"/>
        <w:keepLines w:val="0"/>
        <w:pageBreakBefore w:val="0"/>
        <w:widowControl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单位质量土壤中某种物质的预测值，g/kg。</w:t>
      </w:r>
    </w:p>
    <w:p w14:paraId="72A9F0DF">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eastAsia" w:cs="Times New Roman"/>
          <w:color w:val="000000" w:themeColor="text1"/>
          <w:spacing w:val="4"/>
          <w:kern w:val="24"/>
          <w:sz w:val="24"/>
          <w:szCs w:val="22"/>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所处区域气候干燥，年降雨量较小，</w:t>
      </w:r>
      <w:r>
        <w:rPr>
          <w:rFonts w:hint="eastAsia" w:cs="Times New Roman"/>
          <w:color w:val="000000" w:themeColor="text1"/>
          <w:spacing w:val="4"/>
          <w:kern w:val="24"/>
          <w:sz w:val="24"/>
          <w:szCs w:val="22"/>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考虑最不利情况，</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和</w:t>
      </w:r>
      <w:r>
        <w:rPr>
          <w:rFonts w:hint="default" w:ascii="Times New Roman" w:hAnsi="Times New Roman" w:eastAsia="宋体" w:cs="Times New Roman"/>
          <w:i/>
          <w:iCs/>
          <w:color w:val="000000" w:themeColor="text1"/>
          <w:spacing w:val="4"/>
          <w:kern w:val="24"/>
          <w:sz w:val="24"/>
          <w:szCs w:val="22"/>
          <w:highlight w:val="none"/>
          <w:lang w:val="en-US" w:eastAsia="zh-CN" w:bidi="ar-SA"/>
          <w14:textFill>
            <w14:solidFill>
              <w14:schemeClr w14:val="tx1"/>
            </w14:solidFill>
          </w14:textFill>
        </w:rPr>
        <w:t>R</w:t>
      </w:r>
      <w:r>
        <w:rPr>
          <w:rFonts w:hint="default" w:ascii="Times New Roman" w:hAnsi="Times New Roman" w:eastAsia="宋体" w:cs="Times New Roman"/>
          <w:i/>
          <w:iCs/>
          <w:color w:val="000000" w:themeColor="text1"/>
          <w:spacing w:val="4"/>
          <w:kern w:val="24"/>
          <w:sz w:val="24"/>
          <w:szCs w:val="22"/>
          <w:highlight w:val="none"/>
          <w:vertAlign w:val="subscript"/>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取值均为0，预测评价范围为以泄漏点为中心20m×20m范围，表层土壤容重根据区域土壤理化特性调查取值为</w:t>
      </w:r>
      <w:r>
        <w:rPr>
          <w:rFonts w:hint="eastAsia" w:cs="Times New Roman"/>
          <w:color w:val="000000" w:themeColor="text1"/>
          <w:spacing w:val="4"/>
          <w:kern w:val="24"/>
          <w:sz w:val="24"/>
          <w:szCs w:val="22"/>
          <w:highlight w:val="none"/>
          <w:lang w:val="en-US" w:eastAsia="zh-CN" w:bidi="ar-SA"/>
          <w14:textFill>
            <w14:solidFill>
              <w14:schemeClr w14:val="tx1"/>
            </w14:solidFill>
          </w14:textFill>
        </w:rPr>
        <w:t>1.12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4"/>
          <w:kern w:val="24"/>
          <w:sz w:val="24"/>
          <w:szCs w:val="22"/>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kg/m</w:t>
      </w:r>
      <w:r>
        <w:rPr>
          <w:rFonts w:hint="default" w:ascii="Times New Roman" w:hAnsi="Times New Roman" w:eastAsia="宋体" w:cs="Times New Roman"/>
          <w:color w:val="000000" w:themeColor="text1"/>
          <w:spacing w:val="4"/>
          <w:kern w:val="24"/>
          <w:sz w:val="24"/>
          <w:szCs w:val="22"/>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，根据区域土壤盐分监测结果，单位质量土壤中盐分含量的现状值为</w:t>
      </w:r>
      <w:r>
        <w:rPr>
          <w:rFonts w:hint="eastAsia" w:cs="Times New Roman"/>
          <w:color w:val="000000" w:themeColor="text1"/>
          <w:spacing w:val="4"/>
          <w:kern w:val="24"/>
          <w:sz w:val="24"/>
          <w:szCs w:val="22"/>
          <w:highlight w:val="none"/>
          <w:lang w:val="en-US" w:eastAsia="zh-CN" w:bidi="ar-SA"/>
          <w14:textFill>
            <w14:solidFill>
              <w14:schemeClr w14:val="tx1"/>
            </w14:solidFill>
          </w14:textFill>
        </w:rPr>
        <w:t>5.2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g/kg。预测年份为0.027a</w:t>
      </w:r>
      <w:r>
        <w:rPr>
          <w:rFonts w:hint="default" w:ascii="Times New Roman" w:hAnsi="Times New Roman" w:cs="Times New Roman"/>
          <w:color w:val="000000" w:themeColor="text1"/>
          <w:spacing w:val="4"/>
          <w:kern w:val="2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10天</w:t>
      </w:r>
      <w:r>
        <w:rPr>
          <w:rFonts w:hint="default" w:ascii="Times New Roman" w:hAnsi="Times New Roman" w:cs="Times New Roman"/>
          <w:color w:val="000000" w:themeColor="text1"/>
          <w:spacing w:val="4"/>
          <w:kern w:val="2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p>
    <w:p w14:paraId="24F32505">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根据上述计算结果，在10天内，单位质量土壤中盐分含量的增量为</w:t>
      </w:r>
      <w:r>
        <w:rPr>
          <w:rFonts w:hint="eastAsia"/>
          <w:color w:val="000000" w:themeColor="text1"/>
          <w:kern w:val="2"/>
          <w:sz w:val="24"/>
          <w:szCs w:val="32"/>
          <w:highlight w:val="none"/>
          <w:lang w:val="en-US" w:eastAsia="zh-CN"/>
          <w14:textFill>
            <w14:solidFill>
              <w14:schemeClr w14:val="tx1"/>
            </w14:solidFill>
          </w14:textFill>
        </w:rPr>
        <w:t>0.087</w:t>
      </w:r>
      <w:r>
        <w:rPr>
          <w:color w:val="000000" w:themeColor="text1"/>
          <w:kern w:val="2"/>
          <w:sz w:val="24"/>
          <w:szCs w:val="32"/>
          <w:highlight w:val="none"/>
          <w14:textFill>
            <w14:solidFill>
              <w14:schemeClr w14:val="tx1"/>
            </w14:solidFill>
          </w14:textFill>
        </w:rPr>
        <w:t>g/kg，叠加现状值后的预测值为</w:t>
      </w:r>
      <w:r>
        <w:rPr>
          <w:rFonts w:hint="eastAsia"/>
          <w:color w:val="000000" w:themeColor="text1"/>
          <w:kern w:val="2"/>
          <w:sz w:val="24"/>
          <w:szCs w:val="32"/>
          <w:highlight w:val="none"/>
          <w:lang w:val="en-US" w:eastAsia="zh-CN"/>
          <w14:textFill>
            <w14:solidFill>
              <w14:schemeClr w14:val="tx1"/>
            </w14:solidFill>
          </w14:textFill>
        </w:rPr>
        <w:t>5.287</w:t>
      </w:r>
      <w:r>
        <w:rPr>
          <w:color w:val="000000" w:themeColor="text1"/>
          <w:kern w:val="2"/>
          <w:sz w:val="24"/>
          <w:szCs w:val="32"/>
          <w:highlight w:val="none"/>
          <w14:textFill>
            <w14:solidFill>
              <w14:schemeClr w14:val="tx1"/>
            </w14:solidFill>
          </w14:textFill>
        </w:rPr>
        <w:t>g/kg</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p>
    <w:p w14:paraId="5F8C223F">
      <w:pPr>
        <w:keepNext w:val="0"/>
        <w:keepLines w:val="0"/>
        <w:pageBreakBefore w:val="0"/>
        <w:widowControl/>
        <w:kinsoku/>
        <w:wordWrap/>
        <w:overflowPunct/>
        <w:topLinePunct w:val="0"/>
        <w:autoSpaceDE/>
        <w:autoSpaceDN/>
        <w:bidi w:val="0"/>
        <w:adjustRightInd w:val="0"/>
        <w:snapToGrid w:val="0"/>
        <w:spacing w:line="360" w:lineRule="auto"/>
        <w:ind w:firstLine="496"/>
        <w:jc w:val="left"/>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r>
        <w:rPr>
          <w:rFonts w:hint="eastAsia" w:eastAsia="宋体" w:cs="Times New Roman"/>
          <w:color w:val="000000" w:themeColor="text1"/>
          <w:sz w:val="24"/>
          <w:szCs w:val="22"/>
          <w:highlight w:val="none"/>
          <w:lang w:eastAsia="zh-CN"/>
          <w14:textFill>
            <w14:solidFill>
              <w14:schemeClr w14:val="tx1"/>
            </w14:solidFill>
          </w14:textFill>
        </w:rPr>
        <w:t>。</w:t>
      </w:r>
    </w:p>
    <w:p w14:paraId="30436D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（2）污染影响型</w:t>
      </w:r>
    </w:p>
    <w:p w14:paraId="55803CCD">
      <w:pPr>
        <w:adjustRightInd/>
        <w:snapToGrid/>
        <w:spacing w:line="360" w:lineRule="auto"/>
        <w:ind w:firstLine="496" w:firstLineChars="200"/>
        <w:jc w:val="both"/>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考虑事故状态下，</w:t>
      </w:r>
      <w:r>
        <w:rPr>
          <w:rFonts w:asciiTheme="majorHAnsi" w:hAnsiTheme="majorHAnsi"/>
          <w:color w:val="000000" w:themeColor="text1"/>
          <w:kern w:val="2"/>
          <w:sz w:val="24"/>
          <w:szCs w:val="32"/>
          <w:highlight w:val="none"/>
          <w14:textFill>
            <w14:solidFill>
              <w14:schemeClr w14:val="tx1"/>
            </w14:solidFill>
          </w14:textFill>
        </w:rPr>
        <w:t>影响途径主要为运营期</w:t>
      </w:r>
      <w:r>
        <w:rPr>
          <w:rFonts w:hint="eastAsia" w:asciiTheme="majorHAnsi" w:hAnsiTheme="majorHAnsi"/>
          <w:color w:val="000000" w:themeColor="text1"/>
          <w:kern w:val="2"/>
          <w:sz w:val="24"/>
          <w:szCs w:val="32"/>
          <w:highlight w:val="none"/>
          <w:lang w:val="en-US" w:eastAsia="zh-CN"/>
          <w14:textFill>
            <w14:solidFill>
              <w14:schemeClr w14:val="tx1"/>
            </w14:solidFill>
          </w14:textFill>
        </w:rPr>
        <w:t>井场</w:t>
      </w:r>
      <w:r>
        <w:rPr>
          <w:rFonts w:asciiTheme="majorHAnsi" w:hAnsiTheme="majorHAnsi"/>
          <w:color w:val="000000" w:themeColor="text1"/>
          <w:kern w:val="2"/>
          <w:sz w:val="24"/>
          <w:szCs w:val="32"/>
          <w:highlight w:val="none"/>
          <w14:textFill>
            <w14:solidFill>
              <w14:schemeClr w14:val="tx1"/>
            </w14:solidFill>
          </w14:textFill>
        </w:rPr>
        <w:t>污染物以垂直入渗方式进入土壤环境</w:t>
      </w:r>
      <w:r>
        <w:rPr>
          <w:rFonts w:hint="eastAsia" w:asciiTheme="majorHAnsi" w:hAnsiTheme="majorHAnsi"/>
          <w:color w:val="000000" w:themeColor="text1"/>
          <w:kern w:val="2"/>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本次预测采用</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《环境影响评价技术导则 土壤环境</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试行</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aps w:val="0"/>
          <w:color w:val="000000" w:themeColor="text1"/>
          <w:kern w:val="2"/>
          <w:sz w:val="24"/>
          <w:szCs w:val="32"/>
          <w:highlight w:val="none"/>
          <w:lang w:val="en-US" w:eastAsia="zh-CN" w:bidi="ar"/>
          <w14:textFill>
            <w14:solidFill>
              <w14:schemeClr w14:val="tx1"/>
            </w14:solidFill>
          </w14:textFill>
        </w:rPr>
        <w:t>HJ964-2018</w:t>
      </w:r>
      <w:r>
        <w:rPr>
          <w:rFonts w:hint="default" w:ascii="Times New Roman" w:hAnsi="Times New Roman" w:cs="Times New Roman"/>
          <w:caps w:val="0"/>
          <w:color w:val="000000" w:themeColor="text1"/>
          <w:kern w:val="2"/>
          <w:sz w:val="24"/>
          <w:szCs w:val="32"/>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附录E</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2.2</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t>中预测方法，预测公式如下：</w:t>
      </w:r>
    </w:p>
    <w:p w14:paraId="6534BB79">
      <w:pPr>
        <w:adjustRightInd/>
        <w:snapToGrid/>
        <w:spacing w:line="360" w:lineRule="auto"/>
        <w:ind w:firstLine="496"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pacing w:val="4"/>
          <w:kern w:val="24"/>
          <w:sz w:val="24"/>
          <w:szCs w:val="22"/>
          <w:highlight w:val="none"/>
          <w:lang w:val="en-US" w:eastAsia="zh-CN" w:bidi="ar-SA"/>
          <w14:textFill>
            <w14:solidFill>
              <w14:schemeClr w14:val="tx1"/>
            </w14:solidFill>
          </w14:textFill>
        </w:rPr>
        <w:fldChar w:fldCharType="end"/>
      </w:r>
      <w:r>
        <w:rPr>
          <w:rFonts w:asciiTheme="majorHAnsi" w:hAnsiTheme="majorHAnsi"/>
          <w:color w:val="000000" w:themeColor="text1"/>
          <w:kern w:val="2"/>
          <w:sz w:val="24"/>
          <w:szCs w:val="32"/>
          <w:highlight w:val="none"/>
          <w14:textFill>
            <w14:solidFill>
              <w14:schemeClr w14:val="tx1"/>
            </w14:solidFill>
          </w14:textFill>
        </w:rPr>
        <w:t>一维非饱和溶质垂向运移控制方程：</w:t>
      </w:r>
    </w:p>
    <w:p w14:paraId="1CE1D7F2">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drawing>
          <wp:anchor distT="0" distB="0" distL="114300" distR="114300" simplePos="0" relativeHeight="251687936" behindDoc="0" locked="0" layoutInCell="1" allowOverlap="1">
            <wp:simplePos x="0" y="0"/>
            <wp:positionH relativeFrom="column">
              <wp:posOffset>1819275</wp:posOffset>
            </wp:positionH>
            <wp:positionV relativeFrom="paragraph">
              <wp:posOffset>76200</wp:posOffset>
            </wp:positionV>
            <wp:extent cx="1990725" cy="447675"/>
            <wp:effectExtent l="0" t="0" r="9525" b="9525"/>
            <wp:wrapNone/>
            <wp:docPr id="247" name="图片 38" descr="03WLWFV$9X]0TJX9QGWWS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8" descr="03WLWFV$9X]0TJX9QGWWSJU"/>
                    <pic:cNvPicPr>
                      <a:picLocks noChangeAspect="1"/>
                    </pic:cNvPicPr>
                  </pic:nvPicPr>
                  <pic:blipFill>
                    <a:blip r:embed="rId34"/>
                    <a:stretch>
                      <a:fillRect/>
                    </a:stretch>
                  </pic:blipFill>
                  <pic:spPr>
                    <a:xfrm>
                      <a:off x="0" y="0"/>
                      <a:ext cx="1990725" cy="447675"/>
                    </a:xfrm>
                    <a:prstGeom prst="rect">
                      <a:avLst/>
                    </a:prstGeom>
                    <a:noFill/>
                    <a:ln>
                      <a:noFill/>
                    </a:ln>
                  </pic:spPr>
                </pic:pic>
              </a:graphicData>
            </a:graphic>
          </wp:anchor>
        </w:drawing>
      </w:r>
    </w:p>
    <w:p w14:paraId="4093BF3B">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p>
    <w:p w14:paraId="5BA5BBD1">
      <w:pPr>
        <w:adjustRightInd/>
        <w:snapToGrid/>
        <w:spacing w:line="360" w:lineRule="auto"/>
        <w:ind w:firstLine="480" w:firstLineChars="200"/>
        <w:jc w:val="both"/>
        <w:rPr>
          <w:rFonts w:hint="eastAsia" w:ascii="Times New Roman" w:hAnsi="Times New Roman" w:eastAsia="宋体" w:cs="Times New Roman"/>
          <w:color w:val="000000" w:themeColor="text1"/>
          <w:kern w:val="2"/>
          <w:sz w:val="24"/>
          <w:szCs w:val="32"/>
          <w:highlight w:val="none"/>
          <w:lang w:eastAsia="zh-CN"/>
          <w14:textFill>
            <w14:solidFill>
              <w14:schemeClr w14:val="tx1"/>
            </w14:solidFill>
          </w14:textFill>
        </w:rPr>
      </w:pPr>
      <w:r>
        <w:rPr>
          <w:rFonts w:hint="default" w:ascii="Times New Roman" w:hAnsi="Times New Roman" w:cs="Times New Roman"/>
          <w:color w:val="000000" w:themeColor="text1"/>
          <w:kern w:val="2"/>
          <w:sz w:val="24"/>
          <w:szCs w:val="32"/>
          <w:highlight w:val="none"/>
          <w14:textFill>
            <w14:solidFill>
              <w14:schemeClr w14:val="tx1"/>
            </w14:solidFill>
          </w14:textFill>
        </w:rPr>
        <w:t>式中：</w:t>
      </w:r>
      <w:r>
        <w:rPr>
          <w:rFonts w:hint="default" w:ascii="Times New Roman" w:hAnsi="Times New Roman" w:cs="Times New Roman"/>
          <w:i/>
          <w:iCs/>
          <w:color w:val="000000" w:themeColor="text1"/>
          <w:kern w:val="2"/>
          <w:sz w:val="24"/>
          <w:szCs w:val="32"/>
          <w:highlight w:val="none"/>
          <w14:textFill>
            <w14:solidFill>
              <w14:schemeClr w14:val="tx1"/>
            </w14:solidFill>
          </w14:textFill>
        </w:rPr>
        <w:t>c</w:t>
      </w:r>
      <w:bookmarkStart w:id="1039" w:name="OLE_LINK670"/>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bookmarkEnd w:id="1039"/>
      <w:r>
        <w:rPr>
          <w:rFonts w:hint="default" w:ascii="Times New Roman" w:hAnsi="Times New Roman" w:cs="Times New Roman"/>
          <w:color w:val="000000" w:themeColor="text1"/>
          <w:kern w:val="2"/>
          <w:sz w:val="24"/>
          <w:szCs w:val="32"/>
          <w:highlight w:val="none"/>
          <w14:textFill>
            <w14:solidFill>
              <w14:schemeClr w14:val="tx1"/>
            </w14:solidFill>
          </w14:textFill>
        </w:rPr>
        <w:t>污染物介质中的浓度，mg/L</w:t>
      </w:r>
      <w:r>
        <w:rPr>
          <w:rFonts w:hint="eastAsia" w:ascii="Times New Roman" w:hAnsi="Times New Roman" w:cs="Times New Roman"/>
          <w:color w:val="000000" w:themeColor="text1"/>
          <w:kern w:val="2"/>
          <w:sz w:val="24"/>
          <w:szCs w:val="32"/>
          <w:highlight w:val="none"/>
          <w:lang w:eastAsia="zh-CN"/>
          <w14:textFill>
            <w14:solidFill>
              <w14:schemeClr w14:val="tx1"/>
            </w14:solidFill>
          </w14:textFill>
        </w:rPr>
        <w:t>；</w:t>
      </w:r>
    </w:p>
    <w:p w14:paraId="63001ADF">
      <w:pPr>
        <w:adjustRightInd/>
        <w:snapToGrid/>
        <w:spacing w:line="360" w:lineRule="auto"/>
        <w:ind w:firstLine="1200" w:firstLineChars="5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i/>
          <w:iCs/>
          <w:color w:val="000000" w:themeColor="text1"/>
          <w:kern w:val="2"/>
          <w:sz w:val="24"/>
          <w:szCs w:val="32"/>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弥散系数，m</w:t>
      </w:r>
      <w:r>
        <w:rPr>
          <w:rFonts w:hint="default" w:ascii="Times New Roman" w:hAnsi="Times New Roman" w:cs="Times New Roman"/>
          <w:color w:val="000000" w:themeColor="text1"/>
          <w:kern w:val="2"/>
          <w:sz w:val="24"/>
          <w:szCs w:val="32"/>
          <w:highlight w:val="none"/>
          <w:vertAlign w:val="superscript"/>
          <w14:textFill>
            <w14:solidFill>
              <w14:schemeClr w14:val="tx1"/>
            </w14:solidFill>
          </w14:textFill>
        </w:rPr>
        <w:t>2</w:t>
      </w:r>
      <w:r>
        <w:rPr>
          <w:rFonts w:hint="default" w:ascii="Times New Roman" w:hAnsi="Times New Roman" w:cs="Times New Roman"/>
          <w:color w:val="000000" w:themeColor="text1"/>
          <w:kern w:val="2"/>
          <w:sz w:val="24"/>
          <w:szCs w:val="32"/>
          <w:highlight w:val="none"/>
          <w14:textFill>
            <w14:solidFill>
              <w14:schemeClr w14:val="tx1"/>
            </w14:solidFill>
          </w14:textFill>
        </w:rPr>
        <w:t>/d；</w:t>
      </w:r>
    </w:p>
    <w:p w14:paraId="65800906">
      <w:pPr>
        <w:adjustRightInd/>
        <w:snapToGrid/>
        <w:spacing w:line="360" w:lineRule="auto"/>
        <w:ind w:firstLine="1200" w:firstLineChars="5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i/>
          <w:iCs/>
          <w:color w:val="000000" w:themeColor="text1"/>
          <w:kern w:val="2"/>
          <w:sz w:val="24"/>
          <w:szCs w:val="32"/>
          <w:highlight w:val="none"/>
          <w14:textFill>
            <w14:solidFill>
              <w14:schemeClr w14:val="tx1"/>
            </w14:solidFill>
          </w14:textFill>
        </w:rPr>
        <w:t>q</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渗透速度，m/d；</w:t>
      </w:r>
    </w:p>
    <w:p w14:paraId="579BCEF2">
      <w:pPr>
        <w:adjustRightInd/>
        <w:snapToGrid/>
        <w:spacing w:line="360" w:lineRule="auto"/>
        <w:ind w:firstLine="1200" w:firstLineChars="5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i/>
          <w:iCs/>
          <w:color w:val="000000" w:themeColor="text1"/>
          <w:kern w:val="2"/>
          <w:sz w:val="24"/>
          <w:szCs w:val="32"/>
          <w:highlight w:val="none"/>
          <w14:textFill>
            <w14:solidFill>
              <w14:schemeClr w14:val="tx1"/>
            </w14:solidFill>
          </w14:textFill>
        </w:rPr>
        <w:t>z</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沿</w:t>
      </w:r>
      <w:r>
        <w:rPr>
          <w:rFonts w:hint="default" w:ascii="Times New Roman" w:hAnsi="Times New Roman" w:cs="Times New Roman"/>
          <w:i/>
          <w:iCs/>
          <w:color w:val="000000" w:themeColor="text1"/>
          <w:kern w:val="2"/>
          <w:sz w:val="24"/>
          <w:szCs w:val="32"/>
          <w:highlight w:val="none"/>
          <w14:textFill>
            <w14:solidFill>
              <w14:schemeClr w14:val="tx1"/>
            </w14:solidFill>
          </w14:textFill>
        </w:rPr>
        <w:t>z</w:t>
      </w:r>
      <w:r>
        <w:rPr>
          <w:rFonts w:hint="default" w:ascii="Times New Roman" w:hAnsi="Times New Roman" w:cs="Times New Roman"/>
          <w:color w:val="000000" w:themeColor="text1"/>
          <w:kern w:val="2"/>
          <w:sz w:val="24"/>
          <w:szCs w:val="32"/>
          <w:highlight w:val="none"/>
          <w14:textFill>
            <w14:solidFill>
              <w14:schemeClr w14:val="tx1"/>
            </w14:solidFill>
          </w14:textFill>
        </w:rPr>
        <w:t>轴的距离，m；</w:t>
      </w:r>
    </w:p>
    <w:p w14:paraId="257C6559">
      <w:pPr>
        <w:adjustRightInd/>
        <w:snapToGrid/>
        <w:spacing w:line="360" w:lineRule="auto"/>
        <w:ind w:firstLine="1200" w:firstLineChars="5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i/>
          <w:iCs/>
          <w:color w:val="000000" w:themeColor="text1"/>
          <w:kern w:val="2"/>
          <w:sz w:val="24"/>
          <w:szCs w:val="32"/>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时间变量，d；</w:t>
      </w:r>
    </w:p>
    <w:p w14:paraId="442ACE6A">
      <w:pPr>
        <w:adjustRightInd/>
        <w:snapToGrid/>
        <w:spacing w:line="360" w:lineRule="auto"/>
        <w:ind w:firstLine="1200" w:firstLineChars="500"/>
        <w:jc w:val="both"/>
        <w:rPr>
          <w:rFonts w:asciiTheme="majorHAnsi" w:hAnsiTheme="majorHAnsi"/>
          <w:color w:val="000000" w:themeColor="text1"/>
          <w:kern w:val="2"/>
          <w:sz w:val="24"/>
          <w:szCs w:val="32"/>
          <w:highlight w:val="none"/>
          <w14:textFill>
            <w14:solidFill>
              <w14:schemeClr w14:val="tx1"/>
            </w14:solidFill>
          </w14:textFill>
        </w:rPr>
      </w:pPr>
      <w:r>
        <w:rPr>
          <w:rFonts w:hint="default" w:ascii="Times New Roman" w:hAnsi="Times New Roman" w:cs="Times New Roman"/>
          <w:b w:val="0"/>
          <w:bCs w:val="0"/>
          <w:i/>
          <w:iCs/>
          <w:color w:val="000000" w:themeColor="text1"/>
          <w:kern w:val="2"/>
          <w:sz w:val="24"/>
          <w:szCs w:val="32"/>
          <w:highlight w:val="none"/>
          <w14:textFill>
            <w14:solidFill>
              <w14:schemeClr w14:val="tx1"/>
            </w14:solidFill>
          </w14:textFill>
        </w:rPr>
        <w:t>θ</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土</w:t>
      </w:r>
      <w:r>
        <w:rPr>
          <w:rFonts w:asciiTheme="majorHAnsi" w:hAnsiTheme="majorHAnsi"/>
          <w:color w:val="000000" w:themeColor="text1"/>
          <w:kern w:val="2"/>
          <w:sz w:val="24"/>
          <w:szCs w:val="32"/>
          <w:highlight w:val="none"/>
          <w14:textFill>
            <w14:solidFill>
              <w14:schemeClr w14:val="tx1"/>
            </w14:solidFill>
          </w14:textFill>
        </w:rPr>
        <w:t>壤含水率，%。</w:t>
      </w:r>
    </w:p>
    <w:p w14:paraId="07A87F3B">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fldChar w:fldCharType="begin"/>
      </w:r>
      <w:r>
        <w:rPr>
          <w:rFonts w:asciiTheme="majorHAnsi" w:hAnsiTheme="majorHAnsi"/>
          <w:color w:val="000000" w:themeColor="text1"/>
          <w:kern w:val="2"/>
          <w:sz w:val="24"/>
          <w:szCs w:val="32"/>
          <w:highlight w:val="none"/>
          <w14:textFill>
            <w14:solidFill>
              <w14:schemeClr w14:val="tx1"/>
            </w14:solidFill>
          </w14:textFill>
        </w:rPr>
        <w:instrText xml:space="preserve"> = 2 \* GB3 \* MERGEFORMAT </w:instrText>
      </w:r>
      <w:r>
        <w:rPr>
          <w:rFonts w:asciiTheme="majorHAnsi" w:hAnsiTheme="majorHAnsi"/>
          <w:color w:val="000000" w:themeColor="text1"/>
          <w:kern w:val="2"/>
          <w:sz w:val="24"/>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asciiTheme="majorHAnsi" w:hAnsiTheme="majorHAnsi"/>
          <w:color w:val="000000" w:themeColor="text1"/>
          <w:kern w:val="2"/>
          <w:sz w:val="24"/>
          <w:szCs w:val="32"/>
          <w:highlight w:val="none"/>
          <w14:textFill>
            <w14:solidFill>
              <w14:schemeClr w14:val="tx1"/>
            </w14:solidFill>
          </w14:textFill>
        </w:rPr>
        <w:fldChar w:fldCharType="end"/>
      </w:r>
      <w:r>
        <w:rPr>
          <w:rFonts w:asciiTheme="majorHAnsi" w:hAnsiTheme="majorHAnsi"/>
          <w:color w:val="000000" w:themeColor="text1"/>
          <w:kern w:val="2"/>
          <w:sz w:val="24"/>
          <w:szCs w:val="32"/>
          <w:highlight w:val="none"/>
          <w14:textFill>
            <w14:solidFill>
              <w14:schemeClr w14:val="tx1"/>
            </w14:solidFill>
          </w14:textFill>
        </w:rPr>
        <w:t>初始条件</w:t>
      </w:r>
    </w:p>
    <w:p w14:paraId="7D80E67E">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drawing>
          <wp:anchor distT="0" distB="0" distL="114300" distR="114300" simplePos="0" relativeHeight="251688960" behindDoc="0" locked="0" layoutInCell="1" allowOverlap="1">
            <wp:simplePos x="0" y="0"/>
            <wp:positionH relativeFrom="column">
              <wp:posOffset>1304925</wp:posOffset>
            </wp:positionH>
            <wp:positionV relativeFrom="paragraph">
              <wp:posOffset>57150</wp:posOffset>
            </wp:positionV>
            <wp:extent cx="2390775" cy="428625"/>
            <wp:effectExtent l="0" t="0" r="9525" b="9525"/>
            <wp:wrapNone/>
            <wp:docPr id="249" name="图片 1419" descr="8$DSABZ[KDW}4OP(X2PH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19" descr="8$DSABZ[KDW}4OP(X2PHVUO"/>
                    <pic:cNvPicPr>
                      <a:picLocks noChangeAspect="1"/>
                    </pic:cNvPicPr>
                  </pic:nvPicPr>
                  <pic:blipFill>
                    <a:blip r:embed="rId35"/>
                    <a:stretch>
                      <a:fillRect/>
                    </a:stretch>
                  </pic:blipFill>
                  <pic:spPr>
                    <a:xfrm>
                      <a:off x="0" y="0"/>
                      <a:ext cx="2390775" cy="428625"/>
                    </a:xfrm>
                    <a:prstGeom prst="rect">
                      <a:avLst/>
                    </a:prstGeom>
                    <a:noFill/>
                    <a:ln>
                      <a:noFill/>
                    </a:ln>
                  </pic:spPr>
                </pic:pic>
              </a:graphicData>
            </a:graphic>
          </wp:anchor>
        </w:drawing>
      </w:r>
    </w:p>
    <w:p w14:paraId="282DFDC5">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p>
    <w:p w14:paraId="24AA2C6F">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color w:val="000000" w:themeColor="text1"/>
          <w:kern w:val="2"/>
          <w:sz w:val="24"/>
          <w:szCs w:val="32"/>
          <w:highlight w:val="none"/>
          <w14:textFill>
            <w14:solidFill>
              <w14:schemeClr w14:val="tx1"/>
            </w14:solidFill>
          </w14:textFill>
        </w:rPr>
        <w:fldChar w:fldCharType="begin"/>
      </w:r>
      <w:r>
        <w:rPr>
          <w:rFonts w:hint="default" w:ascii="Times New Roman" w:hAnsi="Times New Roman" w:cs="Times New Roman"/>
          <w:color w:val="000000" w:themeColor="text1"/>
          <w:kern w:val="2"/>
          <w:sz w:val="24"/>
          <w:szCs w:val="32"/>
          <w:highlight w:val="none"/>
          <w14:textFill>
            <w14:solidFill>
              <w14:schemeClr w14:val="tx1"/>
            </w14:solidFill>
          </w14:textFill>
        </w:rPr>
        <w:instrText xml:space="preserve"> = 3 \* GB3 \* MERGEFORMAT </w:instrText>
      </w:r>
      <w:r>
        <w:rPr>
          <w:rFonts w:hint="default" w:ascii="Times New Roman" w:hAnsi="Times New Roman" w:cs="Times New Roman"/>
          <w:color w:val="000000" w:themeColor="text1"/>
          <w:kern w:val="2"/>
          <w:sz w:val="24"/>
          <w:szCs w:val="32"/>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kern w:val="2"/>
          <w:sz w:val="24"/>
          <w:szCs w:val="32"/>
          <w:highlight w:val="none"/>
          <w14:textFill>
            <w14:solidFill>
              <w14:schemeClr w14:val="tx1"/>
            </w14:solidFill>
          </w14:textFill>
        </w:rPr>
        <w:fldChar w:fldCharType="end"/>
      </w:r>
      <w:r>
        <w:rPr>
          <w:rFonts w:hint="default" w:ascii="Times New Roman" w:hAnsi="Times New Roman" w:cs="Times New Roman"/>
          <w:color w:val="000000" w:themeColor="text1"/>
          <w:kern w:val="2"/>
          <w:sz w:val="24"/>
          <w:szCs w:val="32"/>
          <w:highlight w:val="none"/>
          <w14:textFill>
            <w14:solidFill>
              <w14:schemeClr w14:val="tx1"/>
            </w14:solidFill>
          </w14:textFill>
        </w:rPr>
        <w:t>边界条件</w:t>
      </w:r>
    </w:p>
    <w:p w14:paraId="66F658D9">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color w:val="000000" w:themeColor="text1"/>
          <w:kern w:val="2"/>
          <w:sz w:val="24"/>
          <w:szCs w:val="32"/>
          <w:highlight w:val="none"/>
          <w14:textFill>
            <w14:solidFill>
              <w14:schemeClr w14:val="tx1"/>
            </w14:solidFill>
          </w14:textFill>
        </w:rPr>
        <w:t>第一类Dirichlet边界条件：</w:t>
      </w:r>
    </w:p>
    <w:p w14:paraId="103CC6C4">
      <w:pPr>
        <w:adjustRightInd/>
        <w:snapToGrid/>
        <w:spacing w:line="360" w:lineRule="auto"/>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drawing>
          <wp:anchor distT="0" distB="0" distL="114300" distR="114300" simplePos="0" relativeHeight="251689984" behindDoc="0" locked="0" layoutInCell="1" allowOverlap="1">
            <wp:simplePos x="0" y="0"/>
            <wp:positionH relativeFrom="column">
              <wp:posOffset>1285875</wp:posOffset>
            </wp:positionH>
            <wp:positionV relativeFrom="paragraph">
              <wp:posOffset>62865</wp:posOffset>
            </wp:positionV>
            <wp:extent cx="2238375" cy="361950"/>
            <wp:effectExtent l="0" t="0" r="9525" b="0"/>
            <wp:wrapNone/>
            <wp:docPr id="250" name="图片 1420" descr="QX66]~IUJTWXGI9G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20" descr="QX66]~IUJTWXGI9G_}~~{M6"/>
                    <pic:cNvPicPr>
                      <a:picLocks noChangeAspect="1"/>
                    </pic:cNvPicPr>
                  </pic:nvPicPr>
                  <pic:blipFill>
                    <a:blip r:embed="rId36"/>
                    <a:stretch>
                      <a:fillRect/>
                    </a:stretch>
                  </pic:blipFill>
                  <pic:spPr>
                    <a:xfrm>
                      <a:off x="0" y="0"/>
                      <a:ext cx="2238375" cy="361950"/>
                    </a:xfrm>
                    <a:prstGeom prst="rect">
                      <a:avLst/>
                    </a:prstGeom>
                    <a:noFill/>
                    <a:ln>
                      <a:noFill/>
                    </a:ln>
                  </pic:spPr>
                </pic:pic>
              </a:graphicData>
            </a:graphic>
          </wp:anchor>
        </w:drawing>
      </w:r>
    </w:p>
    <w:p w14:paraId="76EA98E3">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p>
    <w:p w14:paraId="502A69F4">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drawing>
          <wp:anchor distT="0" distB="0" distL="114300" distR="114300" simplePos="0" relativeHeight="251691008" behindDoc="0" locked="0" layoutInCell="1" allowOverlap="1">
            <wp:simplePos x="0" y="0"/>
            <wp:positionH relativeFrom="column">
              <wp:posOffset>1348740</wp:posOffset>
            </wp:positionH>
            <wp:positionV relativeFrom="paragraph">
              <wp:posOffset>8890</wp:posOffset>
            </wp:positionV>
            <wp:extent cx="2047875" cy="523875"/>
            <wp:effectExtent l="0" t="0" r="9525" b="9525"/>
            <wp:wrapNone/>
            <wp:docPr id="252" name="图片 1421" descr="U}7]C~PQ%R8~ASPJ@TIIP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421" descr="U}7]C~PQ%R8~ASPJ@TIIPB7"/>
                    <pic:cNvPicPr>
                      <a:picLocks noChangeAspect="1"/>
                    </pic:cNvPicPr>
                  </pic:nvPicPr>
                  <pic:blipFill>
                    <a:blip r:embed="rId37"/>
                    <a:stretch>
                      <a:fillRect/>
                    </a:stretch>
                  </pic:blipFill>
                  <pic:spPr>
                    <a:xfrm>
                      <a:off x="0" y="0"/>
                      <a:ext cx="2047875" cy="523875"/>
                    </a:xfrm>
                    <a:prstGeom prst="rect">
                      <a:avLst/>
                    </a:prstGeom>
                    <a:noFill/>
                    <a:ln>
                      <a:noFill/>
                    </a:ln>
                  </pic:spPr>
                </pic:pic>
              </a:graphicData>
            </a:graphic>
          </wp:anchor>
        </w:drawing>
      </w:r>
    </w:p>
    <w:p w14:paraId="6B83A4CB">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p>
    <w:p w14:paraId="1F6280AB">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color w:val="000000" w:themeColor="text1"/>
          <w:kern w:val="2"/>
          <w:sz w:val="24"/>
          <w:szCs w:val="32"/>
          <w:highlight w:val="none"/>
          <w14:textFill>
            <w14:solidFill>
              <w14:schemeClr w14:val="tx1"/>
            </w14:solidFill>
          </w14:textFill>
        </w:rPr>
        <w:t>第二类Neumann零梯度边界条件：</w:t>
      </w:r>
    </w:p>
    <w:p w14:paraId="0D1E637B">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drawing>
          <wp:anchor distT="0" distB="0" distL="114300" distR="114300" simplePos="0" relativeHeight="251692032" behindDoc="0" locked="0" layoutInCell="1" allowOverlap="1">
            <wp:simplePos x="0" y="0"/>
            <wp:positionH relativeFrom="column">
              <wp:posOffset>1333500</wp:posOffset>
            </wp:positionH>
            <wp:positionV relativeFrom="paragraph">
              <wp:posOffset>63500</wp:posOffset>
            </wp:positionV>
            <wp:extent cx="2200275" cy="457200"/>
            <wp:effectExtent l="0" t="0" r="9525" b="0"/>
            <wp:wrapNone/>
            <wp:docPr id="253" name="图片 1422" descr="Y6Q`J$_CIO(JCWW(2OC_I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422" descr="Y6Q`J$_CIO(JCWW(2OC_I92"/>
                    <pic:cNvPicPr>
                      <a:picLocks noChangeAspect="1"/>
                    </pic:cNvPicPr>
                  </pic:nvPicPr>
                  <pic:blipFill>
                    <a:blip r:embed="rId38"/>
                    <a:stretch>
                      <a:fillRect/>
                    </a:stretch>
                  </pic:blipFill>
                  <pic:spPr>
                    <a:xfrm>
                      <a:off x="0" y="0"/>
                      <a:ext cx="2200275" cy="457200"/>
                    </a:xfrm>
                    <a:prstGeom prst="rect">
                      <a:avLst/>
                    </a:prstGeom>
                    <a:noFill/>
                    <a:ln>
                      <a:noFill/>
                    </a:ln>
                  </pic:spPr>
                </pic:pic>
              </a:graphicData>
            </a:graphic>
          </wp:anchor>
        </w:drawing>
      </w:r>
    </w:p>
    <w:p w14:paraId="3ED79078">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p>
    <w:p w14:paraId="67389AE3">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fldChar w:fldCharType="begin"/>
      </w:r>
      <w:r>
        <w:rPr>
          <w:rFonts w:asciiTheme="majorHAnsi" w:hAnsiTheme="majorHAnsi"/>
          <w:color w:val="000000" w:themeColor="text1"/>
          <w:kern w:val="2"/>
          <w:sz w:val="24"/>
          <w:szCs w:val="32"/>
          <w:highlight w:val="none"/>
          <w14:textFill>
            <w14:solidFill>
              <w14:schemeClr w14:val="tx1"/>
            </w14:solidFill>
          </w14:textFill>
        </w:rPr>
        <w:instrText xml:space="preserve"> = 4 \* GB3 \* MERGEFORMAT </w:instrText>
      </w:r>
      <w:r>
        <w:rPr>
          <w:rFonts w:asciiTheme="majorHAnsi" w:hAnsiTheme="majorHAnsi"/>
          <w:color w:val="000000" w:themeColor="text1"/>
          <w:kern w:val="2"/>
          <w:sz w:val="24"/>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t>④</w:t>
      </w:r>
      <w:r>
        <w:rPr>
          <w:rFonts w:asciiTheme="majorHAnsi" w:hAnsiTheme="majorHAnsi"/>
          <w:color w:val="000000" w:themeColor="text1"/>
          <w:kern w:val="2"/>
          <w:sz w:val="24"/>
          <w:szCs w:val="32"/>
          <w:highlight w:val="none"/>
          <w14:textFill>
            <w14:solidFill>
              <w14:schemeClr w14:val="tx1"/>
            </w14:solidFill>
          </w14:textFill>
        </w:rPr>
        <w:fldChar w:fldCharType="end"/>
      </w:r>
      <w:r>
        <w:rPr>
          <w:rFonts w:asciiTheme="majorHAnsi" w:hAnsiTheme="majorHAnsi"/>
          <w:color w:val="000000" w:themeColor="text1"/>
          <w:kern w:val="2"/>
          <w:sz w:val="24"/>
          <w:szCs w:val="32"/>
          <w:highlight w:val="none"/>
          <w14:textFill>
            <w14:solidFill>
              <w14:schemeClr w14:val="tx1"/>
            </w14:solidFill>
          </w14:textFill>
        </w:rPr>
        <w:t>模型边界条件的概</w:t>
      </w:r>
      <w:r>
        <w:rPr>
          <w:rFonts w:hint="default" w:ascii="Times New Roman" w:hAnsi="Times New Roman" w:cs="Times New Roman"/>
          <w:color w:val="000000" w:themeColor="text1"/>
          <w:kern w:val="2"/>
          <w:sz w:val="24"/>
          <w:szCs w:val="32"/>
          <w:highlight w:val="none"/>
          <w14:textFill>
            <w14:solidFill>
              <w14:schemeClr w14:val="tx1"/>
            </w14:solidFill>
          </w14:textFill>
        </w:rPr>
        <w:t>化</w:t>
      </w:r>
    </w:p>
    <w:p w14:paraId="5237E0BC">
      <w:pPr>
        <w:adjustRightInd/>
        <w:snapToGrid/>
        <w:spacing w:line="360" w:lineRule="auto"/>
        <w:ind w:firstLine="480" w:firstLineChars="200"/>
        <w:jc w:val="both"/>
        <w:rPr>
          <w:rFonts w:hint="default" w:ascii="Times New Roman" w:hAnsi="Times New Roman" w:cs="Times New Roman"/>
          <w:color w:val="000000" w:themeColor="text1"/>
          <w:kern w:val="2"/>
          <w:sz w:val="24"/>
          <w:szCs w:val="32"/>
          <w:highlight w:val="none"/>
          <w14:textFill>
            <w14:solidFill>
              <w14:schemeClr w14:val="tx1"/>
            </w14:solidFill>
          </w14:textFill>
        </w:rPr>
      </w:pPr>
      <w:r>
        <w:rPr>
          <w:rFonts w:hint="default" w:ascii="Times New Roman" w:hAnsi="Times New Roman" w:cs="Times New Roman"/>
          <w:color w:val="000000" w:themeColor="text1"/>
          <w:kern w:val="2"/>
          <w:sz w:val="24"/>
          <w:szCs w:val="32"/>
          <w:highlight w:val="none"/>
          <w14:textFill>
            <w14:solidFill>
              <w14:schemeClr w14:val="tx1"/>
            </w14:solidFill>
          </w14:textFill>
        </w:rPr>
        <w:t>土壤类型概化</w:t>
      </w:r>
      <w:r>
        <w:rPr>
          <w:rFonts w:hint="default" w:ascii="Times New Roman" w:hAnsi="Times New Roman" w:cs="Times New Roman"/>
          <w:color w:val="000000" w:themeColor="text1"/>
          <w:kern w:val="2"/>
          <w:sz w:val="24"/>
          <w:szCs w:val="32"/>
          <w:highlight w:val="none"/>
          <w:lang w:eastAsia="zh-CN"/>
          <w14:textFill>
            <w14:solidFill>
              <w14:schemeClr w14:val="tx1"/>
            </w14:solidFill>
          </w14:textFill>
        </w:rPr>
        <w:t>，</w:t>
      </w:r>
      <w:r>
        <w:rPr>
          <w:rFonts w:hint="default" w:ascii="Times New Roman" w:hAnsi="Times New Roman" w:cs="Times New Roman"/>
          <w:color w:val="000000" w:themeColor="text1"/>
          <w:kern w:val="2"/>
          <w:sz w:val="24"/>
          <w:szCs w:val="32"/>
          <w:highlight w:val="none"/>
          <w14:textFill>
            <w14:solidFill>
              <w14:schemeClr w14:val="tx1"/>
            </w14:solidFill>
          </w14:textFill>
        </w:rPr>
        <w:t>结合区域水文地质调查及本工程土壤现状调查结果，将预测储罐底部以下土壤概化为一层，埋深</w:t>
      </w:r>
      <w:r>
        <w:rPr>
          <w:rFonts w:hint="default" w:ascii="Times New Roman" w:hAnsi="Times New Roman" w:cs="Times New Roman"/>
          <w:color w:val="000000" w:themeColor="text1"/>
          <w:kern w:val="2"/>
          <w:sz w:val="24"/>
          <w:szCs w:val="32"/>
          <w:highlight w:val="none"/>
          <w:lang w:val="en-US" w:eastAsia="zh-CN"/>
          <w14:textFill>
            <w14:solidFill>
              <w14:schemeClr w14:val="tx1"/>
            </w14:solidFill>
          </w14:textFill>
        </w:rPr>
        <w:t>3</w:t>
      </w:r>
      <w:r>
        <w:rPr>
          <w:rFonts w:hint="default" w:ascii="Times New Roman" w:hAnsi="Times New Roman" w:cs="Times New Roman"/>
          <w:color w:val="000000" w:themeColor="text1"/>
          <w:kern w:val="2"/>
          <w:sz w:val="24"/>
          <w:szCs w:val="32"/>
          <w:highlight w:val="none"/>
          <w14:textFill>
            <w14:solidFill>
              <w14:schemeClr w14:val="tx1"/>
            </w14:solidFill>
          </w14:textFill>
        </w:rPr>
        <w:t>00cm土层。</w:t>
      </w:r>
    </w:p>
    <w:p w14:paraId="3ED436CA">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fldChar w:fldCharType="begin"/>
      </w:r>
      <w:r>
        <w:rPr>
          <w:rFonts w:asciiTheme="majorHAnsi" w:hAnsiTheme="majorHAnsi"/>
          <w:color w:val="000000" w:themeColor="text1"/>
          <w:kern w:val="2"/>
          <w:sz w:val="24"/>
          <w:szCs w:val="32"/>
          <w:highlight w:val="none"/>
          <w14:textFill>
            <w14:solidFill>
              <w14:schemeClr w14:val="tx1"/>
            </w14:solidFill>
          </w14:textFill>
        </w:rPr>
        <w:instrText xml:space="preserve"> = 5 \* GB3 \* MERGEFORMAT </w:instrText>
      </w:r>
      <w:r>
        <w:rPr>
          <w:rFonts w:asciiTheme="majorHAnsi" w:hAnsiTheme="majorHAnsi"/>
          <w:color w:val="000000" w:themeColor="text1"/>
          <w:kern w:val="2"/>
          <w:sz w:val="24"/>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t>⑤</w:t>
      </w:r>
      <w:r>
        <w:rPr>
          <w:rFonts w:asciiTheme="majorHAnsi" w:hAnsiTheme="majorHAnsi"/>
          <w:color w:val="000000" w:themeColor="text1"/>
          <w:kern w:val="2"/>
          <w:sz w:val="24"/>
          <w:szCs w:val="32"/>
          <w:highlight w:val="none"/>
          <w14:textFill>
            <w14:solidFill>
              <w14:schemeClr w14:val="tx1"/>
            </w14:solidFill>
          </w14:textFill>
        </w:rPr>
        <w:fldChar w:fldCharType="end"/>
      </w:r>
      <w:r>
        <w:rPr>
          <w:rFonts w:asciiTheme="majorHAnsi" w:hAnsiTheme="majorHAnsi"/>
          <w:color w:val="000000" w:themeColor="text1"/>
          <w:kern w:val="2"/>
          <w:sz w:val="24"/>
          <w:szCs w:val="32"/>
          <w:highlight w:val="none"/>
          <w14:textFill>
            <w14:solidFill>
              <w14:schemeClr w14:val="tx1"/>
            </w14:solidFill>
          </w14:textFill>
        </w:rPr>
        <w:t>边界条件</w:t>
      </w:r>
    </w:p>
    <w:p w14:paraId="6313A695">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t>模型为一维垂向模型，上边界概化为稳定的污染物定</w:t>
      </w:r>
      <w:r>
        <w:rPr>
          <w:rFonts w:hint="eastAsia" w:asciiTheme="majorHAnsi" w:hAnsiTheme="majorHAnsi"/>
          <w:color w:val="000000" w:themeColor="text1"/>
          <w:kern w:val="2"/>
          <w:sz w:val="24"/>
          <w:szCs w:val="32"/>
          <w:highlight w:val="none"/>
          <w:lang w:val="en-US" w:eastAsia="zh-CN"/>
          <w14:textFill>
            <w14:solidFill>
              <w14:schemeClr w14:val="tx1"/>
            </w14:solidFill>
          </w14:textFill>
        </w:rPr>
        <w:t>压力</w:t>
      </w:r>
      <w:r>
        <w:rPr>
          <w:rFonts w:asciiTheme="majorHAnsi" w:hAnsiTheme="majorHAnsi"/>
          <w:color w:val="000000" w:themeColor="text1"/>
          <w:kern w:val="2"/>
          <w:sz w:val="24"/>
          <w:szCs w:val="32"/>
          <w:highlight w:val="none"/>
          <w14:textFill>
            <w14:solidFill>
              <w14:schemeClr w14:val="tx1"/>
            </w14:solidFill>
          </w14:textFill>
        </w:rPr>
        <w:t>水头补给边界，下边界为自由</w:t>
      </w:r>
      <w:r>
        <w:rPr>
          <w:rFonts w:hint="eastAsia" w:asciiTheme="majorHAnsi" w:hAnsiTheme="majorHAnsi"/>
          <w:color w:val="000000" w:themeColor="text1"/>
          <w:kern w:val="2"/>
          <w:sz w:val="24"/>
          <w:szCs w:val="32"/>
          <w:highlight w:val="none"/>
          <w:lang w:val="en-US" w:eastAsia="zh-CN"/>
          <w14:textFill>
            <w14:solidFill>
              <w14:schemeClr w14:val="tx1"/>
            </w14:solidFill>
          </w14:textFill>
        </w:rPr>
        <w:t>排水</w:t>
      </w:r>
      <w:r>
        <w:rPr>
          <w:rFonts w:asciiTheme="majorHAnsi" w:hAnsiTheme="majorHAnsi"/>
          <w:color w:val="000000" w:themeColor="text1"/>
          <w:kern w:val="2"/>
          <w:sz w:val="24"/>
          <w:szCs w:val="32"/>
          <w:highlight w:val="none"/>
          <w14:textFill>
            <w14:solidFill>
              <w14:schemeClr w14:val="tx1"/>
            </w14:solidFill>
          </w14:textFill>
        </w:rPr>
        <w:t>边界。</w:t>
      </w:r>
    </w:p>
    <w:p w14:paraId="75F8B34B">
      <w:pPr>
        <w:adjustRightInd/>
        <w:snapToGrid/>
        <w:spacing w:line="360" w:lineRule="auto"/>
        <w:ind w:firstLine="480" w:firstLineChars="200"/>
        <w:jc w:val="both"/>
        <w:rPr>
          <w:rFonts w:asciiTheme="majorHAnsi" w:hAnsiTheme="majorHAnsi"/>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fldChar w:fldCharType="begin"/>
      </w:r>
      <w:r>
        <w:rPr>
          <w:rFonts w:asciiTheme="majorHAnsi" w:hAnsiTheme="majorHAnsi"/>
          <w:color w:val="000000" w:themeColor="text1"/>
          <w:kern w:val="2"/>
          <w:sz w:val="24"/>
          <w:szCs w:val="32"/>
          <w:highlight w:val="none"/>
          <w14:textFill>
            <w14:solidFill>
              <w14:schemeClr w14:val="tx1"/>
            </w14:solidFill>
          </w14:textFill>
        </w:rPr>
        <w:instrText xml:space="preserve"> = 6 \* GB3 \* MERGEFORMAT </w:instrText>
      </w:r>
      <w:r>
        <w:rPr>
          <w:rFonts w:asciiTheme="majorHAnsi" w:hAnsiTheme="majorHAnsi"/>
          <w:color w:val="000000" w:themeColor="text1"/>
          <w:kern w:val="2"/>
          <w:sz w:val="24"/>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t>⑥</w:t>
      </w:r>
      <w:r>
        <w:rPr>
          <w:rFonts w:asciiTheme="majorHAnsi" w:hAnsiTheme="majorHAnsi"/>
          <w:color w:val="000000" w:themeColor="text1"/>
          <w:kern w:val="2"/>
          <w:sz w:val="24"/>
          <w:szCs w:val="32"/>
          <w:highlight w:val="none"/>
          <w14:textFill>
            <w14:solidFill>
              <w14:schemeClr w14:val="tx1"/>
            </w14:solidFill>
          </w14:textFill>
        </w:rPr>
        <w:fldChar w:fldCharType="end"/>
      </w:r>
      <w:r>
        <w:rPr>
          <w:rFonts w:asciiTheme="majorHAnsi" w:hAnsiTheme="majorHAnsi"/>
          <w:color w:val="000000" w:themeColor="text1"/>
          <w:kern w:val="2"/>
          <w:sz w:val="24"/>
          <w:szCs w:val="32"/>
          <w:highlight w:val="none"/>
          <w14:textFill>
            <w14:solidFill>
              <w14:schemeClr w14:val="tx1"/>
            </w14:solidFill>
          </w14:textFill>
        </w:rPr>
        <w:t>预测分析结果</w:t>
      </w:r>
    </w:p>
    <w:p w14:paraId="51555375">
      <w:pPr>
        <w:adjustRightInd/>
        <w:snapToGrid/>
        <w:spacing w:line="360" w:lineRule="auto"/>
        <w:ind w:firstLine="480" w:firstLineChars="200"/>
        <w:jc w:val="both"/>
        <w:rPr>
          <w:color w:val="000000" w:themeColor="text1"/>
          <w:kern w:val="2"/>
          <w:sz w:val="24"/>
          <w:szCs w:val="32"/>
          <w:highlight w:val="none"/>
          <w14:textFill>
            <w14:solidFill>
              <w14:schemeClr w14:val="tx1"/>
            </w14:solidFill>
          </w14:textFill>
        </w:rPr>
      </w:pPr>
      <w:r>
        <w:rPr>
          <w:rFonts w:asciiTheme="majorHAnsi" w:hAnsiTheme="majorHAnsi"/>
          <w:color w:val="000000" w:themeColor="text1"/>
          <w:kern w:val="2"/>
          <w:sz w:val="24"/>
          <w:szCs w:val="32"/>
          <w:highlight w:val="none"/>
          <w14:textFill>
            <w14:solidFill>
              <w14:schemeClr w14:val="tx1"/>
            </w14:solidFill>
          </w14:textFill>
        </w:rPr>
        <w:t>非正常状况下</w:t>
      </w:r>
      <w:bookmarkStart w:id="1040" w:name="OLE_LINK658"/>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凝析油</w:t>
      </w:r>
      <w:bookmarkEnd w:id="1040"/>
      <w:r>
        <w:rPr>
          <w:rFonts w:hint="eastAsia" w:eastAsia="宋体" w:cs="Times New Roman"/>
          <w:snapToGrid w:val="0"/>
          <w:color w:val="000000" w:themeColor="text1"/>
          <w:spacing w:val="4"/>
          <w:kern w:val="2"/>
          <w:sz w:val="24"/>
          <w:highlight w:val="none"/>
          <w:lang w:val="en-US" w:eastAsia="zh-CN" w:bidi="ar-SA"/>
          <w14:textFill>
            <w14:solidFill>
              <w14:schemeClr w14:val="tx1"/>
            </w14:solidFill>
          </w14:textFill>
        </w:rPr>
        <w:t>多功能储集器</w:t>
      </w:r>
      <w:r>
        <w:rPr>
          <w:rFonts w:asciiTheme="majorHAnsi" w:hAnsiTheme="majorHAnsi"/>
          <w:color w:val="000000" w:themeColor="text1"/>
          <w:kern w:val="2"/>
          <w:sz w:val="24"/>
          <w:szCs w:val="32"/>
          <w:highlight w:val="none"/>
          <w14:textFill>
            <w14:solidFill>
              <w14:schemeClr w14:val="tx1"/>
            </w14:solidFill>
          </w14:textFill>
        </w:rPr>
        <w:t>破损泄漏，</w:t>
      </w:r>
      <w:r>
        <w:rPr>
          <w:rFonts w:hint="eastAsia" w:eastAsia="宋体" w:cs="Times New Roman"/>
          <w:color w:val="000000" w:themeColor="text1"/>
          <w:spacing w:val="4"/>
          <w:kern w:val="24"/>
          <w:sz w:val="24"/>
          <w:szCs w:val="22"/>
          <w:highlight w:val="none"/>
          <w:lang w:val="en-US" w:eastAsia="zh-CN" w:bidi="ar-SA"/>
          <w14:textFill>
            <w14:solidFill>
              <w14:schemeClr w14:val="tx1"/>
            </w14:solidFill>
          </w14:textFill>
        </w:rPr>
        <w:t>凝析油</w:t>
      </w:r>
      <w:r>
        <w:rPr>
          <w:rFonts w:hint="eastAsia"/>
          <w:color w:val="000000" w:themeColor="text1"/>
          <w:kern w:val="2"/>
          <w:sz w:val="24"/>
          <w:szCs w:val="32"/>
          <w:highlight w:val="none"/>
          <w14:textFill>
            <w14:solidFill>
              <w14:schemeClr w14:val="tx1"/>
            </w14:solidFill>
          </w14:textFill>
        </w:rPr>
        <w:t>中的污染物石油烃持续渗入土壤并不断向下运移，预测时段T1~T5分别为1d、10d、30d、100d、365d，观测点N1~N5距储罐底部深度分别为10cm、20cm、50cm、100cm、200cm，污染物浓度穿透曲线图和在不同水平年沿土壤迁移模拟结果见</w:t>
      </w:r>
      <w:r>
        <w:rPr>
          <w:rFonts w:hint="eastAsia"/>
          <w:color w:val="000000" w:themeColor="text1"/>
          <w:kern w:val="2"/>
          <w:sz w:val="24"/>
          <w:szCs w:val="32"/>
          <w:highlight w:val="none"/>
          <w:lang w:val="en-US" w:eastAsia="zh-CN"/>
          <w14:textFill>
            <w14:solidFill>
              <w14:schemeClr w14:val="tx1"/>
            </w14:solidFill>
          </w14:textFill>
        </w:rPr>
        <w:t>图</w:t>
      </w:r>
      <w:r>
        <w:rPr>
          <w:color w:val="000000" w:themeColor="text1"/>
          <w:kern w:val="2"/>
          <w:sz w:val="24"/>
          <w:szCs w:val="32"/>
          <w:highlight w:val="none"/>
          <w14:textFill>
            <w14:solidFill>
              <w14:schemeClr w14:val="tx1"/>
            </w14:solidFill>
          </w14:textFill>
        </w:rPr>
        <w:t>5.</w:t>
      </w:r>
      <w:r>
        <w:rPr>
          <w:rFonts w:hint="eastAsia"/>
          <w:color w:val="000000" w:themeColor="text1"/>
          <w:kern w:val="2"/>
          <w:sz w:val="24"/>
          <w:szCs w:val="32"/>
          <w:highlight w:val="none"/>
          <w:lang w:val="en-US" w:eastAsia="zh-CN"/>
          <w14:textFill>
            <w14:solidFill>
              <w14:schemeClr w14:val="tx1"/>
            </w14:solidFill>
          </w14:textFill>
        </w:rPr>
        <w:t>4</w:t>
      </w:r>
      <w:r>
        <w:rPr>
          <w:color w:val="000000" w:themeColor="text1"/>
          <w:kern w:val="2"/>
          <w:sz w:val="24"/>
          <w:szCs w:val="32"/>
          <w:highlight w:val="none"/>
          <w14:textFill>
            <w14:solidFill>
              <w14:schemeClr w14:val="tx1"/>
            </w14:solidFill>
          </w14:textFill>
        </w:rPr>
        <w:t>-1~2。</w:t>
      </w:r>
    </w:p>
    <w:p w14:paraId="0181879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szCs w:val="20"/>
          <w:highlight w:val="none"/>
          <w:lang w:bidi="ar"/>
          <w14:textFill>
            <w14:solidFill>
              <w14:schemeClr w14:val="tx1"/>
            </w14:solidFill>
          </w14:textFill>
        </w:rPr>
      </w:pPr>
      <w:r>
        <w:rPr>
          <w:rFonts w:hint="eastAsia"/>
          <w:color w:val="000000" w:themeColor="text1"/>
          <w:szCs w:val="20"/>
          <w:highlight w:val="none"/>
          <w14:textFill>
            <w14:solidFill>
              <w14:schemeClr w14:val="tx1"/>
            </w14:solidFill>
          </w14:textFill>
        </w:rPr>
        <w:drawing>
          <wp:inline distT="0" distB="0" distL="114300" distR="114300">
            <wp:extent cx="4383405" cy="3521075"/>
            <wp:effectExtent l="0" t="0" r="5715" b="14605"/>
            <wp:docPr id="254" name="图片 254" descr="173025859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1730258591743"/>
                    <pic:cNvPicPr>
                      <a:picLocks noChangeAspect="1"/>
                    </pic:cNvPicPr>
                  </pic:nvPicPr>
                  <pic:blipFill>
                    <a:blip r:embed="rId39"/>
                    <a:stretch>
                      <a:fillRect/>
                    </a:stretch>
                  </pic:blipFill>
                  <pic:spPr>
                    <a:xfrm>
                      <a:off x="0" y="0"/>
                      <a:ext cx="4383405" cy="3521075"/>
                    </a:xfrm>
                    <a:prstGeom prst="rect">
                      <a:avLst/>
                    </a:prstGeom>
                  </pic:spPr>
                </pic:pic>
              </a:graphicData>
            </a:graphic>
          </wp:inline>
        </w:drawing>
      </w:r>
    </w:p>
    <w:p w14:paraId="6BB73E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图5.4-1   不同深度观测点石油类浓度穿透曲线图</w:t>
      </w:r>
    </w:p>
    <w:p w14:paraId="6C5615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pPr>
    </w:p>
    <w:p w14:paraId="4756A7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469130" cy="3225165"/>
            <wp:effectExtent l="0" t="0" r="11430" b="5715"/>
            <wp:docPr id="255" name="图片 1"/>
            <wp:cNvGraphicFramePr/>
            <a:graphic xmlns:a="http://schemas.openxmlformats.org/drawingml/2006/main">
              <a:graphicData uri="http://schemas.openxmlformats.org/drawingml/2006/picture">
                <pic:pic xmlns:pic="http://schemas.openxmlformats.org/drawingml/2006/picture">
                  <pic:nvPicPr>
                    <pic:cNvPr id="255" name="图片 1"/>
                    <pic:cNvPicPr/>
                  </pic:nvPicPr>
                  <pic:blipFill>
                    <a:blip r:embed="rId40"/>
                    <a:stretch>
                      <a:fillRect/>
                    </a:stretch>
                  </pic:blipFill>
                  <pic:spPr>
                    <a:xfrm>
                      <a:off x="0" y="0"/>
                      <a:ext cx="4469130" cy="3225165"/>
                    </a:xfrm>
                    <a:prstGeom prst="rect">
                      <a:avLst/>
                    </a:prstGeom>
                    <a:noFill/>
                    <a:ln>
                      <a:noFill/>
                    </a:ln>
                  </pic:spPr>
                </pic:pic>
              </a:graphicData>
            </a:graphic>
          </wp:inline>
        </w:drawing>
      </w:r>
    </w:p>
    <w:p w14:paraId="2861592D">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szCs w:val="20"/>
          <w:highlight w:val="none"/>
          <w:lang w:bidi="ar"/>
          <w14:textFill>
            <w14:solidFill>
              <w14:schemeClr w14:val="tx1"/>
            </w14:solidFill>
          </w14:textFill>
        </w:rPr>
      </w:pPr>
    </w:p>
    <w:p w14:paraId="041C8D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图5.</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-2   石油类在不同水平年沿土壤迁移情况图</w:t>
      </w:r>
    </w:p>
    <w:p w14:paraId="1E40DB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述土壤预测结果可知，土壤深度在10cm的时候，污染物浓度最快达到峰值，在365d时污染物浓度出现最高值。而土层深度在200cm的土壤，在365天时污染物浓度达到最高。说明最表层土壤最快被污染物污染，浓度也最高。而深度达到200cm处的土壤125天内被污染的程度较低。污染物泄漏1d时，在最表层0cm的土壤被污染的程度最大，被污染的土壤深度达16cm。随着污染时间的持续增加，污染天数达到365d时，表层土壤的污染物将全部被污染，而被污染的土层深度也将随着时间的增加而增加，污染物最深可达200cm处的土层。</w:t>
      </w:r>
    </w:p>
    <w:p w14:paraId="452EA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由以上分析可以看出，发生泄漏后，最先污染表层土壤，落地油积存于表层会影响表层土壤通透性，影响土壤养分的释放，降低土壤动物及微生物的活性，使土壤的综合肥力下降，最终影响植物根系的</w:t>
      </w:r>
      <w:r>
        <w:rPr>
          <w:rFonts w:hint="eastAsia" w:cs="Times New Roman"/>
          <w:color w:val="000000" w:themeColor="text1"/>
          <w:sz w:val="24"/>
          <w:szCs w:val="24"/>
          <w:highlight w:val="none"/>
          <w:lang w:eastAsia="zh-CN"/>
          <w14:textFill>
            <w14:solidFill>
              <w14:schemeClr w14:val="tx1"/>
            </w14:solidFill>
          </w14:textFill>
        </w:rPr>
        <w:t>呼吸作用</w:t>
      </w:r>
      <w:r>
        <w:rPr>
          <w:rFonts w:hint="default" w:ascii="Times New Roman" w:hAnsi="Times New Roman" w:eastAsia="宋体" w:cs="Times New Roman"/>
          <w:color w:val="000000" w:themeColor="text1"/>
          <w:sz w:val="24"/>
          <w:szCs w:val="24"/>
          <w:highlight w:val="none"/>
          <w14:textFill>
            <w14:solidFill>
              <w14:schemeClr w14:val="tx1"/>
            </w14:solidFill>
          </w14:textFill>
        </w:rPr>
        <w:t>和吸收作用。时间越久，污染物向土壤下方运移越深，泄漏发生后短期内对表层土壤环境影响相对严重。在设定情景下在不同时刻、不同土壤深度的</w:t>
      </w:r>
      <w:bookmarkStart w:id="1041" w:name="OLE_LINK975"/>
      <w:r>
        <w:rPr>
          <w:rFonts w:hint="default" w:ascii="Times New Roman" w:hAnsi="Times New Roman" w:eastAsia="宋体" w:cs="Times New Roman"/>
          <w:color w:val="000000" w:themeColor="text1"/>
          <w:sz w:val="24"/>
          <w:szCs w:val="24"/>
          <w:highlight w:val="none"/>
          <w14:textFill>
            <w14:solidFill>
              <w14:schemeClr w14:val="tx1"/>
            </w14:solidFill>
          </w14:textFill>
        </w:rPr>
        <w:t>石油烃</w:t>
      </w:r>
      <w:bookmarkEnd w:id="1041"/>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1042" w:name="OLE_LINK1015"/>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40</w:t>
      </w:r>
      <w:bookmarkEnd w:id="1042"/>
      <w:r>
        <w:rPr>
          <w:rFonts w:hint="default" w:ascii="Times New Roman" w:hAnsi="Times New Roman" w:eastAsia="宋体" w:cs="Times New Roman"/>
          <w:color w:val="000000" w:themeColor="text1"/>
          <w:sz w:val="24"/>
          <w:szCs w:val="24"/>
          <w:highlight w:val="none"/>
          <w14:textFill>
            <w14:solidFill>
              <w14:schemeClr w14:val="tx1"/>
            </w14:solidFill>
          </w14:textFill>
        </w:rPr>
        <w:t>）浓度均满足</w:t>
      </w:r>
      <w:r>
        <w:rPr>
          <w:rFonts w:hint="default" w:ascii="Times New Roman" w:hAnsi="Times New Roman" w:cs="Times New Roman"/>
          <w:color w:val="000000" w:themeColor="text1"/>
          <w:highlight w:val="none"/>
          <w:lang w:eastAsia="zh-CN"/>
          <w14:textFill>
            <w14:solidFill>
              <w14:schemeClr w14:val="tx1"/>
            </w14:solidFill>
          </w14:textFill>
        </w:rPr>
        <w:t>《土壤环境质量 建设用地土壤污染风险管控标准（试行）》</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GB36600-2018</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中第二类用地风险筛选值（4500mg/kg）。综上所述，</w:t>
      </w:r>
      <w:bookmarkStart w:id="1043" w:name="OLE_LINK1084"/>
      <w:r>
        <w:rPr>
          <w:rFonts w:hint="eastAsia" w:cs="Times New Roman"/>
          <w:color w:val="000000" w:themeColor="text1"/>
          <w:sz w:val="24"/>
          <w:szCs w:val="24"/>
          <w:highlight w:val="none"/>
          <w:lang w:val="en-US" w:eastAsia="zh-CN"/>
          <w14:textFill>
            <w14:solidFill>
              <w14:schemeClr w14:val="tx1"/>
            </w14:solidFill>
          </w14:textFill>
        </w:rPr>
        <w:t>本工程</w:t>
      </w:r>
      <w:bookmarkEnd w:id="1043"/>
      <w:r>
        <w:rPr>
          <w:rFonts w:hint="default" w:ascii="Times New Roman" w:hAnsi="Times New Roman" w:eastAsia="宋体" w:cs="Times New Roman"/>
          <w:color w:val="000000" w:themeColor="text1"/>
          <w:sz w:val="24"/>
          <w:szCs w:val="24"/>
          <w:highlight w:val="none"/>
          <w14:textFill>
            <w14:solidFill>
              <w14:schemeClr w14:val="tx1"/>
            </w14:solidFill>
          </w14:textFill>
        </w:rPr>
        <w:t>经垂直入渗途径影响土壤环境的深度较小，浓度很低。本工程储罐区进行防渗处理，同时生产过程中加强管理，规范生产操作。在采取有效的污染防治措施后，</w:t>
      </w:r>
      <w:r>
        <w:rPr>
          <w:rFonts w:hint="eastAsia"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对土壤环境影响很小。</w:t>
      </w:r>
    </w:p>
    <w:p w14:paraId="7D020A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szCs w:val="24"/>
          <w:highlight w:val="none"/>
          <w14:textFill>
            <w14:solidFill>
              <w14:schemeClr w14:val="tx1"/>
            </w14:solidFill>
          </w14:textFill>
        </w:rPr>
        <w:t>须定期检查，若发现有破损或破裂部位须及时进行修补。故在</w:t>
      </w:r>
      <w:r>
        <w:rPr>
          <w:rFonts w:hint="eastAsia"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运行期间，需加强管理和监督检查，杜绝非正常情况的发生，避免污染物进入土壤及地下水含水层中。在工程做好防渗、定期监测、严格执行本次环评提出的污染防治措施的前提下本工程对土壤环境影响可接受。</w:t>
      </w:r>
    </w:p>
    <w:p w14:paraId="29E3B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综上，本工程正常工况下无废水及固废等污染物外排，不会造成土壤环境污染。如果发生装置泄漏等事故，泄漏的</w:t>
      </w:r>
      <w:r>
        <w:rPr>
          <w:rFonts w:hint="eastAsia" w:cs="Times New Roman"/>
          <w:color w:val="000000" w:themeColor="text1"/>
          <w:sz w:val="24"/>
          <w:szCs w:val="24"/>
          <w:highlight w:val="none"/>
          <w:lang w:val="en-US" w:eastAsia="zh-CN"/>
          <w14:textFill>
            <w14:solidFill>
              <w14:schemeClr w14:val="tx1"/>
            </w14:solidFill>
          </w14:textFill>
        </w:rPr>
        <w:t>凝析油</w:t>
      </w:r>
      <w:r>
        <w:rPr>
          <w:rFonts w:hint="default" w:ascii="Times New Roman" w:hAnsi="Times New Roman" w:eastAsia="宋体" w:cs="Times New Roman"/>
          <w:color w:val="000000" w:themeColor="text1"/>
          <w:sz w:val="24"/>
          <w:szCs w:val="24"/>
          <w:highlight w:val="none"/>
          <w14:textFill>
            <w14:solidFill>
              <w14:schemeClr w14:val="tx1"/>
            </w14:solidFill>
          </w14:textFill>
        </w:rPr>
        <w:t>会对土壤环境产生一定的影响，泄漏的石油覆盖于地表可使土壤透气性下降、土壤理化性状发生变化。泄漏的油品如果进入土壤，从而使土壤质地、结构发生改变，</w:t>
      </w:r>
      <w:r>
        <w:rPr>
          <w:rFonts w:hint="eastAsia" w:cs="Times New Roman"/>
          <w:color w:val="000000" w:themeColor="text1"/>
          <w:sz w:val="24"/>
          <w:szCs w:val="24"/>
          <w:highlight w:val="none"/>
          <w:lang w:eastAsia="zh-CN"/>
          <w14:textFill>
            <w14:solidFill>
              <w14:schemeClr w14:val="tx1"/>
            </w14:solidFill>
          </w14:textFill>
        </w:rPr>
        <w:t>影响</w:t>
      </w:r>
      <w:r>
        <w:rPr>
          <w:rFonts w:hint="default" w:ascii="Times New Roman" w:hAnsi="Times New Roman" w:eastAsia="宋体" w:cs="Times New Roman"/>
          <w:color w:val="000000" w:themeColor="text1"/>
          <w:sz w:val="24"/>
          <w:szCs w:val="24"/>
          <w:highlight w:val="none"/>
          <w14:textFill>
            <w14:solidFill>
              <w14:schemeClr w14:val="tx1"/>
            </w14:solidFill>
          </w14:textFill>
        </w:rPr>
        <w:t>土地功能，进而影响地表植被的生长。根据环境风险分析可知，本工程风险潜势很低，发生泄漏事故的可能性很小，在做好源头控制、过程防控等措施的前提下，可避免工程实施对土壤环境产生污染影响。</w:t>
      </w:r>
    </w:p>
    <w:p w14:paraId="3C0FF61C">
      <w:pPr>
        <w:pStyle w:val="4"/>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1044" w:name="OLE_LINK504"/>
      <w:r>
        <w:rPr>
          <w:rFonts w:hint="default" w:ascii="Times New Roman" w:hAnsi="Times New Roman" w:eastAsia="宋体" w:cs="Times New Roman"/>
          <w:color w:val="000000" w:themeColor="text1"/>
          <w:highlight w:val="none"/>
          <w14:textFill>
            <w14:solidFill>
              <w14:schemeClr w14:val="tx1"/>
            </w14:solidFill>
          </w14:textFill>
        </w:rPr>
        <w:t>5.4.3退役期土壤环境影响分析</w:t>
      </w:r>
    </w:p>
    <w:p w14:paraId="6D7DF3E4">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宋体" w:asciiTheme="majorHAnsi" w:hAnsiTheme="majorHAnsi"/>
          <w:color w:val="000000" w:themeColor="text1"/>
          <w:kern w:val="2"/>
          <w:sz w:val="24"/>
          <w:szCs w:val="32"/>
          <w:highlight w:val="none"/>
          <w:lang w:eastAsia="zh-CN"/>
          <w14:textFill>
            <w14:solidFill>
              <w14:schemeClr w14:val="tx1"/>
            </w14:solidFill>
          </w14:textFill>
        </w:rPr>
      </w:pPr>
      <w:bookmarkStart w:id="1045" w:name="OLE_LINK660"/>
      <w:r>
        <w:rPr>
          <w:rFonts w:hint="default" w:eastAsia="宋体" w:cs="宋体" w:asciiTheme="majorHAnsi" w:hAnsiTheme="majorHAnsi"/>
          <w:color w:val="000000" w:themeColor="text1"/>
          <w:kern w:val="2"/>
          <w:sz w:val="24"/>
          <w:szCs w:val="32"/>
          <w:highlight w:val="none"/>
          <w14:textFill>
            <w14:solidFill>
              <w14:schemeClr w14:val="tx1"/>
            </w14:solidFill>
          </w14:textFill>
        </w:rPr>
        <w:t>退</w:t>
      </w:r>
      <w:bookmarkEnd w:id="1045"/>
      <w:r>
        <w:rPr>
          <w:rFonts w:hint="default" w:eastAsia="宋体" w:cs="宋体" w:asciiTheme="majorHAnsi" w:hAnsiTheme="majorHAnsi"/>
          <w:color w:val="000000" w:themeColor="text1"/>
          <w:kern w:val="2"/>
          <w:sz w:val="24"/>
          <w:szCs w:val="32"/>
          <w:highlight w:val="none"/>
          <w14:textFill>
            <w14:solidFill>
              <w14:schemeClr w14:val="tx1"/>
            </w14:solidFill>
          </w14:textFill>
        </w:rPr>
        <w:t>役期拆除设备时所用的时间较少，生活污水、固体废物均妥善处置的情况下，对土壤环境影响很小</w:t>
      </w:r>
      <w:r>
        <w:rPr>
          <w:rFonts w:hint="eastAsia" w:eastAsia="宋体" w:cs="宋体" w:asciiTheme="majorHAnsi" w:hAnsiTheme="majorHAnsi"/>
          <w:color w:val="000000" w:themeColor="text1"/>
          <w:kern w:val="2"/>
          <w:sz w:val="24"/>
          <w:szCs w:val="32"/>
          <w:highlight w:val="none"/>
          <w:lang w:eastAsia="zh-CN"/>
          <w14:textFill>
            <w14:solidFill>
              <w14:schemeClr w14:val="tx1"/>
            </w14:solidFill>
          </w14:textFill>
        </w:rPr>
        <w:t>。</w:t>
      </w:r>
    </w:p>
    <w:bookmarkEnd w:id="1044"/>
    <w:p w14:paraId="0FF87B26">
      <w:pPr>
        <w:pStyle w:val="4"/>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5.4.4土壤环境影响评价结论</w:t>
      </w:r>
    </w:p>
    <w:p w14:paraId="5EB720F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pPr>
      <w:r>
        <w:rPr>
          <w:rFonts w:hint="default" w:eastAsia="宋体" w:cs="宋体" w:asciiTheme="majorHAnsi" w:hAnsiTheme="majorHAnsi"/>
          <w:color w:val="000000" w:themeColor="text1"/>
          <w:kern w:val="2"/>
          <w:sz w:val="24"/>
          <w:szCs w:val="32"/>
          <w:highlight w:val="none"/>
          <w14:textFill>
            <w14:solidFill>
              <w14:schemeClr w14:val="tx1"/>
            </w14:solidFill>
          </w14:textFill>
        </w:rPr>
        <w:t>综上，本</w:t>
      </w:r>
      <w:r>
        <w:rPr>
          <w:rFonts w:hint="eastAsia" w:eastAsia="宋体" w:cs="宋体" w:asciiTheme="majorHAnsi" w:hAnsiTheme="majorHAnsi"/>
          <w:color w:val="000000" w:themeColor="text1"/>
          <w:kern w:val="2"/>
          <w:sz w:val="24"/>
          <w:szCs w:val="32"/>
          <w:highlight w:val="none"/>
          <w:lang w:val="en-US" w:eastAsia="zh-CN"/>
          <w14:textFill>
            <w14:solidFill>
              <w14:schemeClr w14:val="tx1"/>
            </w14:solidFill>
          </w14:textFill>
        </w:rPr>
        <w:t>工程</w:t>
      </w:r>
      <w:r>
        <w:rPr>
          <w:rFonts w:hint="default" w:eastAsia="宋体" w:cs="宋体" w:asciiTheme="majorHAnsi" w:hAnsiTheme="majorHAnsi"/>
          <w:color w:val="000000" w:themeColor="text1"/>
          <w:kern w:val="2"/>
          <w:sz w:val="24"/>
          <w:szCs w:val="32"/>
          <w:highlight w:val="none"/>
          <w14:textFill>
            <w14:solidFill>
              <w14:schemeClr w14:val="tx1"/>
            </w14:solidFill>
          </w14:textFill>
        </w:rPr>
        <w:t>天然气采用密闭流程，</w:t>
      </w:r>
      <w:bookmarkStart w:id="1046" w:name="OLE_LINK661"/>
      <w:r>
        <w:rPr>
          <w:rFonts w:hint="eastAsia" w:eastAsia="宋体" w:cs="宋体" w:asciiTheme="majorHAnsi" w:hAnsiTheme="majorHAnsi"/>
          <w:color w:val="000000" w:themeColor="text1"/>
          <w:kern w:val="2"/>
          <w:sz w:val="24"/>
          <w:szCs w:val="32"/>
          <w:highlight w:val="none"/>
          <w:lang w:val="en-US" w:eastAsia="zh-CN"/>
          <w14:textFill>
            <w14:solidFill>
              <w14:schemeClr w14:val="tx1"/>
            </w14:solidFill>
          </w14:textFill>
        </w:rPr>
        <w:t>凝析</w:t>
      </w:r>
      <w:bookmarkEnd w:id="1046"/>
      <w:r>
        <w:rPr>
          <w:rFonts w:hint="default" w:eastAsia="宋体" w:cs="宋体" w:asciiTheme="majorHAnsi" w:hAnsiTheme="majorHAnsi"/>
          <w:color w:val="000000" w:themeColor="text1"/>
          <w:kern w:val="2"/>
          <w:sz w:val="24"/>
          <w:szCs w:val="32"/>
          <w:highlight w:val="none"/>
          <w14:textFill>
            <w14:solidFill>
              <w14:schemeClr w14:val="tx1"/>
            </w14:solidFill>
          </w14:textFill>
        </w:rPr>
        <w:t>油采用装车拉运，装车过程采用气相平衡，正常工况下无废水及固废等污染物外排，不会造成土壤环境污染。如果发生</w:t>
      </w:r>
      <w:bookmarkStart w:id="1047" w:name="OLE_LINK663"/>
      <w:r>
        <w:rPr>
          <w:rFonts w:hint="eastAsia" w:eastAsia="宋体" w:cs="宋体" w:asciiTheme="majorHAnsi" w:hAnsiTheme="majorHAnsi"/>
          <w:color w:val="000000" w:themeColor="text1"/>
          <w:kern w:val="2"/>
          <w:sz w:val="24"/>
          <w:szCs w:val="32"/>
          <w:highlight w:val="none"/>
          <w:lang w:val="en-US" w:eastAsia="zh-CN"/>
          <w14:textFill>
            <w14:solidFill>
              <w14:schemeClr w14:val="tx1"/>
            </w14:solidFill>
          </w14:textFill>
        </w:rPr>
        <w:t>凝析</w:t>
      </w:r>
      <w:r>
        <w:rPr>
          <w:rFonts w:hint="default" w:eastAsia="宋体" w:cs="宋体" w:asciiTheme="majorHAnsi" w:hAnsiTheme="majorHAnsi"/>
          <w:color w:val="000000" w:themeColor="text1"/>
          <w:kern w:val="2"/>
          <w:sz w:val="24"/>
          <w:szCs w:val="32"/>
          <w:highlight w:val="none"/>
          <w14:textFill>
            <w14:solidFill>
              <w14:schemeClr w14:val="tx1"/>
            </w14:solidFill>
          </w14:textFill>
        </w:rPr>
        <w:t>油</w:t>
      </w:r>
      <w:bookmarkEnd w:id="1047"/>
      <w:r>
        <w:rPr>
          <w:rFonts w:hint="eastAsia" w:eastAsia="宋体" w:cs="Times New Roman"/>
          <w:snapToGrid w:val="0"/>
          <w:color w:val="000000" w:themeColor="text1"/>
          <w:spacing w:val="4"/>
          <w:kern w:val="2"/>
          <w:sz w:val="24"/>
          <w:highlight w:val="none"/>
          <w:lang w:val="en-US" w:eastAsia="zh-CN" w:bidi="ar-SA"/>
          <w14:textFill>
            <w14:solidFill>
              <w14:schemeClr w14:val="tx1"/>
            </w14:solidFill>
          </w14:textFill>
        </w:rPr>
        <w:t>多功能储集器</w:t>
      </w:r>
      <w:r>
        <w:rPr>
          <w:rFonts w:hint="default" w:eastAsia="宋体" w:cs="宋体" w:asciiTheme="majorHAnsi" w:hAnsiTheme="majorHAnsi"/>
          <w:color w:val="000000" w:themeColor="text1"/>
          <w:kern w:val="2"/>
          <w:sz w:val="24"/>
          <w:szCs w:val="32"/>
          <w:highlight w:val="none"/>
          <w14:textFill>
            <w14:solidFill>
              <w14:schemeClr w14:val="tx1"/>
            </w14:solidFill>
          </w14:textFill>
        </w:rPr>
        <w:t>泄漏等事故，泄漏的</w:t>
      </w:r>
      <w:r>
        <w:rPr>
          <w:rFonts w:hint="eastAsia" w:eastAsia="宋体" w:cs="宋体" w:asciiTheme="majorHAnsi" w:hAnsiTheme="majorHAnsi"/>
          <w:color w:val="000000" w:themeColor="text1"/>
          <w:kern w:val="2"/>
          <w:sz w:val="24"/>
          <w:szCs w:val="32"/>
          <w:highlight w:val="none"/>
          <w:lang w:val="en-US" w:eastAsia="zh-CN"/>
          <w14:textFill>
            <w14:solidFill>
              <w14:schemeClr w14:val="tx1"/>
            </w14:solidFill>
          </w14:textFill>
        </w:rPr>
        <w:t>凝析</w:t>
      </w:r>
      <w:r>
        <w:rPr>
          <w:rFonts w:hint="default" w:eastAsia="宋体" w:cs="宋体" w:asciiTheme="majorHAnsi" w:hAnsiTheme="majorHAnsi"/>
          <w:color w:val="000000" w:themeColor="text1"/>
          <w:kern w:val="2"/>
          <w:sz w:val="24"/>
          <w:szCs w:val="32"/>
          <w:highlight w:val="none"/>
          <w14:textFill>
            <w14:solidFill>
              <w14:schemeClr w14:val="tx1"/>
            </w14:solidFill>
          </w14:textFill>
        </w:rPr>
        <w:t>油会对土壤环境产生一定的影响，泄漏的油类物质覆盖于地表可使土壤透气性下降、土壤理化性状发生变化。泄漏的油品如果进入土壤，从而使土壤质地、结构发生改变，</w:t>
      </w:r>
      <w:r>
        <w:rPr>
          <w:rFonts w:hint="eastAsia" w:cs="宋体" w:asciiTheme="majorHAnsi" w:hAnsiTheme="majorHAnsi"/>
          <w:color w:val="000000" w:themeColor="text1"/>
          <w:kern w:val="2"/>
          <w:sz w:val="24"/>
          <w:szCs w:val="32"/>
          <w:highlight w:val="none"/>
          <w:lang w:eastAsia="zh-CN"/>
          <w14:textFill>
            <w14:solidFill>
              <w14:schemeClr w14:val="tx1"/>
            </w14:solidFill>
          </w14:textFill>
        </w:rPr>
        <w:t>影响</w:t>
      </w:r>
      <w:r>
        <w:rPr>
          <w:rFonts w:hint="default" w:eastAsia="宋体" w:cs="宋体" w:asciiTheme="majorHAnsi" w:hAnsiTheme="majorHAnsi"/>
          <w:color w:val="000000" w:themeColor="text1"/>
          <w:kern w:val="2"/>
          <w:sz w:val="24"/>
          <w:szCs w:val="32"/>
          <w:highlight w:val="none"/>
          <w14:textFill>
            <w14:solidFill>
              <w14:schemeClr w14:val="tx1"/>
            </w14:solidFill>
          </w14:textFill>
        </w:rPr>
        <w:t>土地功能，进而影响地表植被的生长。根据环境风险分析可知，本工程风险潜势很低，发生泄漏</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事故的可能性很小，在做好源头控制、过程防控等措施的前提下，可避免</w:t>
      </w:r>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实施对土壤环境产生污染影响</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w:t>
      </w:r>
    </w:p>
    <w:p w14:paraId="4E9F0C91">
      <w:pPr>
        <w:pStyle w:val="2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5.4.5土壤环境影响自查表</w:t>
      </w:r>
    </w:p>
    <w:p w14:paraId="7329DC5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土壤环境影响自查表详见表</w:t>
      </w:r>
      <w:bookmarkStart w:id="1048" w:name="OLE_LINK664"/>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5.4-1</w:t>
      </w:r>
      <w:bookmarkEnd w:id="1048"/>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w:t>
      </w:r>
    </w:p>
    <w:p w14:paraId="3ADFEBB1">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pacing w:val="5"/>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表5.4-1   土壤环境影响自查表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44"/>
        <w:gridCol w:w="1253"/>
        <w:gridCol w:w="449"/>
        <w:gridCol w:w="819"/>
        <w:gridCol w:w="884"/>
        <w:gridCol w:w="400"/>
        <w:gridCol w:w="1386"/>
        <w:gridCol w:w="1258"/>
      </w:tblGrid>
      <w:tr w14:paraId="59C0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tcPr>
          <w:p w14:paraId="2A5D1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122BB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工作内容</w:t>
            </w:r>
          </w:p>
        </w:tc>
        <w:tc>
          <w:tcPr>
            <w:tcW w:w="3056" w:type="pct"/>
            <w:gridSpan w:val="6"/>
            <w:vAlign w:val="center"/>
          </w:tcPr>
          <w:p w14:paraId="1720D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kern w:val="2"/>
                <w:sz w:val="21"/>
                <w:szCs w:val="21"/>
                <w:highlight w:val="none"/>
                <w:lang w:eastAsia="zh-CN"/>
                <w14:textFill>
                  <w14:solidFill>
                    <w14:schemeClr w14:val="tx1"/>
                  </w14:solidFill>
                </w14:textFill>
              </w:rPr>
              <w:t>星火7井区2025年产能建设项目</w:t>
            </w:r>
          </w:p>
        </w:tc>
        <w:tc>
          <w:tcPr>
            <w:tcW w:w="746" w:type="pct"/>
            <w:vAlign w:val="center"/>
          </w:tcPr>
          <w:p w14:paraId="34C42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备注</w:t>
            </w:r>
          </w:p>
        </w:tc>
      </w:tr>
      <w:tr w14:paraId="0FD0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vAlign w:val="center"/>
          </w:tcPr>
          <w:p w14:paraId="284D7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影响识别</w:t>
            </w:r>
          </w:p>
        </w:tc>
        <w:tc>
          <w:tcPr>
            <w:tcW w:w="973" w:type="pct"/>
            <w:vAlign w:val="center"/>
          </w:tcPr>
          <w:p w14:paraId="43B23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影响类型</w:t>
            </w:r>
          </w:p>
        </w:tc>
        <w:tc>
          <w:tcPr>
            <w:tcW w:w="3056" w:type="pct"/>
            <w:gridSpan w:val="6"/>
            <w:vAlign w:val="center"/>
          </w:tcPr>
          <w:p w14:paraId="60524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污染影响型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；生态影响型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；两种兼有 </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746" w:type="pct"/>
          </w:tcPr>
          <w:p w14:paraId="2F917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1E9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07D653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356E9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土地利用类型</w:t>
            </w:r>
          </w:p>
        </w:tc>
        <w:tc>
          <w:tcPr>
            <w:tcW w:w="3056" w:type="pct"/>
            <w:gridSpan w:val="6"/>
            <w:vAlign w:val="center"/>
          </w:tcPr>
          <w:p w14:paraId="29D43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建设用地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；农用地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；未利用地□</w:t>
            </w:r>
          </w:p>
        </w:tc>
        <w:tc>
          <w:tcPr>
            <w:tcW w:w="746" w:type="pct"/>
            <w:vAlign w:val="center"/>
          </w:tcPr>
          <w:p w14:paraId="230A39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土地利用</w:t>
            </w:r>
          </w:p>
          <w:p w14:paraId="76F59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类型图</w:t>
            </w:r>
          </w:p>
        </w:tc>
      </w:tr>
      <w:tr w14:paraId="5A05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49CBD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7A9CC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占地规模</w:t>
            </w:r>
          </w:p>
        </w:tc>
        <w:tc>
          <w:tcPr>
            <w:tcW w:w="3056" w:type="pct"/>
            <w:gridSpan w:val="6"/>
            <w:vAlign w:val="center"/>
          </w:tcPr>
          <w:p w14:paraId="687B3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2.4828)</w:t>
            </w:r>
            <w:r>
              <w:rPr>
                <w:rFonts w:hint="default" w:ascii="Times New Roman" w:hAnsi="Times New Roman" w:eastAsia="宋体" w:cs="Times New Roman"/>
                <w:color w:val="000000" w:themeColor="text1"/>
                <w:sz w:val="21"/>
                <w:szCs w:val="21"/>
                <w:highlight w:val="none"/>
                <w14:textFill>
                  <w14:solidFill>
                    <w14:schemeClr w14:val="tx1"/>
                  </w14:solidFill>
                </w14:textFill>
              </w:rPr>
              <w:t>hm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746" w:type="pct"/>
          </w:tcPr>
          <w:p w14:paraId="72C32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540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5197D6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62BF5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敏感目标信息</w:t>
            </w:r>
          </w:p>
        </w:tc>
        <w:tc>
          <w:tcPr>
            <w:tcW w:w="3056" w:type="pct"/>
            <w:gridSpan w:val="6"/>
            <w:vAlign w:val="center"/>
          </w:tcPr>
          <w:p w14:paraId="7039C5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敏感目标（）、方位（内）、距离（）</w:t>
            </w:r>
          </w:p>
        </w:tc>
        <w:tc>
          <w:tcPr>
            <w:tcW w:w="746" w:type="pct"/>
          </w:tcPr>
          <w:p w14:paraId="7ED05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A06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48BBC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2E4AF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影响途径</w:t>
            </w:r>
          </w:p>
        </w:tc>
        <w:tc>
          <w:tcPr>
            <w:tcW w:w="3056" w:type="pct"/>
            <w:gridSpan w:val="6"/>
            <w:vAlign w:val="center"/>
          </w:tcPr>
          <w:p w14:paraId="5E580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大气沉降</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；地面漫流 </w:t>
            </w:r>
            <w:r>
              <w:rPr>
                <w:rFonts w:hint="eastAsia"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；垂直入渗</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；地下水位</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tc>
        <w:tc>
          <w:tcPr>
            <w:tcW w:w="746" w:type="pct"/>
          </w:tcPr>
          <w:p w14:paraId="7C6D0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CF2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01D37B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1DC8F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全部污染物</w:t>
            </w:r>
          </w:p>
        </w:tc>
        <w:tc>
          <w:tcPr>
            <w:tcW w:w="3056" w:type="pct"/>
            <w:gridSpan w:val="6"/>
            <w:vAlign w:val="center"/>
          </w:tcPr>
          <w:p w14:paraId="5C498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石油类</w:t>
            </w:r>
          </w:p>
        </w:tc>
        <w:tc>
          <w:tcPr>
            <w:tcW w:w="746" w:type="pct"/>
          </w:tcPr>
          <w:p w14:paraId="0C2AF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A79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2C00C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7E5F1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特征因子</w:t>
            </w:r>
          </w:p>
        </w:tc>
        <w:tc>
          <w:tcPr>
            <w:tcW w:w="3056" w:type="pct"/>
            <w:gridSpan w:val="6"/>
            <w:vAlign w:val="center"/>
          </w:tcPr>
          <w:p w14:paraId="2FA71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石油烃</w:t>
            </w:r>
          </w:p>
        </w:tc>
        <w:tc>
          <w:tcPr>
            <w:tcW w:w="746" w:type="pct"/>
          </w:tcPr>
          <w:p w14:paraId="3CFA9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241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18306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1E625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所属土壤环境影响评价项目类别</w:t>
            </w:r>
          </w:p>
        </w:tc>
        <w:tc>
          <w:tcPr>
            <w:tcW w:w="3056" w:type="pct"/>
            <w:gridSpan w:val="6"/>
            <w:vAlign w:val="center"/>
          </w:tcPr>
          <w:p w14:paraId="5E635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Ⅰ类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Ⅱ类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Ⅲ类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Ⅳ类</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68510B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D31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4295F0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3E1B8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敏感程度</w:t>
            </w:r>
          </w:p>
        </w:tc>
        <w:tc>
          <w:tcPr>
            <w:tcW w:w="3056" w:type="pct"/>
            <w:gridSpan w:val="6"/>
            <w:vAlign w:val="center"/>
          </w:tcPr>
          <w:p w14:paraId="6780A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敏感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；较敏感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；不敏感</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49772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72F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tcPr>
          <w:p w14:paraId="4A1B9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3EAE2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评价工作等级</w:t>
            </w:r>
          </w:p>
        </w:tc>
        <w:tc>
          <w:tcPr>
            <w:tcW w:w="3056" w:type="pct"/>
            <w:gridSpan w:val="6"/>
            <w:vAlign w:val="center"/>
          </w:tcPr>
          <w:p w14:paraId="2C168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7BB966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946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tcPr>
          <w:p w14:paraId="30E03B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现状调查内容</w:t>
            </w:r>
          </w:p>
        </w:tc>
        <w:tc>
          <w:tcPr>
            <w:tcW w:w="973" w:type="pct"/>
            <w:vAlign w:val="center"/>
          </w:tcPr>
          <w:p w14:paraId="3CC6F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资料收集</w:t>
            </w:r>
          </w:p>
        </w:tc>
        <w:tc>
          <w:tcPr>
            <w:tcW w:w="3056" w:type="pct"/>
            <w:gridSpan w:val="6"/>
            <w:vAlign w:val="center"/>
          </w:tcPr>
          <w:p w14:paraId="42137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b</w:t>
            </w:r>
            <w:r>
              <w:rPr>
                <w:rFonts w:hint="eastAsia"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d</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p>
        </w:tc>
        <w:tc>
          <w:tcPr>
            <w:tcW w:w="746" w:type="pct"/>
          </w:tcPr>
          <w:p w14:paraId="2D141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A5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38C56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4FE67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理化特性</w:t>
            </w:r>
          </w:p>
        </w:tc>
        <w:tc>
          <w:tcPr>
            <w:tcW w:w="3056" w:type="pct"/>
            <w:gridSpan w:val="6"/>
          </w:tcPr>
          <w:p w14:paraId="0E636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6" w:type="pct"/>
            <w:vAlign w:val="center"/>
          </w:tcPr>
          <w:p w14:paraId="336283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同附录 C</w:t>
            </w:r>
          </w:p>
        </w:tc>
      </w:tr>
      <w:tr w14:paraId="665E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074B57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Merge w:val="restart"/>
            <w:vAlign w:val="center"/>
          </w:tcPr>
          <w:p w14:paraId="7063D4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现状监测点位</w:t>
            </w:r>
          </w:p>
        </w:tc>
        <w:tc>
          <w:tcPr>
            <w:tcW w:w="745" w:type="pct"/>
          </w:tcPr>
          <w:p w14:paraId="5EEF0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63" w:type="pct"/>
            <w:gridSpan w:val="2"/>
            <w:vAlign w:val="center"/>
          </w:tcPr>
          <w:p w14:paraId="24C3F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占地范围内</w:t>
            </w:r>
          </w:p>
        </w:tc>
        <w:tc>
          <w:tcPr>
            <w:tcW w:w="772" w:type="pct"/>
            <w:gridSpan w:val="2"/>
            <w:vAlign w:val="center"/>
          </w:tcPr>
          <w:p w14:paraId="6621B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占地范围外</w:t>
            </w:r>
          </w:p>
        </w:tc>
        <w:tc>
          <w:tcPr>
            <w:tcW w:w="774" w:type="pct"/>
            <w:vAlign w:val="center"/>
          </w:tcPr>
          <w:p w14:paraId="67009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深度</w:t>
            </w:r>
          </w:p>
        </w:tc>
        <w:tc>
          <w:tcPr>
            <w:tcW w:w="746" w:type="pct"/>
            <w:vMerge w:val="restart"/>
            <w:vAlign w:val="center"/>
          </w:tcPr>
          <w:p w14:paraId="1422E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点位</w:t>
            </w:r>
          </w:p>
          <w:p w14:paraId="18804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布置图</w:t>
            </w:r>
          </w:p>
        </w:tc>
      </w:tr>
      <w:tr w14:paraId="3C91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2EF05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Merge w:val="continue"/>
            <w:vAlign w:val="center"/>
          </w:tcPr>
          <w:p w14:paraId="5BCA3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5" w:type="pct"/>
            <w:vAlign w:val="center"/>
          </w:tcPr>
          <w:p w14:paraId="186FF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表层样点数</w:t>
            </w:r>
          </w:p>
        </w:tc>
        <w:tc>
          <w:tcPr>
            <w:tcW w:w="763" w:type="pct"/>
            <w:gridSpan w:val="2"/>
            <w:vAlign w:val="center"/>
          </w:tcPr>
          <w:p w14:paraId="1847E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772" w:type="pct"/>
            <w:gridSpan w:val="2"/>
            <w:vAlign w:val="center"/>
          </w:tcPr>
          <w:p w14:paraId="17A93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w:t>
            </w:r>
          </w:p>
        </w:tc>
        <w:tc>
          <w:tcPr>
            <w:tcW w:w="774" w:type="pct"/>
            <w:vAlign w:val="center"/>
          </w:tcPr>
          <w:p w14:paraId="6E87B6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20cm</w:t>
            </w:r>
          </w:p>
        </w:tc>
        <w:tc>
          <w:tcPr>
            <w:tcW w:w="746" w:type="pct"/>
            <w:vMerge w:val="continue"/>
            <w:vAlign w:val="center"/>
          </w:tcPr>
          <w:p w14:paraId="75506B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252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38B295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Merge w:val="continue"/>
            <w:vAlign w:val="center"/>
          </w:tcPr>
          <w:p w14:paraId="5E6B6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5" w:type="pct"/>
            <w:vAlign w:val="center"/>
          </w:tcPr>
          <w:p w14:paraId="2DA8C2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柱状样点数</w:t>
            </w:r>
          </w:p>
        </w:tc>
        <w:tc>
          <w:tcPr>
            <w:tcW w:w="763" w:type="pct"/>
            <w:gridSpan w:val="2"/>
            <w:vAlign w:val="center"/>
          </w:tcPr>
          <w:p w14:paraId="093D92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772" w:type="pct"/>
            <w:gridSpan w:val="2"/>
            <w:vAlign w:val="center"/>
          </w:tcPr>
          <w:p w14:paraId="07AA5E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74" w:type="pct"/>
            <w:vAlign w:val="center"/>
          </w:tcPr>
          <w:p w14:paraId="02FB0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0~0.5m</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0.5</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1.5m</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1.5</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3m</w:t>
            </w:r>
          </w:p>
        </w:tc>
        <w:tc>
          <w:tcPr>
            <w:tcW w:w="746" w:type="pct"/>
            <w:vMerge w:val="continue"/>
            <w:vAlign w:val="center"/>
          </w:tcPr>
          <w:p w14:paraId="71A9D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0BE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289C0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25AA3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现状监测因子</w:t>
            </w:r>
          </w:p>
        </w:tc>
        <w:tc>
          <w:tcPr>
            <w:tcW w:w="3056" w:type="pct"/>
            <w:gridSpan w:val="6"/>
            <w:vAlign w:val="center"/>
          </w:tcPr>
          <w:p w14:paraId="414F5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《土壤环境质量 建设用地土壤污染风险管控标准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》（GB36600-2018）基</w:t>
            </w:r>
            <w:r>
              <w:rPr>
                <w:rFonts w:hint="eastAsia"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45项和pH、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土壤盐分、</w:t>
            </w:r>
            <w:r>
              <w:rPr>
                <w:rFonts w:hint="default" w:ascii="Times New Roman" w:hAnsi="Times New Roman" w:eastAsia="宋体" w:cs="Times New Roman"/>
                <w:color w:val="000000" w:themeColor="text1"/>
                <w:sz w:val="21"/>
                <w:szCs w:val="21"/>
                <w:highlight w:val="none"/>
                <w14:textFill>
                  <w14:solidFill>
                    <w14:schemeClr w14:val="tx1"/>
                  </w14:solidFill>
                </w14:textFill>
              </w:rPr>
              <w:t>石油烃；《土壤环境质量 农用地土壤污染风险管控标准（试行）》（GB15618-2018）基</w:t>
            </w:r>
            <w:r>
              <w:rPr>
                <w:rFonts w:hint="eastAsia"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8项和pH、石油烃</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土壤盐分</w:t>
            </w:r>
          </w:p>
        </w:tc>
        <w:tc>
          <w:tcPr>
            <w:tcW w:w="746" w:type="pct"/>
          </w:tcPr>
          <w:p w14:paraId="6B6BE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65A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tcPr>
          <w:p w14:paraId="49729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973" w:type="pct"/>
            <w:vAlign w:val="center"/>
          </w:tcPr>
          <w:p w14:paraId="5681AF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3056" w:type="pct"/>
            <w:gridSpan w:val="6"/>
            <w:vAlign w:val="center"/>
          </w:tcPr>
          <w:p w14:paraId="43338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石油烃等</w:t>
            </w:r>
          </w:p>
        </w:tc>
        <w:tc>
          <w:tcPr>
            <w:tcW w:w="746" w:type="pct"/>
          </w:tcPr>
          <w:p w14:paraId="68ACB0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09C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52DD3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0BB2C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3056" w:type="pct"/>
            <w:gridSpan w:val="6"/>
            <w:vAlign w:val="center"/>
          </w:tcPr>
          <w:p w14:paraId="6DEF2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 15618</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 36600</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；表D.1</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；表D.2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tc>
        <w:tc>
          <w:tcPr>
            <w:tcW w:w="746" w:type="pct"/>
          </w:tcPr>
          <w:p w14:paraId="307AD1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AB0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406E7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56B2B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现状评价结论</w:t>
            </w:r>
          </w:p>
        </w:tc>
        <w:tc>
          <w:tcPr>
            <w:tcW w:w="3056" w:type="pct"/>
            <w:gridSpan w:val="6"/>
          </w:tcPr>
          <w:p w14:paraId="42C64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土壤中各项监测因子满足《土壤环境质量 建设用地土壤污染风险管控标准（试行）》（GB36600-2018）第二类用地风险筛选值要求、《土壤环境质量 农用地土壤污染风险管控标准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GB15618-2018</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筛选值标准要求</w:t>
            </w:r>
          </w:p>
        </w:tc>
        <w:tc>
          <w:tcPr>
            <w:tcW w:w="746" w:type="pct"/>
          </w:tcPr>
          <w:p w14:paraId="5C4AC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FC7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vAlign w:val="center"/>
          </w:tcPr>
          <w:p w14:paraId="1EF8E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影响预测</w:t>
            </w:r>
          </w:p>
        </w:tc>
        <w:tc>
          <w:tcPr>
            <w:tcW w:w="973" w:type="pct"/>
            <w:vAlign w:val="center"/>
          </w:tcPr>
          <w:p w14:paraId="1EB1E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3056" w:type="pct"/>
            <w:gridSpan w:val="6"/>
            <w:vAlign w:val="center"/>
          </w:tcPr>
          <w:p w14:paraId="0D70C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石油烃</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盐分含量</w:t>
            </w:r>
          </w:p>
        </w:tc>
        <w:tc>
          <w:tcPr>
            <w:tcW w:w="746" w:type="pct"/>
          </w:tcPr>
          <w:p w14:paraId="1D490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03D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44F26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4C412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预测方法</w:t>
            </w:r>
          </w:p>
        </w:tc>
        <w:tc>
          <w:tcPr>
            <w:tcW w:w="3056" w:type="pct"/>
            <w:gridSpan w:val="6"/>
            <w:vAlign w:val="center"/>
          </w:tcPr>
          <w:p w14:paraId="33630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附录 E□；附录 F□；其他</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1B8EC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662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4152D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20097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预测分析内容</w:t>
            </w:r>
          </w:p>
        </w:tc>
        <w:tc>
          <w:tcPr>
            <w:tcW w:w="3056" w:type="pct"/>
            <w:gridSpan w:val="6"/>
            <w:vAlign w:val="center"/>
          </w:tcPr>
          <w:p w14:paraId="3441A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影响范围</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影响程度</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2478E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959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vAlign w:val="center"/>
          </w:tcPr>
          <w:p w14:paraId="2572C6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5BB24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预测结论</w:t>
            </w:r>
          </w:p>
        </w:tc>
        <w:tc>
          <w:tcPr>
            <w:tcW w:w="3056" w:type="pct"/>
            <w:gridSpan w:val="6"/>
            <w:vAlign w:val="center"/>
          </w:tcPr>
          <w:p w14:paraId="32F997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达标结论： a）</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c）</w:t>
            </w:r>
            <w:r>
              <w:rPr>
                <w:rFonts w:hint="eastAsia" w:cs="Times New Roman"/>
                <w:color w:val="000000" w:themeColor="text1"/>
                <w:sz w:val="21"/>
                <w:szCs w:val="21"/>
                <w:highlight w:val="none"/>
                <w:lang w:eastAsia="zh-CN"/>
                <w14:textFill>
                  <w14:solidFill>
                    <w14:schemeClr w14:val="tx1"/>
                  </w14:solidFill>
                </w14:textFill>
              </w:rPr>
              <w:t>☑</w:t>
            </w:r>
          </w:p>
          <w:p w14:paraId="6B6CD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不达标结论： a）</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b）</w:t>
            </w:r>
            <w:r>
              <w:rPr>
                <w:rFonts w:hint="eastAsia" w:cs="Times New Roman"/>
                <w:color w:val="000000" w:themeColor="text1"/>
                <w:sz w:val="21"/>
                <w:szCs w:val="21"/>
                <w:highlight w:val="none"/>
                <w:lang w:eastAsia="zh-CN"/>
                <w14:textFill>
                  <w14:solidFill>
                    <w14:schemeClr w14:val="tx1"/>
                  </w14:solidFill>
                </w14:textFill>
              </w:rPr>
              <w:t>□</w:t>
            </w:r>
          </w:p>
        </w:tc>
        <w:tc>
          <w:tcPr>
            <w:tcW w:w="746" w:type="pct"/>
          </w:tcPr>
          <w:p w14:paraId="75B5C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100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tcPr>
          <w:p w14:paraId="133B8E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防治措施</w:t>
            </w:r>
          </w:p>
        </w:tc>
        <w:tc>
          <w:tcPr>
            <w:tcW w:w="973" w:type="pct"/>
            <w:vAlign w:val="center"/>
          </w:tcPr>
          <w:p w14:paraId="7C8B5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防控措施</w:t>
            </w:r>
          </w:p>
        </w:tc>
        <w:tc>
          <w:tcPr>
            <w:tcW w:w="3056" w:type="pct"/>
            <w:gridSpan w:val="6"/>
            <w:vAlign w:val="center"/>
          </w:tcPr>
          <w:p w14:paraId="05BD57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土壤环境质量现状保障</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；源头控制</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；过程防控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tc>
        <w:tc>
          <w:tcPr>
            <w:tcW w:w="746" w:type="pct"/>
          </w:tcPr>
          <w:p w14:paraId="1F11A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0D5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74FDA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Merge w:val="restart"/>
            <w:vAlign w:val="center"/>
          </w:tcPr>
          <w:p w14:paraId="26AFD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跟踪监测</w:t>
            </w:r>
          </w:p>
        </w:tc>
        <w:tc>
          <w:tcPr>
            <w:tcW w:w="1018" w:type="pct"/>
            <w:gridSpan w:val="2"/>
            <w:vAlign w:val="center"/>
          </w:tcPr>
          <w:p w14:paraId="4C2A7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监测点数</w:t>
            </w:r>
          </w:p>
        </w:tc>
        <w:tc>
          <w:tcPr>
            <w:tcW w:w="1018" w:type="pct"/>
            <w:gridSpan w:val="2"/>
            <w:vAlign w:val="center"/>
          </w:tcPr>
          <w:p w14:paraId="5759C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监测指标</w:t>
            </w:r>
          </w:p>
        </w:tc>
        <w:tc>
          <w:tcPr>
            <w:tcW w:w="1019" w:type="pct"/>
            <w:gridSpan w:val="2"/>
            <w:vAlign w:val="center"/>
          </w:tcPr>
          <w:p w14:paraId="6F243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监测频次</w:t>
            </w:r>
          </w:p>
        </w:tc>
        <w:tc>
          <w:tcPr>
            <w:tcW w:w="746" w:type="pct"/>
            <w:vMerge w:val="restart"/>
          </w:tcPr>
          <w:p w14:paraId="7B132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11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28FAA2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Merge w:val="continue"/>
            <w:vAlign w:val="center"/>
          </w:tcPr>
          <w:p w14:paraId="5F489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18" w:type="pct"/>
            <w:gridSpan w:val="2"/>
          </w:tcPr>
          <w:p w14:paraId="220C0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场</w:t>
            </w:r>
          </w:p>
        </w:tc>
        <w:tc>
          <w:tcPr>
            <w:tcW w:w="1018" w:type="pct"/>
            <w:gridSpan w:val="2"/>
            <w:vAlign w:val="center"/>
          </w:tcPr>
          <w:p w14:paraId="29EF6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石油烃</w:t>
            </w:r>
          </w:p>
        </w:tc>
        <w:tc>
          <w:tcPr>
            <w:tcW w:w="1019" w:type="pct"/>
            <w:gridSpan w:val="2"/>
            <w:vAlign w:val="center"/>
          </w:tcPr>
          <w:p w14:paraId="19204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1次/3年</w:t>
            </w:r>
          </w:p>
        </w:tc>
        <w:tc>
          <w:tcPr>
            <w:tcW w:w="746" w:type="pct"/>
            <w:vMerge w:val="continue"/>
          </w:tcPr>
          <w:p w14:paraId="0573E9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570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continue"/>
          </w:tcPr>
          <w:p w14:paraId="59185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3" w:type="pct"/>
            <w:vAlign w:val="center"/>
          </w:tcPr>
          <w:p w14:paraId="32B08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信息公开指标</w:t>
            </w:r>
          </w:p>
        </w:tc>
        <w:tc>
          <w:tcPr>
            <w:tcW w:w="3056" w:type="pct"/>
            <w:gridSpan w:val="6"/>
          </w:tcPr>
          <w:p w14:paraId="29D1C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6" w:type="pct"/>
            <w:vMerge w:val="continue"/>
          </w:tcPr>
          <w:p w14:paraId="7F281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470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7" w:type="pct"/>
            <w:gridSpan w:val="2"/>
          </w:tcPr>
          <w:p w14:paraId="2CD4D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3056" w:type="pct"/>
            <w:gridSpan w:val="6"/>
          </w:tcPr>
          <w:p w14:paraId="1A704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项目区占地范围主要土壤类型是</w:t>
            </w:r>
            <w:r>
              <w:rPr>
                <w:rFonts w:hint="eastAsia" w:cs="Times New Roman"/>
                <w:color w:val="000000" w:themeColor="text1"/>
                <w:sz w:val="21"/>
                <w:szCs w:val="21"/>
                <w:highlight w:val="none"/>
                <w:lang w:val="en-US" w:eastAsia="zh-CN"/>
                <w14:textFill>
                  <w14:solidFill>
                    <w14:schemeClr w14:val="tx1"/>
                  </w14:solidFill>
                </w14:textFill>
              </w:rPr>
              <w:t>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土</w:t>
            </w:r>
            <w:r>
              <w:rPr>
                <w:rFonts w:hint="default" w:ascii="Times New Roman" w:hAnsi="Times New Roman" w:eastAsia="宋体" w:cs="Times New Roman"/>
                <w:color w:val="000000" w:themeColor="text1"/>
                <w:sz w:val="21"/>
                <w:szCs w:val="21"/>
                <w:highlight w:val="none"/>
                <w14:textFill>
                  <w14:solidFill>
                    <w14:schemeClr w14:val="tx1"/>
                  </w14:solidFill>
                </w14:textFill>
              </w:rPr>
              <w:t>。油田开发对土壤影响，呈点块状（如</w:t>
            </w:r>
            <w:r>
              <w:rPr>
                <w:rFonts w:hint="eastAsia" w:eastAsia="宋体" w:cs="Times New Roman"/>
                <w:color w:val="000000" w:themeColor="text1"/>
                <w:sz w:val="21"/>
                <w:szCs w:val="21"/>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场</w:t>
            </w:r>
            <w:r>
              <w:rPr>
                <w:rFonts w:hint="default" w:ascii="Times New Roman" w:hAnsi="Times New Roman" w:eastAsia="宋体" w:cs="Times New Roman"/>
                <w:color w:val="000000" w:themeColor="text1"/>
                <w:sz w:val="21"/>
                <w:szCs w:val="21"/>
                <w:highlight w:val="none"/>
                <w14:textFill>
                  <w14:solidFill>
                    <w14:schemeClr w14:val="tx1"/>
                  </w14:solidFill>
                </w14:textFill>
              </w:rPr>
              <w:t>等）分布，影响范围明确。本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1"/>
                <w:szCs w:val="21"/>
                <w:highlight w:val="none"/>
                <w14:textFill>
                  <w14:solidFill>
                    <w14:schemeClr w14:val="tx1"/>
                  </w14:solidFill>
                </w14:textFill>
              </w:rPr>
              <w:t>在施工期对土壤环境影响较大，运营期一般影响较小。</w:t>
            </w:r>
          </w:p>
        </w:tc>
        <w:tc>
          <w:tcPr>
            <w:tcW w:w="746" w:type="pct"/>
          </w:tcPr>
          <w:p w14:paraId="00018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EE1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tcPr>
          <w:p w14:paraId="0D97E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 1： “□”为勾选项，可 √； “（） ”为内容填写项； “备注 ”为其他补充内容。注 2：需要分别开展土壤环境影响</w:t>
            </w:r>
            <w:r>
              <w:rPr>
                <w:rFonts w:hint="eastAsia" w:cs="Times New Roman"/>
                <w:color w:val="000000" w:themeColor="text1"/>
                <w:sz w:val="21"/>
                <w:szCs w:val="21"/>
                <w:highlight w:val="none"/>
                <w:lang w:eastAsia="zh-CN"/>
                <w14:textFill>
                  <w14:solidFill>
                    <w14:schemeClr w14:val="tx1"/>
                  </w14:solidFill>
                </w14:textFill>
              </w:rPr>
              <w:t>评价</w:t>
            </w:r>
            <w:r>
              <w:rPr>
                <w:rFonts w:hint="default" w:ascii="Times New Roman" w:hAnsi="Times New Roman" w:eastAsia="宋体" w:cs="Times New Roman"/>
                <w:color w:val="000000" w:themeColor="text1"/>
                <w:sz w:val="21"/>
                <w:szCs w:val="21"/>
                <w:highlight w:val="none"/>
                <w14:textFill>
                  <w14:solidFill>
                    <w14:schemeClr w14:val="tx1"/>
                  </w14:solidFill>
                </w14:textFill>
              </w:rPr>
              <w:t>工作的，分别填写自查表。</w:t>
            </w:r>
          </w:p>
        </w:tc>
      </w:tr>
    </w:tbl>
    <w:p w14:paraId="284BD27D">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1049" w:name="_Toc16755"/>
      <w:r>
        <w:rPr>
          <w:rFonts w:hint="default" w:ascii="Times New Roman" w:hAnsi="Times New Roman" w:eastAsia="宋体" w:cs="Times New Roman"/>
          <w:color w:val="000000" w:themeColor="text1"/>
          <w:highlight w:val="none"/>
          <w14:textFill>
            <w14:solidFill>
              <w14:schemeClr w14:val="tx1"/>
            </w14:solidFill>
          </w14:textFill>
        </w:rPr>
        <w:t>5.</w:t>
      </w:r>
      <w:bookmarkEnd w:id="958"/>
      <w:bookmarkEnd w:id="959"/>
      <w:bookmarkEnd w:id="960"/>
      <w:bookmarkEnd w:id="961"/>
      <w:bookmarkEnd w:id="962"/>
      <w:bookmarkEnd w:id="963"/>
      <w:bookmarkEnd w:id="964"/>
      <w:r>
        <w:rPr>
          <w:rFonts w:hint="default" w:ascii="Times New Roman" w:hAnsi="Times New Roman" w:eastAsia="宋体" w:cs="Times New Roman"/>
          <w:color w:val="000000" w:themeColor="text1"/>
          <w:highlight w:val="none"/>
          <w14:textFill>
            <w14:solidFill>
              <w14:schemeClr w14:val="tx1"/>
            </w14:solidFill>
          </w14:textFill>
        </w:rPr>
        <w:t>5大气环境影响评价</w:t>
      </w:r>
      <w:bookmarkEnd w:id="1049"/>
    </w:p>
    <w:p w14:paraId="4EEED1B6">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50" w:name="_Toc28719"/>
      <w:bookmarkStart w:id="1051" w:name="_Toc5070"/>
      <w:bookmarkStart w:id="1052" w:name="_Toc28186"/>
      <w:r>
        <w:rPr>
          <w:rFonts w:hint="default" w:ascii="Times New Roman" w:hAnsi="Times New Roman" w:cs="Times New Roman"/>
          <w:color w:val="000000" w:themeColor="text1"/>
          <w:highlight w:val="none"/>
          <w14:textFill>
            <w14:solidFill>
              <w14:schemeClr w14:val="tx1"/>
            </w14:solidFill>
          </w14:textFill>
        </w:rPr>
        <w:t>5.</w:t>
      </w:r>
      <w:bookmarkEnd w:id="1050"/>
      <w:bookmarkEnd w:id="1051"/>
      <w:bookmarkEnd w:id="1052"/>
      <w:r>
        <w:rPr>
          <w:rFonts w:hint="default" w:ascii="Times New Roman" w:hAnsi="Times New Roman" w:cs="Times New Roman"/>
          <w:color w:val="000000" w:themeColor="text1"/>
          <w:highlight w:val="none"/>
          <w14:textFill>
            <w14:solidFill>
              <w14:schemeClr w14:val="tx1"/>
            </w14:solidFill>
          </w14:textFill>
        </w:rPr>
        <w:t>5.1施工期大气环境影响分析</w:t>
      </w:r>
    </w:p>
    <w:p w14:paraId="12F2BDF5">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）施工扬尘</w:t>
      </w:r>
      <w:bookmarkStart w:id="1053" w:name="OLE_LINK1185"/>
      <w:r>
        <w:rPr>
          <w:rFonts w:hint="default" w:ascii="Times New Roman" w:hAnsi="Times New Roman" w:eastAsia="宋体" w:cs="Times New Roman"/>
          <w:color w:val="000000" w:themeColor="text1"/>
          <w:sz w:val="24"/>
          <w:szCs w:val="24"/>
          <w:highlight w:val="none"/>
          <w14:textFill>
            <w14:solidFill>
              <w14:schemeClr w14:val="tx1"/>
            </w14:solidFill>
          </w14:textFill>
        </w:rPr>
        <w:t>影响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分析</w:t>
      </w:r>
      <w:bookmarkEnd w:id="1053"/>
    </w:p>
    <w:p w14:paraId="6AB76CA5">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施工扬尘污染主要来自场地平整和车辆运输过程</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地基路基开挖</w:t>
      </w:r>
      <w:r>
        <w:rPr>
          <w:rFonts w:hint="eastAsia"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14:textFill>
            <w14:solidFill>
              <w14:schemeClr w14:val="tx1"/>
            </w14:solidFill>
          </w14:textFill>
        </w:rPr>
        <w:t>土地平整等施工过程，遇大风天气，会造成粉尘、扬尘等大气污染；水泥、砂石</w:t>
      </w:r>
      <w:r>
        <w:rPr>
          <w:rFonts w:hint="eastAsia"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14:textFill>
            <w14:solidFill>
              <w14:schemeClr w14:val="tx1"/>
            </w14:solidFill>
          </w14:textFill>
        </w:rPr>
        <w:t>混凝土等建筑材料的运输、装卸和仓储过程不可避免会产生一定的泄漏，产生扬尘污染；物料运输车辆在施工场地运行过程中将产生大量尘土。</w:t>
      </w:r>
    </w:p>
    <w:p w14:paraId="07DF20F8">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施工期扬尘最大产生时间出现在土方开挖阶段，由于该阶段裸露浮土较多，产尘量较大。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的土方运输量较大，比较容易造成物料沿路</w:t>
      </w:r>
      <w:r>
        <w:rPr>
          <w:rFonts w:hint="eastAsia" w:cs="Times New Roman"/>
          <w:color w:val="000000" w:themeColor="text1"/>
          <w:sz w:val="24"/>
          <w:szCs w:val="24"/>
          <w:highlight w:val="none"/>
          <w:lang w:eastAsia="zh-CN"/>
          <w14:textFill>
            <w14:solidFill>
              <w14:schemeClr w14:val="tx1"/>
            </w14:solidFill>
          </w14:textFill>
        </w:rPr>
        <w:t>洒落</w:t>
      </w:r>
      <w:r>
        <w:rPr>
          <w:rFonts w:hint="default" w:ascii="Times New Roman" w:hAnsi="Times New Roman" w:eastAsia="宋体" w:cs="Times New Roman"/>
          <w:color w:val="000000" w:themeColor="text1"/>
          <w:sz w:val="24"/>
          <w:szCs w:val="24"/>
          <w:highlight w:val="none"/>
          <w14:textFill>
            <w14:solidFill>
              <w14:schemeClr w14:val="tx1"/>
            </w14:solidFill>
          </w14:textFill>
        </w:rPr>
        <w:t>后风吹起尘，同时随着大型车辆的行驶和碾压，在工程区内和道路上较易带起扬尘，污染环境。因此必须做到施工现场及场外道路泥土及时清理，减少二次扬尘。</w:t>
      </w:r>
      <w:r>
        <w:rPr>
          <w:rFonts w:hint="eastAsia"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施工在混</w:t>
      </w:r>
      <w:r>
        <w:rPr>
          <w:rFonts w:hint="default" w:ascii="Times New Roman" w:hAnsi="Times New Roman" w:cs="Times New Roman"/>
          <w:color w:val="000000" w:themeColor="text1"/>
          <w:sz w:val="24"/>
          <w:szCs w:val="24"/>
          <w:highlight w:val="none"/>
          <w:lang w:eastAsia="zh-CN"/>
          <w14:textFill>
            <w14:solidFill>
              <w14:schemeClr w14:val="tx1"/>
            </w14:solidFill>
          </w14:textFill>
        </w:rPr>
        <w:t>凝土</w:t>
      </w:r>
      <w:r>
        <w:rPr>
          <w:rFonts w:hint="default" w:ascii="Times New Roman" w:hAnsi="Times New Roman" w:eastAsia="宋体" w:cs="Times New Roman"/>
          <w:color w:val="000000" w:themeColor="text1"/>
          <w:sz w:val="24"/>
          <w:szCs w:val="24"/>
          <w:highlight w:val="none"/>
          <w14:textFill>
            <w14:solidFill>
              <w14:schemeClr w14:val="tx1"/>
            </w14:solidFill>
          </w14:textFill>
        </w:rPr>
        <w:t>工序阶段，灰土拌和、混凝土拌和是扬尘的主要来源。必须采取封闭作业或洒水措施，控制扬尘量。</w:t>
      </w:r>
    </w:p>
    <w:p w14:paraId="71A2B9B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sz w:val="24"/>
          <w:szCs w:val="24"/>
          <w:highlight w:val="none"/>
          <w14:textFill>
            <w14:solidFill>
              <w14:schemeClr w14:val="tx1"/>
            </w14:solidFill>
          </w14:textFill>
        </w:rPr>
        <w:t>由于地面建筑施工，区块内大量出入中型车辆，车辆行驶的扬尘污染较重，要求采用洒水降尘，在施工场地实施每天洒水抑尘作业4~5次，其扬尘造成的污染距离可缩小到20~50m范围，减轻污染。合理规划、选择最短的运输路线，利用油气田现有公路网络，禁止随意开辟道路，运输车辆应以中、低速行驶，减少车辆行驶动力起尘。</w:t>
      </w:r>
    </w:p>
    <w:p w14:paraId="107EE324">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）施工机械废气及运输车辆尾气</w:t>
      </w:r>
      <w:r>
        <w:rPr>
          <w:rFonts w:hint="default" w:ascii="Times New Roman" w:hAnsi="Times New Roman" w:eastAsia="宋体" w:cs="Times New Roman"/>
          <w:color w:val="000000" w:themeColor="text1"/>
          <w:sz w:val="24"/>
          <w:szCs w:val="24"/>
          <w:highlight w:val="none"/>
          <w14:textFill>
            <w14:solidFill>
              <w14:schemeClr w14:val="tx1"/>
            </w14:solidFill>
          </w14:textFill>
        </w:rPr>
        <w:t>影响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分析</w:t>
      </w:r>
    </w:p>
    <w:p w14:paraId="02C44D4F">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在油气田</w:t>
      </w:r>
      <w:bookmarkStart w:id="1054" w:name="OLE_LINK1188"/>
      <w:r>
        <w:rPr>
          <w:rFonts w:hint="default" w:ascii="Times New Roman" w:hAnsi="Times New Roman" w:cs="Times New Roman"/>
          <w:b w:val="0"/>
          <w:bCs/>
          <w:color w:val="000000" w:themeColor="text1"/>
          <w:sz w:val="24"/>
          <w:szCs w:val="24"/>
          <w:highlight w:val="none"/>
          <w14:textFill>
            <w14:solidFill>
              <w14:schemeClr w14:val="tx1"/>
            </w14:solidFill>
          </w14:textFill>
        </w:rPr>
        <w:t>钻井工程和</w:t>
      </w:r>
      <w:bookmarkEnd w:id="1054"/>
      <w:r>
        <w:rPr>
          <w:rFonts w:hint="default" w:ascii="Times New Roman" w:hAnsi="Times New Roman" w:cs="Times New Roman"/>
          <w:b w:val="0"/>
          <w:bCs/>
          <w:color w:val="000000" w:themeColor="text1"/>
          <w:sz w:val="24"/>
          <w:szCs w:val="24"/>
          <w:highlight w:val="none"/>
          <w14:textFill>
            <w14:solidFill>
              <w14:schemeClr w14:val="tx1"/>
            </w14:solidFill>
          </w14:textFill>
        </w:rPr>
        <w:t>地面工程施工中使用多种燃油机动设备和运输车辆，会产生机械设备和车辆内燃机燃料燃烧废气，其污染物主要有SO</w:t>
      </w:r>
      <w:r>
        <w:rPr>
          <w:rFonts w:hint="default" w:ascii="Times New Roman" w:hAnsi="Times New Roman" w:cs="Times New Roman"/>
          <w:b w:val="0"/>
          <w:bCs/>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b w:val="0"/>
          <w:bCs/>
          <w:color w:val="000000" w:themeColor="text1"/>
          <w:sz w:val="24"/>
          <w:szCs w:val="24"/>
          <w:highlight w:val="none"/>
          <w14:textFill>
            <w14:solidFill>
              <w14:schemeClr w14:val="tx1"/>
            </w14:solidFill>
          </w14:textFill>
        </w:rPr>
        <w:t>、NO</w:t>
      </w:r>
      <w:r>
        <w:rPr>
          <w:rFonts w:hint="default" w:ascii="Times New Roman" w:hAnsi="Times New Roman" w:cs="Times New Roman"/>
          <w:b w:val="0"/>
          <w:bCs/>
          <w:color w:val="000000" w:themeColor="text1"/>
          <w:sz w:val="24"/>
          <w:szCs w:val="24"/>
          <w:highlight w:val="none"/>
          <w:vertAlign w:val="subscript"/>
          <w14:textFill>
            <w14:solidFill>
              <w14:schemeClr w14:val="tx1"/>
            </w14:solidFill>
          </w14:textFill>
        </w:rPr>
        <w:t>X</w:t>
      </w:r>
      <w:r>
        <w:rPr>
          <w:rFonts w:hint="default" w:ascii="Times New Roman" w:hAnsi="Times New Roman" w:cs="Times New Roman"/>
          <w:b w:val="0"/>
          <w:bCs/>
          <w:color w:val="000000" w:themeColor="text1"/>
          <w:sz w:val="24"/>
          <w:szCs w:val="24"/>
          <w:highlight w:val="none"/>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de-DE"/>
          <w14:textFill>
            <w14:solidFill>
              <w14:schemeClr w14:val="tx1"/>
            </w14:solidFill>
          </w14:textFill>
        </w:rPr>
        <w:t>C</w:t>
      </w:r>
      <w:r>
        <w:rPr>
          <w:rFonts w:hint="default" w:ascii="Times New Roman" w:hAnsi="Times New Roman" w:cs="Times New Roman"/>
          <w:b w:val="0"/>
          <w:bCs/>
          <w:color w:val="000000" w:themeColor="text1"/>
          <w:sz w:val="24"/>
          <w:szCs w:val="24"/>
          <w:highlight w:val="none"/>
          <w:vertAlign w:val="subscript"/>
          <w:lang w:val="de-DE"/>
          <w14:textFill>
            <w14:solidFill>
              <w14:schemeClr w14:val="tx1"/>
            </w14:solidFill>
          </w14:textFill>
        </w:rPr>
        <w:t>m</w:t>
      </w:r>
      <w:r>
        <w:rPr>
          <w:rFonts w:hint="default" w:ascii="Times New Roman" w:hAnsi="Times New Roman" w:cs="Times New Roman"/>
          <w:b w:val="0"/>
          <w:bCs/>
          <w:color w:val="000000" w:themeColor="text1"/>
          <w:sz w:val="24"/>
          <w:szCs w:val="24"/>
          <w:highlight w:val="none"/>
          <w:lang w:val="de-DE"/>
          <w14:textFill>
            <w14:solidFill>
              <w14:schemeClr w14:val="tx1"/>
            </w14:solidFill>
          </w14:textFill>
        </w:rPr>
        <w:t>H</w:t>
      </w:r>
      <w:r>
        <w:rPr>
          <w:rFonts w:hint="default" w:ascii="Times New Roman" w:hAnsi="Times New Roman" w:cs="Times New Roman"/>
          <w:b w:val="0"/>
          <w:bCs/>
          <w:color w:val="000000" w:themeColor="text1"/>
          <w:sz w:val="24"/>
          <w:szCs w:val="24"/>
          <w:highlight w:val="none"/>
          <w:vertAlign w:val="subscript"/>
          <w:lang w:val="de-DE"/>
          <w14:textFill>
            <w14:solidFill>
              <w14:schemeClr w14:val="tx1"/>
            </w14:solidFill>
          </w14:textFill>
        </w:rPr>
        <w:t>n</w:t>
      </w:r>
      <w:r>
        <w:rPr>
          <w:rFonts w:hint="default" w:ascii="Times New Roman" w:hAnsi="Times New Roman" w:cs="Times New Roman"/>
          <w:b w:val="0"/>
          <w:bCs/>
          <w:color w:val="000000" w:themeColor="text1"/>
          <w:sz w:val="24"/>
          <w:szCs w:val="24"/>
          <w:highlight w:val="none"/>
          <w14:textFill>
            <w14:solidFill>
              <w14:schemeClr w14:val="tx1"/>
            </w14:solidFill>
          </w14:textFill>
        </w:rPr>
        <w:t>等</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施工前期准备过程中应检修设备和车辆，保证设备正常稳定运行，燃用合格的燃料，设备和车辆不超负荷运行，从而从源头减少设备和车辆废气对环境的影响。</w:t>
      </w:r>
      <w:r>
        <w:rPr>
          <w:rFonts w:hint="default" w:ascii="Times New Roman" w:hAnsi="Times New Roman" w:eastAsia="宋体" w:cs="Times New Roman"/>
          <w:b w:val="0"/>
          <w:bCs/>
          <w:color w:val="000000" w:themeColor="text1"/>
          <w:sz w:val="24"/>
          <w:szCs w:val="20"/>
          <w:highlight w:val="none"/>
          <w:lang w:val="en-US" w:eastAsia="zh-CN" w:bidi="ar-SA"/>
          <w14:textFill>
            <w14:solidFill>
              <w14:schemeClr w14:val="tx1"/>
            </w14:solidFill>
          </w14:textFill>
        </w:rPr>
        <w:t>施工机械和运输车辆运行时间一般都较短，</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对周围大气环境的影响是有限的，其对评价区域空气环境产生的影响可为环境所接受。</w:t>
      </w:r>
    </w:p>
    <w:p w14:paraId="2C3F61F7">
      <w:pPr>
        <w:pStyle w:val="8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（3）储层改造废气</w:t>
      </w:r>
    </w:p>
    <w:p w14:paraId="169E1B8C">
      <w:pPr>
        <w:pStyle w:val="8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储层改造过程中酸化压裂作业需使用酸化压裂液，会产生无组织</w:t>
      </w:r>
      <w:r>
        <w:rPr>
          <w:rFonts w:hint="eastAsia"/>
          <w:color w:val="000000" w:themeColor="text1"/>
          <w:highlight w:val="none"/>
          <w:lang w:val="en-US" w:eastAsia="zh-CN"/>
          <w14:textFill>
            <w14:solidFill>
              <w14:schemeClr w14:val="tx1"/>
            </w14:solidFill>
          </w14:textFill>
        </w:rPr>
        <w:t>非甲烷总烃、</w:t>
      </w:r>
      <w:r>
        <w:rPr>
          <w:rFonts w:hint="eastAsia"/>
          <w:color w:val="000000" w:themeColor="text1"/>
          <w:highlight w:val="none"/>
          <w14:textFill>
            <w14:solidFill>
              <w14:schemeClr w14:val="tx1"/>
            </w14:solidFill>
          </w14:textFill>
        </w:rPr>
        <w:t>HCl 等。使用酸化液过程中，要求全部采用密闭罐存放，产生的废酸化液及时委托有资质单位接收处置，减少在现场存储时间。</w:t>
      </w:r>
    </w:p>
    <w:p w14:paraId="353BE317">
      <w:pPr>
        <w:pStyle w:val="8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）放喷废气</w:t>
      </w:r>
    </w:p>
    <w:p w14:paraId="5583ADB0">
      <w:pPr>
        <w:pStyle w:val="8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本工程试油期放喷时间较短，因此试油期间废气污染物排放量较小，随</w:t>
      </w:r>
      <w:r>
        <w:rPr>
          <w:rFonts w:hint="eastAsia"/>
          <w:color w:val="000000" w:themeColor="text1"/>
          <w:highlight w:val="none"/>
          <w:lang w:val="en-US" w:eastAsia="zh-CN"/>
          <w14:textFill>
            <w14:solidFill>
              <w14:schemeClr w14:val="tx1"/>
            </w14:solidFill>
          </w14:textFill>
        </w:rPr>
        <w:t>试油期</w:t>
      </w:r>
      <w:r>
        <w:rPr>
          <w:rFonts w:hint="eastAsia"/>
          <w:color w:val="000000" w:themeColor="text1"/>
          <w:highlight w:val="none"/>
          <w14:textFill>
            <w14:solidFill>
              <w14:schemeClr w14:val="tx1"/>
            </w14:solidFill>
          </w14:textFill>
        </w:rPr>
        <w:t>结束而终止，对周边大气环境影响较小。且项目所在区域空旷，容易扩散，放喷期间井场周界外污染物排放满足《大气污染物综合排放标准》（GB16297-1996）无组织排放监控限值；井场边界非甲烷总烃排放满足《陆上石油天然气开采工业大气污染物排放标准》（GB39728-2020）相关要求，不会对周围环境和工作人员的健康造成明显不利影响。</w:t>
      </w:r>
    </w:p>
    <w:p w14:paraId="37AB2BF4">
      <w:pPr>
        <w:pStyle w:val="8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本工程新建地放喷池执行《石油天然气钻井、开发、储运防火防爆安全生产技术规程》（SY/T 5225-2019）关于放喷池选址要求及放喷撤离要求，测试放喷废气不会对周围环境和工作人员的健康产生明显不利影响。</w:t>
      </w:r>
    </w:p>
    <w:p w14:paraId="70E3C9F5">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55" w:name="_Toc23846"/>
      <w:bookmarkStart w:id="1056" w:name="_Toc6355"/>
      <w:bookmarkStart w:id="1057" w:name="_Toc19009"/>
      <w:r>
        <w:rPr>
          <w:rFonts w:hint="default" w:ascii="Times New Roman" w:hAnsi="Times New Roman" w:cs="Times New Roman"/>
          <w:color w:val="000000" w:themeColor="text1"/>
          <w:highlight w:val="none"/>
          <w14:textFill>
            <w14:solidFill>
              <w14:schemeClr w14:val="tx1"/>
            </w14:solidFill>
          </w14:textFill>
        </w:rPr>
        <w:t>5.</w:t>
      </w:r>
      <w:bookmarkEnd w:id="1055"/>
      <w:bookmarkEnd w:id="1056"/>
      <w:bookmarkEnd w:id="1057"/>
      <w:bookmarkStart w:id="1058" w:name="OLE_LINK995"/>
      <w:r>
        <w:rPr>
          <w:rFonts w:hint="default" w:ascii="Times New Roman" w:hAnsi="Times New Roman" w:cs="Times New Roman"/>
          <w:color w:val="000000" w:themeColor="text1"/>
          <w:highlight w:val="none"/>
          <w14:textFill>
            <w14:solidFill>
              <w14:schemeClr w14:val="tx1"/>
            </w14:solidFill>
          </w14:textFill>
        </w:rPr>
        <w:t>5.2</w:t>
      </w:r>
      <w:bookmarkEnd w:id="1058"/>
      <w:r>
        <w:rPr>
          <w:rFonts w:hint="default" w:ascii="Times New Roman" w:hAnsi="Times New Roman" w:cs="Times New Roman"/>
          <w:color w:val="000000" w:themeColor="text1"/>
          <w:highlight w:val="none"/>
          <w14:textFill>
            <w14:solidFill>
              <w14:schemeClr w14:val="tx1"/>
            </w14:solidFill>
          </w14:textFill>
        </w:rPr>
        <w:t>运营期大气环境影响评价</w:t>
      </w:r>
    </w:p>
    <w:p w14:paraId="219A6F3E">
      <w:pPr>
        <w:pStyle w:val="5"/>
        <w:pageBreakBefore w:val="0"/>
        <w:kinsoku/>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5.5.2.1区域地面污染气象特征分析</w:t>
      </w:r>
    </w:p>
    <w:p w14:paraId="368CBEB3">
      <w:pPr>
        <w:keepNext w:val="0"/>
        <w:keepLines w:val="0"/>
        <w:pageBreakBefore w:val="0"/>
        <w:widowControl w:val="0"/>
        <w:shd w:val="clear" w:color="auto" w:fill="auto"/>
        <w:kinsoku/>
        <w:wordWrap w:val="0"/>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（1）常规气象资料分析</w:t>
      </w:r>
    </w:p>
    <w:p w14:paraId="49C9C30C">
      <w:pPr>
        <w:keepNext w:val="0"/>
        <w:keepLines w:val="0"/>
        <w:pageBreakBefore w:val="0"/>
        <w:shd w:val="clear" w:color="auto" w:fill="auto"/>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pPr>
      <w:bookmarkStart w:id="1059" w:name="OLE_LINK1189"/>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新和县</w:t>
      </w:r>
      <w:bookmarkEnd w:id="1059"/>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地处欧亚大陆腹地，天山中段南麓，塔里木盆地北缘，由于深入大陆腹地，距离水汽源地较远，气候干旱，环境水分的时空分布极少且不均匀，属暖温带大陆干旱性气候。夏季炎热，冬季</w:t>
      </w:r>
      <w:r>
        <w:rPr>
          <w:rFonts w:hint="default" w:ascii="Times New Roman" w:hAnsi="Times New Roman" w:eastAsia="宋体" w:cs="Times New Roman"/>
          <w:color w:val="000000" w:themeColor="text1"/>
          <w:sz w:val="24"/>
          <w:szCs w:val="24"/>
          <w:highlight w:val="none"/>
          <w14:textFill>
            <w14:solidFill>
              <w14:schemeClr w14:val="tx1"/>
            </w14:solidFill>
          </w14:textFill>
        </w:rPr>
        <w:t>干冷</w:t>
      </w: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，昼夜温差大，降雪、降雨量少，气候干燥，</w:t>
      </w:r>
      <w:r>
        <w:rPr>
          <w:rFonts w:hint="eastAsia" w:cs="Times New Roman"/>
          <w:color w:val="000000" w:themeColor="text1"/>
          <w:spacing w:val="0"/>
          <w:kern w:val="24"/>
          <w:sz w:val="24"/>
          <w:highlight w:val="none"/>
          <w:lang w:val="en-US" w:eastAsia="zh-CN" w:bidi="ar-SA"/>
          <w14:textFill>
            <w14:solidFill>
              <w14:schemeClr w14:val="tx1"/>
            </w14:solidFill>
          </w14:textFill>
        </w:rPr>
        <w:t>日</w:t>
      </w: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照时间长，光热气候资源丰富。多年平均风速为</w:t>
      </w:r>
      <w:bookmarkStart w:id="1060" w:name="OLE_LINK1190"/>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1.5</w:t>
      </w:r>
      <w:bookmarkEnd w:id="1060"/>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m/s，最大风速为2.1m/s，全年盛行东北风。年平均气温为11.4℃，夏季最高气温25.2℃，冬季最低气温-7.4℃。</w:t>
      </w:r>
    </w:p>
    <w:p w14:paraId="7426511F">
      <w:pPr>
        <w:keepNext w:val="0"/>
        <w:keepLines w:val="0"/>
        <w:pageBreakBefore w:val="0"/>
        <w:widowControl w:val="0"/>
        <w:shd w:val="clear" w:color="auto" w:fill="auto"/>
        <w:kinsoku/>
        <w:wordWrap w:val="0"/>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（2）风向、风速</w:t>
      </w:r>
    </w:p>
    <w:p w14:paraId="5983C40E">
      <w:pPr>
        <w:keepNext w:val="0"/>
        <w:keepLines w:val="0"/>
        <w:pageBreakBefore w:val="0"/>
        <w:shd w:val="clear" w:color="auto" w:fill="auto"/>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①全年及四季风向频率分布和平均风速</w:t>
      </w:r>
    </w:p>
    <w:p w14:paraId="4B000B1B">
      <w:pPr>
        <w:keepNext w:val="0"/>
        <w:keepLines w:val="0"/>
        <w:pageBreakBefore w:val="0"/>
        <w:shd w:val="clear" w:color="auto" w:fill="auto"/>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风向和风速决定了大气污染物的输送方向及速度，对污染物地面浓度影响作用重大。本次环评采用</w:t>
      </w:r>
      <w:r>
        <w:rPr>
          <w:rFonts w:hint="default" w:ascii="Times New Roman" w:hAnsi="Times New Roman" w:cs="Times New Roman"/>
          <w:color w:val="000000" w:themeColor="text1"/>
          <w:sz w:val="24"/>
          <w:highlight w:val="none"/>
          <w:lang w:val="en-US" w:eastAsia="zh-CN"/>
          <w14:textFill>
            <w14:solidFill>
              <w14:schemeClr w14:val="tx1"/>
            </w14:solidFill>
          </w14:textFill>
        </w:rPr>
        <w:t>新和县</w:t>
      </w:r>
      <w:r>
        <w:rPr>
          <w:rFonts w:hint="default" w:ascii="Times New Roman" w:hAnsi="Times New Roman" w:cs="Times New Roman"/>
          <w:color w:val="000000" w:themeColor="text1"/>
          <w:sz w:val="24"/>
          <w:highlight w:val="none"/>
          <w14:textFill>
            <w14:solidFill>
              <w14:schemeClr w14:val="tx1"/>
            </w14:solidFill>
          </w14:textFill>
        </w:rPr>
        <w:t>气象站</w:t>
      </w:r>
      <w:r>
        <w:rPr>
          <w:rFonts w:hint="default" w:ascii="Times New Roman" w:hAnsi="Times New Roman" w:eastAsia="宋体" w:cs="Times New Roman"/>
          <w:color w:val="000000" w:themeColor="text1"/>
          <w:spacing w:val="0"/>
          <w:kern w:val="24"/>
          <w:sz w:val="24"/>
          <w:highlight w:val="none"/>
          <w:lang w:val="en-US" w:eastAsia="zh-CN" w:bidi="ar-SA"/>
          <w14:textFill>
            <w14:solidFill>
              <w14:schemeClr w14:val="tx1"/>
            </w14:solidFill>
          </w14:textFill>
        </w:rPr>
        <w:t>的气象观测数据。地面风速资料进行统计分析</w:t>
      </w:r>
      <w:r>
        <w:rPr>
          <w:rFonts w:hint="default" w:ascii="Times New Roman" w:hAnsi="Times New Roman" w:cs="Times New Roman"/>
          <w:color w:val="000000" w:themeColor="text1"/>
          <w:spacing w:val="0"/>
          <w:kern w:val="24"/>
          <w:sz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新和县</w:t>
      </w:r>
      <w:r>
        <w:rPr>
          <w:rFonts w:hint="default" w:ascii="Times New Roman" w:hAnsi="Times New Roman" w:cs="Times New Roman"/>
          <w:color w:val="000000" w:themeColor="text1"/>
          <w:sz w:val="24"/>
          <w:highlight w:val="none"/>
          <w14:textFill>
            <w14:solidFill>
              <w14:schemeClr w14:val="tx1"/>
            </w14:solidFill>
          </w14:textFill>
        </w:rPr>
        <w:t>气象站的年平均风速为1.</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m/s，其中以</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月份风速最大（</w:t>
      </w:r>
      <w:r>
        <w:rPr>
          <w:rFonts w:hint="default" w:ascii="Times New Roman" w:hAnsi="Times New Roman" w:cs="Times New Roman"/>
          <w:color w:val="000000" w:themeColor="text1"/>
          <w:sz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highlight w:val="none"/>
          <w14:textFill>
            <w14:solidFill>
              <w14:schemeClr w14:val="tx1"/>
            </w14:solidFill>
          </w14:textFill>
        </w:rPr>
        <w:t>m/s），以11月</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12月、1月</w:t>
      </w:r>
      <w:r>
        <w:rPr>
          <w:rFonts w:hint="default" w:ascii="Times New Roman" w:hAnsi="Times New Roman" w:cs="Times New Roman"/>
          <w:color w:val="000000" w:themeColor="text1"/>
          <w:sz w:val="24"/>
          <w:highlight w:val="none"/>
          <w14:textFill>
            <w14:solidFill>
              <w14:schemeClr w14:val="tx1"/>
            </w14:solidFill>
          </w14:textFill>
        </w:rPr>
        <w:t>份风速最小（1.</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m/s），区域各月平均风速统计见表5.</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。平均风速的全年各月变化曲线见图5.</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14:paraId="0FAC4B42">
      <w:pPr>
        <w:keepNext w:val="0"/>
        <w:keepLines w:val="0"/>
        <w:pageBreakBefore w:val="0"/>
        <w:shd w:val="clear" w:color="auto" w:fill="auto"/>
        <w:kinsoku/>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②月平均温度及风速</w:t>
      </w:r>
    </w:p>
    <w:p w14:paraId="3CD2F72C">
      <w:pPr>
        <w:keepNext w:val="0"/>
        <w:keepLines w:val="0"/>
        <w:pageBreakBefore w:val="0"/>
        <w:shd w:val="clear" w:color="auto" w:fill="auto"/>
        <w:kinsoku/>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Ⅰ月平均温度统计</w:t>
      </w:r>
    </w:p>
    <w:p w14:paraId="2D72A142">
      <w:pPr>
        <w:keepNext w:val="0"/>
        <w:keepLines w:val="0"/>
        <w:pageBreakBefore w:val="0"/>
        <w:shd w:val="clear" w:color="auto" w:fill="auto"/>
        <w:kinsoku/>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月平均温度统计见表5.</w:t>
      </w:r>
      <w:r>
        <w:rPr>
          <w:rFonts w:hint="default" w:ascii="Times New Roman" w:hAnsi="Times New Roman" w:cs="Times New Roman"/>
          <w:b w:val="0"/>
          <w:bCs w:val="0"/>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-1及图5.</w:t>
      </w:r>
      <w:r>
        <w:rPr>
          <w:rFonts w:hint="default" w:ascii="Times New Roman" w:hAnsi="Times New Roman" w:cs="Times New Roman"/>
          <w:b w:val="0"/>
          <w:bCs w:val="0"/>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spacing w:val="4"/>
          <w:kern w:val="24"/>
          <w:sz w:val="24"/>
          <w:highlight w:val="none"/>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spacing w:val="4"/>
          <w:kern w:val="24"/>
          <w:sz w:val="24"/>
          <w:highlight w:val="none"/>
          <w:lang w:val="en-US" w:eastAsia="zh-CN" w:bidi="ar-SA"/>
          <w14:textFill>
            <w14:solidFill>
              <w14:schemeClr w14:val="tx1"/>
            </w14:solidFill>
          </w14:textFill>
        </w:rPr>
        <w:t>。</w:t>
      </w:r>
    </w:p>
    <w:p w14:paraId="683FCD2A">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表5.5-1   平均温度月变化统计表   单位：℃</w:t>
      </w:r>
    </w:p>
    <w:tbl>
      <w:tblPr>
        <w:tblStyle w:val="37"/>
        <w:tblW w:w="520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5"/>
        <w:gridCol w:w="607"/>
        <w:gridCol w:w="608"/>
        <w:gridCol w:w="608"/>
        <w:gridCol w:w="608"/>
        <w:gridCol w:w="608"/>
        <w:gridCol w:w="608"/>
        <w:gridCol w:w="608"/>
        <w:gridCol w:w="608"/>
        <w:gridCol w:w="608"/>
        <w:gridCol w:w="685"/>
        <w:gridCol w:w="685"/>
        <w:gridCol w:w="685"/>
        <w:gridCol w:w="685"/>
      </w:tblGrid>
      <w:tr w14:paraId="153B3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369" w:type="pct"/>
            <w:tcBorders>
              <w:top w:val="single" w:color="auto" w:sz="2" w:space="0"/>
              <w:left w:val="single" w:color="auto" w:sz="2" w:space="0"/>
              <w:bottom w:val="single" w:color="auto" w:sz="2" w:space="0"/>
              <w:right w:val="single" w:color="auto" w:sz="2" w:space="0"/>
            </w:tcBorders>
            <w:noWrap w:val="0"/>
            <w:vAlign w:val="center"/>
          </w:tcPr>
          <w:p w14:paraId="14655D73">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月份</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352E3879">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71EF584C">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502D75B8">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140F65E2">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1CE408B6">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5E475646">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7E36956B">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144E73A8">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8月</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0D07EFCC">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9月</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25004A7B">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10月</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3AFD19A6">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11月</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42E9B2CC">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12月</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7498F04D">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均</w:t>
            </w:r>
          </w:p>
        </w:tc>
      </w:tr>
      <w:tr w14:paraId="000FA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369" w:type="pct"/>
            <w:tcBorders>
              <w:top w:val="single" w:color="auto" w:sz="2" w:space="0"/>
              <w:left w:val="single" w:color="auto" w:sz="2" w:space="0"/>
              <w:bottom w:val="single" w:color="auto" w:sz="2" w:space="0"/>
              <w:right w:val="single" w:color="auto" w:sz="2" w:space="0"/>
            </w:tcBorders>
            <w:noWrap w:val="0"/>
            <w:vAlign w:val="center"/>
          </w:tcPr>
          <w:p w14:paraId="744DAE17">
            <w:pPr>
              <w:pStyle w:val="47"/>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温度</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42F3C57F">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51503D19">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018BFDD3">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6C23B660">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14498887">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20.5</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336419AF">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4.0</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1A673B76">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5.2</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2082FA32">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23.</w:t>
            </w: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342" w:type="pct"/>
            <w:tcBorders>
              <w:top w:val="single" w:color="auto" w:sz="2" w:space="0"/>
              <w:left w:val="single" w:color="auto" w:sz="2" w:space="0"/>
              <w:bottom w:val="single" w:color="auto" w:sz="2" w:space="0"/>
              <w:right w:val="single" w:color="auto" w:sz="2" w:space="0"/>
            </w:tcBorders>
            <w:noWrap w:val="0"/>
            <w:vAlign w:val="center"/>
          </w:tcPr>
          <w:p w14:paraId="7248EE51">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9.1</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29F9A50D">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1.2</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19AD947B">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6B44A2FE">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386" w:type="pct"/>
            <w:tcBorders>
              <w:top w:val="single" w:color="auto" w:sz="2" w:space="0"/>
              <w:left w:val="single" w:color="auto" w:sz="2" w:space="0"/>
              <w:bottom w:val="single" w:color="auto" w:sz="2" w:space="0"/>
              <w:right w:val="single" w:color="auto" w:sz="2" w:space="0"/>
            </w:tcBorders>
            <w:noWrap w:val="0"/>
            <w:vAlign w:val="center"/>
          </w:tcPr>
          <w:p w14:paraId="5DA32582">
            <w:pPr>
              <w:pStyle w:val="47"/>
              <w:keepNext w:val="0"/>
              <w:keepLines w:val="0"/>
              <w:pageBreakBefore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11.4</w:t>
            </w:r>
          </w:p>
        </w:tc>
      </w:tr>
    </w:tbl>
    <w:p w14:paraId="7E5BF0A5">
      <w:pPr>
        <w:pStyle w:val="8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14:paraId="297BB84F">
      <w:pPr>
        <w:pStyle w:val="8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64480" cy="1910715"/>
            <wp:effectExtent l="4445" t="4445" r="22225" b="8890"/>
            <wp:docPr id="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C639DF">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图5.5-1   平均温度月变化统计图</w:t>
      </w:r>
    </w:p>
    <w:p w14:paraId="175645EB">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由表5.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-1和图5.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可见，新和县气温变化明显，四季分明，其中冬季12月、1月、2月平均气温在冰点以下，以1月气温最低，为-7.4℃；夏季7月温度最高，平均气温为25.2℃。</w:t>
      </w:r>
    </w:p>
    <w:p w14:paraId="0D1D7DEC">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Ⅱ月平均风速统计</w:t>
      </w:r>
    </w:p>
    <w:p w14:paraId="6C689690">
      <w:pPr>
        <w:shd w:val="clear" w:color="auto" w:fill="auto"/>
        <w:spacing w:line="360" w:lineRule="auto"/>
        <w:ind w:firstLine="496"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月平均风速统计见表5.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-2及图5.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p>
    <w:p w14:paraId="762BA6F0">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表5.5-2   平均风速的月变化统计表   单位：m/s</w:t>
      </w:r>
    </w:p>
    <w:tbl>
      <w:tblPr>
        <w:tblStyle w:val="37"/>
        <w:tblW w:w="520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43"/>
        <w:gridCol w:w="604"/>
        <w:gridCol w:w="606"/>
        <w:gridCol w:w="606"/>
        <w:gridCol w:w="606"/>
        <w:gridCol w:w="606"/>
        <w:gridCol w:w="606"/>
        <w:gridCol w:w="606"/>
        <w:gridCol w:w="606"/>
        <w:gridCol w:w="606"/>
        <w:gridCol w:w="695"/>
        <w:gridCol w:w="695"/>
        <w:gridCol w:w="695"/>
        <w:gridCol w:w="697"/>
      </w:tblGrid>
      <w:tr w14:paraId="03D7E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jc w:val="center"/>
        </w:trPr>
        <w:tc>
          <w:tcPr>
            <w:tcW w:w="362" w:type="pct"/>
            <w:tcBorders>
              <w:top w:val="single" w:color="auto" w:sz="2" w:space="0"/>
              <w:left w:val="single" w:color="auto" w:sz="2" w:space="0"/>
              <w:bottom w:val="single" w:color="auto" w:sz="2" w:space="0"/>
              <w:right w:val="single" w:color="auto" w:sz="2" w:space="0"/>
            </w:tcBorders>
            <w:noWrap w:val="0"/>
            <w:vAlign w:val="center"/>
          </w:tcPr>
          <w:p w14:paraId="50678CF9">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月份</w:t>
            </w:r>
          </w:p>
        </w:tc>
        <w:tc>
          <w:tcPr>
            <w:tcW w:w="340" w:type="pct"/>
            <w:tcBorders>
              <w:top w:val="single" w:color="auto" w:sz="2" w:space="0"/>
              <w:left w:val="single" w:color="auto" w:sz="2" w:space="0"/>
              <w:bottom w:val="single" w:color="auto" w:sz="2" w:space="0"/>
              <w:right w:val="single" w:color="auto" w:sz="2" w:space="0"/>
            </w:tcBorders>
            <w:noWrap w:val="0"/>
            <w:vAlign w:val="center"/>
          </w:tcPr>
          <w:p w14:paraId="3BC13760">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1月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24F93D61">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2月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5179715E">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3月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3674EED7">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4月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5F565A05">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5月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0384B475">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6月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4FA73CFD">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7月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472D5B08">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8月</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389514CE">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9月</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01A517BD">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10月</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08130A4D">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11月</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5D21F3D6">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12月</w:t>
            </w:r>
          </w:p>
        </w:tc>
        <w:tc>
          <w:tcPr>
            <w:tcW w:w="392" w:type="pct"/>
            <w:tcBorders>
              <w:top w:val="single" w:color="auto" w:sz="2" w:space="0"/>
              <w:left w:val="single" w:color="auto" w:sz="2" w:space="0"/>
              <w:bottom w:val="single" w:color="auto" w:sz="2" w:space="0"/>
              <w:right w:val="single" w:color="auto" w:sz="2" w:space="0"/>
            </w:tcBorders>
            <w:noWrap w:val="0"/>
            <w:vAlign w:val="center"/>
          </w:tcPr>
          <w:p w14:paraId="3E052308">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年均</w:t>
            </w:r>
          </w:p>
        </w:tc>
      </w:tr>
      <w:tr w14:paraId="16E4B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362" w:type="pct"/>
            <w:tcBorders>
              <w:top w:val="single" w:color="auto" w:sz="2" w:space="0"/>
              <w:left w:val="single" w:color="auto" w:sz="2" w:space="0"/>
              <w:bottom w:val="single" w:color="auto" w:sz="2" w:space="0"/>
              <w:right w:val="single" w:color="auto" w:sz="2" w:space="0"/>
            </w:tcBorders>
            <w:noWrap w:val="0"/>
            <w:vAlign w:val="center"/>
          </w:tcPr>
          <w:p w14:paraId="75F40A07">
            <w:pPr>
              <w:widowControl w:val="0"/>
              <w:spacing w:before="36" w:line="207" w:lineRule="auto"/>
              <w:ind w:left="0" w:leftChars="0" w:firstLine="0" w:firstLineChars="0"/>
              <w:jc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风速</w:t>
            </w:r>
          </w:p>
        </w:tc>
        <w:tc>
          <w:tcPr>
            <w:tcW w:w="340" w:type="pct"/>
            <w:tcBorders>
              <w:top w:val="single" w:color="auto" w:sz="2" w:space="0"/>
              <w:left w:val="single" w:color="auto" w:sz="2" w:space="0"/>
              <w:bottom w:val="single" w:color="auto" w:sz="2" w:space="0"/>
              <w:right w:val="single" w:color="auto" w:sz="2" w:space="0"/>
            </w:tcBorders>
            <w:noWrap w:val="0"/>
            <w:vAlign w:val="center"/>
          </w:tcPr>
          <w:p w14:paraId="2CC465A8">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1.1</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39FB9B47">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1.4</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1406F104">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1.6</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2D1A1B37">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1.9</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3C1B50C3">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2.1</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091ADEA7">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2.0</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0F4A9801">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1.8</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16F91817">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1.7</w:t>
            </w:r>
          </w:p>
        </w:tc>
        <w:tc>
          <w:tcPr>
            <w:tcW w:w="341" w:type="pct"/>
            <w:tcBorders>
              <w:top w:val="single" w:color="auto" w:sz="2" w:space="0"/>
              <w:left w:val="single" w:color="auto" w:sz="2" w:space="0"/>
              <w:bottom w:val="single" w:color="auto" w:sz="2" w:space="0"/>
              <w:right w:val="single" w:color="auto" w:sz="2" w:space="0"/>
            </w:tcBorders>
            <w:noWrap w:val="0"/>
            <w:vAlign w:val="center"/>
          </w:tcPr>
          <w:p w14:paraId="0508B932">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1.5</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395AB7DC">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1.2</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2941DE6B">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1.1</w:t>
            </w:r>
          </w:p>
        </w:tc>
        <w:tc>
          <w:tcPr>
            <w:tcW w:w="391" w:type="pct"/>
            <w:tcBorders>
              <w:top w:val="single" w:color="auto" w:sz="2" w:space="0"/>
              <w:left w:val="single" w:color="auto" w:sz="2" w:space="0"/>
              <w:bottom w:val="single" w:color="auto" w:sz="2" w:space="0"/>
              <w:right w:val="single" w:color="auto" w:sz="2" w:space="0"/>
            </w:tcBorders>
            <w:noWrap w:val="0"/>
            <w:vAlign w:val="center"/>
          </w:tcPr>
          <w:p w14:paraId="2DF82B4C">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1.1</w:t>
            </w:r>
          </w:p>
        </w:tc>
        <w:tc>
          <w:tcPr>
            <w:tcW w:w="392" w:type="pct"/>
            <w:tcBorders>
              <w:top w:val="single" w:color="auto" w:sz="2" w:space="0"/>
              <w:left w:val="single" w:color="auto" w:sz="2" w:space="0"/>
              <w:bottom w:val="single" w:color="auto" w:sz="2" w:space="0"/>
              <w:right w:val="single" w:color="auto" w:sz="2" w:space="0"/>
            </w:tcBorders>
            <w:noWrap w:val="0"/>
            <w:vAlign w:val="center"/>
          </w:tcPr>
          <w:p w14:paraId="50348350">
            <w:pPr>
              <w:pStyle w:val="47"/>
              <w:bidi w:val="0"/>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Cs w:val="21"/>
                <w:highlight w:val="none"/>
                <w:lang w:val="en-US" w:eastAsia="zh-CN" w:bidi="ar-SA"/>
                <w14:textFill>
                  <w14:solidFill>
                    <w14:schemeClr w14:val="tx1"/>
                  </w14:solidFill>
                </w14:textFill>
              </w:rPr>
              <w:t>1.5</w:t>
            </w:r>
          </w:p>
        </w:tc>
      </w:tr>
    </w:tbl>
    <w:p w14:paraId="52E8BD46">
      <w:pPr>
        <w:pStyle w:val="47"/>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p w14:paraId="03DE1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403850" cy="2092960"/>
            <wp:effectExtent l="4445" t="4445" r="17145" b="5715"/>
            <wp:docPr id="18" name="图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7A9D9F">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图5.5-2   平均风速的月变化统计图</w:t>
      </w:r>
    </w:p>
    <w:p w14:paraId="16E0E562">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由表5.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-2及图5.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-2可知，新和县近20年平均风速为1.5m/s，5月风速最大，平均风速为2.1m/s，11月到次年1月份平均风速最低为1.1m/s。</w:t>
      </w:r>
    </w:p>
    <w:p w14:paraId="2D800217">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Ⅲ风频、风向</w:t>
      </w:r>
    </w:p>
    <w:p w14:paraId="6557F49D">
      <w:pPr>
        <w:adjustRightInd w:val="0"/>
        <w:ind w:firstLine="480" w:firstLineChars="200"/>
        <w:textAlignment w:val="baseline"/>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区域近20年平均各风向风频变化情况见表5.</w:t>
      </w:r>
      <w:r>
        <w:rPr>
          <w:rFonts w:hint="default" w:ascii="Times New Roman" w:hAnsi="Times New Roman" w:cs="Times New Roman"/>
          <w:color w:val="000000" w:themeColor="text1"/>
          <w:szCs w:val="20"/>
          <w:highlight w:val="none"/>
          <w:lang w:val="en-US" w:eastAsia="zh-CN"/>
          <w14:textFill>
            <w14:solidFill>
              <w14:schemeClr w14:val="tx1"/>
            </w14:solidFill>
          </w14:textFill>
        </w:rPr>
        <w:t>5</w:t>
      </w:r>
      <w:r>
        <w:rPr>
          <w:rFonts w:hint="default" w:ascii="Times New Roman" w:hAnsi="Times New Roman" w:cs="Times New Roman"/>
          <w:color w:val="000000" w:themeColor="text1"/>
          <w:szCs w:val="20"/>
          <w:highlight w:val="none"/>
          <w14:textFill>
            <w14:solidFill>
              <w14:schemeClr w14:val="tx1"/>
            </w14:solidFill>
          </w14:textFill>
        </w:rPr>
        <w:t>-</w:t>
      </w:r>
      <w:r>
        <w:rPr>
          <w:rFonts w:hint="default" w:ascii="Times New Roman" w:hAnsi="Times New Roman" w:cs="Times New Roman"/>
          <w:color w:val="000000" w:themeColor="text1"/>
          <w:szCs w:val="20"/>
          <w:highlight w:val="none"/>
          <w:lang w:val="en-US" w:eastAsia="zh-CN"/>
          <w14:textFill>
            <w14:solidFill>
              <w14:schemeClr w14:val="tx1"/>
            </w14:solidFill>
          </w14:textFill>
        </w:rPr>
        <w:t>3</w:t>
      </w:r>
      <w:r>
        <w:rPr>
          <w:rFonts w:hint="default" w:ascii="Times New Roman" w:hAnsi="Times New Roman" w:cs="Times New Roman"/>
          <w:color w:val="000000" w:themeColor="text1"/>
          <w:szCs w:val="20"/>
          <w:highlight w:val="none"/>
          <w14:textFill>
            <w14:solidFill>
              <w14:schemeClr w14:val="tx1"/>
            </w14:solidFill>
          </w14:textFill>
        </w:rPr>
        <w:t>，近30年风频玫瑰图见图5.</w:t>
      </w:r>
      <w:r>
        <w:rPr>
          <w:rFonts w:hint="default" w:ascii="Times New Roman" w:hAnsi="Times New Roman" w:cs="Times New Roman"/>
          <w:color w:val="000000" w:themeColor="text1"/>
          <w:szCs w:val="20"/>
          <w:highlight w:val="none"/>
          <w:lang w:val="en-US" w:eastAsia="zh-CN"/>
          <w14:textFill>
            <w14:solidFill>
              <w14:schemeClr w14:val="tx1"/>
            </w14:solidFill>
          </w14:textFill>
        </w:rPr>
        <w:t>5</w:t>
      </w:r>
      <w:r>
        <w:rPr>
          <w:rFonts w:hint="default" w:ascii="Times New Roman" w:hAnsi="Times New Roman" w:cs="Times New Roman"/>
          <w:color w:val="000000" w:themeColor="text1"/>
          <w:szCs w:val="20"/>
          <w:highlight w:val="none"/>
          <w14:textFill>
            <w14:solidFill>
              <w14:schemeClr w14:val="tx1"/>
            </w14:solidFill>
          </w14:textFill>
        </w:rPr>
        <w:t>-</w:t>
      </w:r>
      <w:r>
        <w:rPr>
          <w:rFonts w:hint="default" w:ascii="Times New Roman" w:hAnsi="Times New Roman" w:cs="Times New Roman"/>
          <w:color w:val="000000" w:themeColor="text1"/>
          <w:szCs w:val="20"/>
          <w:highlight w:val="none"/>
          <w:lang w:val="en-US" w:eastAsia="zh-CN"/>
          <w14:textFill>
            <w14:solidFill>
              <w14:schemeClr w14:val="tx1"/>
            </w14:solidFill>
          </w14:textFill>
        </w:rPr>
        <w:t>3</w:t>
      </w:r>
      <w:r>
        <w:rPr>
          <w:rFonts w:hint="default" w:ascii="Times New Roman" w:hAnsi="Times New Roman" w:cs="Times New Roman"/>
          <w:color w:val="000000" w:themeColor="text1"/>
          <w:szCs w:val="20"/>
          <w:highlight w:val="none"/>
          <w14:textFill>
            <w14:solidFill>
              <w14:schemeClr w14:val="tx1"/>
            </w14:solidFill>
          </w14:textFill>
        </w:rPr>
        <w:t>。</w:t>
      </w:r>
    </w:p>
    <w:p w14:paraId="124FBD13">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表5.5-3  近20年各月、各季及全年平均风向频率统计一览表</w:t>
      </w:r>
    </w:p>
    <w:tbl>
      <w:tblPr>
        <w:tblStyle w:val="37"/>
        <w:tblW w:w="5303" w:type="pct"/>
        <w:tblInd w:w="-25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746"/>
        <w:gridCol w:w="462"/>
        <w:gridCol w:w="460"/>
        <w:gridCol w:w="464"/>
        <w:gridCol w:w="460"/>
        <w:gridCol w:w="460"/>
        <w:gridCol w:w="447"/>
        <w:gridCol w:w="442"/>
        <w:gridCol w:w="445"/>
        <w:gridCol w:w="442"/>
        <w:gridCol w:w="457"/>
        <w:gridCol w:w="460"/>
        <w:gridCol w:w="503"/>
        <w:gridCol w:w="475"/>
        <w:gridCol w:w="509"/>
        <w:gridCol w:w="447"/>
        <w:gridCol w:w="474"/>
        <w:gridCol w:w="716"/>
      </w:tblGrid>
      <w:tr w14:paraId="05A775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00397B0C">
            <w:pPr>
              <w:pStyle w:val="47"/>
              <w:keepNext w:val="0"/>
              <w:keepLines w:val="0"/>
              <w:pageBreakBefore w:val="0"/>
              <w:widowControl/>
              <w:kinsoku/>
              <w:wordWrap/>
              <w:overflowPunct/>
              <w:topLinePunct w:val="0"/>
              <w:autoSpaceDE/>
              <w:autoSpaceDN/>
              <w:bidi w:val="0"/>
              <w:adjustRightInd/>
              <w:snapToGrid/>
              <w:ind w:left="-120" w:leftChars="-50" w:right="-120" w:rightChars="-5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月份</w:t>
            </w:r>
          </w:p>
        </w:tc>
        <w:tc>
          <w:tcPr>
            <w:tcW w:w="462" w:type="dxa"/>
            <w:tcBorders>
              <w:tl2br w:val="nil"/>
              <w:tr2bl w:val="nil"/>
            </w:tcBorders>
            <w:noWrap w:val="0"/>
            <w:vAlign w:val="center"/>
          </w:tcPr>
          <w:p w14:paraId="25B9E7E3">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N</w:t>
            </w:r>
          </w:p>
        </w:tc>
        <w:tc>
          <w:tcPr>
            <w:tcW w:w="460" w:type="dxa"/>
            <w:tcBorders>
              <w:tl2br w:val="nil"/>
              <w:tr2bl w:val="nil"/>
            </w:tcBorders>
            <w:noWrap w:val="0"/>
            <w:vAlign w:val="center"/>
          </w:tcPr>
          <w:p w14:paraId="0007D45F">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NNE</w:t>
            </w:r>
          </w:p>
        </w:tc>
        <w:tc>
          <w:tcPr>
            <w:tcW w:w="464" w:type="dxa"/>
            <w:tcBorders>
              <w:tl2br w:val="nil"/>
              <w:tr2bl w:val="nil"/>
            </w:tcBorders>
            <w:noWrap w:val="0"/>
            <w:vAlign w:val="center"/>
          </w:tcPr>
          <w:p w14:paraId="2252126F">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NE</w:t>
            </w:r>
          </w:p>
        </w:tc>
        <w:tc>
          <w:tcPr>
            <w:tcW w:w="460" w:type="dxa"/>
            <w:tcBorders>
              <w:tl2br w:val="nil"/>
              <w:tr2bl w:val="nil"/>
            </w:tcBorders>
            <w:noWrap w:val="0"/>
            <w:vAlign w:val="center"/>
          </w:tcPr>
          <w:p w14:paraId="6800AE1A">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ENE</w:t>
            </w:r>
          </w:p>
        </w:tc>
        <w:tc>
          <w:tcPr>
            <w:tcW w:w="460" w:type="dxa"/>
            <w:tcBorders>
              <w:tl2br w:val="nil"/>
              <w:tr2bl w:val="nil"/>
            </w:tcBorders>
            <w:noWrap w:val="0"/>
            <w:vAlign w:val="center"/>
          </w:tcPr>
          <w:p w14:paraId="3C25F4F0">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E</w:t>
            </w:r>
          </w:p>
        </w:tc>
        <w:tc>
          <w:tcPr>
            <w:tcW w:w="447" w:type="dxa"/>
            <w:tcBorders>
              <w:tl2br w:val="nil"/>
              <w:tr2bl w:val="nil"/>
            </w:tcBorders>
            <w:noWrap w:val="0"/>
            <w:vAlign w:val="center"/>
          </w:tcPr>
          <w:p w14:paraId="788A816A">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ESE</w:t>
            </w:r>
          </w:p>
        </w:tc>
        <w:tc>
          <w:tcPr>
            <w:tcW w:w="442" w:type="dxa"/>
            <w:tcBorders>
              <w:tl2br w:val="nil"/>
              <w:tr2bl w:val="nil"/>
            </w:tcBorders>
            <w:noWrap w:val="0"/>
            <w:vAlign w:val="center"/>
          </w:tcPr>
          <w:p w14:paraId="12526F3C">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SE</w:t>
            </w:r>
          </w:p>
        </w:tc>
        <w:tc>
          <w:tcPr>
            <w:tcW w:w="445" w:type="dxa"/>
            <w:tcBorders>
              <w:tl2br w:val="nil"/>
              <w:tr2bl w:val="nil"/>
            </w:tcBorders>
            <w:noWrap w:val="0"/>
            <w:vAlign w:val="center"/>
          </w:tcPr>
          <w:p w14:paraId="01C4F97E">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SSE</w:t>
            </w:r>
          </w:p>
        </w:tc>
        <w:tc>
          <w:tcPr>
            <w:tcW w:w="442" w:type="dxa"/>
            <w:tcBorders>
              <w:tl2br w:val="nil"/>
              <w:tr2bl w:val="nil"/>
            </w:tcBorders>
            <w:noWrap w:val="0"/>
            <w:vAlign w:val="center"/>
          </w:tcPr>
          <w:p w14:paraId="4B523F9C">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w:t>
            </w:r>
          </w:p>
        </w:tc>
        <w:tc>
          <w:tcPr>
            <w:tcW w:w="457" w:type="dxa"/>
            <w:tcBorders>
              <w:tl2br w:val="nil"/>
              <w:tr2bl w:val="nil"/>
            </w:tcBorders>
            <w:noWrap w:val="0"/>
            <w:vAlign w:val="center"/>
          </w:tcPr>
          <w:p w14:paraId="7FA86934">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SSW</w:t>
            </w:r>
          </w:p>
        </w:tc>
        <w:tc>
          <w:tcPr>
            <w:tcW w:w="460" w:type="dxa"/>
            <w:tcBorders>
              <w:tl2br w:val="nil"/>
              <w:tr2bl w:val="nil"/>
            </w:tcBorders>
            <w:noWrap w:val="0"/>
            <w:vAlign w:val="center"/>
          </w:tcPr>
          <w:p w14:paraId="5B5654C4">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SW</w:t>
            </w:r>
          </w:p>
        </w:tc>
        <w:tc>
          <w:tcPr>
            <w:tcW w:w="503" w:type="dxa"/>
            <w:tcBorders>
              <w:tl2br w:val="nil"/>
              <w:tr2bl w:val="nil"/>
            </w:tcBorders>
            <w:noWrap w:val="0"/>
            <w:vAlign w:val="center"/>
          </w:tcPr>
          <w:p w14:paraId="3A40DDD4">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WSW</w:t>
            </w:r>
          </w:p>
        </w:tc>
        <w:tc>
          <w:tcPr>
            <w:tcW w:w="475" w:type="dxa"/>
            <w:tcBorders>
              <w:tl2br w:val="nil"/>
              <w:tr2bl w:val="nil"/>
            </w:tcBorders>
            <w:noWrap w:val="0"/>
            <w:vAlign w:val="center"/>
          </w:tcPr>
          <w:p w14:paraId="76AC3852">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w:t>
            </w:r>
          </w:p>
        </w:tc>
        <w:tc>
          <w:tcPr>
            <w:tcW w:w="509" w:type="dxa"/>
            <w:tcBorders>
              <w:tl2br w:val="nil"/>
              <w:tr2bl w:val="nil"/>
            </w:tcBorders>
            <w:noWrap w:val="0"/>
            <w:vAlign w:val="center"/>
          </w:tcPr>
          <w:p w14:paraId="549A62A7">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WNW</w:t>
            </w:r>
          </w:p>
        </w:tc>
        <w:tc>
          <w:tcPr>
            <w:tcW w:w="447" w:type="dxa"/>
            <w:tcBorders>
              <w:tl2br w:val="nil"/>
              <w:tr2bl w:val="nil"/>
            </w:tcBorders>
            <w:noWrap w:val="0"/>
            <w:vAlign w:val="center"/>
          </w:tcPr>
          <w:p w14:paraId="49570D59">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NW</w:t>
            </w:r>
          </w:p>
        </w:tc>
        <w:tc>
          <w:tcPr>
            <w:tcW w:w="474" w:type="dxa"/>
            <w:tcBorders>
              <w:tl2br w:val="nil"/>
              <w:tr2bl w:val="nil"/>
            </w:tcBorders>
            <w:noWrap w:val="0"/>
            <w:vAlign w:val="center"/>
          </w:tcPr>
          <w:p w14:paraId="5F55CC40">
            <w:pPr>
              <w:pStyle w:val="47"/>
              <w:keepNext w:val="0"/>
              <w:keepLines w:val="0"/>
              <w:pageBreakBefore w:val="0"/>
              <w:widowControl/>
              <w:kinsoku/>
              <w:wordWrap/>
              <w:overflowPunct/>
              <w:topLinePunct w:val="0"/>
              <w:autoSpaceDE/>
              <w:autoSpaceDN/>
              <w:bidi w:val="0"/>
              <w:adjustRightInd/>
              <w:snapToGrid/>
              <w:ind w:left="-120" w:leftChars="-50" w:right="-120"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NNW</w:t>
            </w:r>
          </w:p>
        </w:tc>
        <w:tc>
          <w:tcPr>
            <w:tcW w:w="716" w:type="dxa"/>
            <w:tcBorders>
              <w:tl2br w:val="nil"/>
              <w:tr2bl w:val="nil"/>
            </w:tcBorders>
            <w:noWrap w:val="0"/>
            <w:vAlign w:val="center"/>
          </w:tcPr>
          <w:p w14:paraId="35520E04">
            <w:pPr>
              <w:pStyle w:val="47"/>
              <w:keepNext w:val="0"/>
              <w:keepLines w:val="0"/>
              <w:pageBreakBefore w:val="0"/>
              <w:widowControl/>
              <w:kinsoku/>
              <w:wordWrap/>
              <w:overflowPunct/>
              <w:topLinePunct w:val="0"/>
              <w:autoSpaceDE/>
              <w:autoSpaceDN/>
              <w:bidi w:val="0"/>
              <w:adjustRightInd/>
              <w:snapToGrid/>
              <w:ind w:left="-120" w:leftChars="-50" w:right="-120" w:rightChars="-5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 静风</w:t>
            </w:r>
          </w:p>
        </w:tc>
      </w:tr>
      <w:tr w14:paraId="173715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23A65C4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1月</w:t>
            </w:r>
          </w:p>
        </w:tc>
        <w:tc>
          <w:tcPr>
            <w:tcW w:w="462" w:type="dxa"/>
            <w:tcBorders>
              <w:tl2br w:val="nil"/>
              <w:tr2bl w:val="nil"/>
            </w:tcBorders>
            <w:noWrap w:val="0"/>
            <w:vAlign w:val="center"/>
          </w:tcPr>
          <w:p w14:paraId="09956A2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0" w:type="dxa"/>
            <w:tcBorders>
              <w:tl2br w:val="nil"/>
              <w:tr2bl w:val="nil"/>
            </w:tcBorders>
            <w:noWrap w:val="0"/>
            <w:vAlign w:val="center"/>
          </w:tcPr>
          <w:p w14:paraId="487E134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4" w:type="dxa"/>
            <w:tcBorders>
              <w:tl2br w:val="nil"/>
              <w:tr2bl w:val="nil"/>
            </w:tcBorders>
            <w:noWrap w:val="0"/>
            <w:vAlign w:val="center"/>
          </w:tcPr>
          <w:p w14:paraId="6194FF8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460" w:type="dxa"/>
            <w:tcBorders>
              <w:tl2br w:val="nil"/>
              <w:tr2bl w:val="nil"/>
            </w:tcBorders>
            <w:noWrap w:val="0"/>
            <w:vAlign w:val="center"/>
          </w:tcPr>
          <w:p w14:paraId="26E411F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60" w:type="dxa"/>
            <w:tcBorders>
              <w:tl2br w:val="nil"/>
              <w:tr2bl w:val="nil"/>
            </w:tcBorders>
            <w:noWrap w:val="0"/>
            <w:vAlign w:val="center"/>
          </w:tcPr>
          <w:p w14:paraId="7037E9E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47" w:type="dxa"/>
            <w:tcBorders>
              <w:tl2br w:val="nil"/>
              <w:tr2bl w:val="nil"/>
            </w:tcBorders>
            <w:noWrap w:val="0"/>
            <w:vAlign w:val="center"/>
          </w:tcPr>
          <w:p w14:paraId="5868F49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29D126D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5" w:type="dxa"/>
            <w:tcBorders>
              <w:tl2br w:val="nil"/>
              <w:tr2bl w:val="nil"/>
            </w:tcBorders>
            <w:noWrap w:val="0"/>
            <w:vAlign w:val="center"/>
          </w:tcPr>
          <w:p w14:paraId="7BA10A6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2989750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57" w:type="dxa"/>
            <w:tcBorders>
              <w:tl2br w:val="nil"/>
              <w:tr2bl w:val="nil"/>
            </w:tcBorders>
            <w:noWrap w:val="0"/>
            <w:vAlign w:val="center"/>
          </w:tcPr>
          <w:p w14:paraId="7467355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4008468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503" w:type="dxa"/>
            <w:tcBorders>
              <w:tl2br w:val="nil"/>
              <w:tr2bl w:val="nil"/>
            </w:tcBorders>
            <w:noWrap w:val="0"/>
            <w:vAlign w:val="center"/>
          </w:tcPr>
          <w:p w14:paraId="481C3DD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75" w:type="dxa"/>
            <w:tcBorders>
              <w:tl2br w:val="nil"/>
              <w:tr2bl w:val="nil"/>
            </w:tcBorders>
            <w:noWrap w:val="0"/>
            <w:vAlign w:val="center"/>
          </w:tcPr>
          <w:p w14:paraId="7790FDD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509" w:type="dxa"/>
            <w:tcBorders>
              <w:tl2br w:val="nil"/>
              <w:tr2bl w:val="nil"/>
            </w:tcBorders>
            <w:noWrap w:val="0"/>
            <w:vAlign w:val="center"/>
          </w:tcPr>
          <w:p w14:paraId="32F26BC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7" w:type="dxa"/>
            <w:tcBorders>
              <w:tl2br w:val="nil"/>
              <w:tr2bl w:val="nil"/>
            </w:tcBorders>
            <w:noWrap w:val="0"/>
            <w:vAlign w:val="center"/>
          </w:tcPr>
          <w:p w14:paraId="24E8868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4" w:type="dxa"/>
            <w:tcBorders>
              <w:tl2br w:val="nil"/>
              <w:tr2bl w:val="nil"/>
            </w:tcBorders>
            <w:noWrap w:val="0"/>
            <w:vAlign w:val="center"/>
          </w:tcPr>
          <w:p w14:paraId="5652F67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716" w:type="dxa"/>
            <w:tcBorders>
              <w:tl2br w:val="nil"/>
              <w:tr2bl w:val="nil"/>
            </w:tcBorders>
            <w:noWrap w:val="0"/>
            <w:vAlign w:val="center"/>
          </w:tcPr>
          <w:p w14:paraId="1705A97B">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47</w:t>
            </w:r>
          </w:p>
        </w:tc>
      </w:tr>
      <w:tr w14:paraId="6802F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40367DE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2月</w:t>
            </w:r>
          </w:p>
        </w:tc>
        <w:tc>
          <w:tcPr>
            <w:tcW w:w="462" w:type="dxa"/>
            <w:tcBorders>
              <w:tl2br w:val="nil"/>
              <w:tr2bl w:val="nil"/>
            </w:tcBorders>
            <w:noWrap w:val="0"/>
            <w:vAlign w:val="center"/>
          </w:tcPr>
          <w:p w14:paraId="4484B29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0" w:type="dxa"/>
            <w:tcBorders>
              <w:tl2br w:val="nil"/>
              <w:tr2bl w:val="nil"/>
            </w:tcBorders>
            <w:noWrap w:val="0"/>
            <w:vAlign w:val="center"/>
          </w:tcPr>
          <w:p w14:paraId="67198602">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64" w:type="dxa"/>
            <w:tcBorders>
              <w:tl2br w:val="nil"/>
              <w:tr2bl w:val="nil"/>
            </w:tcBorders>
            <w:noWrap w:val="0"/>
            <w:vAlign w:val="center"/>
          </w:tcPr>
          <w:p w14:paraId="0895E56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5B965DB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445B2C3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47" w:type="dxa"/>
            <w:tcBorders>
              <w:tl2br w:val="nil"/>
              <w:tr2bl w:val="nil"/>
            </w:tcBorders>
            <w:noWrap w:val="0"/>
            <w:vAlign w:val="center"/>
          </w:tcPr>
          <w:p w14:paraId="53ACCCB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2712877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5" w:type="dxa"/>
            <w:tcBorders>
              <w:tl2br w:val="nil"/>
              <w:tr2bl w:val="nil"/>
            </w:tcBorders>
            <w:noWrap w:val="0"/>
            <w:vAlign w:val="center"/>
          </w:tcPr>
          <w:p w14:paraId="2EE8A03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2" w:type="dxa"/>
            <w:tcBorders>
              <w:tl2br w:val="nil"/>
              <w:tr2bl w:val="nil"/>
            </w:tcBorders>
            <w:noWrap w:val="0"/>
            <w:vAlign w:val="center"/>
          </w:tcPr>
          <w:p w14:paraId="367B9B0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57" w:type="dxa"/>
            <w:tcBorders>
              <w:tl2br w:val="nil"/>
              <w:tr2bl w:val="nil"/>
            </w:tcBorders>
            <w:noWrap w:val="0"/>
            <w:vAlign w:val="center"/>
          </w:tcPr>
          <w:p w14:paraId="008257A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6A0DD55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503" w:type="dxa"/>
            <w:tcBorders>
              <w:tl2br w:val="nil"/>
              <w:tr2bl w:val="nil"/>
            </w:tcBorders>
            <w:noWrap w:val="0"/>
            <w:vAlign w:val="center"/>
          </w:tcPr>
          <w:p w14:paraId="2F668FF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475" w:type="dxa"/>
            <w:tcBorders>
              <w:tl2br w:val="nil"/>
              <w:tr2bl w:val="nil"/>
            </w:tcBorders>
            <w:noWrap w:val="0"/>
            <w:vAlign w:val="center"/>
          </w:tcPr>
          <w:p w14:paraId="3675B1E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0F39C03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2DDA000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74" w:type="dxa"/>
            <w:tcBorders>
              <w:tl2br w:val="nil"/>
              <w:tr2bl w:val="nil"/>
            </w:tcBorders>
            <w:noWrap w:val="0"/>
            <w:vAlign w:val="center"/>
          </w:tcPr>
          <w:p w14:paraId="5653443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716" w:type="dxa"/>
            <w:tcBorders>
              <w:tl2br w:val="nil"/>
              <w:tr2bl w:val="nil"/>
            </w:tcBorders>
            <w:noWrap w:val="0"/>
            <w:vAlign w:val="center"/>
          </w:tcPr>
          <w:p w14:paraId="0F843BA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41</w:t>
            </w:r>
          </w:p>
        </w:tc>
      </w:tr>
      <w:tr w14:paraId="4D1689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539C860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3月</w:t>
            </w:r>
          </w:p>
        </w:tc>
        <w:tc>
          <w:tcPr>
            <w:tcW w:w="462" w:type="dxa"/>
            <w:tcBorders>
              <w:tl2br w:val="nil"/>
              <w:tr2bl w:val="nil"/>
            </w:tcBorders>
            <w:noWrap w:val="0"/>
            <w:vAlign w:val="center"/>
          </w:tcPr>
          <w:p w14:paraId="563868D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0" w:type="dxa"/>
            <w:tcBorders>
              <w:tl2br w:val="nil"/>
              <w:tr2bl w:val="nil"/>
            </w:tcBorders>
            <w:noWrap w:val="0"/>
            <w:vAlign w:val="center"/>
          </w:tcPr>
          <w:p w14:paraId="6008F29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4" w:type="dxa"/>
            <w:tcBorders>
              <w:tl2br w:val="nil"/>
              <w:tr2bl w:val="nil"/>
            </w:tcBorders>
            <w:noWrap w:val="0"/>
            <w:vAlign w:val="center"/>
          </w:tcPr>
          <w:p w14:paraId="0A867C4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w:t>
            </w:r>
          </w:p>
        </w:tc>
        <w:tc>
          <w:tcPr>
            <w:tcW w:w="460" w:type="dxa"/>
            <w:tcBorders>
              <w:tl2br w:val="nil"/>
              <w:tr2bl w:val="nil"/>
            </w:tcBorders>
            <w:noWrap w:val="0"/>
            <w:vAlign w:val="center"/>
          </w:tcPr>
          <w:p w14:paraId="2EF95492">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3CB80A2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47" w:type="dxa"/>
            <w:tcBorders>
              <w:tl2br w:val="nil"/>
              <w:tr2bl w:val="nil"/>
            </w:tcBorders>
            <w:noWrap w:val="0"/>
            <w:vAlign w:val="center"/>
          </w:tcPr>
          <w:p w14:paraId="33DB710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23AC78F2">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5" w:type="dxa"/>
            <w:tcBorders>
              <w:tl2br w:val="nil"/>
              <w:tr2bl w:val="nil"/>
            </w:tcBorders>
            <w:noWrap w:val="0"/>
            <w:vAlign w:val="center"/>
          </w:tcPr>
          <w:p w14:paraId="136BC8C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2" w:type="dxa"/>
            <w:tcBorders>
              <w:tl2br w:val="nil"/>
              <w:tr2bl w:val="nil"/>
            </w:tcBorders>
            <w:noWrap w:val="0"/>
            <w:vAlign w:val="center"/>
          </w:tcPr>
          <w:p w14:paraId="5E35AA3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57" w:type="dxa"/>
            <w:tcBorders>
              <w:tl2br w:val="nil"/>
              <w:tr2bl w:val="nil"/>
            </w:tcBorders>
            <w:noWrap w:val="0"/>
            <w:vAlign w:val="center"/>
          </w:tcPr>
          <w:p w14:paraId="7DECAE1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6861F90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503" w:type="dxa"/>
            <w:tcBorders>
              <w:tl2br w:val="nil"/>
              <w:tr2bl w:val="nil"/>
            </w:tcBorders>
            <w:noWrap w:val="0"/>
            <w:vAlign w:val="center"/>
          </w:tcPr>
          <w:p w14:paraId="0CA394E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75" w:type="dxa"/>
            <w:tcBorders>
              <w:tl2br w:val="nil"/>
              <w:tr2bl w:val="nil"/>
            </w:tcBorders>
            <w:noWrap w:val="0"/>
            <w:vAlign w:val="center"/>
          </w:tcPr>
          <w:p w14:paraId="1A1DDBC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509" w:type="dxa"/>
            <w:tcBorders>
              <w:tl2br w:val="nil"/>
              <w:tr2bl w:val="nil"/>
            </w:tcBorders>
            <w:noWrap w:val="0"/>
            <w:vAlign w:val="center"/>
          </w:tcPr>
          <w:p w14:paraId="37A86B7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235ECAA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14C0163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716" w:type="dxa"/>
            <w:tcBorders>
              <w:tl2br w:val="nil"/>
              <w:tr2bl w:val="nil"/>
            </w:tcBorders>
            <w:noWrap w:val="0"/>
            <w:vAlign w:val="center"/>
          </w:tcPr>
          <w:p w14:paraId="48B3D6D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w:t>
            </w:r>
          </w:p>
        </w:tc>
      </w:tr>
      <w:tr w14:paraId="1413FD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766A894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4月</w:t>
            </w:r>
          </w:p>
        </w:tc>
        <w:tc>
          <w:tcPr>
            <w:tcW w:w="462" w:type="dxa"/>
            <w:tcBorders>
              <w:tl2br w:val="nil"/>
              <w:tr2bl w:val="nil"/>
            </w:tcBorders>
            <w:noWrap w:val="0"/>
            <w:vAlign w:val="center"/>
          </w:tcPr>
          <w:p w14:paraId="569E2FA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6B7A3AD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4" w:type="dxa"/>
            <w:tcBorders>
              <w:tl2br w:val="nil"/>
              <w:tr2bl w:val="nil"/>
            </w:tcBorders>
            <w:noWrap w:val="0"/>
            <w:vAlign w:val="center"/>
          </w:tcPr>
          <w:p w14:paraId="4D306F9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60" w:type="dxa"/>
            <w:tcBorders>
              <w:tl2br w:val="nil"/>
              <w:tr2bl w:val="nil"/>
            </w:tcBorders>
            <w:noWrap w:val="0"/>
            <w:vAlign w:val="center"/>
          </w:tcPr>
          <w:p w14:paraId="543061A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13</w:t>
            </w:r>
          </w:p>
        </w:tc>
        <w:tc>
          <w:tcPr>
            <w:tcW w:w="460" w:type="dxa"/>
            <w:tcBorders>
              <w:tl2br w:val="nil"/>
              <w:tr2bl w:val="nil"/>
            </w:tcBorders>
            <w:noWrap w:val="0"/>
            <w:vAlign w:val="center"/>
          </w:tcPr>
          <w:p w14:paraId="6C6FA80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w:t>
            </w:r>
          </w:p>
        </w:tc>
        <w:tc>
          <w:tcPr>
            <w:tcW w:w="447" w:type="dxa"/>
            <w:tcBorders>
              <w:tl2br w:val="nil"/>
              <w:tr2bl w:val="nil"/>
            </w:tcBorders>
            <w:noWrap w:val="0"/>
            <w:vAlign w:val="center"/>
          </w:tcPr>
          <w:p w14:paraId="633C282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02E9311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45" w:type="dxa"/>
            <w:tcBorders>
              <w:tl2br w:val="nil"/>
              <w:tr2bl w:val="nil"/>
            </w:tcBorders>
            <w:noWrap w:val="0"/>
            <w:vAlign w:val="center"/>
          </w:tcPr>
          <w:p w14:paraId="4892DACB">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42AC8B0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57" w:type="dxa"/>
            <w:tcBorders>
              <w:tl2br w:val="nil"/>
              <w:tr2bl w:val="nil"/>
            </w:tcBorders>
            <w:noWrap w:val="0"/>
            <w:vAlign w:val="center"/>
          </w:tcPr>
          <w:p w14:paraId="16370DC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6BCA366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503" w:type="dxa"/>
            <w:tcBorders>
              <w:tl2br w:val="nil"/>
              <w:tr2bl w:val="nil"/>
            </w:tcBorders>
            <w:noWrap w:val="0"/>
            <w:vAlign w:val="center"/>
          </w:tcPr>
          <w:p w14:paraId="71CE95D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75" w:type="dxa"/>
            <w:tcBorders>
              <w:tl2br w:val="nil"/>
              <w:tr2bl w:val="nil"/>
            </w:tcBorders>
            <w:noWrap w:val="0"/>
            <w:vAlign w:val="center"/>
          </w:tcPr>
          <w:p w14:paraId="775018A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2E505CD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2AD54DF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108CA51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716" w:type="dxa"/>
            <w:tcBorders>
              <w:tl2br w:val="nil"/>
              <w:tr2bl w:val="nil"/>
            </w:tcBorders>
            <w:noWrap w:val="0"/>
            <w:vAlign w:val="center"/>
          </w:tcPr>
          <w:p w14:paraId="7E7F153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21</w:t>
            </w:r>
          </w:p>
        </w:tc>
      </w:tr>
      <w:tr w14:paraId="24C27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2A0A820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5月</w:t>
            </w:r>
          </w:p>
        </w:tc>
        <w:tc>
          <w:tcPr>
            <w:tcW w:w="462" w:type="dxa"/>
            <w:tcBorders>
              <w:tl2br w:val="nil"/>
              <w:tr2bl w:val="nil"/>
            </w:tcBorders>
            <w:noWrap w:val="0"/>
            <w:vAlign w:val="center"/>
          </w:tcPr>
          <w:p w14:paraId="0840B92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60" w:type="dxa"/>
            <w:tcBorders>
              <w:tl2br w:val="nil"/>
              <w:tr2bl w:val="nil"/>
            </w:tcBorders>
            <w:noWrap w:val="0"/>
            <w:vAlign w:val="center"/>
          </w:tcPr>
          <w:p w14:paraId="26FA36F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64" w:type="dxa"/>
            <w:tcBorders>
              <w:tl2br w:val="nil"/>
              <w:tr2bl w:val="nil"/>
            </w:tcBorders>
            <w:noWrap w:val="0"/>
            <w:vAlign w:val="center"/>
          </w:tcPr>
          <w:p w14:paraId="6D5FF6C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w:t>
            </w:r>
          </w:p>
        </w:tc>
        <w:tc>
          <w:tcPr>
            <w:tcW w:w="460" w:type="dxa"/>
            <w:tcBorders>
              <w:tl2br w:val="nil"/>
              <w:tr2bl w:val="nil"/>
            </w:tcBorders>
            <w:noWrap w:val="0"/>
            <w:vAlign w:val="center"/>
          </w:tcPr>
          <w:p w14:paraId="56869DF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599290E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47" w:type="dxa"/>
            <w:tcBorders>
              <w:tl2br w:val="nil"/>
              <w:tr2bl w:val="nil"/>
            </w:tcBorders>
            <w:noWrap w:val="0"/>
            <w:vAlign w:val="center"/>
          </w:tcPr>
          <w:p w14:paraId="2C841F9B">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42" w:type="dxa"/>
            <w:tcBorders>
              <w:tl2br w:val="nil"/>
              <w:tr2bl w:val="nil"/>
            </w:tcBorders>
            <w:noWrap w:val="0"/>
            <w:vAlign w:val="center"/>
          </w:tcPr>
          <w:p w14:paraId="4652E794">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45" w:type="dxa"/>
            <w:tcBorders>
              <w:tl2br w:val="nil"/>
              <w:tr2bl w:val="nil"/>
            </w:tcBorders>
            <w:noWrap w:val="0"/>
            <w:vAlign w:val="center"/>
          </w:tcPr>
          <w:p w14:paraId="3F1BC5D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77F50AD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57" w:type="dxa"/>
            <w:tcBorders>
              <w:tl2br w:val="nil"/>
              <w:tr2bl w:val="nil"/>
            </w:tcBorders>
            <w:noWrap w:val="0"/>
            <w:vAlign w:val="center"/>
          </w:tcPr>
          <w:p w14:paraId="28B2738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4AD09519">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503" w:type="dxa"/>
            <w:tcBorders>
              <w:tl2br w:val="nil"/>
              <w:tr2bl w:val="nil"/>
            </w:tcBorders>
            <w:noWrap w:val="0"/>
            <w:vAlign w:val="center"/>
          </w:tcPr>
          <w:p w14:paraId="15CA360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5" w:type="dxa"/>
            <w:tcBorders>
              <w:tl2br w:val="nil"/>
              <w:tr2bl w:val="nil"/>
            </w:tcBorders>
            <w:noWrap w:val="0"/>
            <w:vAlign w:val="center"/>
          </w:tcPr>
          <w:p w14:paraId="6E0E1AA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509" w:type="dxa"/>
            <w:tcBorders>
              <w:tl2br w:val="nil"/>
              <w:tr2bl w:val="nil"/>
            </w:tcBorders>
            <w:noWrap w:val="0"/>
            <w:vAlign w:val="center"/>
          </w:tcPr>
          <w:p w14:paraId="2D316332">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24F9DA0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4" w:type="dxa"/>
            <w:tcBorders>
              <w:tl2br w:val="nil"/>
              <w:tr2bl w:val="nil"/>
            </w:tcBorders>
            <w:noWrap w:val="0"/>
            <w:vAlign w:val="center"/>
          </w:tcPr>
          <w:p w14:paraId="65DC3B4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716" w:type="dxa"/>
            <w:tcBorders>
              <w:tl2br w:val="nil"/>
              <w:tr2bl w:val="nil"/>
            </w:tcBorders>
            <w:noWrap w:val="0"/>
            <w:vAlign w:val="center"/>
          </w:tcPr>
          <w:p w14:paraId="2F1E8D9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22</w:t>
            </w:r>
          </w:p>
        </w:tc>
      </w:tr>
      <w:tr w14:paraId="64D812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369EFB4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6月</w:t>
            </w:r>
          </w:p>
        </w:tc>
        <w:tc>
          <w:tcPr>
            <w:tcW w:w="462" w:type="dxa"/>
            <w:tcBorders>
              <w:tl2br w:val="nil"/>
              <w:tr2bl w:val="nil"/>
            </w:tcBorders>
            <w:noWrap w:val="0"/>
            <w:vAlign w:val="center"/>
          </w:tcPr>
          <w:p w14:paraId="61FBC68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60" w:type="dxa"/>
            <w:tcBorders>
              <w:tl2br w:val="nil"/>
              <w:tr2bl w:val="nil"/>
            </w:tcBorders>
            <w:noWrap w:val="0"/>
            <w:vAlign w:val="center"/>
          </w:tcPr>
          <w:p w14:paraId="2B442A5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64" w:type="dxa"/>
            <w:tcBorders>
              <w:tl2br w:val="nil"/>
              <w:tr2bl w:val="nil"/>
            </w:tcBorders>
            <w:noWrap w:val="0"/>
            <w:vAlign w:val="center"/>
          </w:tcPr>
          <w:p w14:paraId="5AE460B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3007CD7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460" w:type="dxa"/>
            <w:tcBorders>
              <w:tl2br w:val="nil"/>
              <w:tr2bl w:val="nil"/>
            </w:tcBorders>
            <w:noWrap w:val="0"/>
            <w:vAlign w:val="center"/>
          </w:tcPr>
          <w:p w14:paraId="26AE6BE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47" w:type="dxa"/>
            <w:tcBorders>
              <w:tl2br w:val="nil"/>
              <w:tr2bl w:val="nil"/>
            </w:tcBorders>
            <w:noWrap w:val="0"/>
            <w:vAlign w:val="center"/>
          </w:tcPr>
          <w:p w14:paraId="46B5706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310B248C">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45" w:type="dxa"/>
            <w:tcBorders>
              <w:tl2br w:val="nil"/>
              <w:tr2bl w:val="nil"/>
            </w:tcBorders>
            <w:noWrap w:val="0"/>
            <w:vAlign w:val="center"/>
          </w:tcPr>
          <w:p w14:paraId="6A4DE09E">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3ACD9D6D">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57" w:type="dxa"/>
            <w:tcBorders>
              <w:tl2br w:val="nil"/>
              <w:tr2bl w:val="nil"/>
            </w:tcBorders>
            <w:noWrap w:val="0"/>
            <w:vAlign w:val="center"/>
          </w:tcPr>
          <w:p w14:paraId="30C67971">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2C8607F0">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503" w:type="dxa"/>
            <w:tcBorders>
              <w:tl2br w:val="nil"/>
              <w:tr2bl w:val="nil"/>
            </w:tcBorders>
            <w:noWrap w:val="0"/>
            <w:vAlign w:val="center"/>
          </w:tcPr>
          <w:p w14:paraId="1C31E40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5" w:type="dxa"/>
            <w:tcBorders>
              <w:tl2br w:val="nil"/>
              <w:tr2bl w:val="nil"/>
            </w:tcBorders>
            <w:noWrap w:val="0"/>
            <w:vAlign w:val="center"/>
          </w:tcPr>
          <w:p w14:paraId="33FE8686">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4535304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61AC9EFB">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74" w:type="dxa"/>
            <w:tcBorders>
              <w:tl2br w:val="nil"/>
              <w:tr2bl w:val="nil"/>
            </w:tcBorders>
            <w:noWrap w:val="0"/>
            <w:vAlign w:val="center"/>
          </w:tcPr>
          <w:p w14:paraId="54CEB943">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716" w:type="dxa"/>
            <w:tcBorders>
              <w:tl2br w:val="nil"/>
              <w:tr2bl w:val="nil"/>
            </w:tcBorders>
            <w:noWrap w:val="0"/>
            <w:vAlign w:val="center"/>
          </w:tcPr>
          <w:p w14:paraId="21D71158">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21</w:t>
            </w:r>
          </w:p>
        </w:tc>
      </w:tr>
      <w:tr w14:paraId="4D49A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155C02D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7月</w:t>
            </w:r>
          </w:p>
        </w:tc>
        <w:tc>
          <w:tcPr>
            <w:tcW w:w="462" w:type="dxa"/>
            <w:tcBorders>
              <w:tl2br w:val="nil"/>
              <w:tr2bl w:val="nil"/>
            </w:tcBorders>
            <w:noWrap w:val="0"/>
            <w:vAlign w:val="center"/>
          </w:tcPr>
          <w:p w14:paraId="36BEC11D">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04D0F77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4" w:type="dxa"/>
            <w:tcBorders>
              <w:tl2br w:val="nil"/>
              <w:tr2bl w:val="nil"/>
            </w:tcBorders>
            <w:noWrap w:val="0"/>
            <w:vAlign w:val="center"/>
          </w:tcPr>
          <w:p w14:paraId="57F8D04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036FD48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4B26770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47" w:type="dxa"/>
            <w:tcBorders>
              <w:tl2br w:val="nil"/>
              <w:tr2bl w:val="nil"/>
            </w:tcBorders>
            <w:noWrap w:val="0"/>
            <w:vAlign w:val="center"/>
          </w:tcPr>
          <w:p w14:paraId="4DAEBCE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42" w:type="dxa"/>
            <w:tcBorders>
              <w:tl2br w:val="nil"/>
              <w:tr2bl w:val="nil"/>
            </w:tcBorders>
            <w:noWrap w:val="0"/>
            <w:vAlign w:val="center"/>
          </w:tcPr>
          <w:p w14:paraId="2AB965DD">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45" w:type="dxa"/>
            <w:tcBorders>
              <w:tl2br w:val="nil"/>
              <w:tr2bl w:val="nil"/>
            </w:tcBorders>
            <w:noWrap w:val="0"/>
            <w:vAlign w:val="center"/>
          </w:tcPr>
          <w:p w14:paraId="651261B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49539E8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57" w:type="dxa"/>
            <w:tcBorders>
              <w:tl2br w:val="nil"/>
              <w:tr2bl w:val="nil"/>
            </w:tcBorders>
            <w:noWrap w:val="0"/>
            <w:vAlign w:val="center"/>
          </w:tcPr>
          <w:p w14:paraId="716C734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04D70C1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503" w:type="dxa"/>
            <w:tcBorders>
              <w:tl2br w:val="nil"/>
              <w:tr2bl w:val="nil"/>
            </w:tcBorders>
            <w:noWrap w:val="0"/>
            <w:vAlign w:val="center"/>
          </w:tcPr>
          <w:p w14:paraId="6BACEAB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75" w:type="dxa"/>
            <w:tcBorders>
              <w:tl2br w:val="nil"/>
              <w:tr2bl w:val="nil"/>
            </w:tcBorders>
            <w:noWrap w:val="0"/>
            <w:vAlign w:val="center"/>
          </w:tcPr>
          <w:p w14:paraId="7D82F14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0AD29D5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7" w:type="dxa"/>
            <w:tcBorders>
              <w:tl2br w:val="nil"/>
              <w:tr2bl w:val="nil"/>
            </w:tcBorders>
            <w:noWrap w:val="0"/>
            <w:vAlign w:val="center"/>
          </w:tcPr>
          <w:p w14:paraId="6C8A4E3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74" w:type="dxa"/>
            <w:tcBorders>
              <w:tl2br w:val="nil"/>
              <w:tr2bl w:val="nil"/>
            </w:tcBorders>
            <w:noWrap w:val="0"/>
            <w:vAlign w:val="center"/>
          </w:tcPr>
          <w:p w14:paraId="03B5A8D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716" w:type="dxa"/>
            <w:tcBorders>
              <w:tl2br w:val="nil"/>
              <w:tr2bl w:val="nil"/>
            </w:tcBorders>
            <w:noWrap w:val="0"/>
            <w:vAlign w:val="center"/>
          </w:tcPr>
          <w:p w14:paraId="2304D2B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24</w:t>
            </w:r>
          </w:p>
        </w:tc>
      </w:tr>
      <w:tr w14:paraId="0A85B8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670ABC6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8月</w:t>
            </w:r>
          </w:p>
        </w:tc>
        <w:tc>
          <w:tcPr>
            <w:tcW w:w="462" w:type="dxa"/>
            <w:tcBorders>
              <w:tl2br w:val="nil"/>
              <w:tr2bl w:val="nil"/>
            </w:tcBorders>
            <w:noWrap w:val="0"/>
            <w:vAlign w:val="center"/>
          </w:tcPr>
          <w:p w14:paraId="3FE4778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460" w:type="dxa"/>
            <w:tcBorders>
              <w:tl2br w:val="nil"/>
              <w:tr2bl w:val="nil"/>
            </w:tcBorders>
            <w:noWrap w:val="0"/>
            <w:vAlign w:val="center"/>
          </w:tcPr>
          <w:p w14:paraId="4C11829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4" w:type="dxa"/>
            <w:tcBorders>
              <w:tl2br w:val="nil"/>
              <w:tr2bl w:val="nil"/>
            </w:tcBorders>
            <w:noWrap w:val="0"/>
            <w:vAlign w:val="center"/>
          </w:tcPr>
          <w:p w14:paraId="7C03BE0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1A5AEE4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4B48366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w:t>
            </w:r>
          </w:p>
        </w:tc>
        <w:tc>
          <w:tcPr>
            <w:tcW w:w="447" w:type="dxa"/>
            <w:tcBorders>
              <w:tl2br w:val="nil"/>
              <w:tr2bl w:val="nil"/>
            </w:tcBorders>
            <w:noWrap w:val="0"/>
            <w:vAlign w:val="center"/>
          </w:tcPr>
          <w:p w14:paraId="5AA1158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79F1D63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45" w:type="dxa"/>
            <w:tcBorders>
              <w:tl2br w:val="nil"/>
              <w:tr2bl w:val="nil"/>
            </w:tcBorders>
            <w:noWrap w:val="0"/>
            <w:vAlign w:val="center"/>
          </w:tcPr>
          <w:p w14:paraId="23A5D7A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0DF5643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57" w:type="dxa"/>
            <w:tcBorders>
              <w:tl2br w:val="nil"/>
              <w:tr2bl w:val="nil"/>
            </w:tcBorders>
            <w:noWrap w:val="0"/>
            <w:vAlign w:val="center"/>
          </w:tcPr>
          <w:p w14:paraId="21AE486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39F3C1E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503" w:type="dxa"/>
            <w:tcBorders>
              <w:tl2br w:val="nil"/>
              <w:tr2bl w:val="nil"/>
            </w:tcBorders>
            <w:noWrap w:val="0"/>
            <w:vAlign w:val="center"/>
          </w:tcPr>
          <w:p w14:paraId="6B91DA9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5" w:type="dxa"/>
            <w:tcBorders>
              <w:tl2br w:val="nil"/>
              <w:tr2bl w:val="nil"/>
            </w:tcBorders>
            <w:noWrap w:val="0"/>
            <w:vAlign w:val="center"/>
          </w:tcPr>
          <w:p w14:paraId="7AE17F46">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509" w:type="dxa"/>
            <w:tcBorders>
              <w:tl2br w:val="nil"/>
              <w:tr2bl w:val="nil"/>
            </w:tcBorders>
            <w:noWrap w:val="0"/>
            <w:vAlign w:val="center"/>
          </w:tcPr>
          <w:p w14:paraId="32209DB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7250C27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4" w:type="dxa"/>
            <w:tcBorders>
              <w:tl2br w:val="nil"/>
              <w:tr2bl w:val="nil"/>
            </w:tcBorders>
            <w:noWrap w:val="0"/>
            <w:vAlign w:val="center"/>
          </w:tcPr>
          <w:p w14:paraId="403C745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716" w:type="dxa"/>
            <w:tcBorders>
              <w:tl2br w:val="nil"/>
              <w:tr2bl w:val="nil"/>
            </w:tcBorders>
            <w:noWrap w:val="0"/>
            <w:vAlign w:val="center"/>
          </w:tcPr>
          <w:p w14:paraId="0BF520E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31</w:t>
            </w:r>
          </w:p>
        </w:tc>
      </w:tr>
      <w:tr w14:paraId="30ABFD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670C59F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9月</w:t>
            </w:r>
          </w:p>
        </w:tc>
        <w:tc>
          <w:tcPr>
            <w:tcW w:w="462" w:type="dxa"/>
            <w:tcBorders>
              <w:tl2br w:val="nil"/>
              <w:tr2bl w:val="nil"/>
            </w:tcBorders>
            <w:noWrap w:val="0"/>
            <w:vAlign w:val="center"/>
          </w:tcPr>
          <w:p w14:paraId="4B520B0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60" w:type="dxa"/>
            <w:tcBorders>
              <w:tl2br w:val="nil"/>
              <w:tr2bl w:val="nil"/>
            </w:tcBorders>
            <w:noWrap w:val="0"/>
            <w:vAlign w:val="center"/>
          </w:tcPr>
          <w:p w14:paraId="33B2BAA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4" w:type="dxa"/>
            <w:tcBorders>
              <w:tl2br w:val="nil"/>
              <w:tr2bl w:val="nil"/>
            </w:tcBorders>
            <w:noWrap w:val="0"/>
            <w:vAlign w:val="center"/>
          </w:tcPr>
          <w:p w14:paraId="4899512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3BD05BED">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638A401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47" w:type="dxa"/>
            <w:tcBorders>
              <w:tl2br w:val="nil"/>
              <w:tr2bl w:val="nil"/>
            </w:tcBorders>
            <w:noWrap w:val="0"/>
            <w:vAlign w:val="center"/>
          </w:tcPr>
          <w:p w14:paraId="001548A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1A72102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45" w:type="dxa"/>
            <w:tcBorders>
              <w:tl2br w:val="nil"/>
              <w:tr2bl w:val="nil"/>
            </w:tcBorders>
            <w:noWrap w:val="0"/>
            <w:vAlign w:val="center"/>
          </w:tcPr>
          <w:p w14:paraId="11CCEA5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1286B60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57" w:type="dxa"/>
            <w:tcBorders>
              <w:tl2br w:val="nil"/>
              <w:tr2bl w:val="nil"/>
            </w:tcBorders>
            <w:noWrap w:val="0"/>
            <w:vAlign w:val="center"/>
          </w:tcPr>
          <w:p w14:paraId="60AAC98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3F896D5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503" w:type="dxa"/>
            <w:tcBorders>
              <w:tl2br w:val="nil"/>
              <w:tr2bl w:val="nil"/>
            </w:tcBorders>
            <w:noWrap w:val="0"/>
            <w:vAlign w:val="center"/>
          </w:tcPr>
          <w:p w14:paraId="6ACF34F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5" w:type="dxa"/>
            <w:tcBorders>
              <w:tl2br w:val="nil"/>
              <w:tr2bl w:val="nil"/>
            </w:tcBorders>
            <w:noWrap w:val="0"/>
            <w:vAlign w:val="center"/>
          </w:tcPr>
          <w:p w14:paraId="6C1AAF5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509" w:type="dxa"/>
            <w:tcBorders>
              <w:tl2br w:val="nil"/>
              <w:tr2bl w:val="nil"/>
            </w:tcBorders>
            <w:noWrap w:val="0"/>
            <w:vAlign w:val="center"/>
          </w:tcPr>
          <w:p w14:paraId="0233C56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75A1283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75A19E5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716" w:type="dxa"/>
            <w:tcBorders>
              <w:tl2br w:val="nil"/>
              <w:tr2bl w:val="nil"/>
            </w:tcBorders>
            <w:noWrap w:val="0"/>
            <w:vAlign w:val="center"/>
          </w:tcPr>
          <w:p w14:paraId="6AE49FB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41</w:t>
            </w:r>
          </w:p>
        </w:tc>
      </w:tr>
      <w:tr w14:paraId="362ACE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22E1A90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10月</w:t>
            </w:r>
          </w:p>
        </w:tc>
        <w:tc>
          <w:tcPr>
            <w:tcW w:w="462" w:type="dxa"/>
            <w:tcBorders>
              <w:tl2br w:val="nil"/>
              <w:tr2bl w:val="nil"/>
            </w:tcBorders>
            <w:noWrap w:val="0"/>
            <w:vAlign w:val="center"/>
          </w:tcPr>
          <w:p w14:paraId="70E52B9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60" w:type="dxa"/>
            <w:tcBorders>
              <w:tl2br w:val="nil"/>
              <w:tr2bl w:val="nil"/>
            </w:tcBorders>
            <w:noWrap w:val="0"/>
            <w:vAlign w:val="center"/>
          </w:tcPr>
          <w:p w14:paraId="5362E5C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4" w:type="dxa"/>
            <w:tcBorders>
              <w:tl2br w:val="nil"/>
              <w:tr2bl w:val="nil"/>
            </w:tcBorders>
            <w:noWrap w:val="0"/>
            <w:vAlign w:val="center"/>
          </w:tcPr>
          <w:p w14:paraId="4DDC93D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4C6EF0A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71EB5846">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447" w:type="dxa"/>
            <w:tcBorders>
              <w:tl2br w:val="nil"/>
              <w:tr2bl w:val="nil"/>
            </w:tcBorders>
            <w:noWrap w:val="0"/>
            <w:vAlign w:val="center"/>
          </w:tcPr>
          <w:p w14:paraId="5EC7721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0242CE4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5" w:type="dxa"/>
            <w:tcBorders>
              <w:tl2br w:val="nil"/>
              <w:tr2bl w:val="nil"/>
            </w:tcBorders>
            <w:noWrap w:val="0"/>
            <w:vAlign w:val="center"/>
          </w:tcPr>
          <w:p w14:paraId="19EED25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701D8A9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57" w:type="dxa"/>
            <w:tcBorders>
              <w:tl2br w:val="nil"/>
              <w:tr2bl w:val="nil"/>
            </w:tcBorders>
            <w:noWrap w:val="0"/>
            <w:vAlign w:val="center"/>
          </w:tcPr>
          <w:p w14:paraId="061B6B6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5E682E9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3" w:type="dxa"/>
            <w:tcBorders>
              <w:tl2br w:val="nil"/>
              <w:tr2bl w:val="nil"/>
            </w:tcBorders>
            <w:noWrap w:val="0"/>
            <w:vAlign w:val="center"/>
          </w:tcPr>
          <w:p w14:paraId="79B2FB9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75" w:type="dxa"/>
            <w:tcBorders>
              <w:tl2br w:val="nil"/>
              <w:tr2bl w:val="nil"/>
            </w:tcBorders>
            <w:noWrap w:val="0"/>
            <w:vAlign w:val="center"/>
          </w:tcPr>
          <w:p w14:paraId="717F1A7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509" w:type="dxa"/>
            <w:tcBorders>
              <w:tl2br w:val="nil"/>
              <w:tr2bl w:val="nil"/>
            </w:tcBorders>
            <w:noWrap w:val="0"/>
            <w:vAlign w:val="center"/>
          </w:tcPr>
          <w:p w14:paraId="00E426E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1AAA299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3CBAE81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716" w:type="dxa"/>
            <w:tcBorders>
              <w:tl2br w:val="nil"/>
              <w:tr2bl w:val="nil"/>
            </w:tcBorders>
            <w:noWrap w:val="0"/>
            <w:vAlign w:val="center"/>
          </w:tcPr>
          <w:p w14:paraId="4A39AC4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52</w:t>
            </w:r>
          </w:p>
        </w:tc>
      </w:tr>
      <w:tr w14:paraId="6E36EF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4DE1AC5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11月</w:t>
            </w:r>
          </w:p>
        </w:tc>
        <w:tc>
          <w:tcPr>
            <w:tcW w:w="462" w:type="dxa"/>
            <w:tcBorders>
              <w:tl2br w:val="nil"/>
              <w:tr2bl w:val="nil"/>
            </w:tcBorders>
            <w:noWrap w:val="0"/>
            <w:vAlign w:val="center"/>
          </w:tcPr>
          <w:p w14:paraId="20282EF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61BEA32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4" w:type="dxa"/>
            <w:tcBorders>
              <w:tl2br w:val="nil"/>
              <w:tr2bl w:val="nil"/>
            </w:tcBorders>
            <w:noWrap w:val="0"/>
            <w:vAlign w:val="center"/>
          </w:tcPr>
          <w:p w14:paraId="495150C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460" w:type="dxa"/>
            <w:tcBorders>
              <w:tl2br w:val="nil"/>
              <w:tr2bl w:val="nil"/>
            </w:tcBorders>
            <w:noWrap w:val="0"/>
            <w:vAlign w:val="center"/>
          </w:tcPr>
          <w:p w14:paraId="675C672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60" w:type="dxa"/>
            <w:tcBorders>
              <w:tl2br w:val="nil"/>
              <w:tr2bl w:val="nil"/>
            </w:tcBorders>
            <w:noWrap w:val="0"/>
            <w:vAlign w:val="center"/>
          </w:tcPr>
          <w:p w14:paraId="36B096B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47" w:type="dxa"/>
            <w:tcBorders>
              <w:tl2br w:val="nil"/>
              <w:tr2bl w:val="nil"/>
            </w:tcBorders>
            <w:noWrap w:val="0"/>
            <w:vAlign w:val="center"/>
          </w:tcPr>
          <w:p w14:paraId="79C6523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12D7B88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5" w:type="dxa"/>
            <w:tcBorders>
              <w:tl2br w:val="nil"/>
              <w:tr2bl w:val="nil"/>
            </w:tcBorders>
            <w:noWrap w:val="0"/>
            <w:vAlign w:val="center"/>
          </w:tcPr>
          <w:p w14:paraId="73BD9DF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2" w:type="dxa"/>
            <w:tcBorders>
              <w:tl2br w:val="nil"/>
              <w:tr2bl w:val="nil"/>
            </w:tcBorders>
            <w:noWrap w:val="0"/>
            <w:vAlign w:val="center"/>
          </w:tcPr>
          <w:p w14:paraId="70475A9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57" w:type="dxa"/>
            <w:tcBorders>
              <w:tl2br w:val="nil"/>
              <w:tr2bl w:val="nil"/>
            </w:tcBorders>
            <w:noWrap w:val="0"/>
            <w:vAlign w:val="center"/>
          </w:tcPr>
          <w:p w14:paraId="52B280E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599E0C9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503" w:type="dxa"/>
            <w:tcBorders>
              <w:tl2br w:val="nil"/>
              <w:tr2bl w:val="nil"/>
            </w:tcBorders>
            <w:noWrap w:val="0"/>
            <w:vAlign w:val="center"/>
          </w:tcPr>
          <w:p w14:paraId="23CA06A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475" w:type="dxa"/>
            <w:tcBorders>
              <w:tl2br w:val="nil"/>
              <w:tr2bl w:val="nil"/>
            </w:tcBorders>
            <w:noWrap w:val="0"/>
            <w:vAlign w:val="center"/>
          </w:tcPr>
          <w:p w14:paraId="2C65E3E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62D61AB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7" w:type="dxa"/>
            <w:tcBorders>
              <w:tl2br w:val="nil"/>
              <w:tr2bl w:val="nil"/>
            </w:tcBorders>
            <w:noWrap w:val="0"/>
            <w:vAlign w:val="center"/>
          </w:tcPr>
          <w:p w14:paraId="095E059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55839E50">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716" w:type="dxa"/>
            <w:tcBorders>
              <w:tl2br w:val="nil"/>
              <w:tr2bl w:val="nil"/>
            </w:tcBorders>
            <w:noWrap w:val="0"/>
            <w:vAlign w:val="center"/>
          </w:tcPr>
          <w:p w14:paraId="3DF4C75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53</w:t>
            </w:r>
          </w:p>
        </w:tc>
      </w:tr>
      <w:tr w14:paraId="2917E7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37036A2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12月</w:t>
            </w:r>
          </w:p>
        </w:tc>
        <w:tc>
          <w:tcPr>
            <w:tcW w:w="462" w:type="dxa"/>
            <w:tcBorders>
              <w:tl2br w:val="nil"/>
              <w:tr2bl w:val="nil"/>
            </w:tcBorders>
            <w:noWrap w:val="0"/>
            <w:vAlign w:val="center"/>
          </w:tcPr>
          <w:p w14:paraId="2A89075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0" w:type="dxa"/>
            <w:tcBorders>
              <w:tl2br w:val="nil"/>
              <w:tr2bl w:val="nil"/>
            </w:tcBorders>
            <w:noWrap w:val="0"/>
            <w:vAlign w:val="center"/>
          </w:tcPr>
          <w:p w14:paraId="4421CB61">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4" w:type="dxa"/>
            <w:tcBorders>
              <w:tl2br w:val="nil"/>
              <w:tr2bl w:val="nil"/>
            </w:tcBorders>
            <w:noWrap w:val="0"/>
            <w:vAlign w:val="center"/>
          </w:tcPr>
          <w:p w14:paraId="4860A78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69713AE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460" w:type="dxa"/>
            <w:tcBorders>
              <w:tl2br w:val="nil"/>
              <w:tr2bl w:val="nil"/>
            </w:tcBorders>
            <w:noWrap w:val="0"/>
            <w:vAlign w:val="center"/>
          </w:tcPr>
          <w:p w14:paraId="4DD0AAF7">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47" w:type="dxa"/>
            <w:tcBorders>
              <w:tl2br w:val="nil"/>
              <w:tr2bl w:val="nil"/>
            </w:tcBorders>
            <w:noWrap w:val="0"/>
            <w:vAlign w:val="center"/>
          </w:tcPr>
          <w:p w14:paraId="23D99F7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2" w:type="dxa"/>
            <w:tcBorders>
              <w:tl2br w:val="nil"/>
              <w:tr2bl w:val="nil"/>
            </w:tcBorders>
            <w:noWrap w:val="0"/>
            <w:vAlign w:val="center"/>
          </w:tcPr>
          <w:p w14:paraId="299EAE6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5" w:type="dxa"/>
            <w:tcBorders>
              <w:tl2br w:val="nil"/>
              <w:tr2bl w:val="nil"/>
            </w:tcBorders>
            <w:noWrap w:val="0"/>
            <w:vAlign w:val="center"/>
          </w:tcPr>
          <w:p w14:paraId="5F2A559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0B3D1498">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57" w:type="dxa"/>
            <w:tcBorders>
              <w:tl2br w:val="nil"/>
              <w:tr2bl w:val="nil"/>
            </w:tcBorders>
            <w:noWrap w:val="0"/>
            <w:vAlign w:val="center"/>
          </w:tcPr>
          <w:p w14:paraId="1029D2A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214647D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503" w:type="dxa"/>
            <w:tcBorders>
              <w:tl2br w:val="nil"/>
              <w:tr2bl w:val="nil"/>
            </w:tcBorders>
            <w:noWrap w:val="0"/>
            <w:vAlign w:val="center"/>
          </w:tcPr>
          <w:p w14:paraId="28A705C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475" w:type="dxa"/>
            <w:tcBorders>
              <w:tl2br w:val="nil"/>
              <w:tr2bl w:val="nil"/>
            </w:tcBorders>
            <w:noWrap w:val="0"/>
            <w:vAlign w:val="center"/>
          </w:tcPr>
          <w:p w14:paraId="658A299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509" w:type="dxa"/>
            <w:tcBorders>
              <w:tl2br w:val="nil"/>
              <w:tr2bl w:val="nil"/>
            </w:tcBorders>
            <w:noWrap w:val="0"/>
            <w:vAlign w:val="center"/>
          </w:tcPr>
          <w:p w14:paraId="2F48215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447" w:type="dxa"/>
            <w:tcBorders>
              <w:tl2br w:val="nil"/>
              <w:tr2bl w:val="nil"/>
            </w:tcBorders>
            <w:noWrap w:val="0"/>
            <w:vAlign w:val="center"/>
          </w:tcPr>
          <w:p w14:paraId="0373D0E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74" w:type="dxa"/>
            <w:tcBorders>
              <w:tl2br w:val="nil"/>
              <w:tr2bl w:val="nil"/>
            </w:tcBorders>
            <w:noWrap w:val="0"/>
            <w:vAlign w:val="center"/>
          </w:tcPr>
          <w:p w14:paraId="1E2548D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716" w:type="dxa"/>
            <w:tcBorders>
              <w:tl2br w:val="nil"/>
              <w:tr2bl w:val="nil"/>
            </w:tcBorders>
            <w:noWrap w:val="0"/>
            <w:vAlign w:val="center"/>
          </w:tcPr>
          <w:p w14:paraId="292F914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54</w:t>
            </w:r>
          </w:p>
        </w:tc>
      </w:tr>
      <w:tr w14:paraId="7C44D7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746" w:type="dxa"/>
            <w:tcBorders>
              <w:tl2br w:val="nil"/>
              <w:tr2bl w:val="nil"/>
            </w:tcBorders>
            <w:noWrap w:val="0"/>
            <w:vAlign w:val="center"/>
          </w:tcPr>
          <w:p w14:paraId="3DA3934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全年</w:t>
            </w:r>
          </w:p>
        </w:tc>
        <w:tc>
          <w:tcPr>
            <w:tcW w:w="462" w:type="dxa"/>
            <w:tcBorders>
              <w:tl2br w:val="nil"/>
              <w:tr2bl w:val="nil"/>
            </w:tcBorders>
            <w:noWrap w:val="0"/>
            <w:vAlign w:val="center"/>
          </w:tcPr>
          <w:p w14:paraId="549F267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460" w:type="dxa"/>
            <w:tcBorders>
              <w:tl2br w:val="nil"/>
              <w:tr2bl w:val="nil"/>
            </w:tcBorders>
            <w:noWrap w:val="0"/>
            <w:vAlign w:val="center"/>
          </w:tcPr>
          <w:p w14:paraId="00F9E1FC">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64" w:type="dxa"/>
            <w:tcBorders>
              <w:tl2br w:val="nil"/>
              <w:tr2bl w:val="nil"/>
            </w:tcBorders>
            <w:noWrap w:val="0"/>
            <w:vAlign w:val="center"/>
          </w:tcPr>
          <w:p w14:paraId="42E2E069">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460" w:type="dxa"/>
            <w:tcBorders>
              <w:tl2br w:val="nil"/>
              <w:tr2bl w:val="nil"/>
            </w:tcBorders>
            <w:noWrap w:val="0"/>
            <w:vAlign w:val="center"/>
          </w:tcPr>
          <w:p w14:paraId="7A61708D">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460" w:type="dxa"/>
            <w:tcBorders>
              <w:tl2br w:val="nil"/>
              <w:tr2bl w:val="nil"/>
            </w:tcBorders>
            <w:noWrap w:val="0"/>
            <w:vAlign w:val="center"/>
          </w:tcPr>
          <w:p w14:paraId="406712C3">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447" w:type="dxa"/>
            <w:tcBorders>
              <w:tl2br w:val="nil"/>
              <w:tr2bl w:val="nil"/>
            </w:tcBorders>
            <w:noWrap w:val="0"/>
            <w:vAlign w:val="center"/>
          </w:tcPr>
          <w:p w14:paraId="7F6520F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42" w:type="dxa"/>
            <w:tcBorders>
              <w:tl2br w:val="nil"/>
              <w:tr2bl w:val="nil"/>
            </w:tcBorders>
            <w:noWrap w:val="0"/>
            <w:vAlign w:val="center"/>
          </w:tcPr>
          <w:p w14:paraId="15A7728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45" w:type="dxa"/>
            <w:tcBorders>
              <w:tl2br w:val="nil"/>
              <w:tr2bl w:val="nil"/>
            </w:tcBorders>
            <w:noWrap w:val="0"/>
            <w:vAlign w:val="center"/>
          </w:tcPr>
          <w:p w14:paraId="31DFCE6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2" w:type="dxa"/>
            <w:tcBorders>
              <w:tl2br w:val="nil"/>
              <w:tr2bl w:val="nil"/>
            </w:tcBorders>
            <w:noWrap w:val="0"/>
            <w:vAlign w:val="center"/>
          </w:tcPr>
          <w:p w14:paraId="0209EFAA">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457" w:type="dxa"/>
            <w:tcBorders>
              <w:tl2br w:val="nil"/>
              <w:tr2bl w:val="nil"/>
            </w:tcBorders>
            <w:noWrap w:val="0"/>
            <w:vAlign w:val="center"/>
          </w:tcPr>
          <w:p w14:paraId="4AFCA33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60" w:type="dxa"/>
            <w:tcBorders>
              <w:tl2br w:val="nil"/>
              <w:tr2bl w:val="nil"/>
            </w:tcBorders>
            <w:noWrap w:val="0"/>
            <w:vAlign w:val="center"/>
          </w:tcPr>
          <w:p w14:paraId="017A5BC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503" w:type="dxa"/>
            <w:tcBorders>
              <w:tl2br w:val="nil"/>
              <w:tr2bl w:val="nil"/>
            </w:tcBorders>
            <w:noWrap w:val="0"/>
            <w:vAlign w:val="center"/>
          </w:tcPr>
          <w:p w14:paraId="07D438EE">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475" w:type="dxa"/>
            <w:tcBorders>
              <w:tl2br w:val="nil"/>
              <w:tr2bl w:val="nil"/>
            </w:tcBorders>
            <w:noWrap w:val="0"/>
            <w:vAlign w:val="center"/>
          </w:tcPr>
          <w:p w14:paraId="6C6D64B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509" w:type="dxa"/>
            <w:tcBorders>
              <w:tl2br w:val="nil"/>
              <w:tr2bl w:val="nil"/>
            </w:tcBorders>
            <w:noWrap w:val="0"/>
            <w:vAlign w:val="center"/>
          </w:tcPr>
          <w:p w14:paraId="57D0624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447" w:type="dxa"/>
            <w:tcBorders>
              <w:tl2br w:val="nil"/>
              <w:tr2bl w:val="nil"/>
            </w:tcBorders>
            <w:noWrap w:val="0"/>
            <w:vAlign w:val="center"/>
          </w:tcPr>
          <w:p w14:paraId="781BDBD5">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474" w:type="dxa"/>
            <w:tcBorders>
              <w:tl2br w:val="nil"/>
              <w:tr2bl w:val="nil"/>
            </w:tcBorders>
            <w:noWrap w:val="0"/>
            <w:vAlign w:val="center"/>
          </w:tcPr>
          <w:p w14:paraId="10AF1C62">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716" w:type="dxa"/>
            <w:tcBorders>
              <w:tl2br w:val="nil"/>
              <w:tr2bl w:val="nil"/>
            </w:tcBorders>
            <w:noWrap w:val="0"/>
            <w:vAlign w:val="center"/>
          </w:tcPr>
          <w:p w14:paraId="60491F4B">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37</w:t>
            </w:r>
          </w:p>
        </w:tc>
      </w:tr>
    </w:tbl>
    <w:p w14:paraId="4605B3C5">
      <w:pPr>
        <w:pStyle w:val="36"/>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14:paraId="31AC682C">
      <w:pPr>
        <w:pStyle w:val="36"/>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14:paraId="12A233D8">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"C:\\Users\\ADMINI~1.DES\\AppData\\Local\\Temp\\ksohtml\\wps6F4B.tmp.png"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"E:\\..\\..\\..\\..\\..\\ADMINI~1.DES\\AppData\\Local\\Temp\\ksohtml\\wps6F4B.tmp.png"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"E:\\..\\..\\ADMINI~1.DES\\AppData\\Local\\Temp\\ksohtml\\wps6F4B.tmp.png"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"E:\\..\\..\\ADMINI~1.DES\\AppData\\Local\\Temp\\ksohtml\\wps6F4B.tmp.png"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"E:\\..\\..\\ADMINI~1.DES\\AppData\\Local\\Temp\\ksohtml\\wps6F4B.tmp.png"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"E:\\..\\..\\ADMINI~1.DES\\AppData\\Local\\Temp\\ksohtml\\wps6F4B.tmp.png"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"C:\\..\\..\\..\\ADMINI~1.DES\\AppData\\Local\\Temp\\ksohtml\\wps6F4B.tmp.png"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instrText xml:space="preserve"> INCLUDEPICTURE  "F:\\..\\..\\ADMINI~1.DES\\AppData\\Local\\Temp\\ksohtml\\wps6F4B.tmp.png" \* MERGEFORMATINET </w:instrTex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图5.5-3  新和县全年风频玫瑰图</w:t>
      </w:r>
    </w:p>
    <w:p w14:paraId="75178191">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由表5.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-3分析可知，新和县近20年资料统计结果表明，该地区多年NE风向的频率最大，其次是E风向。</w:t>
      </w:r>
    </w:p>
    <w:p w14:paraId="6DF62679">
      <w:pPr>
        <w:pStyle w:val="5"/>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061" w:name="OLE_LINK996"/>
      <w:r>
        <w:rPr>
          <w:rFonts w:hint="default" w:ascii="Times New Roman" w:hAnsi="Times New Roman" w:cs="Times New Roman"/>
          <w:color w:val="000000" w:themeColor="text1"/>
          <w:highlight w:val="none"/>
          <w:lang w:val="en-US" w:eastAsia="zh-CN"/>
          <w14:textFill>
            <w14:solidFill>
              <w14:schemeClr w14:val="tx1"/>
            </w14:solidFill>
          </w14:textFill>
        </w:rPr>
        <w:t>5.5.2.2</w:t>
      </w:r>
      <w:bookmarkEnd w:id="1061"/>
      <w:r>
        <w:rPr>
          <w:rFonts w:hint="default" w:ascii="Times New Roman" w:hAnsi="Times New Roman" w:cs="Times New Roman"/>
          <w:color w:val="000000" w:themeColor="text1"/>
          <w:highlight w:val="none"/>
          <w:lang w:val="en-US" w:eastAsia="zh-CN"/>
          <w14:textFill>
            <w14:solidFill>
              <w14:schemeClr w14:val="tx1"/>
            </w14:solidFill>
          </w14:textFill>
        </w:rPr>
        <w:t>大气环境影响预测与评价</w:t>
      </w:r>
    </w:p>
    <w:p w14:paraId="133A6AB2">
      <w:pPr>
        <w:pageBreakBefore w:val="0"/>
        <w:shd w:val="clear" w:color="auto" w:fill="auto"/>
        <w:kinsoku/>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bookmarkStart w:id="1062" w:name="OLE_LINK1437"/>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（1）污染源参数</w:t>
      </w:r>
    </w:p>
    <w:bookmarkEnd w:id="1062"/>
    <w:p w14:paraId="43375074">
      <w:pPr>
        <w:pageBreakBefore w:val="0"/>
        <w:shd w:val="clear" w:color="auto" w:fill="auto"/>
        <w:kinsoku/>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eastAsia"/>
          <w:color w:val="000000" w:themeColor="text1"/>
          <w:highlight w:val="none"/>
          <w14:textFill>
            <w14:solidFill>
              <w14:schemeClr w14:val="tx1"/>
            </w14:solidFill>
          </w14:textFill>
        </w:rPr>
        <w:t>运营期的废气排放源主要为井场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拉运</w:t>
      </w:r>
      <w:r>
        <w:rPr>
          <w:rFonts w:hint="eastAsia"/>
          <w:color w:val="000000" w:themeColor="text1"/>
          <w:highlight w:val="none"/>
          <w14:textFill>
            <w14:solidFill>
              <w14:schemeClr w14:val="tx1"/>
            </w14:solidFill>
          </w14:textFill>
        </w:rPr>
        <w:t>过程中</w:t>
      </w:r>
      <w:r>
        <w:rPr>
          <w:rFonts w:hint="eastAsia"/>
          <w:color w:val="000000" w:themeColor="text1"/>
          <w:highlight w:val="none"/>
          <w:lang w:val="en-US" w:eastAsia="zh-CN"/>
          <w14:textFill>
            <w14:solidFill>
              <w14:schemeClr w14:val="tx1"/>
            </w14:solidFill>
          </w14:textFill>
        </w:rPr>
        <w:t>产生的</w:t>
      </w:r>
      <w:r>
        <w:rPr>
          <w:rFonts w:hint="eastAsia"/>
          <w:color w:val="000000" w:themeColor="text1"/>
          <w:highlight w:val="none"/>
          <w14:textFill>
            <w14:solidFill>
              <w14:schemeClr w14:val="tx1"/>
            </w14:solidFill>
          </w14:textFill>
        </w:rPr>
        <w:t>无组织废气排放。无组织排放的污染物主要为井口、阀门以及油罐等处产生的无组织挥发烃类</w:t>
      </w:r>
      <w:r>
        <w:rPr>
          <w:rFonts w:hint="default" w:ascii="Times New Roman" w:hAnsi="Times New Roman" w:cs="Times New Roman"/>
          <w:color w:val="000000" w:themeColor="text1"/>
          <w:highlight w:val="none"/>
          <w14:textFill>
            <w14:solidFill>
              <w14:schemeClr w14:val="tx1"/>
            </w14:solidFill>
          </w14:textFill>
        </w:rPr>
        <w:t>。星火7斜井、星火701斜井和星火7-2斜井三口井均在同一个井场内</w:t>
      </w:r>
      <w:r>
        <w:rPr>
          <w:rFonts w:hint="eastAsia" w:cs="Times New Roman"/>
          <w:color w:val="000000" w:themeColor="text1"/>
          <w:highlight w:val="none"/>
          <w:lang w:eastAsia="zh-CN"/>
          <w14:textFill>
            <w14:solidFill>
              <w14:schemeClr w14:val="tx1"/>
            </w14:solidFill>
          </w14:textFill>
        </w:rPr>
        <w:t>。</w:t>
      </w:r>
    </w:p>
    <w:p w14:paraId="2AD7AE80">
      <w:pPr>
        <w:pageBreakBefore w:val="0"/>
        <w:shd w:val="clear" w:color="auto" w:fill="auto"/>
        <w:kinsoku/>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根据工程分析，本工程运营期井场产生的无组织排放污染物参数见表5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eastAsia" w:cs="Times New Roman"/>
          <w:color w:val="000000" w:themeColor="text1"/>
          <w:spacing w:val="4"/>
          <w:kern w:val="24"/>
          <w:sz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p>
    <w:p w14:paraId="480F8161">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主要无组织废气污染源参数一览表</w:t>
      </w:r>
    </w:p>
    <w:tbl>
      <w:tblPr>
        <w:tblStyle w:val="37"/>
        <w:tblW w:w="499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29"/>
        <w:gridCol w:w="869"/>
        <w:gridCol w:w="663"/>
        <w:gridCol w:w="650"/>
        <w:gridCol w:w="640"/>
        <w:gridCol w:w="640"/>
        <w:gridCol w:w="640"/>
        <w:gridCol w:w="560"/>
        <w:gridCol w:w="652"/>
        <w:gridCol w:w="674"/>
        <w:gridCol w:w="545"/>
        <w:gridCol w:w="649"/>
        <w:gridCol w:w="743"/>
      </w:tblGrid>
      <w:tr w14:paraId="6BCB5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272" w:type="pct"/>
            <w:vMerge w:val="restart"/>
            <w:tcBorders>
              <w:tl2br w:val="nil"/>
              <w:tr2bl w:val="nil"/>
            </w:tcBorders>
            <w:noWrap w:val="0"/>
            <w:vAlign w:val="center"/>
          </w:tcPr>
          <w:p w14:paraId="0E85D56E">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535" w:type="pct"/>
            <w:vMerge w:val="restart"/>
            <w:tcBorders>
              <w:tl2br w:val="nil"/>
              <w:tr2bl w:val="nil"/>
            </w:tcBorders>
            <w:noWrap w:val="0"/>
            <w:vAlign w:val="center"/>
          </w:tcPr>
          <w:p w14:paraId="6A253293">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污染源</w:t>
            </w:r>
          </w:p>
          <w:p w14:paraId="3DAB413A">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名称</w:t>
            </w:r>
          </w:p>
        </w:tc>
        <w:tc>
          <w:tcPr>
            <w:tcW w:w="816" w:type="pct"/>
            <w:gridSpan w:val="2"/>
            <w:tcBorders>
              <w:tl2br w:val="nil"/>
              <w:tr2bl w:val="nil"/>
            </w:tcBorders>
            <w:noWrap w:val="0"/>
            <w:vAlign w:val="center"/>
          </w:tcPr>
          <w:p w14:paraId="05179212">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面源起点</w:t>
            </w:r>
          </w:p>
          <w:p w14:paraId="53BEE00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坐标</w:t>
            </w:r>
          </w:p>
        </w:tc>
        <w:tc>
          <w:tcPr>
            <w:tcW w:w="346" w:type="pct"/>
            <w:vMerge w:val="restart"/>
            <w:tcBorders>
              <w:tl2br w:val="nil"/>
              <w:tr2bl w:val="nil"/>
            </w:tcBorders>
            <w:noWrap w:val="0"/>
            <w:vAlign w:val="center"/>
          </w:tcPr>
          <w:p w14:paraId="39616260">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面源</w:t>
            </w:r>
            <w:r>
              <w:rPr>
                <w:rFonts w:hint="eastAsia" w:cs="Times New Roman"/>
                <w:color w:val="000000" w:themeColor="text1"/>
                <w:kern w:val="0"/>
                <w:sz w:val="21"/>
                <w:szCs w:val="21"/>
                <w:highlight w:val="none"/>
                <w:lang w:eastAsia="zh-CN"/>
                <w14:textFill>
                  <w14:solidFill>
                    <w14:schemeClr w14:val="tx1"/>
                  </w14:solidFill>
                </w14:textFill>
              </w:rPr>
              <w:t>海拔</w:t>
            </w:r>
            <w:bookmarkStart w:id="1063" w:name="OLE_LINK1203"/>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m</w:t>
            </w:r>
            <w:r>
              <w:rPr>
                <w:rFonts w:hint="eastAsia" w:cs="Times New Roman"/>
                <w:color w:val="000000" w:themeColor="text1"/>
                <w:kern w:val="0"/>
                <w:sz w:val="21"/>
                <w:szCs w:val="21"/>
                <w:highlight w:val="none"/>
                <w:lang w:eastAsia="zh-CN"/>
                <w14:textFill>
                  <w14:solidFill>
                    <w14:schemeClr w14:val="tx1"/>
                  </w14:solidFill>
                </w14:textFill>
              </w:rPr>
              <w:t>）</w:t>
            </w:r>
            <w:bookmarkEnd w:id="1063"/>
          </w:p>
        </w:tc>
        <w:tc>
          <w:tcPr>
            <w:tcW w:w="341" w:type="pct"/>
            <w:vMerge w:val="restart"/>
            <w:tcBorders>
              <w:tl2br w:val="nil"/>
              <w:tr2bl w:val="nil"/>
            </w:tcBorders>
            <w:noWrap w:val="0"/>
            <w:vAlign w:val="center"/>
          </w:tcPr>
          <w:p w14:paraId="777F4FCA">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面源长度</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m</w:t>
            </w:r>
            <w:r>
              <w:rPr>
                <w:rFonts w:hint="eastAsia" w:cs="Times New Roman"/>
                <w:color w:val="000000" w:themeColor="text1"/>
                <w:kern w:val="0"/>
                <w:sz w:val="21"/>
                <w:szCs w:val="21"/>
                <w:highlight w:val="none"/>
                <w:lang w:eastAsia="zh-CN"/>
                <w14:textFill>
                  <w14:solidFill>
                    <w14:schemeClr w14:val="tx1"/>
                  </w14:solidFill>
                </w14:textFill>
              </w:rPr>
              <w:t>）</w:t>
            </w:r>
          </w:p>
        </w:tc>
        <w:tc>
          <w:tcPr>
            <w:tcW w:w="309" w:type="pct"/>
            <w:vMerge w:val="restart"/>
            <w:tcBorders>
              <w:tl2br w:val="nil"/>
              <w:tr2bl w:val="nil"/>
            </w:tcBorders>
            <w:noWrap w:val="0"/>
            <w:vAlign w:val="center"/>
          </w:tcPr>
          <w:p w14:paraId="54D46CC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面源宽度</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m</w:t>
            </w:r>
            <w:r>
              <w:rPr>
                <w:rFonts w:hint="eastAsia" w:cs="Times New Roman"/>
                <w:color w:val="000000" w:themeColor="text1"/>
                <w:kern w:val="0"/>
                <w:sz w:val="21"/>
                <w:szCs w:val="21"/>
                <w:highlight w:val="none"/>
                <w:lang w:eastAsia="zh-CN"/>
                <w14:textFill>
                  <w14:solidFill>
                    <w14:schemeClr w14:val="tx1"/>
                  </w14:solidFill>
                </w14:textFill>
              </w:rPr>
              <w:t>）</w:t>
            </w:r>
          </w:p>
        </w:tc>
        <w:tc>
          <w:tcPr>
            <w:tcW w:w="344" w:type="pct"/>
            <w:vMerge w:val="restart"/>
            <w:tcBorders>
              <w:tl2br w:val="nil"/>
              <w:tr2bl w:val="nil"/>
            </w:tcBorders>
            <w:noWrap w:val="0"/>
            <w:vAlign w:val="center"/>
          </w:tcPr>
          <w:p w14:paraId="702F6C7E">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与正北向夹角</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cs="Times New Roman"/>
                <w:color w:val="000000" w:themeColor="text1"/>
                <w:kern w:val="0"/>
                <w:sz w:val="21"/>
                <w:szCs w:val="21"/>
                <w:highlight w:val="none"/>
                <w:lang w:eastAsia="zh-CN"/>
                <w14:textFill>
                  <w14:solidFill>
                    <w14:schemeClr w14:val="tx1"/>
                  </w14:solidFill>
                </w14:textFill>
              </w:rPr>
              <w:t>）</w:t>
            </w:r>
          </w:p>
        </w:tc>
        <w:tc>
          <w:tcPr>
            <w:tcW w:w="411" w:type="pct"/>
            <w:vMerge w:val="restart"/>
            <w:tcBorders>
              <w:tl2br w:val="nil"/>
              <w:tr2bl w:val="nil"/>
            </w:tcBorders>
            <w:noWrap w:val="0"/>
            <w:vAlign w:val="center"/>
          </w:tcPr>
          <w:p w14:paraId="6F14F972">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面源有效排放高度</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m</w:t>
            </w:r>
            <w:r>
              <w:rPr>
                <w:rFonts w:hint="eastAsia" w:cs="Times New Roman"/>
                <w:color w:val="000000" w:themeColor="text1"/>
                <w:kern w:val="0"/>
                <w:sz w:val="21"/>
                <w:szCs w:val="21"/>
                <w:highlight w:val="none"/>
                <w:lang w:eastAsia="zh-CN"/>
                <w14:textFill>
                  <w14:solidFill>
                    <w14:schemeClr w14:val="tx1"/>
                  </w14:solidFill>
                </w14:textFill>
              </w:rPr>
              <w:t>）</w:t>
            </w:r>
          </w:p>
        </w:tc>
        <w:tc>
          <w:tcPr>
            <w:tcW w:w="418" w:type="pct"/>
            <w:vMerge w:val="restart"/>
            <w:tcBorders>
              <w:tl2br w:val="nil"/>
              <w:tr2bl w:val="nil"/>
            </w:tcBorders>
            <w:noWrap w:val="0"/>
            <w:vAlign w:val="center"/>
          </w:tcPr>
          <w:p w14:paraId="0F319EE6">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年排放小时数</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h</w:t>
            </w:r>
            <w:r>
              <w:rPr>
                <w:rFonts w:hint="eastAsia" w:cs="Times New Roman"/>
                <w:color w:val="000000" w:themeColor="text1"/>
                <w:kern w:val="0"/>
                <w:sz w:val="21"/>
                <w:szCs w:val="21"/>
                <w:highlight w:val="none"/>
                <w:lang w:eastAsia="zh-CN"/>
                <w14:textFill>
                  <w14:solidFill>
                    <w14:schemeClr w14:val="tx1"/>
                  </w14:solidFill>
                </w14:textFill>
              </w:rPr>
              <w:t>）</w:t>
            </w:r>
          </w:p>
        </w:tc>
        <w:tc>
          <w:tcPr>
            <w:tcW w:w="341" w:type="pct"/>
            <w:vMerge w:val="restart"/>
            <w:tcBorders>
              <w:tl2br w:val="nil"/>
              <w:tr2bl w:val="nil"/>
            </w:tcBorders>
            <w:noWrap w:val="0"/>
            <w:vAlign w:val="center"/>
          </w:tcPr>
          <w:p w14:paraId="18326898">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排放工况</w:t>
            </w:r>
          </w:p>
        </w:tc>
        <w:tc>
          <w:tcPr>
            <w:tcW w:w="403" w:type="pct"/>
            <w:vMerge w:val="restart"/>
            <w:tcBorders>
              <w:tl2br w:val="nil"/>
              <w:tr2bl w:val="nil"/>
            </w:tcBorders>
            <w:noWrap w:val="0"/>
            <w:vAlign w:val="center"/>
          </w:tcPr>
          <w:p w14:paraId="167DE8D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w:t>
            </w:r>
          </w:p>
          <w:p w14:paraId="5B9E6F18">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因子</w:t>
            </w:r>
          </w:p>
        </w:tc>
        <w:tc>
          <w:tcPr>
            <w:tcW w:w="459" w:type="pct"/>
            <w:vMerge w:val="restart"/>
            <w:tcBorders>
              <w:tl2br w:val="nil"/>
              <w:tr2bl w:val="nil"/>
            </w:tcBorders>
            <w:noWrap w:val="0"/>
            <w:vAlign w:val="center"/>
          </w:tcPr>
          <w:p w14:paraId="25724641">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排放</w:t>
            </w:r>
          </w:p>
          <w:p w14:paraId="01C256A4">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速率</w:t>
            </w:r>
          </w:p>
          <w:p w14:paraId="506D27FB">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kg/h</w:t>
            </w:r>
            <w:r>
              <w:rPr>
                <w:rFonts w:hint="eastAsia" w:cs="Times New Roman"/>
                <w:color w:val="000000" w:themeColor="text1"/>
                <w:kern w:val="0"/>
                <w:sz w:val="21"/>
                <w:szCs w:val="21"/>
                <w:highlight w:val="none"/>
                <w:lang w:eastAsia="zh-CN"/>
                <w14:textFill>
                  <w14:solidFill>
                    <w14:schemeClr w14:val="tx1"/>
                  </w14:solidFill>
                </w14:textFill>
              </w:rPr>
              <w:t>)</w:t>
            </w:r>
          </w:p>
        </w:tc>
      </w:tr>
      <w:tr w14:paraId="6BF004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272" w:type="pct"/>
            <w:vMerge w:val="continue"/>
            <w:tcBorders>
              <w:tl2br w:val="nil"/>
              <w:tr2bl w:val="nil"/>
            </w:tcBorders>
            <w:noWrap w:val="0"/>
            <w:vAlign w:val="center"/>
          </w:tcPr>
          <w:p w14:paraId="11D9928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35" w:type="pct"/>
            <w:vMerge w:val="continue"/>
            <w:tcBorders>
              <w:tl2br w:val="nil"/>
              <w:tr2bl w:val="nil"/>
            </w:tcBorders>
            <w:noWrap w:val="0"/>
            <w:vAlign w:val="center"/>
          </w:tcPr>
          <w:p w14:paraId="493A7D67">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2" w:type="pct"/>
            <w:tcBorders>
              <w:tl2br w:val="nil"/>
              <w:tr2bl w:val="nil"/>
            </w:tcBorders>
            <w:noWrap w:val="0"/>
            <w:vAlign w:val="center"/>
          </w:tcPr>
          <w:p w14:paraId="4C9D9F0F">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经度</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cs="Times New Roman"/>
                <w:color w:val="000000" w:themeColor="text1"/>
                <w:kern w:val="0"/>
                <w:sz w:val="21"/>
                <w:szCs w:val="21"/>
                <w:highlight w:val="none"/>
                <w:lang w:eastAsia="zh-CN"/>
                <w14:textFill>
                  <w14:solidFill>
                    <w14:schemeClr w14:val="tx1"/>
                  </w14:solidFill>
                </w14:textFill>
              </w:rPr>
              <w:t>）</w:t>
            </w:r>
          </w:p>
        </w:tc>
        <w:tc>
          <w:tcPr>
            <w:tcW w:w="403" w:type="pct"/>
            <w:tcBorders>
              <w:tl2br w:val="nil"/>
              <w:tr2bl w:val="nil"/>
            </w:tcBorders>
            <w:noWrap w:val="0"/>
            <w:vAlign w:val="center"/>
          </w:tcPr>
          <w:p w14:paraId="5C1A6680">
            <w:pPr>
              <w:widowControl/>
              <w:bidi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纬度</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cs="Times New Roman"/>
                <w:color w:val="000000" w:themeColor="text1"/>
                <w:kern w:val="0"/>
                <w:sz w:val="21"/>
                <w:szCs w:val="21"/>
                <w:highlight w:val="none"/>
                <w:lang w:eastAsia="zh-CN"/>
                <w14:textFill>
                  <w14:solidFill>
                    <w14:schemeClr w14:val="tx1"/>
                  </w14:solidFill>
                </w14:textFill>
              </w:rPr>
              <w:t>）</w:t>
            </w:r>
          </w:p>
        </w:tc>
        <w:tc>
          <w:tcPr>
            <w:tcW w:w="346" w:type="pct"/>
            <w:vMerge w:val="continue"/>
            <w:tcBorders>
              <w:tl2br w:val="nil"/>
              <w:tr2bl w:val="nil"/>
            </w:tcBorders>
            <w:noWrap w:val="0"/>
            <w:vAlign w:val="center"/>
          </w:tcPr>
          <w:p w14:paraId="596F76A1">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1" w:type="pct"/>
            <w:vMerge w:val="continue"/>
            <w:tcBorders>
              <w:tl2br w:val="nil"/>
              <w:tr2bl w:val="nil"/>
            </w:tcBorders>
            <w:noWrap w:val="0"/>
            <w:vAlign w:val="center"/>
          </w:tcPr>
          <w:p w14:paraId="40A7CBF0">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09" w:type="pct"/>
            <w:vMerge w:val="continue"/>
            <w:tcBorders>
              <w:tl2br w:val="nil"/>
              <w:tr2bl w:val="nil"/>
            </w:tcBorders>
            <w:noWrap w:val="0"/>
            <w:vAlign w:val="center"/>
          </w:tcPr>
          <w:p w14:paraId="6760A61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4" w:type="pct"/>
            <w:vMerge w:val="continue"/>
            <w:tcBorders>
              <w:tl2br w:val="nil"/>
              <w:tr2bl w:val="nil"/>
            </w:tcBorders>
            <w:noWrap w:val="0"/>
            <w:vAlign w:val="center"/>
          </w:tcPr>
          <w:p w14:paraId="135113DE">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1" w:type="pct"/>
            <w:vMerge w:val="continue"/>
            <w:tcBorders>
              <w:tl2br w:val="nil"/>
              <w:tr2bl w:val="nil"/>
            </w:tcBorders>
            <w:noWrap w:val="0"/>
            <w:vAlign w:val="center"/>
          </w:tcPr>
          <w:p w14:paraId="1E8C4685">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8" w:type="pct"/>
            <w:vMerge w:val="continue"/>
            <w:tcBorders>
              <w:tl2br w:val="nil"/>
              <w:tr2bl w:val="nil"/>
            </w:tcBorders>
            <w:noWrap w:val="0"/>
            <w:vAlign w:val="center"/>
          </w:tcPr>
          <w:p w14:paraId="408AD7C6">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1" w:type="pct"/>
            <w:vMerge w:val="continue"/>
            <w:tcBorders>
              <w:tl2br w:val="nil"/>
              <w:tr2bl w:val="nil"/>
            </w:tcBorders>
            <w:noWrap w:val="0"/>
            <w:vAlign w:val="center"/>
          </w:tcPr>
          <w:p w14:paraId="4DF7A1D6">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03" w:type="pct"/>
            <w:vMerge w:val="continue"/>
            <w:tcBorders>
              <w:tl2br w:val="nil"/>
              <w:tr2bl w:val="nil"/>
            </w:tcBorders>
            <w:noWrap w:val="0"/>
            <w:vAlign w:val="center"/>
          </w:tcPr>
          <w:p w14:paraId="3B050196">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59" w:type="pct"/>
            <w:vMerge w:val="continue"/>
            <w:tcBorders>
              <w:tl2br w:val="nil"/>
              <w:tr2bl w:val="nil"/>
            </w:tcBorders>
            <w:noWrap w:val="0"/>
            <w:vAlign w:val="center"/>
          </w:tcPr>
          <w:p w14:paraId="1F8EA77B">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5D5654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272" w:type="pct"/>
            <w:vMerge w:val="restart"/>
            <w:tcBorders>
              <w:tl2br w:val="nil"/>
              <w:tr2bl w:val="nil"/>
            </w:tcBorders>
            <w:noWrap w:val="0"/>
            <w:vAlign w:val="center"/>
          </w:tcPr>
          <w:p w14:paraId="5246D766">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535" w:type="pct"/>
            <w:vMerge w:val="restart"/>
            <w:tcBorders>
              <w:tl2br w:val="nil"/>
              <w:tr2bl w:val="nil"/>
            </w:tcBorders>
            <w:noWrap w:val="0"/>
            <w:vAlign w:val="center"/>
          </w:tcPr>
          <w:p w14:paraId="38D4E035">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井场无组织废气</w:t>
            </w:r>
          </w:p>
        </w:tc>
        <w:tc>
          <w:tcPr>
            <w:tcW w:w="412" w:type="pct"/>
            <w:vMerge w:val="restart"/>
            <w:tcBorders>
              <w:tl2br w:val="nil"/>
              <w:tr2bl w:val="nil"/>
            </w:tcBorders>
            <w:noWrap w:val="0"/>
            <w:vAlign w:val="center"/>
          </w:tcPr>
          <w:p w14:paraId="4B636C8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403" w:type="pct"/>
            <w:vMerge w:val="restart"/>
            <w:tcBorders>
              <w:tl2br w:val="nil"/>
              <w:tr2bl w:val="nil"/>
            </w:tcBorders>
            <w:noWrap w:val="0"/>
            <w:vAlign w:val="center"/>
          </w:tcPr>
          <w:p w14:paraId="338EE90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46" w:type="pct"/>
            <w:vMerge w:val="restart"/>
            <w:tcBorders>
              <w:tl2br w:val="nil"/>
              <w:tr2bl w:val="nil"/>
            </w:tcBorders>
            <w:noWrap w:val="0"/>
            <w:vAlign w:val="center"/>
          </w:tcPr>
          <w:p w14:paraId="0779EFD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991</w:t>
            </w:r>
          </w:p>
        </w:tc>
        <w:tc>
          <w:tcPr>
            <w:tcW w:w="341" w:type="pct"/>
            <w:vMerge w:val="restart"/>
            <w:tcBorders>
              <w:tl2br w:val="nil"/>
              <w:tr2bl w:val="nil"/>
            </w:tcBorders>
            <w:noWrap w:val="0"/>
            <w:vAlign w:val="center"/>
          </w:tcPr>
          <w:p w14:paraId="00667674">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350</w:t>
            </w:r>
          </w:p>
        </w:tc>
        <w:tc>
          <w:tcPr>
            <w:tcW w:w="309" w:type="pct"/>
            <w:vMerge w:val="restart"/>
            <w:tcBorders>
              <w:tl2br w:val="nil"/>
              <w:tr2bl w:val="nil"/>
            </w:tcBorders>
            <w:noWrap w:val="0"/>
            <w:vAlign w:val="center"/>
          </w:tcPr>
          <w:p w14:paraId="51A8FA37">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80</w:t>
            </w:r>
          </w:p>
        </w:tc>
        <w:tc>
          <w:tcPr>
            <w:tcW w:w="344" w:type="pct"/>
            <w:vMerge w:val="restart"/>
            <w:tcBorders>
              <w:tl2br w:val="nil"/>
              <w:tr2bl w:val="nil"/>
            </w:tcBorders>
            <w:noWrap w:val="0"/>
            <w:vAlign w:val="center"/>
          </w:tcPr>
          <w:p w14:paraId="52A15316">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40</w:t>
            </w:r>
          </w:p>
        </w:tc>
        <w:tc>
          <w:tcPr>
            <w:tcW w:w="411" w:type="pct"/>
            <w:vMerge w:val="restart"/>
            <w:tcBorders>
              <w:tl2br w:val="nil"/>
              <w:tr2bl w:val="nil"/>
            </w:tcBorders>
            <w:noWrap w:val="0"/>
            <w:vAlign w:val="center"/>
          </w:tcPr>
          <w:p w14:paraId="3523D6A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418" w:type="pct"/>
            <w:vMerge w:val="restart"/>
            <w:tcBorders>
              <w:tl2br w:val="nil"/>
              <w:tr2bl w:val="nil"/>
            </w:tcBorders>
            <w:noWrap w:val="0"/>
            <w:vAlign w:val="center"/>
          </w:tcPr>
          <w:p w14:paraId="5F3EF3F0">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8760</w:t>
            </w:r>
          </w:p>
        </w:tc>
        <w:tc>
          <w:tcPr>
            <w:tcW w:w="341" w:type="pct"/>
            <w:vMerge w:val="restart"/>
            <w:tcBorders>
              <w:tl2br w:val="nil"/>
              <w:tr2bl w:val="nil"/>
            </w:tcBorders>
            <w:noWrap w:val="0"/>
            <w:vAlign w:val="center"/>
          </w:tcPr>
          <w:p w14:paraId="0E9CCDCC">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正常</w:t>
            </w:r>
          </w:p>
        </w:tc>
        <w:tc>
          <w:tcPr>
            <w:tcW w:w="403" w:type="pct"/>
            <w:tcBorders>
              <w:tl2br w:val="nil"/>
              <w:tr2bl w:val="nil"/>
            </w:tcBorders>
            <w:noWrap w:val="0"/>
            <w:vAlign w:val="center"/>
          </w:tcPr>
          <w:p w14:paraId="4B8330C4">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非甲烷总烃</w:t>
            </w:r>
          </w:p>
        </w:tc>
        <w:tc>
          <w:tcPr>
            <w:tcW w:w="459" w:type="pct"/>
            <w:tcBorders>
              <w:tl2br w:val="nil"/>
              <w:tr2bl w:val="nil"/>
            </w:tcBorders>
            <w:noWrap w:val="0"/>
            <w:vAlign w:val="center"/>
          </w:tcPr>
          <w:p w14:paraId="4F3E9AF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0.054</w:t>
            </w:r>
          </w:p>
        </w:tc>
      </w:tr>
      <w:tr w14:paraId="0A2C8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272" w:type="pct"/>
            <w:vMerge w:val="continue"/>
            <w:tcBorders>
              <w:tl2br w:val="nil"/>
              <w:tr2bl w:val="nil"/>
            </w:tcBorders>
            <w:noWrap w:val="0"/>
            <w:vAlign w:val="center"/>
          </w:tcPr>
          <w:p w14:paraId="4A29EF9E">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35" w:type="pct"/>
            <w:vMerge w:val="continue"/>
            <w:tcBorders>
              <w:tl2br w:val="nil"/>
              <w:tr2bl w:val="nil"/>
            </w:tcBorders>
            <w:noWrap w:val="0"/>
            <w:vAlign w:val="center"/>
          </w:tcPr>
          <w:p w14:paraId="2FD9AEF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2" w:type="pct"/>
            <w:vMerge w:val="continue"/>
            <w:tcBorders>
              <w:tl2br w:val="nil"/>
              <w:tr2bl w:val="nil"/>
            </w:tcBorders>
            <w:noWrap w:val="0"/>
            <w:vAlign w:val="center"/>
          </w:tcPr>
          <w:p w14:paraId="15EA7A85">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03" w:type="pct"/>
            <w:vMerge w:val="continue"/>
            <w:tcBorders>
              <w:tl2br w:val="nil"/>
              <w:tr2bl w:val="nil"/>
            </w:tcBorders>
            <w:noWrap w:val="0"/>
            <w:vAlign w:val="center"/>
          </w:tcPr>
          <w:p w14:paraId="2BFDFA13">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6" w:type="pct"/>
            <w:vMerge w:val="continue"/>
            <w:tcBorders>
              <w:tl2br w:val="nil"/>
              <w:tr2bl w:val="nil"/>
            </w:tcBorders>
            <w:noWrap w:val="0"/>
            <w:vAlign w:val="center"/>
          </w:tcPr>
          <w:p w14:paraId="68DECBB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1" w:type="pct"/>
            <w:vMerge w:val="continue"/>
            <w:tcBorders>
              <w:tl2br w:val="nil"/>
              <w:tr2bl w:val="nil"/>
            </w:tcBorders>
            <w:noWrap w:val="0"/>
            <w:vAlign w:val="center"/>
          </w:tcPr>
          <w:p w14:paraId="4E993CD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09" w:type="pct"/>
            <w:vMerge w:val="continue"/>
            <w:tcBorders>
              <w:tl2br w:val="nil"/>
              <w:tr2bl w:val="nil"/>
            </w:tcBorders>
            <w:noWrap w:val="0"/>
            <w:vAlign w:val="center"/>
          </w:tcPr>
          <w:p w14:paraId="7A2D9ACA">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4" w:type="pct"/>
            <w:vMerge w:val="continue"/>
            <w:tcBorders>
              <w:tl2br w:val="nil"/>
              <w:tr2bl w:val="nil"/>
            </w:tcBorders>
            <w:noWrap w:val="0"/>
            <w:vAlign w:val="center"/>
          </w:tcPr>
          <w:p w14:paraId="7E49F7CD">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1" w:type="pct"/>
            <w:vMerge w:val="continue"/>
            <w:tcBorders>
              <w:tl2br w:val="nil"/>
              <w:tr2bl w:val="nil"/>
            </w:tcBorders>
            <w:noWrap w:val="0"/>
            <w:vAlign w:val="center"/>
          </w:tcPr>
          <w:p w14:paraId="6D52765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18" w:type="pct"/>
            <w:vMerge w:val="continue"/>
            <w:tcBorders>
              <w:tl2br w:val="nil"/>
              <w:tr2bl w:val="nil"/>
            </w:tcBorders>
            <w:noWrap w:val="0"/>
            <w:vAlign w:val="center"/>
          </w:tcPr>
          <w:p w14:paraId="4A2DEB2C">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41" w:type="pct"/>
            <w:vMerge w:val="continue"/>
            <w:tcBorders>
              <w:tl2br w:val="nil"/>
              <w:tr2bl w:val="nil"/>
            </w:tcBorders>
            <w:noWrap w:val="0"/>
            <w:vAlign w:val="center"/>
          </w:tcPr>
          <w:p w14:paraId="3CDB5D1C">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03" w:type="pct"/>
            <w:tcBorders>
              <w:tl2br w:val="nil"/>
              <w:tr2bl w:val="nil"/>
            </w:tcBorders>
            <w:noWrap w:val="0"/>
            <w:vAlign w:val="center"/>
          </w:tcPr>
          <w:p w14:paraId="3813126F">
            <w:pPr>
              <w:widowControl/>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硫化氢</w:t>
            </w:r>
          </w:p>
        </w:tc>
        <w:tc>
          <w:tcPr>
            <w:tcW w:w="459" w:type="pct"/>
            <w:tcBorders>
              <w:tl2br w:val="nil"/>
              <w:tr2bl w:val="nil"/>
            </w:tcBorders>
            <w:noWrap w:val="0"/>
            <w:vAlign w:val="center"/>
          </w:tcPr>
          <w:p w14:paraId="64E011FF">
            <w:pPr>
              <w:keepNext w:val="0"/>
              <w:keepLines w:val="0"/>
              <w:pageBreakBefore w:val="0"/>
              <w:widowControl/>
              <w:suppressLineNumbers w:val="0"/>
              <w:kinsoku/>
              <w:wordWrap w:val="0"/>
              <w:overflowPunct/>
              <w:topLinePunct w:val="0"/>
              <w:autoSpaceDE/>
              <w:autoSpaceDN/>
              <w:bidi w:val="0"/>
              <w:adjustRightInd/>
              <w:snapToGrid/>
              <w:spacing w:line="240" w:lineRule="auto"/>
              <w:ind w:left="-120" w:leftChars="-50"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0.0006</w:t>
            </w:r>
          </w:p>
        </w:tc>
      </w:tr>
    </w:tbl>
    <w:p w14:paraId="0A604223">
      <w:pPr>
        <w:shd w:val="clear" w:color="auto" w:fill="auto"/>
        <w:ind w:firstLine="480" w:firstLineChars="200"/>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（2）预测结果</w:t>
      </w:r>
    </w:p>
    <w:p w14:paraId="0733BA25">
      <w:pPr>
        <w:shd w:val="clear" w:color="auto" w:fill="auto"/>
        <w:spacing w:line="360" w:lineRule="auto"/>
        <w:ind w:firstLine="480" w:firstLineChars="200"/>
        <w:jc w:val="both"/>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kern w:val="24"/>
          <w:highlight w:val="none"/>
          <w:lang w:eastAsia="zh-CN"/>
          <w14:textFill>
            <w14:solidFill>
              <w14:schemeClr w14:val="tx1"/>
            </w14:solidFill>
          </w14:textFill>
        </w:rPr>
        <w:t>本工程</w:t>
      </w:r>
      <w:r>
        <w:rPr>
          <w:rFonts w:hint="default" w:ascii="Times New Roman" w:hAnsi="Times New Roman" w:cs="Times New Roman"/>
          <w:color w:val="000000" w:themeColor="text1"/>
          <w:spacing w:val="0"/>
          <w:kern w:val="24"/>
          <w:highlight w:val="none"/>
          <w:lang w:val="en-US" w:eastAsia="zh-CN"/>
          <w14:textFill>
            <w14:solidFill>
              <w14:schemeClr w14:val="tx1"/>
            </w14:solidFill>
          </w14:textFill>
        </w:rPr>
        <w:t>井场</w:t>
      </w:r>
      <w:r>
        <w:rPr>
          <w:rFonts w:hint="default" w:ascii="Times New Roman" w:hAnsi="Times New Roman" w:cs="Times New Roman"/>
          <w:color w:val="000000" w:themeColor="text1"/>
          <w:spacing w:val="0"/>
          <w:kern w:val="24"/>
          <w:highlight w:val="none"/>
          <w14:textFill>
            <w14:solidFill>
              <w14:schemeClr w14:val="tx1"/>
            </w14:solidFill>
          </w14:textFill>
        </w:rPr>
        <w:t>产生的无组织</w:t>
      </w:r>
      <w:r>
        <w:rPr>
          <w:rFonts w:hint="default" w:ascii="Times New Roman" w:hAnsi="Times New Roman" w:cs="Times New Roman"/>
          <w:color w:val="000000" w:themeColor="text1"/>
          <w:spacing w:val="0"/>
          <w:kern w:val="24"/>
          <w:highlight w:val="none"/>
          <w:lang w:val="en-US" w:eastAsia="zh-CN"/>
          <w14:textFill>
            <w14:solidFill>
              <w14:schemeClr w14:val="tx1"/>
            </w14:solidFill>
          </w14:textFill>
        </w:rPr>
        <w:t>废气</w:t>
      </w:r>
      <w:r>
        <w:rPr>
          <w:rFonts w:hint="default" w:ascii="Times New Roman" w:hAnsi="Times New Roman" w:cs="Times New Roman"/>
          <w:color w:val="000000" w:themeColor="text1"/>
          <w:spacing w:val="0"/>
          <w:highlight w:val="none"/>
          <w14:textFill>
            <w14:solidFill>
              <w14:schemeClr w14:val="tx1"/>
            </w14:solidFill>
          </w14:textFill>
        </w:rPr>
        <w:t>预测</w:t>
      </w:r>
      <w:r>
        <w:rPr>
          <w:rFonts w:hint="default" w:ascii="Times New Roman" w:hAnsi="Times New Roman" w:cs="Times New Roman"/>
          <w:color w:val="000000" w:themeColor="text1"/>
          <w:spacing w:val="0"/>
          <w:highlight w:val="none"/>
          <w:lang w:val="en-US" w:eastAsia="zh-CN"/>
          <w14:textFill>
            <w14:solidFill>
              <w14:schemeClr w14:val="tx1"/>
            </w14:solidFill>
          </w14:textFill>
        </w:rPr>
        <w:t>结果</w:t>
      </w:r>
      <w:r>
        <w:rPr>
          <w:rFonts w:hint="default" w:ascii="Times New Roman" w:hAnsi="Times New Roman" w:cs="Times New Roman"/>
          <w:color w:val="000000" w:themeColor="text1"/>
          <w:spacing w:val="0"/>
          <w:highlight w:val="none"/>
          <w14:textFill>
            <w14:solidFill>
              <w14:schemeClr w14:val="tx1"/>
            </w14:solidFill>
          </w14:textFill>
        </w:rPr>
        <w:t>见表5.</w:t>
      </w:r>
      <w:r>
        <w:rPr>
          <w:rFonts w:hint="default" w:ascii="Times New Roman" w:hAnsi="Times New Roman" w:cs="Times New Roman"/>
          <w:color w:val="000000" w:themeColor="text1"/>
          <w:spacing w:val="0"/>
          <w:highlight w:val="none"/>
          <w:lang w:val="en-US" w:eastAsia="zh-CN"/>
          <w14:textFill>
            <w14:solidFill>
              <w14:schemeClr w14:val="tx1"/>
            </w14:solidFill>
          </w14:textFill>
        </w:rPr>
        <w:t>5-</w:t>
      </w:r>
      <w:r>
        <w:rPr>
          <w:rFonts w:hint="eastAsia" w:cs="Times New Roman"/>
          <w:color w:val="000000" w:themeColor="text1"/>
          <w:spacing w:val="0"/>
          <w:highlight w:val="none"/>
          <w:lang w:val="en-US" w:eastAsia="zh-CN"/>
          <w14:textFill>
            <w14:solidFill>
              <w14:schemeClr w14:val="tx1"/>
            </w14:solidFill>
          </w14:textFill>
        </w:rPr>
        <w:t>5</w:t>
      </w:r>
      <w:r>
        <w:rPr>
          <w:rFonts w:hint="default" w:ascii="Times New Roman" w:hAnsi="Times New Roman" w:cs="Times New Roman"/>
          <w:color w:val="000000" w:themeColor="text1"/>
          <w:spacing w:val="0"/>
          <w:highlight w:val="none"/>
          <w14:textFill>
            <w14:solidFill>
              <w14:schemeClr w14:val="tx1"/>
            </w14:solidFill>
          </w14:textFill>
        </w:rPr>
        <w:t>。</w:t>
      </w:r>
    </w:p>
    <w:p w14:paraId="7517BA41">
      <w:pPr>
        <w:keepNext w:val="0"/>
        <w:keepLines w:val="0"/>
        <w:pageBreakBefore w:val="0"/>
        <w:widowControl w:val="0"/>
        <w:kinsoku/>
        <w:wordWrap/>
        <w:overflowPunct/>
        <w:topLinePunct w:val="0"/>
        <w:autoSpaceDE/>
        <w:autoSpaceDN/>
        <w:bidi w:val="0"/>
        <w:adjustRightInd w:val="0"/>
        <w:snapToGrid w:val="0"/>
        <w:spacing w:line="240" w:lineRule="auto"/>
        <w:ind w:firstLine="413" w:firstLineChars="196"/>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Pmax及D10%预测及计算结果一览表（无组织）</w:t>
      </w:r>
    </w:p>
    <w:tbl>
      <w:tblPr>
        <w:tblStyle w:val="3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636"/>
        <w:gridCol w:w="1176"/>
        <w:gridCol w:w="1045"/>
        <w:gridCol w:w="848"/>
        <w:gridCol w:w="2513"/>
        <w:gridCol w:w="1109"/>
      </w:tblGrid>
      <w:tr w14:paraId="7C059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82" w:type="pct"/>
            <w:tcBorders>
              <w:tl2br w:val="nil"/>
              <w:tr2bl w:val="nil"/>
            </w:tcBorders>
            <w:noWrap w:val="0"/>
            <w:tcMar>
              <w:top w:w="12" w:type="dxa"/>
              <w:left w:w="12" w:type="dxa"/>
              <w:bottom w:w="0" w:type="dxa"/>
              <w:right w:w="12" w:type="dxa"/>
            </w:tcMar>
            <w:vAlign w:val="center"/>
          </w:tcPr>
          <w:p w14:paraId="4A1D098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bookmarkStart w:id="1064" w:name="OLE_LINK1204"/>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污染源名称</w:t>
            </w:r>
          </w:p>
        </w:tc>
        <w:tc>
          <w:tcPr>
            <w:tcW w:w="706" w:type="pct"/>
            <w:tcBorders>
              <w:tl2br w:val="nil"/>
              <w:tr2bl w:val="nil"/>
            </w:tcBorders>
            <w:noWrap w:val="0"/>
            <w:tcMar>
              <w:top w:w="12" w:type="dxa"/>
              <w:left w:w="12" w:type="dxa"/>
              <w:bottom w:w="0" w:type="dxa"/>
              <w:right w:w="12" w:type="dxa"/>
            </w:tcMar>
            <w:vAlign w:val="center"/>
          </w:tcPr>
          <w:p w14:paraId="1B1C6BED">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评价因子</w:t>
            </w:r>
          </w:p>
        </w:tc>
        <w:tc>
          <w:tcPr>
            <w:tcW w:w="627" w:type="pct"/>
            <w:tcBorders>
              <w:tl2br w:val="nil"/>
              <w:tr2bl w:val="nil"/>
            </w:tcBorders>
            <w:noWrap w:val="0"/>
            <w:tcMar>
              <w:top w:w="12" w:type="dxa"/>
              <w:left w:w="12" w:type="dxa"/>
              <w:bottom w:w="0" w:type="dxa"/>
              <w:right w:w="12" w:type="dxa"/>
            </w:tcMar>
            <w:vAlign w:val="center"/>
          </w:tcPr>
          <w:p w14:paraId="75D8342D">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C</w:t>
            </w:r>
            <w:r>
              <w:rPr>
                <w:rFonts w:hint="default" w:ascii="Times New Roman" w:hAnsi="Times New Roman" w:eastAsia="宋体" w:cs="Times New Roman"/>
                <w:snapToGrid w:val="0"/>
                <w:color w:val="000000" w:themeColor="text1"/>
                <w:spacing w:val="-10"/>
                <w:sz w:val="21"/>
                <w:szCs w:val="21"/>
                <w:highlight w:val="none"/>
                <w:vertAlign w:val="subscript"/>
                <w14:textFill>
                  <w14:solidFill>
                    <w14:schemeClr w14:val="tx1"/>
                  </w14:solidFill>
                </w14:textFill>
              </w:rPr>
              <w:t>i</w:t>
            </w:r>
            <w:r>
              <w:rPr>
                <w:rFonts w:hint="eastAsia" w:cs="Times New Roman"/>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μg/m</w:t>
            </w:r>
            <w:r>
              <w:rPr>
                <w:rFonts w:hint="default" w:ascii="Times New Roman" w:hAnsi="Times New Roman" w:eastAsia="宋体" w:cs="Times New Roman"/>
                <w:bCs/>
                <w:snapToGrid w:val="0"/>
                <w:color w:val="000000" w:themeColor="text1"/>
                <w:spacing w:val="-10"/>
                <w:sz w:val="21"/>
                <w:szCs w:val="21"/>
                <w:highlight w:val="none"/>
                <w:vertAlign w:val="superscript"/>
                <w14:textFill>
                  <w14:solidFill>
                    <w14:schemeClr w14:val="tx1"/>
                  </w14:solidFill>
                </w14:textFill>
              </w:rPr>
              <w:t>3</w:t>
            </w:r>
            <w:r>
              <w:rPr>
                <w:rFonts w:hint="eastAsia" w:cs="Times New Roman"/>
                <w:bCs/>
                <w:snapToGrid w:val="0"/>
                <w:color w:val="000000" w:themeColor="text1"/>
                <w:spacing w:val="-10"/>
                <w:sz w:val="21"/>
                <w:szCs w:val="21"/>
                <w:highlight w:val="none"/>
                <w:vertAlign w:val="baseline"/>
                <w:lang w:eastAsia="zh-CN"/>
                <w14:textFill>
                  <w14:solidFill>
                    <w14:schemeClr w14:val="tx1"/>
                  </w14:solidFill>
                </w14:textFill>
              </w:rPr>
              <w:t>)</w:t>
            </w:r>
          </w:p>
        </w:tc>
        <w:tc>
          <w:tcPr>
            <w:tcW w:w="509" w:type="pct"/>
            <w:tcBorders>
              <w:tl2br w:val="nil"/>
              <w:tr2bl w:val="nil"/>
            </w:tcBorders>
            <w:noWrap w:val="0"/>
            <w:tcMar>
              <w:top w:w="12" w:type="dxa"/>
              <w:left w:w="12" w:type="dxa"/>
              <w:bottom w:w="0" w:type="dxa"/>
              <w:right w:w="12" w:type="dxa"/>
            </w:tcMar>
            <w:vAlign w:val="center"/>
          </w:tcPr>
          <w:p w14:paraId="73ED9DD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P</w:t>
            </w:r>
            <w:r>
              <w:rPr>
                <w:rFonts w:hint="default" w:ascii="Times New Roman" w:hAnsi="Times New Roman" w:eastAsia="宋体" w:cs="Times New Roman"/>
                <w:snapToGrid w:val="0"/>
                <w:color w:val="000000" w:themeColor="text1"/>
                <w:spacing w:val="-10"/>
                <w:sz w:val="21"/>
                <w:szCs w:val="21"/>
                <w:highlight w:val="none"/>
                <w:vertAlign w:val="baseline"/>
                <w14:textFill>
                  <w14:solidFill>
                    <w14:schemeClr w14:val="tx1"/>
                  </w14:solidFill>
                </w14:textFill>
              </w:rPr>
              <w:t>i</w:t>
            </w:r>
            <w:r>
              <w:rPr>
                <w:rFonts w:hint="eastAsia" w:cs="Times New Roman"/>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w:t>
            </w:r>
            <w:r>
              <w:rPr>
                <w:rFonts w:hint="eastAsia" w:cs="Times New Roman"/>
                <w:snapToGrid w:val="0"/>
                <w:color w:val="000000" w:themeColor="text1"/>
                <w:spacing w:val="-10"/>
                <w:sz w:val="21"/>
                <w:szCs w:val="21"/>
                <w:highlight w:val="none"/>
                <w:lang w:eastAsia="zh-CN"/>
                <w14:textFill>
                  <w14:solidFill>
                    <w14:schemeClr w14:val="tx1"/>
                  </w14:solidFill>
                </w14:textFill>
              </w:rPr>
              <w:t>)</w:t>
            </w:r>
          </w:p>
        </w:tc>
        <w:tc>
          <w:tcPr>
            <w:tcW w:w="1508" w:type="pct"/>
            <w:tcBorders>
              <w:tl2br w:val="nil"/>
              <w:tr2bl w:val="nil"/>
            </w:tcBorders>
            <w:noWrap w:val="0"/>
            <w:tcMar>
              <w:top w:w="12" w:type="dxa"/>
              <w:left w:w="12" w:type="dxa"/>
              <w:bottom w:w="0" w:type="dxa"/>
              <w:right w:w="12" w:type="dxa"/>
            </w:tcMar>
            <w:vAlign w:val="center"/>
          </w:tcPr>
          <w:p w14:paraId="794B143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最大浓度出现距离</w:t>
            </w:r>
            <w:bookmarkStart w:id="1065" w:name="OLE_LINK1210"/>
            <w:r>
              <w:rPr>
                <w:rFonts w:hint="default" w:ascii="Times New Roman" w:hAnsi="Times New Roman" w:cs="Times New Roman"/>
                <w:snapToGrid w:val="0"/>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m</w:t>
            </w:r>
            <w:r>
              <w:rPr>
                <w:rFonts w:hint="default" w:ascii="Times New Roman" w:hAnsi="Times New Roman" w:cs="Times New Roman"/>
                <w:snapToGrid w:val="0"/>
                <w:color w:val="000000" w:themeColor="text1"/>
                <w:spacing w:val="-10"/>
                <w:sz w:val="21"/>
                <w:szCs w:val="21"/>
                <w:highlight w:val="none"/>
                <w:lang w:eastAsia="zh-CN"/>
                <w14:textFill>
                  <w14:solidFill>
                    <w14:schemeClr w14:val="tx1"/>
                  </w14:solidFill>
                </w14:textFill>
              </w:rPr>
              <w:t>）</w:t>
            </w:r>
            <w:bookmarkEnd w:id="1065"/>
          </w:p>
        </w:tc>
        <w:tc>
          <w:tcPr>
            <w:tcW w:w="665" w:type="pct"/>
            <w:tcBorders>
              <w:tl2br w:val="nil"/>
              <w:tr2bl w:val="nil"/>
            </w:tcBorders>
            <w:noWrap w:val="0"/>
            <w:tcMar>
              <w:top w:w="12" w:type="dxa"/>
              <w:left w:w="12" w:type="dxa"/>
              <w:bottom w:w="0" w:type="dxa"/>
              <w:right w:w="12" w:type="dxa"/>
            </w:tcMar>
            <w:vAlign w:val="center"/>
          </w:tcPr>
          <w:p w14:paraId="7A25C33C">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D</w:t>
            </w:r>
            <w:r>
              <w:rPr>
                <w:rFonts w:hint="default" w:ascii="Times New Roman" w:hAnsi="Times New Roman" w:eastAsia="宋体" w:cs="Times New Roman"/>
                <w:snapToGrid w:val="0"/>
                <w:color w:val="000000" w:themeColor="text1"/>
                <w:spacing w:val="-10"/>
                <w:sz w:val="21"/>
                <w:szCs w:val="21"/>
                <w:highlight w:val="none"/>
                <w:vertAlign w:val="subscript"/>
                <w14:textFill>
                  <w14:solidFill>
                    <w14:schemeClr w14:val="tx1"/>
                  </w14:solidFill>
                </w14:textFill>
              </w:rPr>
              <w:t>10%</w:t>
            </w:r>
            <w:r>
              <w:rPr>
                <w:rFonts w:hint="eastAsia" w:cs="Times New Roman"/>
                <w:snapToGrid w:val="0"/>
                <w:color w:val="000000" w:themeColor="text1"/>
                <w:spacing w:val="-1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10"/>
                <w:sz w:val="21"/>
                <w:szCs w:val="21"/>
                <w:highlight w:val="none"/>
                <w14:textFill>
                  <w14:solidFill>
                    <w14:schemeClr w14:val="tx1"/>
                  </w14:solidFill>
                </w14:textFill>
              </w:rPr>
              <w:t>m</w:t>
            </w:r>
            <w:r>
              <w:rPr>
                <w:rFonts w:hint="eastAsia" w:cs="Times New Roman"/>
                <w:snapToGrid w:val="0"/>
                <w:color w:val="000000" w:themeColor="text1"/>
                <w:spacing w:val="-10"/>
                <w:sz w:val="21"/>
                <w:szCs w:val="21"/>
                <w:highlight w:val="none"/>
                <w:lang w:eastAsia="zh-CN"/>
                <w14:textFill>
                  <w14:solidFill>
                    <w14:schemeClr w14:val="tx1"/>
                  </w14:solidFill>
                </w14:textFill>
              </w:rPr>
              <w:t>)</w:t>
            </w:r>
          </w:p>
        </w:tc>
      </w:tr>
      <w:tr w14:paraId="142B7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5" w:hRule="atLeast"/>
          <w:jc w:val="center"/>
        </w:trPr>
        <w:tc>
          <w:tcPr>
            <w:tcW w:w="982" w:type="pct"/>
            <w:vMerge w:val="restart"/>
            <w:tcBorders>
              <w:tl2br w:val="nil"/>
              <w:tr2bl w:val="nil"/>
            </w:tcBorders>
            <w:noWrap w:val="0"/>
            <w:tcMar>
              <w:top w:w="12" w:type="dxa"/>
              <w:left w:w="12" w:type="dxa"/>
              <w:bottom w:w="0" w:type="dxa"/>
              <w:right w:w="12" w:type="dxa"/>
            </w:tcMar>
            <w:vAlign w:val="center"/>
          </w:tcPr>
          <w:p w14:paraId="1D34FCF5">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井场无组织废气</w:t>
            </w:r>
          </w:p>
        </w:tc>
        <w:tc>
          <w:tcPr>
            <w:tcW w:w="706" w:type="pct"/>
            <w:tcBorders>
              <w:tl2br w:val="nil"/>
              <w:tr2bl w:val="nil"/>
            </w:tcBorders>
            <w:noWrap w:val="0"/>
            <w:tcMar>
              <w:top w:w="12" w:type="dxa"/>
              <w:left w:w="12" w:type="dxa"/>
              <w:bottom w:w="0" w:type="dxa"/>
              <w:right w:w="12" w:type="dxa"/>
            </w:tcMar>
            <w:vAlign w:val="center"/>
          </w:tcPr>
          <w:p w14:paraId="7FBE0FF9">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硫化氢</w:t>
            </w:r>
          </w:p>
        </w:tc>
        <w:tc>
          <w:tcPr>
            <w:tcW w:w="627" w:type="pct"/>
            <w:tcBorders>
              <w:tl2br w:val="nil"/>
              <w:tr2bl w:val="nil"/>
            </w:tcBorders>
            <w:noWrap w:val="0"/>
            <w:tcMar>
              <w:top w:w="12" w:type="dxa"/>
              <w:left w:w="12" w:type="dxa"/>
              <w:bottom w:w="0" w:type="dxa"/>
              <w:right w:w="12" w:type="dxa"/>
            </w:tcMar>
            <w:vAlign w:val="center"/>
          </w:tcPr>
          <w:p w14:paraId="762B6024">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0.1915</w:t>
            </w:r>
          </w:p>
        </w:tc>
        <w:tc>
          <w:tcPr>
            <w:tcW w:w="509" w:type="pct"/>
            <w:tcBorders>
              <w:tl2br w:val="nil"/>
              <w:tr2bl w:val="nil"/>
            </w:tcBorders>
            <w:noWrap w:val="0"/>
            <w:tcMar>
              <w:top w:w="12" w:type="dxa"/>
              <w:left w:w="12" w:type="dxa"/>
              <w:bottom w:w="0" w:type="dxa"/>
              <w:right w:w="12" w:type="dxa"/>
            </w:tcMar>
            <w:vAlign w:val="center"/>
          </w:tcPr>
          <w:p w14:paraId="1764079B">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1.92</w:t>
            </w:r>
          </w:p>
        </w:tc>
        <w:tc>
          <w:tcPr>
            <w:tcW w:w="1508" w:type="pct"/>
            <w:tcBorders>
              <w:tl2br w:val="nil"/>
              <w:tr2bl w:val="nil"/>
            </w:tcBorders>
            <w:noWrap w:val="0"/>
            <w:tcMar>
              <w:top w:w="12" w:type="dxa"/>
              <w:left w:w="12" w:type="dxa"/>
              <w:bottom w:w="0" w:type="dxa"/>
              <w:right w:w="12" w:type="dxa"/>
            </w:tcMar>
            <w:vAlign w:val="center"/>
          </w:tcPr>
          <w:p w14:paraId="298DD693">
            <w:pPr>
              <w:pStyle w:val="47"/>
              <w:keepNext w:val="0"/>
              <w:keepLines w:val="0"/>
              <w:pageBreakBefore w:val="0"/>
              <w:kinsoku/>
              <w:overflowPunct/>
              <w:autoSpaceDE/>
              <w:autoSpaceDN/>
              <w:bidi w:val="0"/>
              <w:ind w:firstLine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201</w:t>
            </w:r>
          </w:p>
        </w:tc>
        <w:tc>
          <w:tcPr>
            <w:tcW w:w="665" w:type="pct"/>
            <w:tcBorders>
              <w:tl2br w:val="nil"/>
              <w:tr2bl w:val="nil"/>
            </w:tcBorders>
            <w:noWrap w:val="0"/>
            <w:tcMar>
              <w:top w:w="12" w:type="dxa"/>
              <w:left w:w="12" w:type="dxa"/>
              <w:bottom w:w="0" w:type="dxa"/>
              <w:right w:w="12" w:type="dxa"/>
            </w:tcMar>
            <w:vAlign w:val="center"/>
          </w:tcPr>
          <w:p w14:paraId="72665C01">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t>-</w:t>
            </w:r>
          </w:p>
        </w:tc>
      </w:tr>
      <w:tr w14:paraId="747BA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5" w:hRule="atLeast"/>
          <w:jc w:val="center"/>
        </w:trPr>
        <w:tc>
          <w:tcPr>
            <w:tcW w:w="982" w:type="pct"/>
            <w:vMerge w:val="continue"/>
            <w:tcBorders>
              <w:tl2br w:val="nil"/>
              <w:tr2bl w:val="nil"/>
            </w:tcBorders>
            <w:noWrap w:val="0"/>
            <w:tcMar>
              <w:top w:w="12" w:type="dxa"/>
              <w:left w:w="12" w:type="dxa"/>
              <w:bottom w:w="0" w:type="dxa"/>
              <w:right w:w="12" w:type="dxa"/>
            </w:tcMar>
            <w:vAlign w:val="center"/>
          </w:tcPr>
          <w:p w14:paraId="4A097B8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p>
        </w:tc>
        <w:tc>
          <w:tcPr>
            <w:tcW w:w="706" w:type="pct"/>
            <w:tcBorders>
              <w:tl2br w:val="nil"/>
              <w:tr2bl w:val="nil"/>
            </w:tcBorders>
            <w:noWrap w:val="0"/>
            <w:tcMar>
              <w:top w:w="12" w:type="dxa"/>
              <w:left w:w="12" w:type="dxa"/>
              <w:bottom w:w="0" w:type="dxa"/>
              <w:right w:w="12" w:type="dxa"/>
            </w:tcMar>
            <w:vAlign w:val="center"/>
          </w:tcPr>
          <w:p w14:paraId="0A09731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非甲烷总烃</w:t>
            </w:r>
          </w:p>
        </w:tc>
        <w:tc>
          <w:tcPr>
            <w:tcW w:w="627" w:type="pct"/>
            <w:tcBorders>
              <w:tl2br w:val="nil"/>
              <w:tr2bl w:val="nil"/>
            </w:tcBorders>
            <w:noWrap w:val="0"/>
            <w:tcMar>
              <w:top w:w="12" w:type="dxa"/>
              <w:left w:w="12" w:type="dxa"/>
              <w:bottom w:w="0" w:type="dxa"/>
              <w:right w:w="12" w:type="dxa"/>
            </w:tcMar>
            <w:vAlign w:val="center"/>
          </w:tcPr>
          <w:p w14:paraId="7A9C5570">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17.23</w:t>
            </w:r>
          </w:p>
        </w:tc>
        <w:tc>
          <w:tcPr>
            <w:tcW w:w="509" w:type="pct"/>
            <w:tcBorders>
              <w:tl2br w:val="nil"/>
              <w:tr2bl w:val="nil"/>
            </w:tcBorders>
            <w:noWrap w:val="0"/>
            <w:tcMar>
              <w:top w:w="12" w:type="dxa"/>
              <w:left w:w="12" w:type="dxa"/>
              <w:bottom w:w="0" w:type="dxa"/>
              <w:right w:w="12" w:type="dxa"/>
            </w:tcMar>
            <w:vAlign w:val="center"/>
          </w:tcPr>
          <w:p w14:paraId="6605FFF0">
            <w:pPr>
              <w:keepNext w:val="0"/>
              <w:keepLines w:val="0"/>
              <w:widowControl/>
              <w:suppressLineNumbers w:val="0"/>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0.86</w:t>
            </w:r>
          </w:p>
        </w:tc>
        <w:tc>
          <w:tcPr>
            <w:tcW w:w="1508" w:type="pct"/>
            <w:tcBorders>
              <w:tl2br w:val="nil"/>
              <w:tr2bl w:val="nil"/>
            </w:tcBorders>
            <w:noWrap w:val="0"/>
            <w:tcMar>
              <w:top w:w="12" w:type="dxa"/>
              <w:left w:w="12" w:type="dxa"/>
              <w:bottom w:w="0" w:type="dxa"/>
              <w:right w:w="12" w:type="dxa"/>
            </w:tcMar>
            <w:vAlign w:val="center"/>
          </w:tcPr>
          <w:p w14:paraId="062E8C9E">
            <w:pPr>
              <w:pStyle w:val="47"/>
              <w:keepNext w:val="0"/>
              <w:keepLines w:val="0"/>
              <w:pageBreakBefore w:val="0"/>
              <w:kinsoku/>
              <w:overflowPunct/>
              <w:autoSpaceDE/>
              <w:autoSpaceDN/>
              <w:bidi w:val="0"/>
              <w:ind w:firstLineChars="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201</w:t>
            </w:r>
          </w:p>
        </w:tc>
        <w:tc>
          <w:tcPr>
            <w:tcW w:w="665" w:type="pct"/>
            <w:tcBorders>
              <w:tl2br w:val="nil"/>
              <w:tr2bl w:val="nil"/>
            </w:tcBorders>
            <w:noWrap w:val="0"/>
            <w:tcMar>
              <w:top w:w="12" w:type="dxa"/>
              <w:left w:w="12" w:type="dxa"/>
              <w:bottom w:w="0" w:type="dxa"/>
              <w:right w:w="12" w:type="dxa"/>
            </w:tcMar>
            <w:vAlign w:val="center"/>
          </w:tcPr>
          <w:p w14:paraId="16E466E7">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pacing w:val="-10"/>
                <w:sz w:val="21"/>
                <w:szCs w:val="21"/>
                <w:highlight w:val="none"/>
                <w:lang w:val="en-US" w:eastAsia="zh-CN"/>
                <w14:textFill>
                  <w14:solidFill>
                    <w14:schemeClr w14:val="tx1"/>
                  </w14:solidFill>
                </w14:textFill>
              </w:rPr>
            </w:pPr>
            <w:r>
              <w:rPr>
                <w:rFonts w:hint="eastAsia" w:cs="Times New Roman"/>
                <w:snapToGrid w:val="0"/>
                <w:color w:val="000000" w:themeColor="text1"/>
                <w:spacing w:val="-10"/>
                <w:sz w:val="21"/>
                <w:szCs w:val="21"/>
                <w:highlight w:val="none"/>
                <w:lang w:val="en-US" w:eastAsia="zh-CN"/>
                <w14:textFill>
                  <w14:solidFill>
                    <w14:schemeClr w14:val="tx1"/>
                  </w14:solidFill>
                </w14:textFill>
              </w:rPr>
              <w:t>-</w:t>
            </w:r>
          </w:p>
        </w:tc>
      </w:tr>
      <w:bookmarkEnd w:id="1064"/>
    </w:tbl>
    <w:p w14:paraId="0690AA03">
      <w:pPr>
        <w:pageBreakBefore w:val="0"/>
        <w:widowControl/>
        <w:shd w:val="clear" w:color="auto" w:fill="auto"/>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根据表5.</w:t>
      </w:r>
      <w:r>
        <w:rPr>
          <w:rFonts w:hint="default" w:ascii="Times New Roman" w:hAnsi="Times New Roman" w:cs="Times New Roman"/>
          <w:color w:val="000000" w:themeColor="text1"/>
          <w:spacing w:val="4"/>
          <w:kern w:val="24"/>
          <w:sz w:val="24"/>
          <w:highlight w:val="none"/>
          <w:lang w:val="en-US" w:eastAsia="zh-CN" w:bidi="ar-SA"/>
          <w14:textFill>
            <w14:solidFill>
              <w14:schemeClr w14:val="tx1"/>
            </w14:solidFill>
          </w14:textFill>
        </w:rPr>
        <w:t>5-</w:t>
      </w:r>
      <w:r>
        <w:rPr>
          <w:rFonts w:hint="eastAsia" w:cs="Times New Roman"/>
          <w:color w:val="000000" w:themeColor="text1"/>
          <w:spacing w:val="4"/>
          <w:kern w:val="24"/>
          <w:sz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预测结果可知：</w:t>
      </w:r>
    </w:p>
    <w:p w14:paraId="5B492AE8">
      <w:pPr>
        <w:pageBreakBefore w:val="0"/>
        <w:widowControl/>
        <w:shd w:val="clear" w:color="auto" w:fill="auto"/>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①</w:t>
      </w:r>
      <w:r>
        <w:rPr>
          <w:rFonts w:hint="eastAsia" w:cs="Times New Roman"/>
          <w:color w:val="000000" w:themeColor="text1"/>
          <w:spacing w:val="4"/>
          <w:kern w:val="24"/>
          <w:sz w:val="24"/>
          <w:highlight w:val="none"/>
          <w:lang w:val="en-US" w:eastAsia="zh-CN" w:bidi="ar-SA"/>
          <w14:textFill>
            <w14:solidFill>
              <w14:schemeClr w14:val="tx1"/>
            </w14:solidFill>
          </w14:textFill>
        </w:rPr>
        <w:t>井场</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无组织排放的污染物</w:t>
      </w:r>
      <w:bookmarkStart w:id="1066" w:name="OLE_LINK1213"/>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非甲烷总烃</w:t>
      </w:r>
      <w:bookmarkEnd w:id="1066"/>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、硫化氢最大落地浓度占标率均小于10%，最大落地浓度井场</w:t>
      </w:r>
      <w:bookmarkStart w:id="1067" w:name="OLE_LINK1212"/>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无组织排放的</w:t>
      </w:r>
      <w:bookmarkEnd w:id="1067"/>
      <w:r>
        <w:rPr>
          <w:rFonts w:hint="eastAsia" w:cs="Times New Roman"/>
          <w:color w:val="000000" w:themeColor="text1"/>
          <w:spacing w:val="4"/>
          <w:kern w:val="24"/>
          <w:sz w:val="24"/>
          <w:highlight w:val="none"/>
          <w:lang w:val="en-US" w:eastAsia="zh-CN" w:bidi="ar-SA"/>
          <w14:textFill>
            <w14:solidFill>
              <w14:schemeClr w14:val="tx1"/>
            </w14:solidFill>
          </w14:textFill>
        </w:rPr>
        <w:t>硫化氢</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，最大落地浓度</w:t>
      </w:r>
      <w:r>
        <w:rPr>
          <w:rFonts w:hint="eastAsia" w:cs="Times New Roman"/>
          <w:color w:val="000000" w:themeColor="text1"/>
          <w:spacing w:val="4"/>
          <w:kern w:val="24"/>
          <w:sz w:val="24"/>
          <w:highlight w:val="none"/>
          <w:lang w:val="en-US" w:eastAsia="zh-CN" w:bidi="ar-SA"/>
          <w14:textFill>
            <w14:solidFill>
              <w14:schemeClr w14:val="tx1"/>
            </w14:solidFill>
          </w14:textFill>
        </w:rPr>
        <w:t>0.1915</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μg/m</w:t>
      </w:r>
      <w:r>
        <w:rPr>
          <w:rFonts w:hint="default" w:ascii="Times New Roman" w:hAnsi="Times New Roman" w:eastAsia="宋体" w:cs="Times New Roman"/>
          <w:color w:val="000000" w:themeColor="text1"/>
          <w:spacing w:val="4"/>
          <w:kern w:val="24"/>
          <w:sz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，最大占标率</w:t>
      </w:r>
      <w:r>
        <w:rPr>
          <w:rFonts w:hint="eastAsia" w:cs="Times New Roman"/>
          <w:color w:val="000000" w:themeColor="text1"/>
          <w:spacing w:val="4"/>
          <w:kern w:val="24"/>
          <w:sz w:val="24"/>
          <w:highlight w:val="none"/>
          <w:lang w:val="en-US" w:eastAsia="zh-CN" w:bidi="ar-SA"/>
          <w14:textFill>
            <w14:solidFill>
              <w14:schemeClr w14:val="tx1"/>
            </w14:solidFill>
          </w14:textFill>
        </w:rPr>
        <w:t>1.92</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p>
    <w:p w14:paraId="60FBA210">
      <w:pPr>
        <w:pageBreakBefore w:val="0"/>
        <w:widowControl/>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②预测结果表明，本工程正常工况下排放的非甲烷总烃满足《大气污染物综合排放标准详解》2.0mg/m</w:t>
      </w:r>
      <w:r>
        <w:rPr>
          <w:rFonts w:hint="default" w:ascii="Times New Roman" w:hAnsi="Times New Roman" w:eastAsia="宋体" w:cs="Times New Roman"/>
          <w:color w:val="000000" w:themeColor="text1"/>
          <w:spacing w:val="4"/>
          <w:kern w:val="24"/>
          <w:sz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的标准要求，硫化氢满足《环境影响评价技术导则 大气环境》（HJ2.2-2018）附录D中的1h平均浓度限值10μg/m</w:t>
      </w:r>
      <w:r>
        <w:rPr>
          <w:rFonts w:hint="default" w:ascii="Times New Roman" w:hAnsi="Times New Roman" w:eastAsia="宋体" w:cs="Times New Roman"/>
          <w:color w:val="000000" w:themeColor="text1"/>
          <w:spacing w:val="4"/>
          <w:kern w:val="24"/>
          <w:sz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的要求。</w:t>
      </w:r>
    </w:p>
    <w:p w14:paraId="3046E3EB">
      <w:pPr>
        <w:pageBreakBefore w:val="0"/>
        <w:widowControl/>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③无组织源对区域环境空气的影响主要集中在污染源下风</w:t>
      </w:r>
      <w:r>
        <w:rPr>
          <w:rFonts w:hint="eastAsia" w:cs="Times New Roman"/>
          <w:color w:val="000000" w:themeColor="text1"/>
          <w:spacing w:val="4"/>
          <w:kern w:val="24"/>
          <w:sz w:val="24"/>
          <w:highlight w:val="none"/>
          <w:lang w:val="en-US" w:eastAsia="zh-CN" w:bidi="ar-SA"/>
          <w14:textFill>
            <w14:solidFill>
              <w14:schemeClr w14:val="tx1"/>
            </w14:solidFill>
          </w14:textFill>
        </w:rPr>
        <w:t>201</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m范围内，无组织排放的非甲烷总烃、硫化氢对周围环境空气影响较小。</w:t>
      </w:r>
    </w:p>
    <w:p w14:paraId="269FCE7E">
      <w:pPr>
        <w:pStyle w:val="7"/>
        <w:keepNext/>
        <w:keepLines/>
        <w:pageBreakBefore w:val="0"/>
        <w:widowControl w:val="0"/>
        <w:kinsoku/>
        <w:wordWrap w:val="0"/>
        <w:overflowPunct/>
        <w:topLinePunct w:val="0"/>
        <w:autoSpaceDE/>
        <w:autoSpaceDN/>
        <w:bidi w:val="0"/>
        <w:adjustRightInd w:val="0"/>
        <w:snapToGrid w:val="0"/>
        <w:spacing w:beforeLines="0" w:afterLines="0"/>
        <w:ind w:firstLine="0" w:firstLineChars="0"/>
        <w:jc w:val="both"/>
        <w:textAlignment w:val="auto"/>
        <w:outlineLvl w:val="4"/>
        <w:rPr>
          <w:rFonts w:hint="default" w:ascii="Times New Roman" w:hAnsi="Times New Roman" w:eastAsia="黑体" w:cs="Times New Roman"/>
          <w:b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cs="Times New Roman"/>
          <w:b w:val="0"/>
          <w:color w:val="000000" w:themeColor="text1"/>
          <w:sz w:val="24"/>
          <w:szCs w:val="24"/>
          <w:highlight w:val="none"/>
          <w:lang w:val="en-US" w:eastAsia="zh-CN" w:bidi="ar-SA"/>
          <w14:textFill>
            <w14:solidFill>
              <w14:schemeClr w14:val="tx1"/>
            </w14:solidFill>
          </w14:textFill>
        </w:rPr>
        <w:t>5.2.2</w:t>
      </w:r>
      <w:r>
        <w:rPr>
          <w:rFonts w:hint="default" w:ascii="Times New Roman" w:hAnsi="Times New Roman" w:eastAsia="黑体" w:cs="Times New Roman"/>
          <w:b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cs="Times New Roman"/>
          <w:b w:val="0"/>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黑体" w:cs="Times New Roman"/>
          <w:b w:val="0"/>
          <w:color w:val="000000" w:themeColor="text1"/>
          <w:sz w:val="24"/>
          <w:szCs w:val="24"/>
          <w:highlight w:val="none"/>
          <w:lang w:val="en-US" w:eastAsia="zh-CN" w:bidi="ar-SA"/>
          <w14:textFill>
            <w14:solidFill>
              <w14:schemeClr w14:val="tx1"/>
            </w14:solidFill>
          </w14:textFill>
        </w:rPr>
        <w:t>大气环境影响分析</w:t>
      </w:r>
    </w:p>
    <w:p w14:paraId="1A52A917">
      <w:pPr>
        <w:pStyle w:val="65"/>
        <w:pageBreakBefore w:val="0"/>
        <w:kinsoku/>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在油气</w:t>
      </w:r>
      <w:r>
        <w:rPr>
          <w:rFonts w:hint="eastAsia"/>
          <w:color w:val="000000" w:themeColor="text1"/>
          <w:highlight w:val="none"/>
          <w:lang w:val="en-US" w:eastAsia="zh-CN"/>
          <w14:textFill>
            <w14:solidFill>
              <w14:schemeClr w14:val="tx1"/>
            </w14:solidFill>
          </w14:textFill>
        </w:rPr>
        <w:t>处理</w:t>
      </w:r>
      <w:r>
        <w:rPr>
          <w:color w:val="000000" w:themeColor="text1"/>
          <w:highlight w:val="none"/>
          <w14:textFill>
            <w14:solidFill>
              <w14:schemeClr w14:val="tx1"/>
            </w14:solidFill>
          </w14:textFill>
        </w:rPr>
        <w:t>环节产生的挥发性有机物（VOCs）主要包括非甲烷总烃（烷烃、烯烃、芳香烃、炔烃等）、含氧有机化合物（醛、酮、醇、醚、酯、酚等）、卤代烃，含氮有机化合物，含硫有机化合物等，对本工程而言，VOCs主要为非甲烷总烃。</w:t>
      </w:r>
    </w:p>
    <w:p w14:paraId="611FE51D">
      <w:pPr>
        <w:pStyle w:val="6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本工程</w:t>
      </w:r>
      <w:r>
        <w:rPr>
          <w:color w:val="000000" w:themeColor="text1"/>
          <w:highlight w:val="none"/>
          <w14:textFill>
            <w14:solidFill>
              <w14:schemeClr w14:val="tx1"/>
            </w14:solidFill>
          </w14:textFill>
        </w:rPr>
        <w:t>油气处理采用</w:t>
      </w:r>
      <w:r>
        <w:rPr>
          <w:rFonts w:hint="eastAsia"/>
          <w:color w:val="000000" w:themeColor="text1"/>
          <w:sz w:val="24"/>
          <w:szCs w:val="24"/>
          <w:highlight w:val="none"/>
          <w:lang w:val="en-US" w:eastAsia="zh-CN"/>
          <w14:textFill>
            <w14:solidFill>
              <w14:schemeClr w14:val="tx1"/>
            </w14:solidFill>
          </w14:textFill>
        </w:rPr>
        <w:t>密闭装车鹤管</w:t>
      </w:r>
      <w:r>
        <w:rPr>
          <w:color w:val="000000" w:themeColor="text1"/>
          <w:highlight w:val="none"/>
          <w14:textFill>
            <w14:solidFill>
              <w14:schemeClr w14:val="tx1"/>
            </w14:solidFill>
          </w14:textFill>
        </w:rPr>
        <w:t>，井口密封并设紧急截断阀，可有效减少烃类气体的挥发量</w:t>
      </w:r>
      <w:r>
        <w:rPr>
          <w:rFonts w:hint="eastAsia"/>
          <w:color w:val="000000" w:themeColor="text1"/>
          <w:highlight w:val="none"/>
          <w14:textFill>
            <w14:solidFill>
              <w14:schemeClr w14:val="tx1"/>
            </w14:solidFill>
          </w14:textFill>
        </w:rPr>
        <w:t>。</w:t>
      </w:r>
    </w:p>
    <w:p w14:paraId="11CA7104">
      <w:pPr>
        <w:pStyle w:val="6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凝析油</w:t>
      </w:r>
      <w:r>
        <w:rPr>
          <w:color w:val="000000" w:themeColor="text1"/>
          <w:highlight w:val="none"/>
          <w14:textFill>
            <w14:solidFill>
              <w14:schemeClr w14:val="tx1"/>
            </w14:solidFill>
          </w14:textFill>
        </w:rPr>
        <w:t>在储运过程中，废气主要来源于罐区储罐中自然挥发的油气，属于连续性面源污染，即装油、泄油及油品的储存过程中的呼吸及装运中无组织排放。</w:t>
      </w:r>
      <w:r>
        <w:rPr>
          <w:rFonts w:hint="eastAsia"/>
          <w:color w:val="000000" w:themeColor="text1"/>
          <w:highlight w:val="none"/>
          <w14:textFill>
            <w14:solidFill>
              <w14:schemeClr w14:val="tx1"/>
            </w14:solidFill>
          </w14:textFill>
        </w:rPr>
        <w:t>根据可研，</w:t>
      </w:r>
      <w:r>
        <w:rPr>
          <w:rFonts w:hint="eastAsia"/>
          <w:snapToGrid w:val="0"/>
          <w:color w:val="000000" w:themeColor="text1"/>
          <w:kern w:val="24"/>
          <w:highlight w:val="none"/>
          <w14:textFill>
            <w14:solidFill>
              <w14:schemeClr w14:val="tx1"/>
            </w14:solidFill>
          </w14:textFill>
        </w:rPr>
        <w:t>凝析油储罐上部设有安全阀，挥发的油气超过安全阀设定压力后，经安全阀后的管线输至站内天然气脱水装置进口管线进行处理，凝析油装车采用密闭装车工艺，可有效</w:t>
      </w:r>
      <w:r>
        <w:rPr>
          <w:rFonts w:hint="eastAsia" w:ascii="宋体" w:hAnsi="宋体"/>
          <w:bCs/>
          <w:snapToGrid w:val="0"/>
          <w:color w:val="000000" w:themeColor="text1"/>
          <w:highlight w:val="none"/>
          <w14:textFill>
            <w14:solidFill>
              <w14:schemeClr w14:val="tx1"/>
            </w14:solidFill>
          </w14:textFill>
        </w:rPr>
        <w:t>减少</w:t>
      </w:r>
      <w:r>
        <w:rPr>
          <w:color w:val="000000" w:themeColor="text1"/>
          <w:highlight w:val="none"/>
          <w14:textFill>
            <w14:solidFill>
              <w14:schemeClr w14:val="tx1"/>
            </w14:solidFill>
          </w14:textFill>
        </w:rPr>
        <w:t>VOCs</w:t>
      </w:r>
      <w:r>
        <w:rPr>
          <w:rFonts w:hint="eastAsia" w:ascii="宋体" w:hAnsi="宋体"/>
          <w:bCs/>
          <w:snapToGrid w:val="0"/>
          <w:color w:val="000000" w:themeColor="text1"/>
          <w:highlight w:val="none"/>
          <w14:textFill>
            <w14:solidFill>
              <w14:schemeClr w14:val="tx1"/>
            </w14:solidFill>
          </w14:textFill>
        </w:rPr>
        <w:t>的产生。另外还</w:t>
      </w:r>
      <w:r>
        <w:rPr>
          <w:color w:val="000000" w:themeColor="text1"/>
          <w:highlight w:val="none"/>
          <w14:textFill>
            <w14:solidFill>
              <w14:schemeClr w14:val="tx1"/>
            </w14:solidFill>
          </w14:textFill>
        </w:rPr>
        <w:t>可采取储罐罐体保温，减少罐内温差的变化，从而大大地降低了气体的蒸发损耗，罐体外表使用浅色涂层，来控制和减少VOCs的挥发排放。</w:t>
      </w:r>
    </w:p>
    <w:p w14:paraId="733E3151">
      <w:pPr>
        <w:pageBreakBefore w:val="0"/>
        <w:shd w:val="clear" w:color="auto" w:fill="auto"/>
        <w:kinsoku/>
        <w:overflowPunct/>
        <w:topLinePunct w:val="0"/>
        <w:autoSpaceDE/>
        <w:autoSpaceDN/>
        <w:bidi w:val="0"/>
        <w:adjustRightInd w:val="0"/>
        <w:snapToGrid w:val="0"/>
        <w:spacing w:line="360" w:lineRule="auto"/>
        <w:ind w:firstLine="480" w:firstLineChars="200"/>
        <w:textAlignment w:val="auto"/>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工程</w:t>
      </w:r>
      <w:r>
        <w:rPr>
          <w:color w:val="000000" w:themeColor="text1"/>
          <w:highlight w:val="none"/>
          <w14:textFill>
            <w14:solidFill>
              <w14:schemeClr w14:val="tx1"/>
            </w14:solidFill>
          </w14:textFill>
        </w:rPr>
        <w:t>运营期VOCs无组织排放会对区域大气环境质量造成一定影响。类比其他油田，运营期油田内的VOCs一般满足环境质量标准要求，影响在可接受范围内</w:t>
      </w:r>
      <w:r>
        <w:rPr>
          <w:rFonts w:hint="eastAsia"/>
          <w:color w:val="000000" w:themeColor="text1"/>
          <w:highlight w:val="none"/>
          <w:lang w:eastAsia="zh-CN"/>
          <w14:textFill>
            <w14:solidFill>
              <w14:schemeClr w14:val="tx1"/>
            </w14:solidFill>
          </w14:textFill>
        </w:rPr>
        <w:t>。</w:t>
      </w:r>
    </w:p>
    <w:p w14:paraId="7E9BBB17">
      <w:pPr>
        <w:pStyle w:val="5"/>
        <w:pageBreakBefore w:val="0"/>
        <w:widowControl/>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5.2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大气污染物核算</w:t>
      </w:r>
    </w:p>
    <w:p w14:paraId="6D8E12CC">
      <w:pPr>
        <w:pageBreakBefore w:val="0"/>
        <w:widowControl/>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4"/>
          <w:kern w:val="24"/>
          <w:highlight w:val="none"/>
          <w:lang w:eastAsia="zh-CN"/>
          <w14:textFill>
            <w14:solidFill>
              <w14:schemeClr w14:val="tx1"/>
            </w14:solidFill>
          </w14:textFill>
        </w:rPr>
        <w:t>本工程</w:t>
      </w:r>
      <w:r>
        <w:rPr>
          <w:rFonts w:hint="default" w:ascii="Times New Roman" w:hAnsi="Times New Roman" w:cs="Times New Roman"/>
          <w:color w:val="000000" w:themeColor="text1"/>
          <w:spacing w:val="4"/>
          <w:kern w:val="24"/>
          <w:highlight w:val="none"/>
          <w14:textFill>
            <w14:solidFill>
              <w14:schemeClr w14:val="tx1"/>
            </w14:solidFill>
          </w14:textFill>
        </w:rPr>
        <w:t>运行期大气污染物排放量见表5.</w:t>
      </w:r>
      <w:r>
        <w:rPr>
          <w:rFonts w:hint="default" w:ascii="Times New Roman" w:hAnsi="Times New Roman" w:cs="Times New Roman"/>
          <w:color w:val="000000" w:themeColor="text1"/>
          <w:spacing w:val="4"/>
          <w:kern w:val="24"/>
          <w:highlight w:val="none"/>
          <w:lang w:val="en-US" w:eastAsia="zh-CN"/>
          <w14:textFill>
            <w14:solidFill>
              <w14:schemeClr w14:val="tx1"/>
            </w14:solidFill>
          </w14:textFill>
        </w:rPr>
        <w:t>5-</w:t>
      </w:r>
      <w:r>
        <w:rPr>
          <w:rFonts w:hint="eastAsia" w:cs="Times New Roman"/>
          <w:color w:val="000000" w:themeColor="text1"/>
          <w:spacing w:val="4"/>
          <w:kern w:val="24"/>
          <w:highlight w:val="none"/>
          <w:lang w:val="en-US" w:eastAsia="zh-CN"/>
          <w14:textFill>
            <w14:solidFill>
              <w14:schemeClr w14:val="tx1"/>
            </w14:solidFill>
          </w14:textFill>
        </w:rPr>
        <w:t>8</w:t>
      </w:r>
      <w:r>
        <w:rPr>
          <w:rFonts w:hint="default" w:ascii="Times New Roman" w:hAnsi="Times New Roman" w:cs="Times New Roman"/>
          <w:color w:val="000000" w:themeColor="text1"/>
          <w:spacing w:val="4"/>
          <w:kern w:val="24"/>
          <w:highlight w:val="none"/>
          <w14:textFill>
            <w14:solidFill>
              <w14:schemeClr w14:val="tx1"/>
            </w14:solidFill>
          </w14:textFill>
        </w:rPr>
        <w:t>。</w:t>
      </w:r>
    </w:p>
    <w:p w14:paraId="1D88C9D2">
      <w:pPr>
        <w:pStyle w:val="84"/>
        <w:bidi w:val="0"/>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本工程大气污染物排放量核算表</w:t>
      </w:r>
    </w:p>
    <w:tbl>
      <w:tblPr>
        <w:tblStyle w:val="37"/>
        <w:tblW w:w="5008" w:type="pct"/>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5"/>
        <w:gridCol w:w="805"/>
        <w:gridCol w:w="854"/>
        <w:gridCol w:w="1085"/>
        <w:gridCol w:w="3034"/>
        <w:gridCol w:w="1131"/>
        <w:gridCol w:w="1042"/>
      </w:tblGrid>
      <w:tr w14:paraId="4C27F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8" w:hRule="atLeast"/>
        </w:trPr>
        <w:tc>
          <w:tcPr>
            <w:tcW w:w="342" w:type="pct"/>
            <w:vMerge w:val="restart"/>
            <w:tcBorders>
              <w:top w:val="single" w:color="auto" w:sz="2" w:space="0"/>
              <w:left w:val="single" w:color="auto" w:sz="2" w:space="0"/>
              <w:bottom w:val="single" w:color="auto" w:sz="2" w:space="0"/>
              <w:right w:val="single" w:color="auto" w:sz="2" w:space="0"/>
            </w:tcBorders>
            <w:noWrap w:val="0"/>
            <w:vAlign w:val="center"/>
          </w:tcPr>
          <w:p w14:paraId="34A89D7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序号</w:t>
            </w:r>
          </w:p>
        </w:tc>
        <w:tc>
          <w:tcPr>
            <w:tcW w:w="471" w:type="pct"/>
            <w:vMerge w:val="restart"/>
            <w:tcBorders>
              <w:top w:val="single" w:color="auto" w:sz="2" w:space="0"/>
              <w:left w:val="single" w:color="auto" w:sz="2" w:space="0"/>
              <w:bottom w:val="single" w:color="auto" w:sz="2" w:space="0"/>
              <w:right w:val="single" w:color="auto" w:sz="2" w:space="0"/>
            </w:tcBorders>
            <w:noWrap w:val="0"/>
            <w:vAlign w:val="center"/>
          </w:tcPr>
          <w:p w14:paraId="49FCF70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产污</w:t>
            </w:r>
          </w:p>
          <w:p w14:paraId="0FB86A1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环节</w:t>
            </w:r>
          </w:p>
        </w:tc>
        <w:tc>
          <w:tcPr>
            <w:tcW w:w="500" w:type="pct"/>
            <w:vMerge w:val="restart"/>
            <w:tcBorders>
              <w:top w:val="single" w:color="auto" w:sz="2" w:space="0"/>
              <w:left w:val="single" w:color="auto" w:sz="2" w:space="0"/>
              <w:bottom w:val="single" w:color="auto" w:sz="2" w:space="0"/>
              <w:right w:val="single" w:color="auto" w:sz="2" w:space="0"/>
            </w:tcBorders>
            <w:noWrap w:val="0"/>
            <w:vAlign w:val="center"/>
          </w:tcPr>
          <w:p w14:paraId="0E657F7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污染物</w:t>
            </w:r>
          </w:p>
        </w:tc>
        <w:tc>
          <w:tcPr>
            <w:tcW w:w="635" w:type="pct"/>
            <w:vMerge w:val="restart"/>
            <w:tcBorders>
              <w:top w:val="single" w:color="auto" w:sz="2" w:space="0"/>
              <w:left w:val="single" w:color="auto" w:sz="2" w:space="0"/>
              <w:bottom w:val="single" w:color="auto" w:sz="2" w:space="0"/>
              <w:right w:val="single" w:color="auto" w:sz="2" w:space="0"/>
            </w:tcBorders>
            <w:noWrap w:val="0"/>
            <w:vAlign w:val="center"/>
          </w:tcPr>
          <w:p w14:paraId="3898CBF3">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主要污染</w:t>
            </w:r>
          </w:p>
          <w:p w14:paraId="51F9FAD7">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防治措施</w:t>
            </w:r>
          </w:p>
        </w:tc>
        <w:tc>
          <w:tcPr>
            <w:tcW w:w="2439" w:type="pct"/>
            <w:gridSpan w:val="2"/>
            <w:tcBorders>
              <w:top w:val="single" w:color="auto" w:sz="2" w:space="0"/>
              <w:left w:val="single" w:color="auto" w:sz="2" w:space="0"/>
              <w:bottom w:val="single" w:color="auto" w:sz="2" w:space="0"/>
              <w:right w:val="single" w:color="auto" w:sz="2" w:space="0"/>
            </w:tcBorders>
            <w:noWrap w:val="0"/>
            <w:vAlign w:val="center"/>
          </w:tcPr>
          <w:p w14:paraId="4854AF54">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国家或地方污染物排放标准</w:t>
            </w:r>
          </w:p>
        </w:tc>
        <w:tc>
          <w:tcPr>
            <w:tcW w:w="610" w:type="pct"/>
            <w:vMerge w:val="restart"/>
            <w:tcBorders>
              <w:top w:val="single" w:color="auto" w:sz="2" w:space="0"/>
              <w:left w:val="single" w:color="auto" w:sz="2" w:space="0"/>
              <w:bottom w:val="single" w:color="auto" w:sz="2" w:space="0"/>
              <w:right w:val="single" w:color="auto" w:sz="2" w:space="0"/>
            </w:tcBorders>
            <w:noWrap w:val="0"/>
            <w:vAlign w:val="center"/>
          </w:tcPr>
          <w:p w14:paraId="43560F3C">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年排放量</w:t>
            </w:r>
          </w:p>
          <w:p w14:paraId="2624844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eastAsia"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t/a</w:t>
            </w:r>
            <w:r>
              <w:rPr>
                <w:rFonts w:hint="eastAsia" w:cs="Times New Roman"/>
                <w:color w:val="000000" w:themeColor="text1"/>
                <w:spacing w:val="-10"/>
                <w:sz w:val="21"/>
                <w:szCs w:val="21"/>
                <w:highlight w:val="none"/>
                <w:lang w:eastAsia="zh-CN"/>
                <w14:textFill>
                  <w14:solidFill>
                    <w14:schemeClr w14:val="tx1"/>
                  </w14:solidFill>
                </w14:textFill>
              </w:rPr>
              <w:t>)</w:t>
            </w:r>
          </w:p>
        </w:tc>
      </w:tr>
      <w:tr w14:paraId="5D78A3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2" w:hRule="atLeast"/>
        </w:trPr>
        <w:tc>
          <w:tcPr>
            <w:tcW w:w="342" w:type="pct"/>
            <w:vMerge w:val="continue"/>
            <w:tcBorders>
              <w:top w:val="single" w:color="auto" w:sz="2" w:space="0"/>
              <w:left w:val="single" w:color="auto" w:sz="2" w:space="0"/>
              <w:bottom w:val="single" w:color="auto" w:sz="2" w:space="0"/>
              <w:right w:val="single" w:color="auto" w:sz="2" w:space="0"/>
            </w:tcBorders>
            <w:noWrap w:val="0"/>
            <w:vAlign w:val="center"/>
          </w:tcPr>
          <w:p w14:paraId="615E8889">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471" w:type="pct"/>
            <w:vMerge w:val="continue"/>
            <w:tcBorders>
              <w:top w:val="single" w:color="auto" w:sz="2" w:space="0"/>
              <w:left w:val="single" w:color="auto" w:sz="2" w:space="0"/>
              <w:bottom w:val="single" w:color="auto" w:sz="2" w:space="0"/>
              <w:right w:val="single" w:color="auto" w:sz="2" w:space="0"/>
            </w:tcBorders>
            <w:noWrap w:val="0"/>
            <w:vAlign w:val="center"/>
          </w:tcPr>
          <w:p w14:paraId="2FB32212">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00" w:type="pct"/>
            <w:vMerge w:val="continue"/>
            <w:tcBorders>
              <w:top w:val="single" w:color="auto" w:sz="2" w:space="0"/>
              <w:left w:val="single" w:color="auto" w:sz="2" w:space="0"/>
              <w:bottom w:val="single" w:color="auto" w:sz="2" w:space="0"/>
              <w:right w:val="single" w:color="auto" w:sz="2" w:space="0"/>
            </w:tcBorders>
            <w:noWrap w:val="0"/>
            <w:vAlign w:val="center"/>
          </w:tcPr>
          <w:p w14:paraId="0D734BE9">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635" w:type="pct"/>
            <w:vMerge w:val="continue"/>
            <w:tcBorders>
              <w:top w:val="single" w:color="auto" w:sz="2" w:space="0"/>
              <w:left w:val="single" w:color="auto" w:sz="2" w:space="0"/>
              <w:bottom w:val="single" w:color="auto" w:sz="2" w:space="0"/>
              <w:right w:val="single" w:color="auto" w:sz="2" w:space="0"/>
            </w:tcBorders>
            <w:noWrap w:val="0"/>
            <w:vAlign w:val="center"/>
          </w:tcPr>
          <w:p w14:paraId="0F0159A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77" w:type="pct"/>
            <w:tcBorders>
              <w:top w:val="single" w:color="auto" w:sz="2" w:space="0"/>
              <w:left w:val="single" w:color="auto" w:sz="2" w:space="0"/>
              <w:bottom w:val="single" w:color="auto" w:sz="2" w:space="0"/>
              <w:right w:val="single" w:color="auto" w:sz="2" w:space="0"/>
            </w:tcBorders>
            <w:noWrap w:val="0"/>
            <w:vAlign w:val="center"/>
          </w:tcPr>
          <w:p w14:paraId="1690ACF4">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标准名称</w:t>
            </w:r>
          </w:p>
        </w:tc>
        <w:tc>
          <w:tcPr>
            <w:tcW w:w="662" w:type="pct"/>
            <w:tcBorders>
              <w:top w:val="single" w:color="auto" w:sz="2" w:space="0"/>
              <w:left w:val="single" w:color="auto" w:sz="2" w:space="0"/>
              <w:bottom w:val="single" w:color="auto" w:sz="2" w:space="0"/>
              <w:right w:val="single" w:color="auto" w:sz="2" w:space="0"/>
            </w:tcBorders>
            <w:noWrap w:val="0"/>
            <w:vAlign w:val="center"/>
          </w:tcPr>
          <w:p w14:paraId="1B5713F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浓度限值</w:t>
            </w:r>
          </w:p>
          <w:p w14:paraId="1AEAA73D">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eastAsia"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mg/</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m³</w:t>
            </w:r>
            <w:r>
              <w:rPr>
                <w:rFonts w:hint="eastAsia" w:cs="Times New Roman"/>
                <w:color w:val="000000" w:themeColor="text1"/>
                <w:spacing w:val="-10"/>
                <w:sz w:val="21"/>
                <w:szCs w:val="21"/>
                <w:highlight w:val="none"/>
                <w:lang w:val="en-US" w:eastAsia="zh-CN"/>
                <w14:textFill>
                  <w14:solidFill>
                    <w14:schemeClr w14:val="tx1"/>
                  </w14:solidFill>
                </w14:textFill>
              </w:rPr>
              <w:t>)</w:t>
            </w:r>
          </w:p>
        </w:tc>
        <w:tc>
          <w:tcPr>
            <w:tcW w:w="610" w:type="pct"/>
            <w:vMerge w:val="continue"/>
            <w:tcBorders>
              <w:top w:val="single" w:color="auto" w:sz="2" w:space="0"/>
              <w:left w:val="single" w:color="auto" w:sz="2" w:space="0"/>
              <w:bottom w:val="single" w:color="auto" w:sz="2" w:space="0"/>
              <w:right w:val="single" w:color="auto" w:sz="2" w:space="0"/>
            </w:tcBorders>
            <w:noWrap w:val="0"/>
            <w:vAlign w:val="center"/>
          </w:tcPr>
          <w:p w14:paraId="28750710">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r>
      <w:tr w14:paraId="0A7F95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trPr>
        <w:tc>
          <w:tcPr>
            <w:tcW w:w="5000" w:type="pct"/>
            <w:gridSpan w:val="7"/>
            <w:tcBorders>
              <w:top w:val="single" w:color="auto" w:sz="2" w:space="0"/>
              <w:left w:val="single" w:color="auto" w:sz="2" w:space="0"/>
              <w:bottom w:val="single" w:color="auto" w:sz="2" w:space="0"/>
              <w:right w:val="single" w:color="auto" w:sz="2" w:space="0"/>
            </w:tcBorders>
            <w:noWrap w:val="0"/>
            <w:vAlign w:val="center"/>
          </w:tcPr>
          <w:p w14:paraId="4A95772C">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无组织排放</w:t>
            </w:r>
          </w:p>
        </w:tc>
      </w:tr>
      <w:tr w14:paraId="4DF340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2" w:hRule="atLeast"/>
        </w:trPr>
        <w:tc>
          <w:tcPr>
            <w:tcW w:w="342" w:type="pct"/>
            <w:tcBorders>
              <w:top w:val="single" w:color="auto" w:sz="2" w:space="0"/>
              <w:left w:val="single" w:color="auto" w:sz="2" w:space="0"/>
              <w:bottom w:val="single" w:color="auto" w:sz="2" w:space="0"/>
              <w:right w:val="single" w:color="auto" w:sz="2" w:space="0"/>
            </w:tcBorders>
            <w:noWrap w:val="0"/>
            <w:vAlign w:val="center"/>
          </w:tcPr>
          <w:p w14:paraId="2F0BDA4A">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1</w:t>
            </w:r>
          </w:p>
        </w:tc>
        <w:tc>
          <w:tcPr>
            <w:tcW w:w="471" w:type="pct"/>
            <w:vMerge w:val="restart"/>
            <w:tcBorders>
              <w:top w:val="single" w:color="auto" w:sz="2" w:space="0"/>
              <w:left w:val="single" w:color="auto" w:sz="2" w:space="0"/>
              <w:bottom w:val="single" w:color="auto" w:sz="2" w:space="0"/>
              <w:right w:val="single" w:color="auto" w:sz="2" w:space="0"/>
            </w:tcBorders>
            <w:noWrap w:val="0"/>
            <w:vAlign w:val="center"/>
          </w:tcPr>
          <w:p w14:paraId="548DD4CF">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场</w:t>
            </w:r>
          </w:p>
        </w:tc>
        <w:tc>
          <w:tcPr>
            <w:tcW w:w="500" w:type="pct"/>
            <w:tcBorders>
              <w:top w:val="single" w:color="auto" w:sz="2" w:space="0"/>
              <w:left w:val="single" w:color="auto" w:sz="2" w:space="0"/>
              <w:bottom w:val="single" w:color="auto" w:sz="2" w:space="0"/>
              <w:right w:val="single" w:color="auto" w:sz="2" w:space="0"/>
            </w:tcBorders>
            <w:noWrap w:val="0"/>
            <w:vAlign w:val="center"/>
          </w:tcPr>
          <w:p w14:paraId="76EC5C62">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NMHC</w:t>
            </w:r>
          </w:p>
        </w:tc>
        <w:tc>
          <w:tcPr>
            <w:tcW w:w="635" w:type="pct"/>
            <w:vMerge w:val="restart"/>
            <w:tcBorders>
              <w:top w:val="single" w:color="auto" w:sz="2" w:space="0"/>
              <w:left w:val="single" w:color="auto" w:sz="2" w:space="0"/>
              <w:bottom w:val="single" w:color="auto" w:sz="2" w:space="0"/>
              <w:right w:val="single" w:color="auto" w:sz="2" w:space="0"/>
            </w:tcBorders>
            <w:noWrap w:val="0"/>
            <w:vAlign w:val="center"/>
          </w:tcPr>
          <w:p w14:paraId="2DF431F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日常维护，做好密闭措施</w:t>
            </w:r>
          </w:p>
        </w:tc>
        <w:tc>
          <w:tcPr>
            <w:tcW w:w="1777" w:type="pct"/>
            <w:tcBorders>
              <w:top w:val="single" w:color="auto" w:sz="2" w:space="0"/>
              <w:left w:val="single" w:color="auto" w:sz="2" w:space="0"/>
              <w:bottom w:val="single" w:color="auto" w:sz="2" w:space="0"/>
              <w:right w:val="single" w:color="auto" w:sz="2" w:space="0"/>
            </w:tcBorders>
            <w:noWrap w:val="0"/>
            <w:vAlign w:val="center"/>
          </w:tcPr>
          <w:p w14:paraId="4F9C3E1B">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《陆上石油天然气开采工业大气污染物排放标准》（GB39728-2020））</w:t>
            </w:r>
          </w:p>
        </w:tc>
        <w:tc>
          <w:tcPr>
            <w:tcW w:w="662" w:type="pct"/>
            <w:tcBorders>
              <w:top w:val="single" w:color="auto" w:sz="2" w:space="0"/>
              <w:left w:val="single" w:color="auto" w:sz="2" w:space="0"/>
              <w:bottom w:val="single" w:color="auto" w:sz="2" w:space="0"/>
              <w:right w:val="single" w:color="auto" w:sz="2" w:space="0"/>
            </w:tcBorders>
            <w:noWrap w:val="0"/>
            <w:vAlign w:val="center"/>
          </w:tcPr>
          <w:p w14:paraId="1F4180D5">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外</w:t>
            </w:r>
          </w:p>
          <w:p w14:paraId="61345FB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4.0mg/</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m³</w:t>
            </w:r>
          </w:p>
        </w:tc>
        <w:tc>
          <w:tcPr>
            <w:tcW w:w="610" w:type="pct"/>
            <w:tcBorders>
              <w:top w:val="single" w:color="auto" w:sz="2" w:space="0"/>
              <w:left w:val="single" w:color="auto" w:sz="2" w:space="0"/>
              <w:bottom w:val="single" w:color="auto" w:sz="2" w:space="0"/>
              <w:right w:val="single" w:color="auto" w:sz="2" w:space="0"/>
            </w:tcBorders>
            <w:noWrap w:val="0"/>
            <w:vAlign w:val="center"/>
          </w:tcPr>
          <w:p w14:paraId="4E282E27">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0.467</w:t>
            </w:r>
          </w:p>
        </w:tc>
      </w:tr>
      <w:tr w14:paraId="24AC6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342" w:type="pct"/>
            <w:tcBorders>
              <w:top w:val="single" w:color="auto" w:sz="2" w:space="0"/>
              <w:left w:val="single" w:color="auto" w:sz="2" w:space="0"/>
              <w:bottom w:val="single" w:color="auto" w:sz="2" w:space="0"/>
              <w:right w:val="single" w:color="auto" w:sz="2" w:space="0"/>
            </w:tcBorders>
            <w:noWrap w:val="0"/>
            <w:vAlign w:val="center"/>
          </w:tcPr>
          <w:p w14:paraId="07A36381">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2</w:t>
            </w:r>
          </w:p>
        </w:tc>
        <w:tc>
          <w:tcPr>
            <w:tcW w:w="471" w:type="pct"/>
            <w:vMerge w:val="continue"/>
            <w:tcBorders>
              <w:top w:val="single" w:color="auto" w:sz="2" w:space="0"/>
              <w:left w:val="single" w:color="auto" w:sz="2" w:space="0"/>
              <w:bottom w:val="single" w:color="auto" w:sz="2" w:space="0"/>
              <w:right w:val="single" w:color="auto" w:sz="2" w:space="0"/>
            </w:tcBorders>
            <w:noWrap w:val="0"/>
            <w:vAlign w:val="center"/>
          </w:tcPr>
          <w:p w14:paraId="0C9AA218">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500" w:type="pct"/>
            <w:tcBorders>
              <w:top w:val="single" w:color="auto" w:sz="2" w:space="0"/>
              <w:left w:val="single" w:color="auto" w:sz="2" w:space="0"/>
              <w:bottom w:val="single" w:color="auto" w:sz="2" w:space="0"/>
              <w:right w:val="single" w:color="auto" w:sz="2" w:space="0"/>
            </w:tcBorders>
            <w:noWrap w:val="0"/>
            <w:vAlign w:val="center"/>
          </w:tcPr>
          <w:p w14:paraId="20E75347">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S</w:t>
            </w:r>
          </w:p>
        </w:tc>
        <w:tc>
          <w:tcPr>
            <w:tcW w:w="635" w:type="pct"/>
            <w:vMerge w:val="continue"/>
            <w:tcBorders>
              <w:top w:val="single" w:color="auto" w:sz="2" w:space="0"/>
              <w:left w:val="single" w:color="auto" w:sz="2" w:space="0"/>
              <w:bottom w:val="single" w:color="auto" w:sz="2" w:space="0"/>
              <w:right w:val="single" w:color="auto" w:sz="2" w:space="0"/>
            </w:tcBorders>
            <w:noWrap w:val="0"/>
            <w:vAlign w:val="center"/>
          </w:tcPr>
          <w:p w14:paraId="49F3EF26">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77" w:type="pct"/>
            <w:tcBorders>
              <w:top w:val="single" w:color="auto" w:sz="2" w:space="0"/>
              <w:left w:val="single" w:color="auto" w:sz="2" w:space="0"/>
              <w:bottom w:val="single" w:color="auto" w:sz="2" w:space="0"/>
              <w:right w:val="single" w:color="auto" w:sz="2" w:space="0"/>
            </w:tcBorders>
            <w:noWrap w:val="0"/>
            <w:vAlign w:val="center"/>
          </w:tcPr>
          <w:p w14:paraId="4E39FC7D">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《恶臭污染物排放标准》（GB14554-93）新建项目二级标准</w:t>
            </w:r>
          </w:p>
        </w:tc>
        <w:tc>
          <w:tcPr>
            <w:tcW w:w="662" w:type="pct"/>
            <w:tcBorders>
              <w:top w:val="single" w:color="auto" w:sz="2" w:space="0"/>
              <w:left w:val="single" w:color="auto" w:sz="2" w:space="0"/>
              <w:bottom w:val="single" w:color="auto" w:sz="2" w:space="0"/>
              <w:right w:val="single" w:color="auto" w:sz="2" w:space="0"/>
            </w:tcBorders>
            <w:noWrap w:val="0"/>
            <w:vAlign w:val="center"/>
          </w:tcPr>
          <w:p w14:paraId="4DE018C5">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0.06</w:t>
            </w:r>
          </w:p>
        </w:tc>
        <w:tc>
          <w:tcPr>
            <w:tcW w:w="610" w:type="pct"/>
            <w:tcBorders>
              <w:top w:val="single" w:color="auto" w:sz="2" w:space="0"/>
              <w:left w:val="single" w:color="auto" w:sz="2" w:space="0"/>
              <w:bottom w:val="single" w:color="auto" w:sz="2" w:space="0"/>
              <w:right w:val="single" w:color="auto" w:sz="2" w:space="0"/>
            </w:tcBorders>
            <w:noWrap w:val="0"/>
            <w:vAlign w:val="center"/>
          </w:tcPr>
          <w:p w14:paraId="194CF2AE">
            <w:pPr>
              <w:keepNext w:val="0"/>
              <w:keepLines w:val="0"/>
              <w:pageBreakBefore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0.0054</w:t>
            </w:r>
          </w:p>
        </w:tc>
      </w:tr>
    </w:tbl>
    <w:p w14:paraId="41B6465C">
      <w:pPr>
        <w:keepNext/>
        <w:keepLines/>
        <w:pageBreakBefore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1068" w:name="_Toc353966747"/>
      <w:bookmarkStart w:id="1069" w:name="_Toc75438901"/>
      <w:bookmarkStart w:id="1070" w:name="_Toc42981116"/>
      <w:bookmarkStart w:id="1071" w:name="_Toc374724192"/>
      <w:bookmarkStart w:id="1072" w:name="_Toc361761839"/>
      <w:bookmarkStart w:id="1073" w:name="_Toc508291895"/>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5.5.3退役期大气环境影响分析</w:t>
      </w:r>
    </w:p>
    <w:p w14:paraId="35162CAC">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退役后各种相关辅助工作均停止，天然气</w:t>
      </w:r>
      <w:r>
        <w:rPr>
          <w:rFonts w:hint="eastAsia" w:cs="Times New Roman"/>
          <w:color w:val="000000" w:themeColor="text1"/>
          <w:kern w:val="2"/>
          <w:szCs w:val="24"/>
          <w:highlight w:val="none"/>
          <w:lang w:val="en-US" w:eastAsia="zh-CN"/>
          <w14:textFill>
            <w14:solidFill>
              <w14:schemeClr w14:val="tx1"/>
            </w14:solidFill>
          </w14:textFill>
        </w:rPr>
        <w:t>、凝析油</w:t>
      </w: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造成的环境空气污染源将消失，停止后将进行一系列清理工作，</w:t>
      </w:r>
      <w:r>
        <w:rPr>
          <w:rFonts w:hint="default" w:ascii="Times New Roman" w:hAnsi="Times New Roman" w:cs="Times New Roman"/>
          <w:color w:val="000000" w:themeColor="text1"/>
          <w:highlight w:val="none"/>
          <w14:textFill>
            <w14:solidFill>
              <w14:schemeClr w14:val="tx1"/>
            </w14:solidFill>
          </w14:textFill>
        </w:rPr>
        <w:t>包括地面设施拆除、封井、井场清理等，将会产生少量扬尘。与当地自然条件导致的风沙相比较，清理过程中扬尘造成的环境影响是暂时的，且该区域内活动人群较少，主要为井场清理的</w:t>
      </w:r>
      <w:r>
        <w:rPr>
          <w:rFonts w:hint="default" w:ascii="Times New Roman" w:hAnsi="Times New Roman" w:cs="Times New Roman"/>
          <w:color w:val="000000" w:themeColor="text1"/>
          <w:highlight w:val="none"/>
          <w:lang w:eastAsia="zh-CN"/>
          <w14:textFill>
            <w14:solidFill>
              <w14:schemeClr w14:val="tx1"/>
            </w14:solidFill>
          </w14:textFill>
        </w:rPr>
        <w:t>油田</w:t>
      </w:r>
      <w:r>
        <w:rPr>
          <w:rFonts w:hint="default" w:ascii="Times New Roman" w:hAnsi="Times New Roman" w:cs="Times New Roman"/>
          <w:color w:val="000000" w:themeColor="text1"/>
          <w:highlight w:val="none"/>
          <w14:textFill>
            <w14:solidFill>
              <w14:schemeClr w14:val="tx1"/>
            </w14:solidFill>
          </w14:textFill>
        </w:rPr>
        <w:t>工作人员</w:t>
      </w:r>
      <w:r>
        <w:rPr>
          <w:rFonts w:hint="default" w:ascii="Times New Roman" w:hAnsi="Times New Roman" w:cs="Times New Roman"/>
          <w:color w:val="000000" w:themeColor="text1"/>
          <w:kern w:val="2"/>
          <w:szCs w:val="24"/>
          <w:highlight w:val="none"/>
          <w14:textFill>
            <w14:solidFill>
              <w14:schemeClr w14:val="tx1"/>
            </w14:solidFill>
          </w14:textFill>
        </w:rPr>
        <w:t>。</w:t>
      </w:r>
    </w:p>
    <w:p w14:paraId="61B06D9B">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74" w:name="_Toc4718"/>
      <w:bookmarkStart w:id="1075" w:name="_Toc24581"/>
      <w:bookmarkStart w:id="1076" w:name="_Toc20564"/>
      <w:r>
        <w:rPr>
          <w:rFonts w:hint="default" w:ascii="Times New Roman" w:hAnsi="Times New Roman" w:cs="Times New Roman"/>
          <w:color w:val="000000" w:themeColor="text1"/>
          <w:highlight w:val="none"/>
          <w14:textFill>
            <w14:solidFill>
              <w14:schemeClr w14:val="tx1"/>
            </w14:solidFill>
          </w14:textFill>
        </w:rPr>
        <w:t>5.</w:t>
      </w:r>
      <w:bookmarkEnd w:id="1074"/>
      <w:bookmarkEnd w:id="1075"/>
      <w:bookmarkEnd w:id="1076"/>
      <w:r>
        <w:rPr>
          <w:rFonts w:hint="default" w:ascii="Times New Roman" w:hAnsi="Times New Roman" w:cs="Times New Roman"/>
          <w:color w:val="000000" w:themeColor="text1"/>
          <w:highlight w:val="none"/>
          <w14:textFill>
            <w14:solidFill>
              <w14:schemeClr w14:val="tx1"/>
            </w14:solidFill>
          </w14:textFill>
        </w:rPr>
        <w:t>5.4大气环境影响评价结论</w:t>
      </w:r>
    </w:p>
    <w:p w14:paraId="2DDF9BCB">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位于环境质量不达标区，污染源正常排放下非甲烷总烃短期浓度贡献值的最大浓度占标率均小于10%，污染物的贡献浓度较低，且出现距离较近，影响范围较小。本工程废气污染源对井场四周的贡献浓度均满足相应标准要求。本工程实施后大气环境影响可以接受。</w:t>
      </w:r>
    </w:p>
    <w:p w14:paraId="051F75E8">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5.5</w:t>
      </w:r>
      <w:r>
        <w:rPr>
          <w:rFonts w:hint="default" w:ascii="Times New Roman" w:hAnsi="Times New Roman" w:cs="Times New Roman"/>
          <w:color w:val="000000" w:themeColor="text1"/>
          <w:highlight w:val="none"/>
          <w14:textFill>
            <w14:solidFill>
              <w14:schemeClr w14:val="tx1"/>
            </w14:solidFill>
          </w14:textFill>
        </w:rPr>
        <w:t>大气环境影响评价自查表</w:t>
      </w:r>
    </w:p>
    <w:p w14:paraId="26DCD38D">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000000" w:themeColor="text1"/>
          <w:spacing w:val="4"/>
          <w:kern w:val="24"/>
          <w:highlight w:val="none"/>
          <w14:textFill>
            <w14:solidFill>
              <w14:schemeClr w14:val="tx1"/>
            </w14:solidFill>
          </w14:textFill>
        </w:rPr>
      </w:pPr>
      <w:r>
        <w:rPr>
          <w:rFonts w:hint="default" w:ascii="Times New Roman" w:hAnsi="Times New Roman" w:cs="Times New Roman"/>
          <w:color w:val="000000" w:themeColor="text1"/>
          <w:spacing w:val="4"/>
          <w:kern w:val="24"/>
          <w:highlight w:val="none"/>
          <w14:textFill>
            <w14:solidFill>
              <w14:schemeClr w14:val="tx1"/>
            </w14:solidFill>
          </w14:textFill>
        </w:rPr>
        <w:t>建设项目大气环境影响评价自查表见表5.</w:t>
      </w:r>
      <w:r>
        <w:rPr>
          <w:rFonts w:hint="default" w:ascii="Times New Roman" w:hAnsi="Times New Roman" w:cs="Times New Roman"/>
          <w:color w:val="000000" w:themeColor="text1"/>
          <w:spacing w:val="4"/>
          <w:kern w:val="24"/>
          <w:highlight w:val="none"/>
          <w:lang w:val="en-US" w:eastAsia="zh-CN"/>
          <w14:textFill>
            <w14:solidFill>
              <w14:schemeClr w14:val="tx1"/>
            </w14:solidFill>
          </w14:textFill>
        </w:rPr>
        <w:t>5-</w:t>
      </w:r>
      <w:r>
        <w:rPr>
          <w:rFonts w:hint="eastAsia" w:cs="Times New Roman"/>
          <w:color w:val="000000" w:themeColor="text1"/>
          <w:spacing w:val="4"/>
          <w:kern w:val="24"/>
          <w:highlight w:val="none"/>
          <w:lang w:val="en-US" w:eastAsia="zh-CN"/>
          <w14:textFill>
            <w14:solidFill>
              <w14:schemeClr w14:val="tx1"/>
            </w14:solidFill>
          </w14:textFill>
        </w:rPr>
        <w:t>9</w:t>
      </w:r>
      <w:r>
        <w:rPr>
          <w:rFonts w:hint="default" w:ascii="Times New Roman" w:hAnsi="Times New Roman" w:cs="Times New Roman"/>
          <w:color w:val="000000" w:themeColor="text1"/>
          <w:spacing w:val="4"/>
          <w:kern w:val="24"/>
          <w:highlight w:val="none"/>
          <w14:textFill>
            <w14:solidFill>
              <w14:schemeClr w14:val="tx1"/>
            </w14:solidFill>
          </w14:textFill>
        </w:rPr>
        <w:t>。</w:t>
      </w:r>
    </w:p>
    <w:p w14:paraId="3B8E0EFE">
      <w:pPr>
        <w:pStyle w:val="84"/>
        <w:bidi w:val="0"/>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表5.5-</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大气环境影响评价自查表</w:t>
      </w:r>
    </w:p>
    <w:tbl>
      <w:tblPr>
        <w:tblStyle w:val="3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6"/>
        <w:gridCol w:w="1787"/>
        <w:gridCol w:w="816"/>
        <w:gridCol w:w="88"/>
        <w:gridCol w:w="678"/>
        <w:gridCol w:w="226"/>
        <w:gridCol w:w="320"/>
        <w:gridCol w:w="256"/>
        <w:gridCol w:w="329"/>
        <w:gridCol w:w="452"/>
        <w:gridCol w:w="452"/>
        <w:gridCol w:w="34"/>
        <w:gridCol w:w="870"/>
        <w:gridCol w:w="226"/>
        <w:gridCol w:w="678"/>
        <w:gridCol w:w="380"/>
        <w:gridCol w:w="525"/>
      </w:tblGrid>
      <w:tr w14:paraId="3113C7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86" w:type="pct"/>
            <w:gridSpan w:val="2"/>
            <w:noWrap w:val="0"/>
            <w:vAlign w:val="center"/>
          </w:tcPr>
          <w:p w14:paraId="0051751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工作内容</w:t>
            </w:r>
          </w:p>
        </w:tc>
        <w:tc>
          <w:tcPr>
            <w:tcW w:w="3713" w:type="pct"/>
            <w:gridSpan w:val="15"/>
            <w:noWrap w:val="0"/>
            <w:vAlign w:val="center"/>
          </w:tcPr>
          <w:p w14:paraId="31986273">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自查项目</w:t>
            </w:r>
          </w:p>
        </w:tc>
      </w:tr>
      <w:tr w14:paraId="3AF0D9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4450601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评价等级与范围</w:t>
            </w:r>
          </w:p>
        </w:tc>
        <w:tc>
          <w:tcPr>
            <w:tcW w:w="1048" w:type="pct"/>
            <w:noWrap w:val="0"/>
            <w:vAlign w:val="center"/>
          </w:tcPr>
          <w:p w14:paraId="0257755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评价等级</w:t>
            </w:r>
          </w:p>
        </w:tc>
        <w:tc>
          <w:tcPr>
            <w:tcW w:w="1247" w:type="pct"/>
            <w:gridSpan w:val="5"/>
            <w:noWrap w:val="0"/>
            <w:vAlign w:val="center"/>
          </w:tcPr>
          <w:p w14:paraId="6353C80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一级</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49D9CC9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二级</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4D88598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三级</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1DB93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4FE95EB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519BD507">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评价范围</w:t>
            </w:r>
          </w:p>
        </w:tc>
        <w:tc>
          <w:tcPr>
            <w:tcW w:w="1247" w:type="pct"/>
            <w:gridSpan w:val="5"/>
            <w:noWrap w:val="0"/>
            <w:vAlign w:val="center"/>
          </w:tcPr>
          <w:p w14:paraId="64307DE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边长=50km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73C27FD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边长5～50km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1393C9F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边长=5km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1547D9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3E2D6D6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评价因子</w:t>
            </w:r>
          </w:p>
        </w:tc>
        <w:tc>
          <w:tcPr>
            <w:tcW w:w="1048" w:type="pct"/>
            <w:noWrap w:val="0"/>
            <w:vAlign w:val="center"/>
          </w:tcPr>
          <w:p w14:paraId="6D60387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cs="Times New Roman"/>
                <w:color w:val="000000" w:themeColor="text1"/>
                <w:sz w:val="21"/>
                <w:szCs w:val="21"/>
                <w:highlight w:val="none"/>
                <w14:textFill>
                  <w14:solidFill>
                    <w14:schemeClr w14:val="tx1"/>
                  </w14:solidFill>
                </w14:textFill>
              </w:rPr>
              <w:t>排放量</w:t>
            </w:r>
          </w:p>
        </w:tc>
        <w:tc>
          <w:tcPr>
            <w:tcW w:w="1247" w:type="pct"/>
            <w:gridSpan w:val="5"/>
            <w:noWrap w:val="0"/>
            <w:vAlign w:val="center"/>
          </w:tcPr>
          <w:p w14:paraId="4D95AB1A">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≥2000t/a</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43610FD6">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2000t/a</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66A640C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＜500t/a</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5EBF16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731089D7">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33EED41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评价因子</w:t>
            </w:r>
          </w:p>
        </w:tc>
        <w:tc>
          <w:tcPr>
            <w:tcW w:w="2141" w:type="pct"/>
            <w:gridSpan w:val="10"/>
            <w:noWrap w:val="0"/>
            <w:vAlign w:val="center"/>
          </w:tcPr>
          <w:p w14:paraId="4F64D8F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基本污染物 （SO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14:textFill>
                  <w14:solidFill>
                    <w14:schemeClr w14:val="tx1"/>
                  </w14:solidFill>
                </w14:textFill>
              </w:rPr>
              <w:t>、CO、O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w:t>
            </w:r>
          </w:p>
          <w:p w14:paraId="21C951D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其他污染物（NMHC、H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1571" w:type="pct"/>
            <w:gridSpan w:val="5"/>
            <w:noWrap w:val="0"/>
            <w:vAlign w:val="center"/>
          </w:tcPr>
          <w:p w14:paraId="5171A64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包括二次PM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14:paraId="4B740AA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不包括二次PM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2FBC4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noWrap w:val="0"/>
            <w:vAlign w:val="center"/>
          </w:tcPr>
          <w:p w14:paraId="423E3803">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评价标准</w:t>
            </w:r>
          </w:p>
        </w:tc>
        <w:tc>
          <w:tcPr>
            <w:tcW w:w="1048" w:type="pct"/>
            <w:noWrap w:val="0"/>
            <w:vAlign w:val="center"/>
          </w:tcPr>
          <w:p w14:paraId="07FDD7C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评价标准</w:t>
            </w:r>
          </w:p>
        </w:tc>
        <w:tc>
          <w:tcPr>
            <w:tcW w:w="1247" w:type="pct"/>
            <w:gridSpan w:val="5"/>
            <w:noWrap w:val="0"/>
            <w:vAlign w:val="center"/>
          </w:tcPr>
          <w:p w14:paraId="2F1AD2B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国家标准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74E554E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地方标准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263" w:type="pct"/>
            <w:gridSpan w:val="4"/>
            <w:noWrap w:val="0"/>
            <w:vAlign w:val="center"/>
          </w:tcPr>
          <w:p w14:paraId="10CB2D7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附录D</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08" w:type="pct"/>
            <w:noWrap w:val="0"/>
            <w:vAlign w:val="center"/>
          </w:tcPr>
          <w:p w14:paraId="69F1668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07E60F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5426F8A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现状评价</w:t>
            </w:r>
          </w:p>
        </w:tc>
        <w:tc>
          <w:tcPr>
            <w:tcW w:w="1048" w:type="pct"/>
            <w:noWrap w:val="0"/>
            <w:vAlign w:val="center"/>
          </w:tcPr>
          <w:p w14:paraId="1BDF9E5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环境功能区</w:t>
            </w:r>
          </w:p>
        </w:tc>
        <w:tc>
          <w:tcPr>
            <w:tcW w:w="1247" w:type="pct"/>
            <w:gridSpan w:val="5"/>
            <w:noWrap w:val="0"/>
            <w:vAlign w:val="center"/>
          </w:tcPr>
          <w:p w14:paraId="06A7B04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一类区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32BB39E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二类区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380FA16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一类区和二类区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4F8A10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523AA54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3E2CE83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评价基准年</w:t>
            </w:r>
          </w:p>
        </w:tc>
        <w:tc>
          <w:tcPr>
            <w:tcW w:w="3713" w:type="pct"/>
            <w:gridSpan w:val="15"/>
            <w:noWrap w:val="0"/>
            <w:vAlign w:val="center"/>
          </w:tcPr>
          <w:p w14:paraId="740373B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）年</w:t>
            </w:r>
          </w:p>
        </w:tc>
      </w:tr>
      <w:tr w14:paraId="227C2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0296D266">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17CAA42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环境空气质量现状调查数据来源</w:t>
            </w:r>
          </w:p>
        </w:tc>
        <w:tc>
          <w:tcPr>
            <w:tcW w:w="1247" w:type="pct"/>
            <w:gridSpan w:val="5"/>
            <w:noWrap w:val="0"/>
            <w:vAlign w:val="center"/>
          </w:tcPr>
          <w:p w14:paraId="0737111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长期例行监测数据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17B88E0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主管部门发布的数据</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41D7420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现状补充监测</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7F598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793BD4F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19B2934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现状评价</w:t>
            </w:r>
          </w:p>
        </w:tc>
        <w:tc>
          <w:tcPr>
            <w:tcW w:w="2141" w:type="pct"/>
            <w:gridSpan w:val="10"/>
            <w:noWrap w:val="0"/>
            <w:vAlign w:val="center"/>
          </w:tcPr>
          <w:p w14:paraId="7E8C9F2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2B22A0A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不达标区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78D6A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noWrap w:val="0"/>
            <w:vAlign w:val="center"/>
          </w:tcPr>
          <w:p w14:paraId="4441D77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污染源</w:t>
            </w:r>
          </w:p>
          <w:p w14:paraId="29DA21E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调查</w:t>
            </w:r>
          </w:p>
        </w:tc>
        <w:tc>
          <w:tcPr>
            <w:tcW w:w="1048" w:type="pct"/>
            <w:noWrap w:val="0"/>
            <w:vAlign w:val="center"/>
          </w:tcPr>
          <w:p w14:paraId="2B0459A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调查内容</w:t>
            </w:r>
          </w:p>
        </w:tc>
        <w:tc>
          <w:tcPr>
            <w:tcW w:w="1247" w:type="pct"/>
            <w:gridSpan w:val="5"/>
            <w:noWrap w:val="0"/>
            <w:vAlign w:val="center"/>
          </w:tcPr>
          <w:p w14:paraId="603F649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正常排放源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14:paraId="50B8EDDA">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本工程</w:t>
            </w:r>
            <w:r>
              <w:rPr>
                <w:rFonts w:hint="default" w:ascii="Times New Roman" w:hAnsi="Times New Roman" w:cs="Times New Roman"/>
                <w:color w:val="000000" w:themeColor="text1"/>
                <w:spacing w:val="-10"/>
                <w:sz w:val="21"/>
                <w:szCs w:val="21"/>
                <w:highlight w:val="none"/>
                <w14:textFill>
                  <w14:solidFill>
                    <w14:schemeClr w14:val="tx1"/>
                  </w14:solidFill>
                </w14:textFill>
              </w:rPr>
              <w:t>非正常排放源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14:paraId="06F42A1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现有污染源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93" w:type="pct"/>
            <w:gridSpan w:val="5"/>
            <w:noWrap w:val="0"/>
            <w:vAlign w:val="center"/>
          </w:tcPr>
          <w:p w14:paraId="66FBF5D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拟替代的污染源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263" w:type="pct"/>
            <w:gridSpan w:val="4"/>
            <w:noWrap w:val="0"/>
            <w:vAlign w:val="center"/>
          </w:tcPr>
          <w:p w14:paraId="689430F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其他在建、拟建项目污染源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308" w:type="pct"/>
            <w:noWrap w:val="0"/>
            <w:vAlign w:val="center"/>
          </w:tcPr>
          <w:p w14:paraId="10229EF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区域污染源</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1B730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416760B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大气环境影响预测与评价</w:t>
            </w:r>
          </w:p>
        </w:tc>
        <w:tc>
          <w:tcPr>
            <w:tcW w:w="1048" w:type="pct"/>
            <w:noWrap w:val="0"/>
            <w:vAlign w:val="center"/>
          </w:tcPr>
          <w:p w14:paraId="46C86247">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预测模型</w:t>
            </w:r>
          </w:p>
        </w:tc>
        <w:tc>
          <w:tcPr>
            <w:tcW w:w="530" w:type="pct"/>
            <w:gridSpan w:val="2"/>
            <w:noWrap w:val="0"/>
            <w:vAlign w:val="center"/>
          </w:tcPr>
          <w:p w14:paraId="5C32E093">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AERMOD□</w:t>
            </w:r>
          </w:p>
        </w:tc>
        <w:tc>
          <w:tcPr>
            <w:tcW w:w="530" w:type="pct"/>
            <w:gridSpan w:val="2"/>
            <w:noWrap w:val="0"/>
            <w:vAlign w:val="center"/>
          </w:tcPr>
          <w:p w14:paraId="0D4A47F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ADMS</w:t>
            </w:r>
          </w:p>
          <w:p w14:paraId="571C0CF7">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30" w:type="pct"/>
            <w:gridSpan w:val="3"/>
            <w:noWrap w:val="0"/>
            <w:vAlign w:val="center"/>
          </w:tcPr>
          <w:p w14:paraId="29B42D2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AUSTAL2000□</w:t>
            </w:r>
          </w:p>
        </w:tc>
        <w:tc>
          <w:tcPr>
            <w:tcW w:w="530" w:type="pct"/>
            <w:gridSpan w:val="2"/>
            <w:noWrap w:val="0"/>
            <w:vAlign w:val="center"/>
          </w:tcPr>
          <w:p w14:paraId="34538BF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EDMS/AEDT□</w:t>
            </w:r>
          </w:p>
        </w:tc>
        <w:tc>
          <w:tcPr>
            <w:tcW w:w="530" w:type="pct"/>
            <w:gridSpan w:val="2"/>
            <w:noWrap w:val="0"/>
            <w:vAlign w:val="center"/>
          </w:tcPr>
          <w:p w14:paraId="55B0D27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CALPUFF□</w:t>
            </w:r>
          </w:p>
        </w:tc>
        <w:tc>
          <w:tcPr>
            <w:tcW w:w="530" w:type="pct"/>
            <w:gridSpan w:val="2"/>
            <w:noWrap w:val="0"/>
            <w:vAlign w:val="center"/>
          </w:tcPr>
          <w:p w14:paraId="0195512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网格模型□</w:t>
            </w:r>
          </w:p>
        </w:tc>
        <w:tc>
          <w:tcPr>
            <w:tcW w:w="530" w:type="pct"/>
            <w:gridSpan w:val="2"/>
            <w:noWrap w:val="0"/>
            <w:vAlign w:val="center"/>
          </w:tcPr>
          <w:p w14:paraId="717858A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w:t>
            </w:r>
          </w:p>
          <w:p w14:paraId="6472AC8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471C3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67E7AE9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74264ACA">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预测范围</w:t>
            </w:r>
          </w:p>
        </w:tc>
        <w:tc>
          <w:tcPr>
            <w:tcW w:w="478" w:type="pct"/>
            <w:noWrap w:val="0"/>
            <w:vAlign w:val="center"/>
          </w:tcPr>
          <w:p w14:paraId="13F381C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边长≥50km□</w:t>
            </w:r>
          </w:p>
        </w:tc>
        <w:tc>
          <w:tcPr>
            <w:tcW w:w="1662" w:type="pct"/>
            <w:gridSpan w:val="9"/>
            <w:noWrap w:val="0"/>
            <w:vAlign w:val="center"/>
          </w:tcPr>
          <w:p w14:paraId="7038154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边长5～50km□</w:t>
            </w:r>
          </w:p>
        </w:tc>
        <w:tc>
          <w:tcPr>
            <w:tcW w:w="1571" w:type="pct"/>
            <w:gridSpan w:val="5"/>
            <w:noWrap w:val="0"/>
            <w:vAlign w:val="center"/>
          </w:tcPr>
          <w:p w14:paraId="1E0072A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边长=5km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74050F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1C34A3C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027BA5A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预测因子</w:t>
            </w:r>
          </w:p>
        </w:tc>
        <w:tc>
          <w:tcPr>
            <w:tcW w:w="2141" w:type="pct"/>
            <w:gridSpan w:val="10"/>
            <w:noWrap w:val="0"/>
            <w:vAlign w:val="center"/>
          </w:tcPr>
          <w:p w14:paraId="3E1E909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预测因子（SO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571" w:type="pct"/>
            <w:gridSpan w:val="5"/>
            <w:noWrap w:val="0"/>
            <w:vAlign w:val="center"/>
          </w:tcPr>
          <w:p w14:paraId="1A562F36">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包括二次PM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14:textFill>
                  <w14:solidFill>
                    <w14:schemeClr w14:val="tx1"/>
                  </w14:solidFill>
                </w14:textFill>
              </w:rPr>
              <w:t>□</w:t>
            </w:r>
          </w:p>
          <w:p w14:paraId="281155A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不包括二次PM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r>
      <w:tr w14:paraId="3B7ED2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65E0A6C6">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3FD4BE3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正常排放短期浓度贡献值</w:t>
            </w:r>
          </w:p>
        </w:tc>
        <w:tc>
          <w:tcPr>
            <w:tcW w:w="2141" w:type="pct"/>
            <w:gridSpan w:val="10"/>
            <w:noWrap w:val="0"/>
            <w:vAlign w:val="center"/>
          </w:tcPr>
          <w:p w14:paraId="7E2413E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最大占标率≤100%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14C0C10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最大占标率＞100%□</w:t>
            </w:r>
          </w:p>
        </w:tc>
      </w:tr>
      <w:tr w14:paraId="7A3A9A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4D292810">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vMerge w:val="restart"/>
            <w:noWrap w:val="0"/>
            <w:vAlign w:val="center"/>
          </w:tcPr>
          <w:p w14:paraId="6E6148A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正常排放年均浓度贡献值</w:t>
            </w:r>
          </w:p>
        </w:tc>
        <w:tc>
          <w:tcPr>
            <w:tcW w:w="478" w:type="pct"/>
            <w:noWrap w:val="0"/>
            <w:vAlign w:val="center"/>
          </w:tcPr>
          <w:p w14:paraId="3408E17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一类区</w:t>
            </w:r>
          </w:p>
        </w:tc>
        <w:tc>
          <w:tcPr>
            <w:tcW w:w="1662" w:type="pct"/>
            <w:gridSpan w:val="9"/>
            <w:noWrap w:val="0"/>
            <w:vAlign w:val="center"/>
          </w:tcPr>
          <w:p w14:paraId="08E25D6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最大占标率≤10%□</w:t>
            </w:r>
          </w:p>
        </w:tc>
        <w:tc>
          <w:tcPr>
            <w:tcW w:w="1571" w:type="pct"/>
            <w:gridSpan w:val="5"/>
            <w:noWrap w:val="0"/>
            <w:vAlign w:val="center"/>
          </w:tcPr>
          <w:p w14:paraId="67C69527">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最大占标率＞10%□</w:t>
            </w:r>
          </w:p>
        </w:tc>
      </w:tr>
      <w:tr w14:paraId="7B2C37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4C9EBD2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vMerge w:val="continue"/>
            <w:noWrap w:val="0"/>
            <w:vAlign w:val="center"/>
          </w:tcPr>
          <w:p w14:paraId="76302C3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78" w:type="pct"/>
            <w:noWrap w:val="0"/>
            <w:vAlign w:val="center"/>
          </w:tcPr>
          <w:p w14:paraId="23552B3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二类区</w:t>
            </w:r>
          </w:p>
        </w:tc>
        <w:tc>
          <w:tcPr>
            <w:tcW w:w="1662" w:type="pct"/>
            <w:gridSpan w:val="9"/>
            <w:noWrap w:val="0"/>
            <w:vAlign w:val="center"/>
          </w:tcPr>
          <w:p w14:paraId="3D7C3EC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最大占标率≤30%□</w:t>
            </w:r>
          </w:p>
        </w:tc>
        <w:tc>
          <w:tcPr>
            <w:tcW w:w="1571" w:type="pct"/>
            <w:gridSpan w:val="5"/>
            <w:noWrap w:val="0"/>
            <w:vAlign w:val="center"/>
          </w:tcPr>
          <w:p w14:paraId="063E90A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lang w:eastAsia="zh-CN"/>
                <w14:textFill>
                  <w14:solidFill>
                    <w14:schemeClr w14:val="tx1"/>
                  </w14:solidFill>
                </w14:textFill>
              </w:rPr>
              <w:t>本工程</w:t>
            </w:r>
            <w:r>
              <w:rPr>
                <w:rFonts w:hint="default" w:ascii="Times New Roman" w:hAnsi="Times New Roman" w:cs="Times New Roman"/>
                <w:color w:val="000000" w:themeColor="text1"/>
                <w:sz w:val="21"/>
                <w:szCs w:val="21"/>
                <w:highlight w:val="none"/>
                <w14:textFill>
                  <w14:solidFill>
                    <w14:schemeClr w14:val="tx1"/>
                  </w14:solidFill>
                </w14:textFill>
              </w:rPr>
              <w:t>最大占标率＞30%□</w:t>
            </w:r>
          </w:p>
        </w:tc>
      </w:tr>
      <w:tr w14:paraId="46755F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1C7BABB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145F296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非正常排放1h浓度贡献值</w:t>
            </w:r>
          </w:p>
        </w:tc>
        <w:tc>
          <w:tcPr>
            <w:tcW w:w="478" w:type="pct"/>
            <w:noWrap w:val="0"/>
            <w:vAlign w:val="center"/>
          </w:tcPr>
          <w:p w14:paraId="71106F2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非正常持续时长（）h</w:t>
            </w:r>
          </w:p>
        </w:tc>
        <w:tc>
          <w:tcPr>
            <w:tcW w:w="1662" w:type="pct"/>
            <w:gridSpan w:val="9"/>
            <w:noWrap w:val="0"/>
            <w:vAlign w:val="center"/>
          </w:tcPr>
          <w:p w14:paraId="366F970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非正常</w:t>
            </w:r>
            <w:r>
              <w:rPr>
                <w:rFonts w:hint="default" w:ascii="Times New Roman" w:hAnsi="Times New Roman" w:cs="Times New Roman"/>
                <w:color w:val="000000" w:themeColor="text1"/>
                <w:sz w:val="21"/>
                <w:szCs w:val="21"/>
                <w:highlight w:val="none"/>
                <w14:textFill>
                  <w14:solidFill>
                    <w14:schemeClr w14:val="tx1"/>
                  </w14:solidFill>
                </w14:textFill>
              </w:rPr>
              <w:t>占标率≤100%□</w:t>
            </w:r>
          </w:p>
        </w:tc>
        <w:tc>
          <w:tcPr>
            <w:tcW w:w="1571" w:type="pct"/>
            <w:gridSpan w:val="5"/>
            <w:noWrap w:val="0"/>
            <w:vAlign w:val="center"/>
          </w:tcPr>
          <w:p w14:paraId="714F15D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非正常</w:t>
            </w:r>
            <w:r>
              <w:rPr>
                <w:rFonts w:hint="default" w:ascii="Times New Roman" w:hAnsi="Times New Roman" w:cs="Times New Roman"/>
                <w:color w:val="000000" w:themeColor="text1"/>
                <w:sz w:val="21"/>
                <w:szCs w:val="21"/>
                <w:highlight w:val="none"/>
                <w14:textFill>
                  <w14:solidFill>
                    <w14:schemeClr w14:val="tx1"/>
                  </w14:solidFill>
                </w14:textFill>
              </w:rPr>
              <w:t>占标率＞100%□</w:t>
            </w:r>
          </w:p>
        </w:tc>
      </w:tr>
      <w:tr w14:paraId="41959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223891B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46BB92EA">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保证率日平均浓度和年平均浓度叠加值</w:t>
            </w:r>
          </w:p>
        </w:tc>
        <w:tc>
          <w:tcPr>
            <w:tcW w:w="2141" w:type="pct"/>
            <w:gridSpan w:val="10"/>
            <w:noWrap w:val="0"/>
            <w:vAlign w:val="center"/>
          </w:tcPr>
          <w:p w14:paraId="459471B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叠加</w:t>
            </w:r>
            <w:r>
              <w:rPr>
                <w:rFonts w:hint="default" w:ascii="Times New Roman" w:hAnsi="Times New Roman" w:cs="Times New Roman"/>
                <w:color w:val="000000" w:themeColor="text1"/>
                <w:sz w:val="21"/>
                <w:szCs w:val="21"/>
                <w:highlight w:val="none"/>
                <w14:textFill>
                  <w14:solidFill>
                    <w14:schemeClr w14:val="tx1"/>
                  </w14:solidFill>
                </w14:textFill>
              </w:rPr>
              <w:t>达标□</w:t>
            </w:r>
          </w:p>
        </w:tc>
        <w:tc>
          <w:tcPr>
            <w:tcW w:w="1571" w:type="pct"/>
            <w:gridSpan w:val="5"/>
            <w:noWrap w:val="0"/>
            <w:vAlign w:val="center"/>
          </w:tcPr>
          <w:p w14:paraId="0A3245B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叠加</w:t>
            </w:r>
            <w:r>
              <w:rPr>
                <w:rFonts w:hint="default" w:ascii="Times New Roman" w:hAnsi="Times New Roman" w:cs="Times New Roman"/>
                <w:color w:val="000000" w:themeColor="text1"/>
                <w:sz w:val="21"/>
                <w:szCs w:val="21"/>
                <w:highlight w:val="none"/>
                <w14:textFill>
                  <w14:solidFill>
                    <w14:schemeClr w14:val="tx1"/>
                  </w14:solidFill>
                </w14:textFill>
              </w:rPr>
              <w:t>不达标□</w:t>
            </w:r>
          </w:p>
        </w:tc>
      </w:tr>
      <w:tr w14:paraId="0E9920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6061A18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52AE6D8F">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区域环境质量的整体变化情况</w:t>
            </w:r>
          </w:p>
        </w:tc>
        <w:tc>
          <w:tcPr>
            <w:tcW w:w="2141" w:type="pct"/>
            <w:gridSpan w:val="10"/>
            <w:noWrap w:val="0"/>
            <w:vAlign w:val="center"/>
          </w:tcPr>
          <w:p w14:paraId="1E68990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k≤-20%□</w:t>
            </w:r>
          </w:p>
        </w:tc>
        <w:tc>
          <w:tcPr>
            <w:tcW w:w="1571" w:type="pct"/>
            <w:gridSpan w:val="5"/>
            <w:noWrap w:val="0"/>
            <w:vAlign w:val="center"/>
          </w:tcPr>
          <w:p w14:paraId="50B254B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k＞-20%□</w:t>
            </w:r>
          </w:p>
        </w:tc>
      </w:tr>
      <w:tr w14:paraId="13E5E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0082CA6D">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环境监测计划</w:t>
            </w:r>
          </w:p>
        </w:tc>
        <w:tc>
          <w:tcPr>
            <w:tcW w:w="1048" w:type="pct"/>
            <w:noWrap w:val="0"/>
            <w:vAlign w:val="center"/>
          </w:tcPr>
          <w:p w14:paraId="260F9E2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污染源监测</w:t>
            </w:r>
          </w:p>
        </w:tc>
        <w:tc>
          <w:tcPr>
            <w:tcW w:w="1398" w:type="pct"/>
            <w:gridSpan w:val="6"/>
            <w:noWrap w:val="0"/>
            <w:vAlign w:val="center"/>
          </w:tcPr>
          <w:p w14:paraId="7B8432D5">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监测因子：（NMHC、H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743" w:type="pct"/>
            <w:gridSpan w:val="4"/>
            <w:noWrap w:val="0"/>
            <w:vAlign w:val="center"/>
          </w:tcPr>
          <w:p w14:paraId="0C1B1D8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有组织废气监测</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14:paraId="00DF623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无组织废气监测</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571" w:type="pct"/>
            <w:gridSpan w:val="5"/>
            <w:noWrap w:val="0"/>
            <w:vAlign w:val="center"/>
          </w:tcPr>
          <w:p w14:paraId="772E7C3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无监测□</w:t>
            </w:r>
          </w:p>
        </w:tc>
      </w:tr>
      <w:tr w14:paraId="4EC829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1E8D97C1">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4686C94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环境质量监测</w:t>
            </w:r>
          </w:p>
        </w:tc>
        <w:tc>
          <w:tcPr>
            <w:tcW w:w="1398" w:type="pct"/>
            <w:gridSpan w:val="6"/>
            <w:noWrap w:val="0"/>
            <w:vAlign w:val="center"/>
          </w:tcPr>
          <w:p w14:paraId="23925FD4">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监测因子：（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743" w:type="pct"/>
            <w:gridSpan w:val="4"/>
            <w:noWrap w:val="0"/>
            <w:vAlign w:val="center"/>
          </w:tcPr>
          <w:p w14:paraId="40B427B8">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监测点位数（）</w:t>
            </w:r>
          </w:p>
        </w:tc>
        <w:tc>
          <w:tcPr>
            <w:tcW w:w="1571" w:type="pct"/>
            <w:gridSpan w:val="5"/>
            <w:noWrap w:val="0"/>
            <w:vAlign w:val="center"/>
          </w:tcPr>
          <w:p w14:paraId="6EBD529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无监测□</w:t>
            </w:r>
          </w:p>
        </w:tc>
      </w:tr>
      <w:tr w14:paraId="0C1F19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restart"/>
            <w:noWrap w:val="0"/>
            <w:vAlign w:val="center"/>
          </w:tcPr>
          <w:p w14:paraId="06DF0E59">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评价结论</w:t>
            </w:r>
          </w:p>
        </w:tc>
        <w:tc>
          <w:tcPr>
            <w:tcW w:w="1048" w:type="pct"/>
            <w:noWrap w:val="0"/>
            <w:vAlign w:val="center"/>
          </w:tcPr>
          <w:p w14:paraId="34929B13">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环境影响</w:t>
            </w:r>
          </w:p>
        </w:tc>
        <w:tc>
          <w:tcPr>
            <w:tcW w:w="3713" w:type="pct"/>
            <w:gridSpan w:val="15"/>
            <w:noWrap w:val="0"/>
            <w:vAlign w:val="center"/>
          </w:tcPr>
          <w:p w14:paraId="5294FFFB">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可以接受</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不可以接受□</w:t>
            </w:r>
          </w:p>
        </w:tc>
      </w:tr>
      <w:tr w14:paraId="1B155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14BCB546">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3CBCF702">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大气环境防护距离</w:t>
            </w:r>
          </w:p>
        </w:tc>
        <w:tc>
          <w:tcPr>
            <w:tcW w:w="3713" w:type="pct"/>
            <w:gridSpan w:val="15"/>
            <w:noWrap w:val="0"/>
            <w:vAlign w:val="center"/>
          </w:tcPr>
          <w:p w14:paraId="57606DAC">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距厂界最远（ ）m</w:t>
            </w:r>
          </w:p>
        </w:tc>
      </w:tr>
      <w:tr w14:paraId="745E1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8" w:type="pct"/>
            <w:vMerge w:val="continue"/>
            <w:noWrap w:val="0"/>
            <w:vAlign w:val="center"/>
          </w:tcPr>
          <w:p w14:paraId="756CC5EE">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48" w:type="pct"/>
            <w:noWrap w:val="0"/>
            <w:vAlign w:val="center"/>
          </w:tcPr>
          <w:p w14:paraId="3FBF77D3">
            <w:pPr>
              <w:keepNext w:val="0"/>
              <w:keepLines w:val="0"/>
              <w:widowControl/>
              <w:suppressLineNumbers w:val="0"/>
              <w:shd w:val="clear" w:color="auto" w:fill="auto"/>
              <w:spacing w:before="0" w:beforeAutospacing="0" w:after="0" w:afterAutospacing="0" w:line="240" w:lineRule="exact"/>
              <w:ind w:left="0" w:leftChars="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污染源年排放量</w:t>
            </w:r>
          </w:p>
        </w:tc>
        <w:tc>
          <w:tcPr>
            <w:tcW w:w="928" w:type="pct"/>
            <w:gridSpan w:val="3"/>
            <w:noWrap w:val="0"/>
            <w:vAlign w:val="center"/>
          </w:tcPr>
          <w:p w14:paraId="4A03FAD9">
            <w:pPr>
              <w:keepNext w:val="0"/>
              <w:keepLines w:val="0"/>
              <w:widowControl/>
              <w:suppressLineNumbers w:val="0"/>
              <w:shd w:val="clear" w:color="auto" w:fill="auto"/>
              <w:spacing w:before="0" w:beforeAutospacing="0" w:after="0" w:afterAutospacing="0" w:line="240" w:lineRule="exact"/>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10"/>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928" w:type="pct"/>
            <w:gridSpan w:val="5"/>
            <w:noWrap w:val="0"/>
            <w:vAlign w:val="center"/>
          </w:tcPr>
          <w:p w14:paraId="2C5E37BE">
            <w:pPr>
              <w:keepNext w:val="0"/>
              <w:keepLines w:val="0"/>
              <w:widowControl/>
              <w:suppressLineNumbers w:val="0"/>
              <w:shd w:val="clear" w:color="auto" w:fill="auto"/>
              <w:spacing w:before="0" w:beforeAutospacing="0" w:after="0" w:afterAutospacing="0" w:line="240" w:lineRule="exact"/>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10"/>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928" w:type="pct"/>
            <w:gridSpan w:val="4"/>
            <w:noWrap w:val="0"/>
            <w:vAlign w:val="center"/>
          </w:tcPr>
          <w:p w14:paraId="668DE2B3">
            <w:pPr>
              <w:keepNext w:val="0"/>
              <w:keepLines w:val="0"/>
              <w:widowControl/>
              <w:suppressLineNumbers w:val="0"/>
              <w:shd w:val="clear" w:color="auto" w:fill="auto"/>
              <w:spacing w:before="0" w:beforeAutospacing="0" w:after="0" w:afterAutospacing="0" w:line="240" w:lineRule="exact"/>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硫化氢</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10"/>
                <w:sz w:val="21"/>
                <w:szCs w:val="21"/>
                <w:highlight w:val="none"/>
                <w:lang w:val="en-US" w:eastAsia="zh-CN"/>
                <w14:textFill>
                  <w14:solidFill>
                    <w14:schemeClr w14:val="tx1"/>
                  </w14:solidFill>
                </w14:textFill>
              </w:rPr>
              <w:t>0.0054</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928" w:type="pct"/>
            <w:gridSpan w:val="3"/>
            <w:noWrap w:val="0"/>
            <w:vAlign w:val="center"/>
          </w:tcPr>
          <w:p w14:paraId="5993893B">
            <w:pPr>
              <w:keepNext w:val="0"/>
              <w:keepLines w:val="0"/>
              <w:widowControl/>
              <w:suppressLineNumbers w:val="0"/>
              <w:shd w:val="clear" w:color="auto" w:fill="auto"/>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无组织</w:t>
            </w:r>
            <w:r>
              <w:rPr>
                <w:rFonts w:hint="default" w:ascii="Times New Roman" w:hAnsi="Times New Roman" w:cs="Times New Roman"/>
                <w:color w:val="000000" w:themeColor="text1"/>
                <w:sz w:val="21"/>
                <w:szCs w:val="21"/>
                <w:highlight w:val="none"/>
                <w:lang w:eastAsia="zh-CN"/>
                <w14:textFill>
                  <w14:solidFill>
                    <w14:schemeClr w14:val="tx1"/>
                  </w14:solidFill>
                </w14:textFill>
              </w:rPr>
              <w:t>VOCs：（</w:t>
            </w:r>
            <w:r>
              <w:rPr>
                <w:rFonts w:hint="eastAsia" w:cs="Times New Roman"/>
                <w:color w:val="000000" w:themeColor="text1"/>
                <w:spacing w:val="-10"/>
                <w:sz w:val="21"/>
                <w:szCs w:val="21"/>
                <w:highlight w:val="none"/>
                <w:lang w:val="en-US" w:eastAsia="zh-CN"/>
                <w14:textFill>
                  <w14:solidFill>
                    <w14:schemeClr w14:val="tx1"/>
                  </w14:solidFill>
                </w14:textFill>
              </w:rPr>
              <w:t>0.467</w:t>
            </w:r>
            <w:r>
              <w:rPr>
                <w:rFonts w:hint="default" w:ascii="Times New Roman" w:hAnsi="Times New Roman" w:cs="Times New Roman"/>
                <w:color w:val="000000" w:themeColor="text1"/>
                <w:sz w:val="21"/>
                <w:szCs w:val="21"/>
                <w:highlight w:val="none"/>
                <w:lang w:eastAsia="zh-CN"/>
                <w14:textFill>
                  <w14:solidFill>
                    <w14:schemeClr w14:val="tx1"/>
                  </w14:solidFill>
                </w14:textFill>
              </w:rPr>
              <w:t>）t/a</w:t>
            </w:r>
          </w:p>
        </w:tc>
      </w:tr>
    </w:tbl>
    <w:p w14:paraId="7AA10BEF">
      <w:pPr>
        <w:pStyle w:val="3"/>
        <w:pageBreakBefore w:val="0"/>
        <w:widowControl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77" w:name="_Toc32642"/>
      <w:bookmarkStart w:id="1078" w:name="_Toc24374"/>
      <w:r>
        <w:rPr>
          <w:rFonts w:hint="default" w:ascii="Times New Roman" w:hAnsi="Times New Roman" w:cs="Times New Roman"/>
          <w:color w:val="000000" w:themeColor="text1"/>
          <w:highlight w:val="none"/>
          <w14:textFill>
            <w14:solidFill>
              <w14:schemeClr w14:val="tx1"/>
            </w14:solidFill>
          </w14:textFill>
        </w:rPr>
        <w:t>5.</w:t>
      </w:r>
      <w:bookmarkEnd w:id="1068"/>
      <w:bookmarkEnd w:id="1069"/>
      <w:bookmarkEnd w:id="1070"/>
      <w:bookmarkEnd w:id="1071"/>
      <w:bookmarkEnd w:id="1072"/>
      <w:bookmarkEnd w:id="1073"/>
      <w:bookmarkEnd w:id="1077"/>
      <w:r>
        <w:rPr>
          <w:rFonts w:hint="default" w:ascii="Times New Roman" w:hAnsi="Times New Roman" w:cs="Times New Roman"/>
          <w:color w:val="000000" w:themeColor="text1"/>
          <w:highlight w:val="none"/>
          <w14:textFill>
            <w14:solidFill>
              <w14:schemeClr w14:val="tx1"/>
            </w14:solidFill>
          </w14:textFill>
        </w:rPr>
        <w:t>6声环境影响评价</w:t>
      </w:r>
      <w:bookmarkEnd w:id="1078"/>
    </w:p>
    <w:p w14:paraId="6B8FFFB6">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79" w:name="_Toc15267"/>
      <w:bookmarkStart w:id="1080" w:name="_Toc9260"/>
      <w:bookmarkStart w:id="1081" w:name="_Toc5046"/>
      <w:r>
        <w:rPr>
          <w:rFonts w:hint="default" w:ascii="Times New Roman" w:hAnsi="Times New Roman" w:cs="Times New Roman"/>
          <w:color w:val="000000" w:themeColor="text1"/>
          <w:highlight w:val="none"/>
          <w14:textFill>
            <w14:solidFill>
              <w14:schemeClr w14:val="tx1"/>
            </w14:solidFill>
          </w14:textFill>
        </w:rPr>
        <w:t>5.</w:t>
      </w:r>
      <w:bookmarkEnd w:id="1079"/>
      <w:bookmarkEnd w:id="1080"/>
      <w:bookmarkEnd w:id="1081"/>
      <w:r>
        <w:rPr>
          <w:rFonts w:hint="default" w:ascii="Times New Roman" w:hAnsi="Times New Roman" w:cs="Times New Roman"/>
          <w:color w:val="000000" w:themeColor="text1"/>
          <w:highlight w:val="none"/>
          <w14:textFill>
            <w14:solidFill>
              <w14:schemeClr w14:val="tx1"/>
            </w14:solidFill>
          </w14:textFill>
        </w:rPr>
        <w:t>6.1施工期声环境影响分析</w:t>
      </w:r>
    </w:p>
    <w:p w14:paraId="27ABD4F2">
      <w:pPr>
        <w:pStyle w:val="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.1.1钻井过程声环境影响分析</w:t>
      </w:r>
    </w:p>
    <w:p w14:paraId="25646A55">
      <w:pPr>
        <w:shd w:val="clear" w:color="auto" w:fill="auto"/>
        <w:spacing w:line="360" w:lineRule="auto"/>
        <w:ind w:firstLine="496" w:firstLineChars="200"/>
        <w:jc w:val="both"/>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钻井过程中的噪声源主要是发电机、钻机和各类泵的噪声，其中柴油发电机、钻机噪声级在90dB（A）～105dB（A）之间，钻井液循环泵噪声级在 95dB（A）～105dB（A）之间，其他构筑物施工机械噪声级在85dB（A）～100dB（A）之间。 </w:t>
      </w:r>
    </w:p>
    <w:p w14:paraId="63FAF6E4">
      <w:pPr>
        <w:shd w:val="clear" w:color="auto" w:fill="auto"/>
        <w:spacing w:line="360" w:lineRule="auto"/>
        <w:ind w:firstLine="496" w:firstLineChars="200"/>
        <w:jc w:val="both"/>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（2）敏感点分析 </w:t>
      </w:r>
    </w:p>
    <w:p w14:paraId="7C5FCFED">
      <w:pPr>
        <w:shd w:val="clear" w:color="auto" w:fill="auto"/>
        <w:spacing w:line="360" w:lineRule="auto"/>
        <w:ind w:firstLine="496" w:firstLineChars="200"/>
        <w:jc w:val="both"/>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根据现场调查，工程区周围200m范围内无声环境敏感点。 </w:t>
      </w:r>
    </w:p>
    <w:p w14:paraId="521C5A9E">
      <w:pPr>
        <w:shd w:val="clear" w:color="auto" w:fill="auto"/>
        <w:spacing w:line="360" w:lineRule="auto"/>
        <w:ind w:firstLine="496" w:firstLineChars="200"/>
        <w:jc w:val="both"/>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（3）声环境影响分析 </w:t>
      </w:r>
    </w:p>
    <w:p w14:paraId="372B3883">
      <w:pPr>
        <w:shd w:val="clear" w:color="auto" w:fill="auto"/>
        <w:spacing w:line="360" w:lineRule="auto"/>
        <w:ind w:firstLine="496" w:firstLineChars="200"/>
        <w:jc w:val="both"/>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施工噪声不会产生噪声扰民现象，施工期影响对象主要是施工人员，影响范围小，噪声影响随着施工活动结束而消失。</w:t>
      </w:r>
    </w:p>
    <w:p w14:paraId="4707C396">
      <w:pPr>
        <w:pStyle w:val="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2地面工程施工</w:t>
      </w:r>
      <w:r>
        <w:rPr>
          <w:rFonts w:hint="default" w:ascii="Times New Roman" w:hAnsi="Times New Roman" w:cs="Times New Roman"/>
          <w:color w:val="000000" w:themeColor="text1"/>
          <w:highlight w:val="none"/>
          <w14:textFill>
            <w14:solidFill>
              <w14:schemeClr w14:val="tx1"/>
            </w14:solidFill>
          </w14:textFill>
        </w:rPr>
        <w:t>声环境影响分析</w:t>
      </w:r>
    </w:p>
    <w:p w14:paraId="71C487B8">
      <w:pPr>
        <w:shd w:val="clear" w:color="auto" w:fill="auto"/>
        <w:spacing w:line="360" w:lineRule="auto"/>
        <w:ind w:firstLine="496" w:firstLineChars="200"/>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本工程地面工程在建设施工过程中，由于运输、场地平整、建筑物修建等要使用各种车辆和机械，其产生的噪声对施工区周围的环境将产生一定的影响。</w:t>
      </w:r>
    </w:p>
    <w:p w14:paraId="4F471689">
      <w:pPr>
        <w:widowControl w:val="0"/>
        <w:spacing w:line="360" w:lineRule="auto"/>
        <w:ind w:firstLine="480" w:firstLineChars="200"/>
        <w:jc w:val="both"/>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地面工程建设过程中主要施工机械在不同距离的噪声影响水平类比调查结果见表5.</w:t>
      </w: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6</w:t>
      </w:r>
      <w:r>
        <w:rPr>
          <w:rFonts w:hint="default" w:ascii="Times New Roman" w:hAnsi="Times New Roman" w:cs="Times New Roman"/>
          <w:color w:val="000000" w:themeColor="text1"/>
          <w:kern w:val="2"/>
          <w:szCs w:val="24"/>
          <w:highlight w:val="none"/>
          <w14:textFill>
            <w14:solidFill>
              <w14:schemeClr w14:val="tx1"/>
            </w14:solidFill>
          </w14:textFill>
        </w:rPr>
        <w:t>-1。</w:t>
      </w:r>
    </w:p>
    <w:p w14:paraId="3DA57989">
      <w:pPr>
        <w:pStyle w:val="84"/>
        <w:bidi w:val="0"/>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表5.6-1   主要施工机械在不同距离处的噪声贡献值一览表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692"/>
        <w:gridCol w:w="692"/>
        <w:gridCol w:w="692"/>
        <w:gridCol w:w="692"/>
        <w:gridCol w:w="692"/>
        <w:gridCol w:w="692"/>
        <w:gridCol w:w="692"/>
        <w:gridCol w:w="692"/>
        <w:gridCol w:w="693"/>
        <w:gridCol w:w="708"/>
      </w:tblGrid>
      <w:tr w14:paraId="6067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vMerge w:val="restart"/>
            <w:noWrap w:val="0"/>
            <w:vAlign w:val="center"/>
          </w:tcPr>
          <w:p w14:paraId="60D904E0">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机械</w:t>
            </w:r>
          </w:p>
        </w:tc>
        <w:tc>
          <w:tcPr>
            <w:tcW w:w="4069" w:type="pct"/>
            <w:gridSpan w:val="10"/>
            <w:noWrap w:val="0"/>
            <w:vAlign w:val="top"/>
          </w:tcPr>
          <w:p w14:paraId="11059DB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不同距离处的噪声贡献值dB</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p>
        </w:tc>
      </w:tr>
      <w:tr w14:paraId="54C8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vMerge w:val="continue"/>
            <w:noWrap w:val="0"/>
            <w:vAlign w:val="top"/>
          </w:tcPr>
          <w:p w14:paraId="6B4EFB69">
            <w:pPr>
              <w:rPr>
                <w:rFonts w:hint="eastAsia" w:ascii="宋体" w:hAnsi="宋体" w:eastAsia="宋体" w:cs="宋体"/>
                <w:color w:val="000000" w:themeColor="text1"/>
                <w:highlight w:val="none"/>
                <w14:textFill>
                  <w14:solidFill>
                    <w14:schemeClr w14:val="tx1"/>
                  </w14:solidFill>
                </w14:textFill>
              </w:rPr>
            </w:pPr>
          </w:p>
        </w:tc>
        <w:tc>
          <w:tcPr>
            <w:tcW w:w="406" w:type="pct"/>
            <w:noWrap w:val="0"/>
            <w:vAlign w:val="top"/>
          </w:tcPr>
          <w:p w14:paraId="684B9D64">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强度</w:t>
            </w:r>
          </w:p>
        </w:tc>
        <w:tc>
          <w:tcPr>
            <w:tcW w:w="406" w:type="pct"/>
            <w:noWrap w:val="0"/>
            <w:vAlign w:val="top"/>
          </w:tcPr>
          <w:p w14:paraId="6D1D1A09">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406" w:type="pct"/>
            <w:noWrap w:val="0"/>
            <w:vAlign w:val="top"/>
          </w:tcPr>
          <w:p w14:paraId="35AB8D17">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20</w:t>
            </w:r>
          </w:p>
        </w:tc>
        <w:tc>
          <w:tcPr>
            <w:tcW w:w="406" w:type="pct"/>
            <w:noWrap w:val="0"/>
            <w:vAlign w:val="top"/>
          </w:tcPr>
          <w:p w14:paraId="2FFB2189">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40</w:t>
            </w:r>
          </w:p>
        </w:tc>
        <w:tc>
          <w:tcPr>
            <w:tcW w:w="406" w:type="pct"/>
            <w:noWrap w:val="0"/>
            <w:vAlign w:val="top"/>
          </w:tcPr>
          <w:p w14:paraId="2DC2AA52">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406" w:type="pct"/>
            <w:noWrap w:val="0"/>
            <w:vAlign w:val="top"/>
          </w:tcPr>
          <w:p w14:paraId="22D0AF23">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406" w:type="pct"/>
            <w:noWrap w:val="0"/>
            <w:vAlign w:val="top"/>
          </w:tcPr>
          <w:p w14:paraId="513AE45C">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200</w:t>
            </w:r>
          </w:p>
        </w:tc>
        <w:tc>
          <w:tcPr>
            <w:tcW w:w="406" w:type="pct"/>
            <w:noWrap w:val="0"/>
            <w:vAlign w:val="top"/>
          </w:tcPr>
          <w:p w14:paraId="5EB4B073">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400</w:t>
            </w:r>
          </w:p>
        </w:tc>
        <w:tc>
          <w:tcPr>
            <w:tcW w:w="406" w:type="pct"/>
            <w:noWrap w:val="0"/>
            <w:vAlign w:val="top"/>
          </w:tcPr>
          <w:p w14:paraId="112B293B">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800</w:t>
            </w:r>
          </w:p>
        </w:tc>
        <w:tc>
          <w:tcPr>
            <w:tcW w:w="410" w:type="pct"/>
            <w:noWrap w:val="0"/>
            <w:vAlign w:val="top"/>
          </w:tcPr>
          <w:p w14:paraId="18238D74">
            <w:pPr>
              <w:pStyle w:val="47"/>
              <w:bidi w:val="0"/>
              <w:rPr>
                <w:rFonts w:hint="eastAsia" w:ascii="宋体" w:hAnsi="宋体" w:eastAsia="宋体" w:cs="宋体"/>
                <w:snapToGrid w:val="0"/>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1000</w:t>
            </w:r>
          </w:p>
        </w:tc>
      </w:tr>
      <w:tr w14:paraId="7D36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center"/>
          </w:tcPr>
          <w:p w14:paraId="1C9B425F">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柴油发电机</w:t>
            </w:r>
          </w:p>
        </w:tc>
        <w:tc>
          <w:tcPr>
            <w:tcW w:w="406" w:type="pct"/>
            <w:noWrap w:val="0"/>
            <w:vAlign w:val="top"/>
          </w:tcPr>
          <w:p w14:paraId="178FC7D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105</w:t>
            </w:r>
          </w:p>
        </w:tc>
        <w:tc>
          <w:tcPr>
            <w:tcW w:w="406" w:type="pct"/>
            <w:noWrap w:val="0"/>
            <w:vAlign w:val="top"/>
          </w:tcPr>
          <w:p w14:paraId="56E0DA6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406" w:type="pct"/>
            <w:noWrap w:val="0"/>
            <w:vAlign w:val="top"/>
          </w:tcPr>
          <w:p w14:paraId="4444DFB2">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79</w:t>
            </w:r>
          </w:p>
        </w:tc>
        <w:tc>
          <w:tcPr>
            <w:tcW w:w="406" w:type="pct"/>
            <w:noWrap w:val="0"/>
            <w:vAlign w:val="top"/>
          </w:tcPr>
          <w:p w14:paraId="64F554C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w:t>
            </w:r>
          </w:p>
        </w:tc>
        <w:tc>
          <w:tcPr>
            <w:tcW w:w="406" w:type="pct"/>
            <w:noWrap w:val="0"/>
            <w:vAlign w:val="top"/>
          </w:tcPr>
          <w:p w14:paraId="0CFC38F2">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67</w:t>
            </w:r>
          </w:p>
        </w:tc>
        <w:tc>
          <w:tcPr>
            <w:tcW w:w="406" w:type="pct"/>
            <w:noWrap w:val="0"/>
            <w:vAlign w:val="top"/>
          </w:tcPr>
          <w:p w14:paraId="21075F3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406" w:type="pct"/>
            <w:noWrap w:val="0"/>
            <w:vAlign w:val="top"/>
          </w:tcPr>
          <w:p w14:paraId="190B375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59</w:t>
            </w:r>
          </w:p>
        </w:tc>
        <w:tc>
          <w:tcPr>
            <w:tcW w:w="406" w:type="pct"/>
            <w:noWrap w:val="0"/>
            <w:vAlign w:val="top"/>
          </w:tcPr>
          <w:p w14:paraId="2FE8BF7F">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w:t>
            </w:r>
          </w:p>
        </w:tc>
        <w:tc>
          <w:tcPr>
            <w:tcW w:w="406" w:type="pct"/>
            <w:noWrap w:val="0"/>
            <w:vAlign w:val="top"/>
          </w:tcPr>
          <w:p w14:paraId="57B4113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47</w:t>
            </w:r>
          </w:p>
        </w:tc>
        <w:tc>
          <w:tcPr>
            <w:tcW w:w="410" w:type="pct"/>
            <w:noWrap w:val="0"/>
            <w:vAlign w:val="top"/>
          </w:tcPr>
          <w:p w14:paraId="5E58AD0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r>
      <w:tr w14:paraId="280C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center"/>
          </w:tcPr>
          <w:p w14:paraId="4A4C04F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钻机</w:t>
            </w:r>
          </w:p>
        </w:tc>
        <w:tc>
          <w:tcPr>
            <w:tcW w:w="406" w:type="pct"/>
            <w:noWrap w:val="0"/>
            <w:vAlign w:val="top"/>
          </w:tcPr>
          <w:p w14:paraId="5BDCA726">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105</w:t>
            </w:r>
          </w:p>
        </w:tc>
        <w:tc>
          <w:tcPr>
            <w:tcW w:w="406" w:type="pct"/>
            <w:noWrap w:val="0"/>
            <w:vAlign w:val="top"/>
          </w:tcPr>
          <w:p w14:paraId="2B54A6EB">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406" w:type="pct"/>
            <w:noWrap w:val="0"/>
            <w:vAlign w:val="top"/>
          </w:tcPr>
          <w:p w14:paraId="19CF26C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79</w:t>
            </w:r>
          </w:p>
        </w:tc>
        <w:tc>
          <w:tcPr>
            <w:tcW w:w="406" w:type="pct"/>
            <w:noWrap w:val="0"/>
            <w:vAlign w:val="top"/>
          </w:tcPr>
          <w:p w14:paraId="70264E1C">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w:t>
            </w:r>
          </w:p>
        </w:tc>
        <w:tc>
          <w:tcPr>
            <w:tcW w:w="406" w:type="pct"/>
            <w:noWrap w:val="0"/>
            <w:vAlign w:val="top"/>
          </w:tcPr>
          <w:p w14:paraId="47D9457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67</w:t>
            </w:r>
          </w:p>
        </w:tc>
        <w:tc>
          <w:tcPr>
            <w:tcW w:w="406" w:type="pct"/>
            <w:noWrap w:val="0"/>
            <w:vAlign w:val="top"/>
          </w:tcPr>
          <w:p w14:paraId="148B119D">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406" w:type="pct"/>
            <w:noWrap w:val="0"/>
            <w:vAlign w:val="top"/>
          </w:tcPr>
          <w:p w14:paraId="58E4868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59</w:t>
            </w:r>
          </w:p>
        </w:tc>
        <w:tc>
          <w:tcPr>
            <w:tcW w:w="406" w:type="pct"/>
            <w:noWrap w:val="0"/>
            <w:vAlign w:val="top"/>
          </w:tcPr>
          <w:p w14:paraId="2CD3F90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w:t>
            </w:r>
          </w:p>
        </w:tc>
        <w:tc>
          <w:tcPr>
            <w:tcW w:w="406" w:type="pct"/>
            <w:noWrap w:val="0"/>
            <w:vAlign w:val="top"/>
          </w:tcPr>
          <w:p w14:paraId="4734EAE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47</w:t>
            </w:r>
          </w:p>
        </w:tc>
        <w:tc>
          <w:tcPr>
            <w:tcW w:w="410" w:type="pct"/>
            <w:noWrap w:val="0"/>
            <w:vAlign w:val="top"/>
          </w:tcPr>
          <w:p w14:paraId="0ED8513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r>
      <w:tr w14:paraId="500C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center"/>
          </w:tcPr>
          <w:p w14:paraId="54A2A72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泥浆泵</w:t>
            </w:r>
          </w:p>
        </w:tc>
        <w:tc>
          <w:tcPr>
            <w:tcW w:w="406" w:type="pct"/>
            <w:noWrap w:val="0"/>
            <w:vAlign w:val="top"/>
          </w:tcPr>
          <w:p w14:paraId="5112178B">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406" w:type="pct"/>
            <w:noWrap w:val="0"/>
            <w:vAlign w:val="top"/>
          </w:tcPr>
          <w:p w14:paraId="7C02D4A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406" w:type="pct"/>
            <w:noWrap w:val="0"/>
            <w:vAlign w:val="top"/>
          </w:tcPr>
          <w:p w14:paraId="528B12E2">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w:t>
            </w:r>
          </w:p>
        </w:tc>
        <w:tc>
          <w:tcPr>
            <w:tcW w:w="406" w:type="pct"/>
            <w:noWrap w:val="0"/>
            <w:vAlign w:val="top"/>
          </w:tcPr>
          <w:p w14:paraId="17D9CE56">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68</w:t>
            </w:r>
          </w:p>
        </w:tc>
        <w:tc>
          <w:tcPr>
            <w:tcW w:w="406" w:type="pct"/>
            <w:noWrap w:val="0"/>
            <w:vAlign w:val="top"/>
          </w:tcPr>
          <w:p w14:paraId="0A278984">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w:t>
            </w:r>
          </w:p>
        </w:tc>
        <w:tc>
          <w:tcPr>
            <w:tcW w:w="406" w:type="pct"/>
            <w:noWrap w:val="0"/>
            <w:vAlign w:val="top"/>
          </w:tcPr>
          <w:p w14:paraId="2C4F1DA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60</w:t>
            </w:r>
          </w:p>
        </w:tc>
        <w:tc>
          <w:tcPr>
            <w:tcW w:w="406" w:type="pct"/>
            <w:noWrap w:val="0"/>
            <w:vAlign w:val="top"/>
          </w:tcPr>
          <w:p w14:paraId="6191253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54</w:t>
            </w:r>
          </w:p>
        </w:tc>
        <w:tc>
          <w:tcPr>
            <w:tcW w:w="406" w:type="pct"/>
            <w:noWrap w:val="0"/>
            <w:vAlign w:val="top"/>
          </w:tcPr>
          <w:p w14:paraId="4948127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48</w:t>
            </w:r>
          </w:p>
        </w:tc>
        <w:tc>
          <w:tcPr>
            <w:tcW w:w="406" w:type="pct"/>
            <w:noWrap w:val="0"/>
            <w:vAlign w:val="top"/>
          </w:tcPr>
          <w:p w14:paraId="52EA3CEC">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p>
        </w:tc>
        <w:tc>
          <w:tcPr>
            <w:tcW w:w="410" w:type="pct"/>
            <w:noWrap w:val="0"/>
            <w:vAlign w:val="top"/>
          </w:tcPr>
          <w:p w14:paraId="36FEC62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r>
      <w:tr w14:paraId="7E39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top"/>
          </w:tcPr>
          <w:p w14:paraId="403B041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运输车辆</w:t>
            </w:r>
          </w:p>
        </w:tc>
        <w:tc>
          <w:tcPr>
            <w:tcW w:w="406" w:type="pct"/>
            <w:noWrap w:val="0"/>
            <w:vAlign w:val="top"/>
          </w:tcPr>
          <w:p w14:paraId="0B9EDA3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406" w:type="pct"/>
            <w:noWrap w:val="0"/>
            <w:vAlign w:val="top"/>
          </w:tcPr>
          <w:p w14:paraId="7ED85D50">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c>
          <w:tcPr>
            <w:tcW w:w="406" w:type="pct"/>
            <w:noWrap w:val="0"/>
            <w:vAlign w:val="top"/>
          </w:tcPr>
          <w:p w14:paraId="2309DE46">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49</w:t>
            </w:r>
          </w:p>
        </w:tc>
        <w:tc>
          <w:tcPr>
            <w:tcW w:w="406" w:type="pct"/>
            <w:noWrap w:val="0"/>
            <w:vAlign w:val="top"/>
          </w:tcPr>
          <w:p w14:paraId="0A2B15D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w:t>
            </w:r>
          </w:p>
        </w:tc>
        <w:tc>
          <w:tcPr>
            <w:tcW w:w="406" w:type="pct"/>
            <w:noWrap w:val="0"/>
            <w:vAlign w:val="top"/>
          </w:tcPr>
          <w:p w14:paraId="5C6E1DCD">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w:t>
            </w:r>
          </w:p>
        </w:tc>
        <w:tc>
          <w:tcPr>
            <w:tcW w:w="406" w:type="pct"/>
            <w:noWrap w:val="0"/>
            <w:vAlign w:val="top"/>
          </w:tcPr>
          <w:p w14:paraId="7A49F15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w:t>
            </w:r>
          </w:p>
        </w:tc>
        <w:tc>
          <w:tcPr>
            <w:tcW w:w="406" w:type="pct"/>
            <w:noWrap w:val="0"/>
            <w:vAlign w:val="top"/>
          </w:tcPr>
          <w:p w14:paraId="0690669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29</w:t>
            </w:r>
          </w:p>
        </w:tc>
        <w:tc>
          <w:tcPr>
            <w:tcW w:w="406" w:type="pct"/>
            <w:noWrap w:val="0"/>
            <w:vAlign w:val="top"/>
          </w:tcPr>
          <w:p w14:paraId="5A945CD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06" w:type="pct"/>
            <w:noWrap w:val="0"/>
            <w:vAlign w:val="top"/>
          </w:tcPr>
          <w:p w14:paraId="53612B7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10" w:type="pct"/>
            <w:noWrap w:val="0"/>
            <w:vAlign w:val="top"/>
          </w:tcPr>
          <w:p w14:paraId="5F1B13B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5CFE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top"/>
          </w:tcPr>
          <w:p w14:paraId="72A9A83B">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推土机</w:t>
            </w:r>
          </w:p>
        </w:tc>
        <w:tc>
          <w:tcPr>
            <w:tcW w:w="406" w:type="pct"/>
            <w:noWrap w:val="0"/>
            <w:vAlign w:val="top"/>
          </w:tcPr>
          <w:p w14:paraId="0EFFB12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406" w:type="pct"/>
            <w:noWrap w:val="0"/>
            <w:vAlign w:val="top"/>
          </w:tcPr>
          <w:p w14:paraId="2E66FD4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78</w:t>
            </w:r>
          </w:p>
        </w:tc>
        <w:tc>
          <w:tcPr>
            <w:tcW w:w="406" w:type="pct"/>
            <w:noWrap w:val="0"/>
            <w:vAlign w:val="top"/>
          </w:tcPr>
          <w:p w14:paraId="579F897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w:t>
            </w:r>
          </w:p>
        </w:tc>
        <w:tc>
          <w:tcPr>
            <w:tcW w:w="406" w:type="pct"/>
            <w:noWrap w:val="0"/>
            <w:vAlign w:val="top"/>
          </w:tcPr>
          <w:p w14:paraId="01926970">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66</w:t>
            </w:r>
          </w:p>
        </w:tc>
        <w:tc>
          <w:tcPr>
            <w:tcW w:w="406" w:type="pct"/>
            <w:noWrap w:val="0"/>
            <w:vAlign w:val="top"/>
          </w:tcPr>
          <w:p w14:paraId="7E966E8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60</w:t>
            </w:r>
          </w:p>
        </w:tc>
        <w:tc>
          <w:tcPr>
            <w:tcW w:w="406" w:type="pct"/>
            <w:noWrap w:val="0"/>
            <w:vAlign w:val="top"/>
          </w:tcPr>
          <w:p w14:paraId="488838F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58</w:t>
            </w:r>
          </w:p>
        </w:tc>
        <w:tc>
          <w:tcPr>
            <w:tcW w:w="406" w:type="pct"/>
            <w:noWrap w:val="0"/>
            <w:vAlign w:val="top"/>
          </w:tcPr>
          <w:p w14:paraId="75F038BC">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w:t>
            </w:r>
          </w:p>
        </w:tc>
        <w:tc>
          <w:tcPr>
            <w:tcW w:w="406" w:type="pct"/>
            <w:noWrap w:val="0"/>
            <w:vAlign w:val="top"/>
          </w:tcPr>
          <w:p w14:paraId="6D5892F4">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406" w:type="pct"/>
            <w:noWrap w:val="0"/>
            <w:vAlign w:val="top"/>
          </w:tcPr>
          <w:p w14:paraId="0860B3D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c>
          <w:tcPr>
            <w:tcW w:w="410" w:type="pct"/>
            <w:noWrap w:val="0"/>
            <w:vAlign w:val="top"/>
          </w:tcPr>
          <w:p w14:paraId="17F3DE4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w:t>
            </w:r>
          </w:p>
        </w:tc>
      </w:tr>
      <w:tr w14:paraId="3B02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top"/>
          </w:tcPr>
          <w:p w14:paraId="2F0FAEB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混凝土翻斗车</w:t>
            </w:r>
          </w:p>
        </w:tc>
        <w:tc>
          <w:tcPr>
            <w:tcW w:w="406" w:type="pct"/>
            <w:noWrap w:val="0"/>
            <w:vAlign w:val="top"/>
          </w:tcPr>
          <w:p w14:paraId="76FBAA3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406" w:type="pct"/>
            <w:noWrap w:val="0"/>
            <w:vAlign w:val="top"/>
          </w:tcPr>
          <w:p w14:paraId="26F8B7A2">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78</w:t>
            </w:r>
          </w:p>
        </w:tc>
        <w:tc>
          <w:tcPr>
            <w:tcW w:w="406" w:type="pct"/>
            <w:noWrap w:val="0"/>
            <w:vAlign w:val="top"/>
          </w:tcPr>
          <w:p w14:paraId="35EFEC9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w:t>
            </w:r>
          </w:p>
        </w:tc>
        <w:tc>
          <w:tcPr>
            <w:tcW w:w="406" w:type="pct"/>
            <w:noWrap w:val="0"/>
            <w:vAlign w:val="top"/>
          </w:tcPr>
          <w:p w14:paraId="5737E97B">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66</w:t>
            </w:r>
          </w:p>
        </w:tc>
        <w:tc>
          <w:tcPr>
            <w:tcW w:w="406" w:type="pct"/>
            <w:noWrap w:val="0"/>
            <w:vAlign w:val="top"/>
          </w:tcPr>
          <w:p w14:paraId="212F26A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60</w:t>
            </w:r>
          </w:p>
        </w:tc>
        <w:tc>
          <w:tcPr>
            <w:tcW w:w="406" w:type="pct"/>
            <w:noWrap w:val="0"/>
            <w:vAlign w:val="top"/>
          </w:tcPr>
          <w:p w14:paraId="735B5DE5">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58</w:t>
            </w:r>
          </w:p>
        </w:tc>
        <w:tc>
          <w:tcPr>
            <w:tcW w:w="406" w:type="pct"/>
            <w:noWrap w:val="0"/>
            <w:vAlign w:val="top"/>
          </w:tcPr>
          <w:p w14:paraId="02DE276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w:t>
            </w:r>
          </w:p>
        </w:tc>
        <w:tc>
          <w:tcPr>
            <w:tcW w:w="406" w:type="pct"/>
            <w:noWrap w:val="0"/>
            <w:vAlign w:val="top"/>
          </w:tcPr>
          <w:p w14:paraId="49BEB9B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w:t>
            </w:r>
          </w:p>
        </w:tc>
        <w:tc>
          <w:tcPr>
            <w:tcW w:w="406" w:type="pct"/>
            <w:noWrap w:val="0"/>
            <w:vAlign w:val="top"/>
          </w:tcPr>
          <w:p w14:paraId="39020D8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c>
          <w:tcPr>
            <w:tcW w:w="410" w:type="pct"/>
            <w:noWrap w:val="0"/>
            <w:vAlign w:val="top"/>
          </w:tcPr>
          <w:p w14:paraId="636510BB">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w:t>
            </w:r>
          </w:p>
        </w:tc>
      </w:tr>
      <w:tr w14:paraId="5254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top"/>
          </w:tcPr>
          <w:p w14:paraId="36E6EC8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挖掘机</w:t>
            </w:r>
          </w:p>
        </w:tc>
        <w:tc>
          <w:tcPr>
            <w:tcW w:w="406" w:type="pct"/>
            <w:noWrap w:val="0"/>
            <w:vAlign w:val="top"/>
          </w:tcPr>
          <w:p w14:paraId="13A1569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w:t>
            </w:r>
          </w:p>
        </w:tc>
        <w:tc>
          <w:tcPr>
            <w:tcW w:w="406" w:type="pct"/>
            <w:noWrap w:val="0"/>
            <w:vAlign w:val="top"/>
          </w:tcPr>
          <w:p w14:paraId="226E3AE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406" w:type="pct"/>
            <w:noWrap w:val="0"/>
            <w:vAlign w:val="top"/>
          </w:tcPr>
          <w:p w14:paraId="1E82359F">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w:t>
            </w:r>
          </w:p>
        </w:tc>
        <w:tc>
          <w:tcPr>
            <w:tcW w:w="406" w:type="pct"/>
            <w:noWrap w:val="0"/>
            <w:vAlign w:val="top"/>
          </w:tcPr>
          <w:p w14:paraId="359F295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68</w:t>
            </w:r>
          </w:p>
        </w:tc>
        <w:tc>
          <w:tcPr>
            <w:tcW w:w="406" w:type="pct"/>
            <w:noWrap w:val="0"/>
            <w:vAlign w:val="top"/>
          </w:tcPr>
          <w:p w14:paraId="66306CC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w:t>
            </w:r>
          </w:p>
        </w:tc>
        <w:tc>
          <w:tcPr>
            <w:tcW w:w="406" w:type="pct"/>
            <w:noWrap w:val="0"/>
            <w:vAlign w:val="top"/>
          </w:tcPr>
          <w:p w14:paraId="33061CA7">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60</w:t>
            </w:r>
          </w:p>
        </w:tc>
        <w:tc>
          <w:tcPr>
            <w:tcW w:w="406" w:type="pct"/>
            <w:noWrap w:val="0"/>
            <w:vAlign w:val="top"/>
          </w:tcPr>
          <w:p w14:paraId="1053474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54</w:t>
            </w:r>
          </w:p>
        </w:tc>
        <w:tc>
          <w:tcPr>
            <w:tcW w:w="406" w:type="pct"/>
            <w:noWrap w:val="0"/>
            <w:vAlign w:val="top"/>
          </w:tcPr>
          <w:p w14:paraId="5DDF51DC">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48</w:t>
            </w:r>
          </w:p>
        </w:tc>
        <w:tc>
          <w:tcPr>
            <w:tcW w:w="406" w:type="pct"/>
            <w:noWrap w:val="0"/>
            <w:vAlign w:val="top"/>
          </w:tcPr>
          <w:p w14:paraId="4D14042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p>
        </w:tc>
        <w:tc>
          <w:tcPr>
            <w:tcW w:w="410" w:type="pct"/>
            <w:noWrap w:val="0"/>
            <w:vAlign w:val="top"/>
          </w:tcPr>
          <w:p w14:paraId="1FA62D1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r>
      <w:tr w14:paraId="1100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0" w:type="pct"/>
            <w:noWrap w:val="0"/>
            <w:vAlign w:val="top"/>
          </w:tcPr>
          <w:p w14:paraId="57A2CD46">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混凝土搅拌机</w:t>
            </w:r>
          </w:p>
        </w:tc>
        <w:tc>
          <w:tcPr>
            <w:tcW w:w="406" w:type="pct"/>
            <w:noWrap w:val="0"/>
            <w:vAlign w:val="top"/>
          </w:tcPr>
          <w:p w14:paraId="50FDAE99">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95</w:t>
            </w:r>
          </w:p>
        </w:tc>
        <w:tc>
          <w:tcPr>
            <w:tcW w:w="406" w:type="pct"/>
            <w:noWrap w:val="0"/>
            <w:vAlign w:val="top"/>
          </w:tcPr>
          <w:p w14:paraId="23C817E4">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w:t>
            </w:r>
          </w:p>
        </w:tc>
        <w:tc>
          <w:tcPr>
            <w:tcW w:w="406" w:type="pct"/>
            <w:noWrap w:val="0"/>
            <w:vAlign w:val="top"/>
          </w:tcPr>
          <w:p w14:paraId="2D1BFA7E">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77</w:t>
            </w:r>
          </w:p>
        </w:tc>
        <w:tc>
          <w:tcPr>
            <w:tcW w:w="406" w:type="pct"/>
            <w:noWrap w:val="0"/>
            <w:vAlign w:val="top"/>
          </w:tcPr>
          <w:p w14:paraId="093EC59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71</w:t>
            </w:r>
          </w:p>
        </w:tc>
        <w:tc>
          <w:tcPr>
            <w:tcW w:w="406" w:type="pct"/>
            <w:noWrap w:val="0"/>
            <w:vAlign w:val="top"/>
          </w:tcPr>
          <w:p w14:paraId="592CC658">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406" w:type="pct"/>
            <w:noWrap w:val="0"/>
            <w:vAlign w:val="top"/>
          </w:tcPr>
          <w:p w14:paraId="3C893403">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w:t>
            </w:r>
          </w:p>
        </w:tc>
        <w:tc>
          <w:tcPr>
            <w:tcW w:w="406" w:type="pct"/>
            <w:noWrap w:val="0"/>
            <w:vAlign w:val="top"/>
          </w:tcPr>
          <w:p w14:paraId="19D47A01">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57</w:t>
            </w:r>
          </w:p>
        </w:tc>
        <w:tc>
          <w:tcPr>
            <w:tcW w:w="406" w:type="pct"/>
            <w:noWrap w:val="0"/>
            <w:vAlign w:val="top"/>
          </w:tcPr>
          <w:p w14:paraId="7A851D10">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w:t>
            </w:r>
          </w:p>
        </w:tc>
        <w:tc>
          <w:tcPr>
            <w:tcW w:w="406" w:type="pct"/>
            <w:noWrap w:val="0"/>
            <w:vAlign w:val="top"/>
          </w:tcPr>
          <w:p w14:paraId="2D7E43BA">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c>
          <w:tcPr>
            <w:tcW w:w="410" w:type="pct"/>
            <w:noWrap w:val="0"/>
            <w:vAlign w:val="top"/>
          </w:tcPr>
          <w:p w14:paraId="2A89A9D0">
            <w:pPr>
              <w:pStyle w:val="47"/>
              <w:bidi w:val="0"/>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w:t>
            </w:r>
          </w:p>
        </w:tc>
      </w:tr>
    </w:tbl>
    <w:p w14:paraId="5563520C">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14:textFill>
            <w14:solidFill>
              <w14:schemeClr w14:val="tx1"/>
            </w14:solidFill>
          </w14:textFill>
        </w:rPr>
      </w:pPr>
      <w:r>
        <w:rPr>
          <w:color w:val="000000" w:themeColor="text1"/>
          <w:kern w:val="2"/>
          <w:szCs w:val="24"/>
          <w:highlight w:val="none"/>
          <w14:textFill>
            <w14:solidFill>
              <w14:schemeClr w14:val="tx1"/>
            </w14:solidFill>
          </w14:textFill>
        </w:rPr>
        <w:t>根据表5.</w:t>
      </w:r>
      <w:r>
        <w:rPr>
          <w:rFonts w:hint="eastAsia"/>
          <w:color w:val="000000" w:themeColor="text1"/>
          <w:kern w:val="2"/>
          <w:szCs w:val="24"/>
          <w:highlight w:val="none"/>
          <w:lang w:val="en-US" w:eastAsia="zh-CN"/>
          <w14:textFill>
            <w14:solidFill>
              <w14:schemeClr w14:val="tx1"/>
            </w14:solidFill>
          </w14:textFill>
        </w:rPr>
        <w:t>6</w:t>
      </w:r>
      <w:r>
        <w:rPr>
          <w:color w:val="000000" w:themeColor="text1"/>
          <w:kern w:val="2"/>
          <w:szCs w:val="24"/>
          <w:highlight w:val="none"/>
          <w14:textFill>
            <w14:solidFill>
              <w14:schemeClr w14:val="tx1"/>
            </w14:solidFill>
          </w14:textFill>
        </w:rPr>
        <w:t>-1可知，各种施工机械噪声预测结果可以看出，在不采取减振降噪措施的情况下，昼间</w:t>
      </w:r>
      <w:bookmarkStart w:id="1082" w:name="OLE_LINK1214"/>
      <w:r>
        <w:rPr>
          <w:color w:val="000000" w:themeColor="text1"/>
          <w:kern w:val="2"/>
          <w:szCs w:val="24"/>
          <w:highlight w:val="none"/>
          <w14:textFill>
            <w14:solidFill>
              <w14:schemeClr w14:val="tx1"/>
            </w14:solidFill>
          </w14:textFill>
        </w:rPr>
        <w:t>距</w:t>
      </w:r>
      <w:bookmarkEnd w:id="1082"/>
      <w:r>
        <w:rPr>
          <w:color w:val="000000" w:themeColor="text1"/>
          <w:kern w:val="2"/>
          <w:szCs w:val="24"/>
          <w:highlight w:val="none"/>
          <w14:textFill>
            <w14:solidFill>
              <w14:schemeClr w14:val="tx1"/>
            </w14:solidFill>
          </w14:textFill>
        </w:rPr>
        <w:t>施工设备</w:t>
      </w:r>
      <w:r>
        <w:rPr>
          <w:color w:val="000000" w:themeColor="text1"/>
          <w:highlight w:val="none"/>
          <w14:textFill>
            <w14:solidFill>
              <w14:schemeClr w14:val="tx1"/>
            </w14:solidFill>
          </w14:textFill>
        </w:rPr>
        <w:t>80m以外</w:t>
      </w:r>
      <w:bookmarkStart w:id="1083" w:name="OLE_LINK1215"/>
      <w:r>
        <w:rPr>
          <w:color w:val="000000" w:themeColor="text1"/>
          <w:highlight w:val="none"/>
          <w14:textFill>
            <w14:solidFill>
              <w14:schemeClr w14:val="tx1"/>
            </w14:solidFill>
          </w14:textFill>
        </w:rPr>
        <w:t>均不超过</w:t>
      </w:r>
      <w:bookmarkEnd w:id="1083"/>
      <w:r>
        <w:rPr>
          <w:rFonts w:hint="eastAsia"/>
          <w:color w:val="000000" w:themeColor="text1"/>
          <w:highlight w:val="none"/>
          <w14:textFill>
            <w14:solidFill>
              <w14:schemeClr w14:val="tx1"/>
            </w14:solidFill>
          </w14:textFill>
        </w:rPr>
        <w:t>《建筑施工场界环境噪声排放标准》</w:t>
      </w:r>
      <w:r>
        <w:rPr>
          <w:color w:val="000000" w:themeColor="text1"/>
          <w:szCs w:val="24"/>
          <w:highlight w:val="none"/>
          <w14:textFill>
            <w14:solidFill>
              <w14:schemeClr w14:val="tx1"/>
            </w14:solidFill>
          </w14:textFill>
        </w:rPr>
        <w:t>（</w:t>
      </w:r>
      <w:r>
        <w:rPr>
          <w:color w:val="000000" w:themeColor="text1"/>
          <w:szCs w:val="24"/>
          <w:highlight w:val="none"/>
          <w:shd w:val="clear" w:color="auto" w:fill="FFFFFF"/>
          <w14:textFill>
            <w14:solidFill>
              <w14:schemeClr w14:val="tx1"/>
            </w14:solidFill>
          </w14:textFill>
        </w:rPr>
        <w:t>GB 12523-2011</w:t>
      </w:r>
      <w:r>
        <w:rPr>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昼间限值</w:t>
      </w:r>
      <w:r>
        <w:rPr>
          <w:color w:val="000000" w:themeColor="text1"/>
          <w:highlight w:val="none"/>
          <w14:textFill>
            <w14:solidFill>
              <w14:schemeClr w14:val="tx1"/>
            </w14:solidFill>
          </w14:textFill>
        </w:rPr>
        <w:t>，夜间</w:t>
      </w:r>
      <w:r>
        <w:rPr>
          <w:color w:val="000000" w:themeColor="text1"/>
          <w:kern w:val="2"/>
          <w:szCs w:val="24"/>
          <w:highlight w:val="none"/>
          <w14:textFill>
            <w14:solidFill>
              <w14:schemeClr w14:val="tx1"/>
            </w14:solidFill>
          </w14:textFill>
        </w:rPr>
        <w:t>距</w:t>
      </w:r>
      <w:r>
        <w:rPr>
          <w:color w:val="000000" w:themeColor="text1"/>
          <w:highlight w:val="none"/>
          <w14:textFill>
            <w14:solidFill>
              <w14:schemeClr w14:val="tx1"/>
            </w14:solidFill>
          </w14:textFill>
        </w:rPr>
        <w:t>施工场地400m以外均不超过</w:t>
      </w:r>
      <w:r>
        <w:rPr>
          <w:rFonts w:hint="eastAsia"/>
          <w:color w:val="000000" w:themeColor="text1"/>
          <w:highlight w:val="none"/>
          <w14:textFill>
            <w14:solidFill>
              <w14:schemeClr w14:val="tx1"/>
            </w14:solidFill>
          </w14:textFill>
        </w:rPr>
        <w:t>《建筑施工场界环境噪声排放标准》</w:t>
      </w:r>
      <w:r>
        <w:rPr>
          <w:color w:val="000000" w:themeColor="text1"/>
          <w:szCs w:val="24"/>
          <w:highlight w:val="none"/>
          <w14:textFill>
            <w14:solidFill>
              <w14:schemeClr w14:val="tx1"/>
            </w14:solidFill>
          </w14:textFill>
        </w:rPr>
        <w:t>（</w:t>
      </w:r>
      <w:r>
        <w:rPr>
          <w:color w:val="000000" w:themeColor="text1"/>
          <w:szCs w:val="24"/>
          <w:highlight w:val="none"/>
          <w:shd w:val="clear" w:color="auto" w:fill="FFFFFF"/>
          <w14:textFill>
            <w14:solidFill>
              <w14:schemeClr w14:val="tx1"/>
            </w14:solidFill>
          </w14:textFill>
        </w:rPr>
        <w:t>GB 12523-2011</w:t>
      </w:r>
      <w:r>
        <w:rPr>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夜间限值</w:t>
      </w:r>
      <w:r>
        <w:rPr>
          <w:color w:val="000000" w:themeColor="text1"/>
          <w:highlight w:val="none"/>
          <w14:textFill>
            <w14:solidFill>
              <w14:schemeClr w14:val="tx1"/>
            </w14:solidFill>
          </w14:textFill>
        </w:rPr>
        <w:t>。施工期</w:t>
      </w:r>
      <w:r>
        <w:rPr>
          <w:rFonts w:hint="eastAsia"/>
          <w:color w:val="000000" w:themeColor="text1"/>
          <w:highlight w:val="none"/>
          <w:lang w:val="en-US" w:eastAsia="zh-CN"/>
          <w14:textFill>
            <w14:solidFill>
              <w14:schemeClr w14:val="tx1"/>
            </w14:solidFill>
          </w14:textFill>
        </w:rPr>
        <w:t>的</w:t>
      </w:r>
      <w:r>
        <w:rPr>
          <w:color w:val="000000" w:themeColor="text1"/>
          <w:highlight w:val="none"/>
          <w14:textFill>
            <w14:solidFill>
              <w14:schemeClr w14:val="tx1"/>
            </w14:solidFill>
          </w14:textFill>
        </w:rPr>
        <w:t>噪声源均为暂时性的，</w:t>
      </w:r>
      <w:r>
        <w:rPr>
          <w:rFonts w:hint="eastAsia"/>
          <w:color w:val="000000" w:themeColor="text1"/>
          <w:highlight w:val="none"/>
          <w:lang w:val="en-US" w:eastAsia="zh-CN"/>
          <w14:textFill>
            <w14:solidFill>
              <w14:schemeClr w14:val="tx1"/>
            </w14:solidFill>
          </w14:textFill>
        </w:rPr>
        <w:t>本工程</w:t>
      </w:r>
      <w:r>
        <w:rPr>
          <w:color w:val="000000" w:themeColor="text1"/>
          <w:highlight w:val="none"/>
          <w14:textFill>
            <w14:solidFill>
              <w14:schemeClr w14:val="tx1"/>
            </w14:solidFill>
          </w14:textFill>
        </w:rPr>
        <w:t>施工区周围</w:t>
      </w:r>
      <w:r>
        <w:rPr>
          <w:rFonts w:hint="eastAsia"/>
          <w:color w:val="000000" w:themeColor="text1"/>
          <w:highlight w:val="none"/>
          <w14:textFill>
            <w14:solidFill>
              <w14:schemeClr w14:val="tx1"/>
            </w14:solidFill>
          </w14:textFill>
        </w:rPr>
        <w:t>无村庄等声环境敏感目标</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本工程</w:t>
      </w:r>
      <w:r>
        <w:rPr>
          <w:color w:val="000000" w:themeColor="text1"/>
          <w:highlight w:val="none"/>
          <w14:textFill>
            <w14:solidFill>
              <w14:schemeClr w14:val="tx1"/>
            </w14:solidFill>
          </w14:textFill>
        </w:rPr>
        <w:t>施工只在短时期对局部环境和施工人员造成影响，待施工结束后这种影响也随之消失。施工期噪声对周围环境造成的影响属可接受程度。</w:t>
      </w:r>
    </w:p>
    <w:p w14:paraId="1A8A1F41">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84" w:name="_Toc7660"/>
      <w:bookmarkStart w:id="1085" w:name="_Toc29335"/>
      <w:bookmarkStart w:id="1086" w:name="_Toc19396"/>
      <w:bookmarkStart w:id="1087" w:name="_Hlk48604532"/>
      <w:r>
        <w:rPr>
          <w:rFonts w:hint="default" w:ascii="Times New Roman" w:hAnsi="Times New Roman" w:cs="Times New Roman"/>
          <w:color w:val="000000" w:themeColor="text1"/>
          <w:highlight w:val="none"/>
          <w14:textFill>
            <w14:solidFill>
              <w14:schemeClr w14:val="tx1"/>
            </w14:solidFill>
          </w14:textFill>
        </w:rPr>
        <w:t>5.</w:t>
      </w:r>
      <w:bookmarkEnd w:id="1084"/>
      <w:bookmarkEnd w:id="1085"/>
      <w:bookmarkEnd w:id="1086"/>
      <w:r>
        <w:rPr>
          <w:rFonts w:hint="default" w:ascii="Times New Roman" w:hAnsi="Times New Roman" w:cs="Times New Roman"/>
          <w:color w:val="000000" w:themeColor="text1"/>
          <w:highlight w:val="none"/>
          <w14:textFill>
            <w14:solidFill>
              <w14:schemeClr w14:val="tx1"/>
            </w14:solidFill>
          </w14:textFill>
        </w:rPr>
        <w:t>6.2运营期声环境影响评价</w:t>
      </w:r>
    </w:p>
    <w:p w14:paraId="2D20FB59">
      <w:pPr>
        <w:pStyle w:val="5"/>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.2.1运营期主要噪声源</w:t>
      </w:r>
    </w:p>
    <w:p w14:paraId="2DA5B2C9">
      <w:pPr>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运营期噪声源主要为井场</w:t>
      </w:r>
      <w:r>
        <w:rPr>
          <w:rFonts w:hint="eastAsia" w:ascii="Times New Roman" w:hAnsi="Times New Roman" w:cs="Times New Roman"/>
          <w:color w:val="000000" w:themeColor="text1"/>
          <w:highlight w:val="none"/>
          <w:lang w:val="en-US" w:eastAsia="zh-CN"/>
          <w14:textFill>
            <w14:solidFill>
              <w14:schemeClr w14:val="tx1"/>
            </w14:solidFill>
          </w14:textFill>
        </w:rPr>
        <w:t>泵撬</w:t>
      </w:r>
      <w:r>
        <w:rPr>
          <w:rFonts w:hint="default" w:ascii="Times New Roman" w:hAnsi="Times New Roman" w:cs="Times New Roman"/>
          <w:color w:val="000000" w:themeColor="text1"/>
          <w:highlight w:val="none"/>
          <w14:textFill>
            <w14:solidFill>
              <w14:schemeClr w14:val="tx1"/>
            </w14:solidFill>
          </w14:textFill>
        </w:rPr>
        <w:t>等设备运转噪声</w:t>
      </w:r>
      <w:r>
        <w:rPr>
          <w:rFonts w:hint="default" w:ascii="Times New Roman" w:hAnsi="Times New Roman" w:cs="Times New Roman"/>
          <w:color w:val="000000" w:themeColor="text1"/>
          <w:sz w:val="24"/>
          <w:szCs w:val="24"/>
          <w:highlight w:val="none"/>
          <w14:textFill>
            <w14:solidFill>
              <w14:schemeClr w14:val="tx1"/>
            </w14:solidFill>
          </w14:textFill>
        </w:rPr>
        <w:t>，以及压裂、修井等井下作业噪声，因井下作业为阶段性作业，故本次噪声预测仅考虑井场机泵噪声。</w:t>
      </w:r>
    </w:p>
    <w:p w14:paraId="1FA4BB6F">
      <w:pPr>
        <w:pStyle w:val="5"/>
        <w:pageBreakBefore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.2.2运营期井场噪声环境影响预测</w:t>
      </w:r>
    </w:p>
    <w:p w14:paraId="18B406F8">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产噪设备主要包括井场采</w:t>
      </w:r>
      <w:r>
        <w:rPr>
          <w:rFonts w:hint="eastAsia" w:cs="Times New Roman"/>
          <w:color w:val="000000" w:themeColor="text1"/>
          <w:sz w:val="24"/>
          <w:szCs w:val="24"/>
          <w:highlight w:val="none"/>
          <w:lang w:val="en-US" w:eastAsia="zh-CN"/>
          <w14:textFill>
            <w14:solidFill>
              <w14:schemeClr w14:val="tx1"/>
            </w14:solidFill>
          </w14:textFill>
        </w:rPr>
        <w:t>气</w:t>
      </w:r>
      <w:r>
        <w:rPr>
          <w:rFonts w:hint="default" w:ascii="Times New Roman" w:hAnsi="Times New Roman" w:cs="Times New Roman"/>
          <w:color w:val="000000" w:themeColor="text1"/>
          <w:sz w:val="24"/>
          <w:szCs w:val="24"/>
          <w:highlight w:val="none"/>
          <w14:textFill>
            <w14:solidFill>
              <w14:schemeClr w14:val="tx1"/>
            </w14:solidFill>
          </w14:textFill>
        </w:rPr>
        <w:t>树、泵类等设备。</w:t>
      </w:r>
    </w:p>
    <w:p w14:paraId="416F1D14">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（一）预测模式</w:t>
      </w:r>
    </w:p>
    <w:p w14:paraId="4796A9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a）根据声源声功率级或参考位置处的声压级、户外声传播衰减，计算预测点的声级：</w:t>
      </w:r>
    </w:p>
    <w:p w14:paraId="51212288">
      <w:pPr>
        <w:keepNext w:val="0"/>
        <w:keepLines w:val="0"/>
        <w:pageBreakBefore w:val="0"/>
        <w:widowControl w:val="0"/>
        <w:kinsoku/>
        <w:wordWrap/>
        <w:overflowPunct/>
        <w:topLinePunct w:val="0"/>
        <w:autoSpaceDE/>
        <w:autoSpaceDN/>
        <w:bidi w:val="0"/>
        <w:adjustRightInd w:val="0"/>
        <w:snapToGrid w:val="0"/>
        <w:spacing w:line="360" w:lineRule="auto"/>
        <w:ind w:firstLine="200"/>
        <w:jc w:val="center"/>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position w:val="-14"/>
          <w:sz w:val="24"/>
          <w:szCs w:val="24"/>
          <w:highlight w:val="none"/>
          <w:lang w:val="pt-BR"/>
          <w14:textFill>
            <w14:solidFill>
              <w14:schemeClr w14:val="tx1"/>
            </w14:solidFill>
          </w14:textFill>
        </w:rPr>
        <w:object>
          <v:shape id="_x0000_i1026" o:spt="75" type="#_x0000_t75" style="height:18.5pt;width:236pt;" o:ole="t" filled="f" o:preferrelative="t" stroked="f" coordsize="21600,21600">
            <v:path/>
            <v:fill on="f" focussize="0,0"/>
            <v:stroke on="f" joinstyle="miter"/>
            <v:imagedata r:id="rId44" o:title=""/>
            <o:lock v:ext="edit" aspectratio="t"/>
            <w10:wrap type="none"/>
            <w10:anchorlock/>
          </v:shape>
          <o:OLEObject Type="Embed" ProgID="Equation.3" ShapeID="_x0000_i1026" DrawAspect="Content" ObjectID="_1468075726" r:id="rId43">
            <o:LockedField>false</o:LockedField>
          </o:OLEObject>
        </w:object>
      </w:r>
    </w:p>
    <w:p w14:paraId="298811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color w:val="000000" w:themeColor="text1"/>
          <w:kern w:val="2"/>
          <w:sz w:val="24"/>
          <w:szCs w:val="24"/>
          <w:highlight w:val="none"/>
          <w:lang w:val="pt-BR"/>
          <w14:textFill>
            <w14:solidFill>
              <w14:schemeClr w14:val="tx1"/>
            </w14:solidFill>
          </w14:textFill>
        </w:rPr>
        <w:t>：</w:t>
      </w:r>
      <w:r>
        <w:rPr>
          <w:rFonts w:eastAsia="宋体"/>
          <w:color w:val="000000" w:themeColor="text1"/>
          <w:kern w:val="2"/>
          <w:position w:val="-14"/>
          <w:sz w:val="24"/>
          <w:szCs w:val="24"/>
          <w:highlight w:val="none"/>
          <w:lang w:val="pt-BR"/>
          <w14:textFill>
            <w14:solidFill>
              <w14:schemeClr w14:val="tx1"/>
            </w14:solidFill>
          </w14:textFill>
        </w:rPr>
        <w:object>
          <v:shape id="_x0000_i1027" o:spt="75" type="#_x0000_t75" style="height:18.5pt;width:32pt;" o:ole="t" filled="f" o:preferrelative="t" stroked="f" coordsize="21600,21600">
            <v:path/>
            <v:fill on="f" focussize="0,0"/>
            <v:stroke on="f" joinstyle="miter"/>
            <v:imagedata r:id="rId46" o:title=""/>
            <o:lock v:ext="edit" aspectratio="t"/>
            <w10:wrap type="none"/>
            <w10:anchorlock/>
          </v:shape>
          <o:OLEObject Type="Embed" ProgID="Equation.3" ShapeID="_x0000_i1027" DrawAspect="Content" ObjectID="_1468075727" r:id="rId45">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预测点处声压级</w:t>
      </w:r>
      <w:r>
        <w:rPr>
          <w:rFonts w:eastAsia="宋体"/>
          <w:color w:val="000000" w:themeColor="text1"/>
          <w:kern w:val="2"/>
          <w:sz w:val="24"/>
          <w:szCs w:val="24"/>
          <w:highlight w:val="none"/>
          <w:lang w:val="pt-BR"/>
          <w14:textFill>
            <w14:solidFill>
              <w14:schemeClr w14:val="tx1"/>
            </w14:solidFill>
          </w14:textFill>
        </w:rPr>
        <w:t>，dB；</w:t>
      </w:r>
    </w:p>
    <w:p w14:paraId="4950D8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28" o:spt="75" type="#_x0000_t75" style="height:18.5pt;width:16pt;" o:ole="t" filled="f" o:preferrelative="t" stroked="f" coordsize="21600,21600">
            <v:path/>
            <v:fill on="f" focussize="0,0"/>
            <v:stroke on="f" joinstyle="miter"/>
            <v:imagedata r:id="rId48" o:title=""/>
            <o:lock v:ext="edit" aspectratio="t"/>
            <w10:wrap type="none"/>
            <w10:anchorlock/>
          </v:shape>
          <o:OLEObject Type="Embed" ProgID="Equation.3" ShapeID="_x0000_i1028" DrawAspect="Content" ObjectID="_1468075728" r:id="rId47">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由点声源产生的声功率级</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A计权或倍频带</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，dB；</w:t>
      </w:r>
    </w:p>
    <w:p w14:paraId="61547C99">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29" o:spt="75" type="#_x0000_t75" style="height:18.5pt;width:16pt;" o:ole="t" filled="f" o:preferrelative="t" stroked="f" coordsize="21600,21600">
            <v:path/>
            <v:fill on="f" focussize="0,0"/>
            <v:stroke on="f" joinstyle="miter"/>
            <v:imagedata r:id="rId50" o:title=""/>
            <o:lock v:ext="edit" aspectratio="t"/>
            <w10:wrap type="none"/>
            <w10:anchorlock/>
          </v:shape>
          <o:OLEObject Type="Embed" ProgID="Equation.3" ShapeID="_x0000_i1029" DrawAspect="Content" ObjectID="_1468075729" r:id="rId49">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指向性校正，它描述点声源的等效连续声压级与产生声功率级</w:t>
      </w:r>
      <w:r>
        <w:rPr>
          <w:rFonts w:eastAsia="宋体"/>
          <w:i/>
          <w:iCs/>
          <w:color w:val="000000" w:themeColor="text1"/>
          <w:kern w:val="2"/>
          <w:sz w:val="24"/>
          <w:szCs w:val="24"/>
          <w:highlight w:val="none"/>
          <w:lang w:val="pt-BR"/>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w</w:t>
      </w:r>
      <w:r>
        <w:rPr>
          <w:rFonts w:eastAsia="宋体"/>
          <w:color w:val="000000" w:themeColor="text1"/>
          <w:kern w:val="2"/>
          <w:sz w:val="24"/>
          <w:szCs w:val="24"/>
          <w:highlight w:val="none"/>
          <w:lang w:val="pt-BR"/>
          <w14:textFill>
            <w14:solidFill>
              <w14:schemeClr w14:val="tx1"/>
            </w14:solidFill>
          </w14:textFill>
        </w:rPr>
        <w:t>的全向点声源在规定方向的声级的偏差程度，dB；</w:t>
      </w:r>
    </w:p>
    <w:p w14:paraId="6D3DE8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30" o:spt="75" type="#_x0000_t75" style="height:18.5pt;width:22pt;" o:ole="t" filled="f" o:preferrelative="t" stroked="f" coordsize="21600,21600">
            <v:path/>
            <v:fill on="f" focussize="0,0"/>
            <v:stroke on="f" joinstyle="miter"/>
            <v:imagedata r:id="rId52" o:title=""/>
            <o:lock v:ext="edit" aspectratio="t"/>
            <w10:wrap type="none"/>
            <w10:anchorlock/>
          </v:shape>
          <o:OLEObject Type="Embed" ProgID="Equation.3" ShapeID="_x0000_i1030" DrawAspect="Content" ObjectID="_1468075730" r:id="rId51">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几何发散引起的衰减，</w:t>
      </w:r>
      <w:r>
        <w:rPr>
          <w:rFonts w:eastAsia="宋体"/>
          <w:color w:val="000000" w:themeColor="text1"/>
          <w:kern w:val="2"/>
          <w:sz w:val="24"/>
          <w:szCs w:val="24"/>
          <w:highlight w:val="none"/>
          <w:lang w:val="pt-BR"/>
          <w14:textFill>
            <w14:solidFill>
              <w14:schemeClr w14:val="tx1"/>
            </w14:solidFill>
          </w14:textFill>
        </w:rPr>
        <w:t>dB；</w:t>
      </w:r>
    </w:p>
    <w:p w14:paraId="473998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31" o:spt="75" type="#_x0000_t75" style="height:18.5pt;width:22pt;" o:ole="t" filled="f" o:preferrelative="t" stroked="f" coordsize="21600,21600">
            <v:path/>
            <v:fill on="f" focussize="0,0"/>
            <v:stroke on="f" joinstyle="miter"/>
            <v:imagedata r:id="rId54" o:title=""/>
            <o:lock v:ext="edit" aspectratio="t"/>
            <w10:wrap type="none"/>
            <w10:anchorlock/>
          </v:shape>
          <o:OLEObject Type="Embed" ProgID="Equation.3" ShapeID="_x0000_i1031" DrawAspect="Content" ObjectID="_1468075731" r:id="rId53">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大气吸收引起的衰减，</w:t>
      </w:r>
      <w:r>
        <w:rPr>
          <w:rFonts w:eastAsia="宋体"/>
          <w:color w:val="000000" w:themeColor="text1"/>
          <w:kern w:val="2"/>
          <w:sz w:val="24"/>
          <w:szCs w:val="24"/>
          <w:highlight w:val="none"/>
          <w:lang w:val="pt-BR"/>
          <w14:textFill>
            <w14:solidFill>
              <w14:schemeClr w14:val="tx1"/>
            </w14:solidFill>
          </w14:textFill>
        </w:rPr>
        <w:t>dB；</w:t>
      </w:r>
    </w:p>
    <w:p w14:paraId="2F79CBF6">
      <w:pPr>
        <w:keepNext w:val="0"/>
        <w:keepLines w:val="0"/>
        <w:pageBreakBefore w:val="0"/>
        <w:widowControl w:val="0"/>
        <w:kinsoku/>
        <w:wordWrap/>
        <w:overflowPunct/>
        <w:topLinePunct w:val="0"/>
        <w:autoSpaceDE/>
        <w:autoSpaceDN/>
        <w:bidi w:val="0"/>
        <w:adjustRightInd w:val="0"/>
        <w:snapToGrid w:val="0"/>
        <w:spacing w:line="360" w:lineRule="auto"/>
        <w:ind w:firstLine="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lang w:val="en-US" w:eastAsia="zh-CN"/>
          <w14:textFill>
            <w14:solidFill>
              <w14:schemeClr w14:val="tx1"/>
            </w14:solidFill>
          </w14:textFill>
        </w:rPr>
        <w:t xml:space="preserve">  </w:t>
      </w:r>
      <w:r>
        <w:rPr>
          <w:rFonts w:eastAsia="宋体"/>
          <w:color w:val="000000" w:themeColor="text1"/>
          <w:kern w:val="2"/>
          <w:position w:val="-14"/>
          <w:sz w:val="24"/>
          <w:szCs w:val="24"/>
          <w:highlight w:val="none"/>
          <w:lang w:val="pt-BR"/>
          <w14:textFill>
            <w14:solidFill>
              <w14:schemeClr w14:val="tx1"/>
            </w14:solidFill>
          </w14:textFill>
        </w:rPr>
        <w:object>
          <v:shape id="_x0000_i1032" o:spt="75" type="#_x0000_t75" style="height:20pt;width:18.5pt;" o:ole="t" filled="f" o:preferrelative="t" stroked="f" coordsize="21600,21600">
            <v:path/>
            <v:fill on="f" focussize="0,0"/>
            <v:stroke on="f" joinstyle="miter"/>
            <v:imagedata r:id="rId56" o:title=""/>
            <o:lock v:ext="edit" aspectratio="t"/>
            <w10:wrap type="none"/>
            <w10:anchorlock/>
          </v:shape>
          <o:OLEObject Type="Embed" ProgID="Equation.3" ShapeID="_x0000_i1032" DrawAspect="Content" ObjectID="_1468075732" r:id="rId55">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地面效应引起的衰减，</w:t>
      </w:r>
      <w:r>
        <w:rPr>
          <w:rFonts w:eastAsia="宋体"/>
          <w:color w:val="000000" w:themeColor="text1"/>
          <w:kern w:val="2"/>
          <w:sz w:val="24"/>
          <w:szCs w:val="24"/>
          <w:highlight w:val="none"/>
          <w:lang w:val="pt-BR"/>
          <w14:textFill>
            <w14:solidFill>
              <w14:schemeClr w14:val="tx1"/>
            </w14:solidFill>
          </w14:textFill>
        </w:rPr>
        <w:t>dB；</w:t>
      </w:r>
    </w:p>
    <w:p w14:paraId="6E2DEBEB">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33" o:spt="75" type="#_x0000_t75" style="height:18.5pt;width:22pt;" o:ole="t" filled="f" o:preferrelative="t" stroked="f" coordsize="21600,21600">
            <v:path/>
            <v:fill on="f" focussize="0,0"/>
            <v:stroke on="f" joinstyle="miter"/>
            <v:imagedata r:id="rId58" o:title=""/>
            <o:lock v:ext="edit" aspectratio="t"/>
            <w10:wrap type="none"/>
            <w10:anchorlock/>
          </v:shape>
          <o:OLEObject Type="Embed" ProgID="Equation.3" ShapeID="_x0000_i1033" DrawAspect="Content" ObjectID="_1468075733" r:id="rId57">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障碍物屏蔽引起的衰减，</w:t>
      </w:r>
      <w:r>
        <w:rPr>
          <w:rFonts w:eastAsia="宋体"/>
          <w:color w:val="000000" w:themeColor="text1"/>
          <w:kern w:val="2"/>
          <w:sz w:val="24"/>
          <w:szCs w:val="24"/>
          <w:highlight w:val="none"/>
          <w:lang w:val="pt-BR"/>
          <w14:textFill>
            <w14:solidFill>
              <w14:schemeClr w14:val="tx1"/>
            </w14:solidFill>
          </w14:textFill>
        </w:rPr>
        <w:t>dB；</w:t>
      </w:r>
    </w:p>
    <w:p w14:paraId="1F9BAA02">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34" o:spt="75" type="#_x0000_t75" style="height:17.5pt;width:25pt;" o:ole="t" filled="f" o:preferrelative="t" stroked="f" coordsize="21600,21600">
            <v:path/>
            <v:fill on="f" focussize="0,0"/>
            <v:stroke on="f" joinstyle="miter"/>
            <v:imagedata r:id="rId60" o:title=""/>
            <o:lock v:ext="edit" aspectratio="t"/>
            <w10:wrap type="none"/>
            <w10:anchorlock/>
          </v:shape>
          <o:OLEObject Type="Embed" ProgID="Equation.3" ShapeID="_x0000_i1034" DrawAspect="Content" ObjectID="_1468075734" r:id="rId59">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其他多方面效应引起的衰减，</w:t>
      </w:r>
      <w:r>
        <w:rPr>
          <w:rFonts w:eastAsia="宋体"/>
          <w:color w:val="000000" w:themeColor="text1"/>
          <w:kern w:val="2"/>
          <w:sz w:val="24"/>
          <w:szCs w:val="24"/>
          <w:highlight w:val="none"/>
          <w:lang w:val="pt-BR"/>
          <w14:textFill>
            <w14:solidFill>
              <w14:schemeClr w14:val="tx1"/>
            </w14:solidFill>
          </w14:textFill>
        </w:rPr>
        <w:t>dB</w:t>
      </w:r>
      <w:r>
        <w:rPr>
          <w:rFonts w:eastAsia="宋体"/>
          <w:color w:val="000000" w:themeColor="text1"/>
          <w:kern w:val="2"/>
          <w:sz w:val="24"/>
          <w:szCs w:val="24"/>
          <w:highlight w:val="none"/>
          <w14:textFill>
            <w14:solidFill>
              <w14:schemeClr w14:val="tx1"/>
            </w14:solidFill>
          </w14:textFill>
        </w:rPr>
        <w:t>。</w:t>
      </w:r>
    </w:p>
    <w:p w14:paraId="51E1418D">
      <w:pPr>
        <w:keepNext w:val="0"/>
        <w:keepLines w:val="0"/>
        <w:pageBreakBefore w:val="0"/>
        <w:widowControl w:val="0"/>
        <w:kinsoku/>
        <w:wordWrap/>
        <w:overflowPunct/>
        <w:topLinePunct w:val="0"/>
        <w:autoSpaceDE/>
        <w:autoSpaceDN/>
        <w:bidi w:val="0"/>
        <w:adjustRightInd w:val="0"/>
        <w:snapToGrid w:val="0"/>
        <w:spacing w:line="360" w:lineRule="auto"/>
        <w:ind w:firstLine="200"/>
        <w:jc w:val="center"/>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14"/>
          <w:sz w:val="24"/>
          <w:szCs w:val="24"/>
          <w:highlight w:val="none"/>
          <w:lang w:val="pt-BR"/>
          <w14:textFill>
            <w14:solidFill>
              <w14:schemeClr w14:val="tx1"/>
            </w14:solidFill>
          </w14:textFill>
        </w:rPr>
        <w:object>
          <v:shape id="_x0000_i1035" o:spt="75" type="#_x0000_t75" style="height:18.5pt;width:248pt;" o:ole="t" filled="f" o:preferrelative="t" stroked="f" coordsize="21600,21600">
            <v:path/>
            <v:fill on="f" focussize="0,0"/>
            <v:stroke on="f" joinstyle="miter"/>
            <v:imagedata r:id="rId62" o:title=""/>
            <o:lock v:ext="edit" aspectratio="t"/>
            <w10:wrap type="none"/>
            <w10:anchorlock/>
          </v:shape>
          <o:OLEObject Type="Embed" ProgID="Equation.3" ShapeID="_x0000_i1035" DrawAspect="Content" ObjectID="_1468075735" r:id="rId61">
            <o:LockedField>false</o:LockedField>
          </o:OLEObject>
        </w:object>
      </w:r>
    </w:p>
    <w:p w14:paraId="0418E9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color w:val="000000" w:themeColor="text1"/>
          <w:kern w:val="2"/>
          <w:sz w:val="24"/>
          <w:szCs w:val="24"/>
          <w:highlight w:val="none"/>
          <w:lang w:val="pt-BR"/>
          <w14:textFill>
            <w14:solidFill>
              <w14:schemeClr w14:val="tx1"/>
            </w14:solidFill>
          </w14:textFill>
        </w:rPr>
        <w:t>：</w:t>
      </w:r>
      <w:r>
        <w:rPr>
          <w:rFonts w:eastAsia="宋体"/>
          <w:color w:val="000000" w:themeColor="text1"/>
          <w:kern w:val="2"/>
          <w:position w:val="-14"/>
          <w:sz w:val="24"/>
          <w:szCs w:val="24"/>
          <w:highlight w:val="none"/>
          <w:lang w:val="pt-BR"/>
          <w14:textFill>
            <w14:solidFill>
              <w14:schemeClr w14:val="tx1"/>
            </w14:solidFill>
          </w14:textFill>
        </w:rPr>
        <w:object>
          <v:shape id="_x0000_i1036" o:spt="75" type="#_x0000_t75" style="height:18.5pt;width:32pt;" o:ole="t" filled="f" o:preferrelative="t" stroked="f" coordsize="21600,21600">
            <v:path/>
            <v:fill on="f" focussize="0,0"/>
            <v:stroke on="f" joinstyle="miter"/>
            <v:imagedata r:id="rId46" o:title=""/>
            <o:lock v:ext="edit" aspectratio="t"/>
            <w10:wrap type="none"/>
            <w10:anchorlock/>
          </v:shape>
          <o:OLEObject Type="Embed" ProgID="Equation.3" ShapeID="_x0000_i1036" DrawAspect="Content" ObjectID="_1468075736" r:id="rId63">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预测点处声压级</w:t>
      </w:r>
      <w:r>
        <w:rPr>
          <w:rFonts w:eastAsia="宋体"/>
          <w:color w:val="000000" w:themeColor="text1"/>
          <w:kern w:val="2"/>
          <w:sz w:val="24"/>
          <w:szCs w:val="24"/>
          <w:highlight w:val="none"/>
          <w:lang w:val="pt-BR"/>
          <w14:textFill>
            <w14:solidFill>
              <w14:schemeClr w14:val="tx1"/>
            </w14:solidFill>
          </w14:textFill>
        </w:rPr>
        <w:t>，dB；</w:t>
      </w:r>
    </w:p>
    <w:p w14:paraId="4021B7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4"/>
          <w:sz w:val="24"/>
          <w:szCs w:val="24"/>
          <w:highlight w:val="none"/>
          <w:lang w:val="pt-BR"/>
          <w14:textFill>
            <w14:solidFill>
              <w14:schemeClr w14:val="tx1"/>
            </w14:solidFill>
          </w14:textFill>
        </w:rPr>
        <w:object>
          <v:shape id="_x0000_i1037" o:spt="75" type="#_x0000_t75" style="height:18.5pt;width:32pt;" o:ole="t" filled="f" o:preferrelative="t" stroked="f" coordsize="21600,21600">
            <v:path/>
            <v:fill on="f" focussize="0,0"/>
            <v:stroke on="f" joinstyle="miter"/>
            <v:imagedata r:id="rId65" o:title=""/>
            <o:lock v:ext="edit" aspectratio="t"/>
            <w10:wrap type="none"/>
            <w10:anchorlock/>
          </v:shape>
          <o:OLEObject Type="Embed" ProgID="Equation.3" ShapeID="_x0000_i1037" DrawAspect="Content" ObjectID="_1468075737" r:id="rId64">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参考位置r</w:t>
      </w:r>
      <w:r>
        <w:rPr>
          <w:rFonts w:eastAsia="宋体"/>
          <w:color w:val="000000" w:themeColor="text1"/>
          <w:kern w:val="2"/>
          <w:sz w:val="24"/>
          <w:szCs w:val="24"/>
          <w:highlight w:val="none"/>
          <w:vertAlign w:val="subscript"/>
          <w14:textFill>
            <w14:solidFill>
              <w14:schemeClr w14:val="tx1"/>
            </w14:solidFill>
          </w14:textFill>
        </w:rPr>
        <w:t>0</w:t>
      </w:r>
      <w:r>
        <w:rPr>
          <w:rFonts w:eastAsia="宋体"/>
          <w:color w:val="000000" w:themeColor="text1"/>
          <w:kern w:val="2"/>
          <w:sz w:val="24"/>
          <w:szCs w:val="24"/>
          <w:highlight w:val="none"/>
          <w14:textFill>
            <w14:solidFill>
              <w14:schemeClr w14:val="tx1"/>
            </w14:solidFill>
          </w14:textFill>
        </w:rPr>
        <w:t>处的声压级，</w:t>
      </w:r>
      <w:r>
        <w:rPr>
          <w:rFonts w:eastAsia="宋体"/>
          <w:color w:val="000000" w:themeColor="text1"/>
          <w:kern w:val="2"/>
          <w:sz w:val="24"/>
          <w:szCs w:val="24"/>
          <w:highlight w:val="none"/>
          <w:lang w:val="pt-BR"/>
          <w14:textFill>
            <w14:solidFill>
              <w14:schemeClr w14:val="tx1"/>
            </w14:solidFill>
          </w14:textFill>
        </w:rPr>
        <w:t>dB；</w:t>
      </w:r>
    </w:p>
    <w:p w14:paraId="764AE0D8">
      <w:pPr>
        <w:keepNext w:val="0"/>
        <w:keepLines w:val="0"/>
        <w:pageBreakBefore w:val="0"/>
        <w:widowControl w:val="0"/>
        <w:kinsoku/>
        <w:wordWrap/>
        <w:overflowPunct/>
        <w:topLinePunct w:val="0"/>
        <w:autoSpaceDE/>
        <w:autoSpaceDN/>
        <w:bidi w:val="0"/>
        <w:adjustRightInd w:val="0"/>
        <w:snapToGrid w:val="0"/>
        <w:spacing w:line="360" w:lineRule="auto"/>
        <w:ind w:firstLine="1320" w:firstLineChars="55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38" o:spt="75" type="#_x0000_t75" style="height:18.5pt;width:16pt;" o:ole="t" filled="f" o:preferrelative="t" stroked="f" coordsize="21600,21600">
            <v:path/>
            <v:fill on="f" focussize="0,0"/>
            <v:stroke on="f" joinstyle="miter"/>
            <v:imagedata r:id="rId50" o:title=""/>
            <o:lock v:ext="edit" aspectratio="t"/>
            <w10:wrap type="none"/>
            <w10:anchorlock/>
          </v:shape>
          <o:OLEObject Type="Embed" ProgID="Equation.3" ShapeID="_x0000_i1038" DrawAspect="Content" ObjectID="_1468075738" r:id="rId66">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指向性校正，它描述点声源的等效连续声压级与产生声功率级L</w:t>
      </w:r>
      <w:r>
        <w:rPr>
          <w:rFonts w:eastAsia="宋体"/>
          <w:color w:val="000000" w:themeColor="text1"/>
          <w:kern w:val="2"/>
          <w:sz w:val="24"/>
          <w:szCs w:val="24"/>
          <w:highlight w:val="none"/>
          <w:vertAlign w:val="subscript"/>
          <w14:textFill>
            <w14:solidFill>
              <w14:schemeClr w14:val="tx1"/>
            </w14:solidFill>
          </w14:textFill>
        </w:rPr>
        <w:t>w</w:t>
      </w:r>
      <w:r>
        <w:rPr>
          <w:rFonts w:eastAsia="宋体"/>
          <w:color w:val="000000" w:themeColor="text1"/>
          <w:kern w:val="2"/>
          <w:sz w:val="24"/>
          <w:szCs w:val="24"/>
          <w:highlight w:val="none"/>
          <w:lang w:val="pt-BR"/>
          <w14:textFill>
            <w14:solidFill>
              <w14:schemeClr w14:val="tx1"/>
            </w14:solidFill>
          </w14:textFill>
        </w:rPr>
        <w:t>的全向点声源在规定方向的声级的偏差程度，dB；</w:t>
      </w:r>
    </w:p>
    <w:p w14:paraId="43C689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39" o:spt="75" type="#_x0000_t75" style="height:18.5pt;width:22pt;" o:ole="t" filled="f" o:preferrelative="t" stroked="f" coordsize="21600,21600">
            <v:path/>
            <v:fill on="f" focussize="0,0"/>
            <v:stroke on="f" joinstyle="miter"/>
            <v:imagedata r:id="rId52" o:title=""/>
            <o:lock v:ext="edit" aspectratio="t"/>
            <w10:wrap type="none"/>
            <w10:anchorlock/>
          </v:shape>
          <o:OLEObject Type="Embed" ProgID="Equation.3" ShapeID="_x0000_i1039" DrawAspect="Content" ObjectID="_1468075739" r:id="rId67">
            <o:LockedField>false</o:LockedField>
          </o:OLEObject>
        </w:object>
      </w:r>
      <w:bookmarkStart w:id="1088" w:name="OLE_LINK1494"/>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bookmarkEnd w:id="1088"/>
      <w:r>
        <w:rPr>
          <w:rFonts w:eastAsia="宋体"/>
          <w:color w:val="000000" w:themeColor="text1"/>
          <w:kern w:val="2"/>
          <w:sz w:val="24"/>
          <w:szCs w:val="24"/>
          <w:highlight w:val="none"/>
          <w14:textFill>
            <w14:solidFill>
              <w14:schemeClr w14:val="tx1"/>
            </w14:solidFill>
          </w14:textFill>
        </w:rPr>
        <w:t>几何发散引起的衰减，</w:t>
      </w:r>
      <w:r>
        <w:rPr>
          <w:rFonts w:eastAsia="宋体"/>
          <w:color w:val="000000" w:themeColor="text1"/>
          <w:kern w:val="2"/>
          <w:sz w:val="24"/>
          <w:szCs w:val="24"/>
          <w:highlight w:val="none"/>
          <w:lang w:val="pt-BR"/>
          <w14:textFill>
            <w14:solidFill>
              <w14:schemeClr w14:val="tx1"/>
            </w14:solidFill>
          </w14:textFill>
        </w:rPr>
        <w:t>dB；</w:t>
      </w:r>
    </w:p>
    <w:p w14:paraId="5B84E6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40" o:spt="75" type="#_x0000_t75" style="height:18.5pt;width:22pt;" o:ole="t" filled="f" o:preferrelative="t" stroked="f" coordsize="21600,21600">
            <v:path/>
            <v:fill on="f" focussize="0,0"/>
            <v:stroke on="f" joinstyle="miter"/>
            <v:imagedata r:id="rId54" o:title=""/>
            <o:lock v:ext="edit" aspectratio="t"/>
            <w10:wrap type="none"/>
            <w10:anchorlock/>
          </v:shape>
          <o:OLEObject Type="Embed" ProgID="Equation.3" ShapeID="_x0000_i1040" DrawAspect="Content" ObjectID="_1468075740" r:id="rId68">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大气吸收引起的衰减，</w:t>
      </w:r>
      <w:r>
        <w:rPr>
          <w:rFonts w:eastAsia="宋体"/>
          <w:color w:val="000000" w:themeColor="text1"/>
          <w:kern w:val="2"/>
          <w:sz w:val="24"/>
          <w:szCs w:val="24"/>
          <w:highlight w:val="none"/>
          <w:lang w:val="pt-BR"/>
          <w14:textFill>
            <w14:solidFill>
              <w14:schemeClr w14:val="tx1"/>
            </w14:solidFill>
          </w14:textFill>
        </w:rPr>
        <w:t>dB；</w:t>
      </w:r>
    </w:p>
    <w:p w14:paraId="6E44D9A5">
      <w:pPr>
        <w:keepNext w:val="0"/>
        <w:keepLines w:val="0"/>
        <w:pageBreakBefore w:val="0"/>
        <w:widowControl w:val="0"/>
        <w:kinsoku/>
        <w:wordWrap/>
        <w:overflowPunct/>
        <w:topLinePunct w:val="0"/>
        <w:autoSpaceDE/>
        <w:autoSpaceDN/>
        <w:bidi w:val="0"/>
        <w:adjustRightInd w:val="0"/>
        <w:snapToGrid w:val="0"/>
        <w:spacing w:line="360" w:lineRule="auto"/>
        <w:ind w:firstLine="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 xml:space="preserve">      </w:t>
      </w:r>
      <w:r>
        <w:rPr>
          <w:rFonts w:hint="eastAsia"/>
          <w:color w:val="000000" w:themeColor="text1"/>
          <w:kern w:val="2"/>
          <w:sz w:val="24"/>
          <w:szCs w:val="24"/>
          <w:highlight w:val="none"/>
          <w:lang w:val="en-US" w:eastAsia="zh-CN"/>
          <w14:textFill>
            <w14:solidFill>
              <w14:schemeClr w14:val="tx1"/>
            </w14:solidFill>
          </w14:textFill>
        </w:rPr>
        <w:t xml:space="preserve">  </w:t>
      </w:r>
      <w:r>
        <w:rPr>
          <w:rFonts w:eastAsia="宋体"/>
          <w:color w:val="000000" w:themeColor="text1"/>
          <w:kern w:val="2"/>
          <w:position w:val="-14"/>
          <w:sz w:val="24"/>
          <w:szCs w:val="24"/>
          <w:highlight w:val="none"/>
          <w:lang w:val="pt-BR"/>
          <w14:textFill>
            <w14:solidFill>
              <w14:schemeClr w14:val="tx1"/>
            </w14:solidFill>
          </w14:textFill>
        </w:rPr>
        <w:object>
          <v:shape id="_x0000_i1041" o:spt="75" type="#_x0000_t75" style="height:20pt;width:18.5pt;" o:ole="t" filled="f" o:preferrelative="t" stroked="f" coordsize="21600,21600">
            <v:path/>
            <v:fill on="f" focussize="0,0"/>
            <v:stroke on="f" joinstyle="miter"/>
            <v:imagedata r:id="rId56" o:title=""/>
            <o:lock v:ext="edit" aspectratio="t"/>
            <w10:wrap type="none"/>
            <w10:anchorlock/>
          </v:shape>
          <o:OLEObject Type="Embed" ProgID="Equation.3" ShapeID="_x0000_i1041" DrawAspect="Content" ObjectID="_1468075741" r:id="rId69">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地面效应引起的衰减，</w:t>
      </w:r>
      <w:r>
        <w:rPr>
          <w:rFonts w:eastAsia="宋体"/>
          <w:color w:val="000000" w:themeColor="text1"/>
          <w:kern w:val="2"/>
          <w:sz w:val="24"/>
          <w:szCs w:val="24"/>
          <w:highlight w:val="none"/>
          <w:lang w:val="pt-BR"/>
          <w14:textFill>
            <w14:solidFill>
              <w14:schemeClr w14:val="tx1"/>
            </w14:solidFill>
          </w14:textFill>
        </w:rPr>
        <w:t>dB；</w:t>
      </w:r>
    </w:p>
    <w:p w14:paraId="55D76639">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42" o:spt="75" type="#_x0000_t75" style="height:18.5pt;width:22pt;" o:ole="t" filled="f" o:preferrelative="t" stroked="f" coordsize="21600,21600">
            <v:path/>
            <v:fill on="f" focussize="0,0"/>
            <v:stroke on="f" joinstyle="miter"/>
            <v:imagedata r:id="rId58" o:title=""/>
            <o:lock v:ext="edit" aspectratio="t"/>
            <w10:wrap type="none"/>
            <w10:anchorlock/>
          </v:shape>
          <o:OLEObject Type="Embed" ProgID="Equation.3" ShapeID="_x0000_i1042" DrawAspect="Content" ObjectID="_1468075742" r:id="rId70">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障碍物屏蔽引起的衰减，</w:t>
      </w:r>
      <w:r>
        <w:rPr>
          <w:rFonts w:eastAsia="宋体"/>
          <w:color w:val="000000" w:themeColor="text1"/>
          <w:kern w:val="2"/>
          <w:sz w:val="24"/>
          <w:szCs w:val="24"/>
          <w:highlight w:val="none"/>
          <w:lang w:val="pt-BR"/>
          <w14:textFill>
            <w14:solidFill>
              <w14:schemeClr w14:val="tx1"/>
            </w14:solidFill>
          </w14:textFill>
        </w:rPr>
        <w:t>dB；</w:t>
      </w:r>
    </w:p>
    <w:p w14:paraId="3FF7B12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12"/>
          <w:sz w:val="24"/>
          <w:szCs w:val="24"/>
          <w:highlight w:val="none"/>
          <w:lang w:val="pt-BR"/>
          <w14:textFill>
            <w14:solidFill>
              <w14:schemeClr w14:val="tx1"/>
            </w14:solidFill>
          </w14:textFill>
        </w:rPr>
        <w:object>
          <v:shape id="_x0000_i1043" o:spt="75" type="#_x0000_t75" style="height:17.5pt;width:25pt;" o:ole="t" filled="f" o:preferrelative="t" stroked="f" coordsize="21600,21600">
            <v:path/>
            <v:fill on="f" focussize="0,0"/>
            <v:stroke on="f" joinstyle="miter"/>
            <v:imagedata r:id="rId60" o:title=""/>
            <o:lock v:ext="edit" aspectratio="t"/>
            <w10:wrap type="none"/>
            <w10:anchorlock/>
          </v:shape>
          <o:OLEObject Type="Embed" ProgID="Equation.3" ShapeID="_x0000_i1043" DrawAspect="Content" ObjectID="_1468075743" r:id="rId71">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其他多方面效应引起的衰减，</w:t>
      </w:r>
      <w:r>
        <w:rPr>
          <w:rFonts w:eastAsia="宋体"/>
          <w:color w:val="000000" w:themeColor="text1"/>
          <w:kern w:val="2"/>
          <w:sz w:val="24"/>
          <w:szCs w:val="24"/>
          <w:highlight w:val="none"/>
          <w:lang w:val="pt-BR"/>
          <w14:textFill>
            <w14:solidFill>
              <w14:schemeClr w14:val="tx1"/>
            </w14:solidFill>
          </w14:textFill>
        </w:rPr>
        <w:t>dB</w:t>
      </w:r>
      <w:r>
        <w:rPr>
          <w:rFonts w:eastAsia="宋体"/>
          <w:color w:val="000000" w:themeColor="text1"/>
          <w:kern w:val="2"/>
          <w:sz w:val="24"/>
          <w:szCs w:val="24"/>
          <w:highlight w:val="none"/>
          <w14:textFill>
            <w14:solidFill>
              <w14:schemeClr w14:val="tx1"/>
            </w14:solidFill>
          </w14:textFill>
        </w:rPr>
        <w:t>。</w:t>
      </w:r>
    </w:p>
    <w:p w14:paraId="6768A4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b</w:t>
      </w:r>
      <w:r>
        <w:rPr>
          <w:rFonts w:hint="eastAsia" w:eastAsia="宋体"/>
          <w:color w:val="000000" w:themeColor="text1"/>
          <w:kern w:val="2"/>
          <w:sz w:val="24"/>
          <w:szCs w:val="24"/>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预测点的A声级</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A</w:t>
      </w:r>
      <w:r>
        <w:rPr>
          <w:rFonts w:hint="eastAsia" w:eastAsia="宋体"/>
          <w:i/>
          <w:iCs/>
          <w:color w:val="000000" w:themeColor="text1"/>
          <w:kern w:val="2"/>
          <w:sz w:val="24"/>
          <w:szCs w:val="24"/>
          <w:highlight w:val="none"/>
          <w:vertAlign w:val="subscript"/>
          <w:lang w:eastAsia="zh-CN"/>
          <w14:textFill>
            <w14:solidFill>
              <w14:schemeClr w14:val="tx1"/>
            </w14:solidFill>
          </w14:textFill>
        </w:rPr>
        <w:t>（</w:t>
      </w:r>
      <w:r>
        <w:rPr>
          <w:rFonts w:eastAsia="宋体"/>
          <w:i/>
          <w:iCs/>
          <w:color w:val="000000" w:themeColor="text1"/>
          <w:kern w:val="2"/>
          <w:sz w:val="24"/>
          <w:szCs w:val="24"/>
          <w:highlight w:val="none"/>
          <w14:textFill>
            <w14:solidFill>
              <w14:schemeClr w14:val="tx1"/>
            </w14:solidFill>
          </w14:textFill>
        </w:rPr>
        <w:t>r</w:t>
      </w:r>
      <w:r>
        <w:rPr>
          <w:rFonts w:hint="eastAsia" w:eastAsia="宋体"/>
          <w:i/>
          <w:iCs/>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可按下式计算：</w:t>
      </w:r>
    </w:p>
    <w:p w14:paraId="6F01BA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30"/>
          <w:sz w:val="24"/>
          <w:szCs w:val="24"/>
          <w:highlight w:val="none"/>
          <w14:textFill>
            <w14:solidFill>
              <w14:schemeClr w14:val="tx1"/>
            </w14:solidFill>
          </w14:textFill>
        </w:rPr>
        <w:object>
          <v:shape id="_x0000_i1044" o:spt="75" type="#_x0000_t75" style="height:37pt;width:150.5pt;" o:ole="t" filled="f" o:preferrelative="t" stroked="f" coordsize="21600,21600">
            <v:path/>
            <v:fill on="f" focussize="0,0"/>
            <v:stroke on="f" joinstyle="miter"/>
            <v:imagedata r:id="rId73" o:title=""/>
            <o:lock v:ext="edit" aspectratio="t"/>
            <w10:wrap type="none"/>
            <w10:anchorlock/>
          </v:shape>
          <o:OLEObject Type="Embed" ProgID="Equation.3" ShapeID="_x0000_i1044" DrawAspect="Content" ObjectID="_1468075744" r:id="rId72">
            <o:LockedField>false</o:LockedField>
          </o:OLEObject>
        </w:object>
      </w:r>
    </w:p>
    <w:p w14:paraId="76D586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color w:val="000000" w:themeColor="text1"/>
          <w:kern w:val="2"/>
          <w:sz w:val="24"/>
          <w:szCs w:val="24"/>
          <w:highlight w:val="none"/>
          <w:lang w:val="pt-BR"/>
          <w14:textFill>
            <w14:solidFill>
              <w14:schemeClr w14:val="tx1"/>
            </w14:solidFill>
          </w14:textFill>
        </w:rPr>
        <w:t>：</w:t>
      </w:r>
      <w:r>
        <w:rPr>
          <w:rFonts w:eastAsia="宋体"/>
          <w:color w:val="000000" w:themeColor="text1"/>
          <w:kern w:val="2"/>
          <w:position w:val="-10"/>
          <w:sz w:val="24"/>
          <w:szCs w:val="24"/>
          <w:highlight w:val="none"/>
          <w:lang w:val="pt-BR"/>
          <w14:textFill>
            <w14:solidFill>
              <w14:schemeClr w14:val="tx1"/>
            </w14:solidFill>
          </w14:textFill>
        </w:rPr>
        <w:object>
          <v:shape id="_x0000_i1045" o:spt="75" type="#_x0000_t75" style="height:17.5pt;width:32pt;" o:ole="t" filled="f" o:preferrelative="t" stroked="f" coordsize="21600,21600">
            <v:path/>
            <v:fill on="f" focussize="0,0"/>
            <v:stroke on="f" joinstyle="miter"/>
            <v:imagedata r:id="rId75" o:title=""/>
            <o:lock v:ext="edit" aspectratio="t"/>
            <w10:wrap type="none"/>
            <w10:anchorlock/>
          </v:shape>
          <o:OLEObject Type="Embed" ProgID="Equation.3" ShapeID="_x0000_i1045" DrawAspect="Content" ObjectID="_1468075745" r:id="rId74">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距声源</w:t>
      </w:r>
      <w:r>
        <w:rPr>
          <w:rFonts w:eastAsia="宋体"/>
          <w:i/>
          <w:iCs/>
          <w:color w:val="000000" w:themeColor="text1"/>
          <w:kern w:val="2"/>
          <w:sz w:val="24"/>
          <w:szCs w:val="24"/>
          <w:highlight w:val="none"/>
          <w14:textFill>
            <w14:solidFill>
              <w14:schemeClr w14:val="tx1"/>
            </w14:solidFill>
          </w14:textFill>
        </w:rPr>
        <w:t>r</w:t>
      </w:r>
      <w:r>
        <w:rPr>
          <w:rFonts w:eastAsia="宋体"/>
          <w:color w:val="000000" w:themeColor="text1"/>
          <w:kern w:val="2"/>
          <w:sz w:val="24"/>
          <w:szCs w:val="24"/>
          <w:highlight w:val="none"/>
          <w14:textFill>
            <w14:solidFill>
              <w14:schemeClr w14:val="tx1"/>
            </w14:solidFill>
          </w14:textFill>
        </w:rPr>
        <w:t>处的A声级</w:t>
      </w:r>
      <w:r>
        <w:rPr>
          <w:rFonts w:eastAsia="宋体"/>
          <w:color w:val="000000" w:themeColor="text1"/>
          <w:kern w:val="2"/>
          <w:sz w:val="24"/>
          <w:szCs w:val="24"/>
          <w:highlight w:val="none"/>
          <w:lang w:val="pt-BR"/>
          <w14:textFill>
            <w14:solidFill>
              <w14:schemeClr w14:val="tx1"/>
            </w14:solidFill>
          </w14:textFill>
        </w:rPr>
        <w:t>，dB</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A</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w:t>
      </w:r>
    </w:p>
    <w:p w14:paraId="1CB74A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4"/>
          <w:sz w:val="24"/>
          <w:szCs w:val="24"/>
          <w:highlight w:val="none"/>
          <w:lang w:val="pt-BR"/>
          <w14:textFill>
            <w14:solidFill>
              <w14:schemeClr w14:val="tx1"/>
            </w14:solidFill>
          </w14:textFill>
        </w:rPr>
        <w:object>
          <v:shape id="_x0000_i1046" o:spt="75" type="#_x0000_t75" style="height:18.5pt;width:29.5pt;" o:ole="t" filled="f" o:preferrelative="t" stroked="f" coordsize="21600,21600">
            <v:path/>
            <v:fill on="f" focussize="0,0"/>
            <v:stroke on="f" joinstyle="miter"/>
            <v:imagedata r:id="rId77" o:title=""/>
            <o:lock v:ext="edit" aspectratio="t"/>
            <w10:wrap type="none"/>
            <w10:anchorlock/>
          </v:shape>
          <o:OLEObject Type="Embed" ProgID="Equation.3" ShapeID="_x0000_i1046" DrawAspect="Content" ObjectID="_1468075746" r:id="rId76">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预测点</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i/>
          <w:iCs/>
          <w:color w:val="000000" w:themeColor="text1"/>
          <w:kern w:val="2"/>
          <w:sz w:val="24"/>
          <w:szCs w:val="24"/>
          <w:highlight w:val="none"/>
          <w14:textFill>
            <w14:solidFill>
              <w14:schemeClr w14:val="tx1"/>
            </w14:solidFill>
          </w14:textFill>
        </w:rPr>
        <w:t>r</w:t>
      </w:r>
      <w:r>
        <w:rPr>
          <w:rFonts w:hint="eastAsia" w:eastAsia="宋体"/>
          <w:i/>
          <w:iCs/>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处，第</w:t>
      </w:r>
      <w:r>
        <w:rPr>
          <w:rFonts w:eastAsia="宋体"/>
          <w:i/>
          <w:iCs/>
          <w:color w:val="000000" w:themeColor="text1"/>
          <w:kern w:val="2"/>
          <w:sz w:val="24"/>
          <w:szCs w:val="24"/>
          <w:highlight w:val="none"/>
          <w14:textFill>
            <w14:solidFill>
              <w14:schemeClr w14:val="tx1"/>
            </w14:solidFill>
          </w14:textFill>
        </w:rPr>
        <w:t>i</w:t>
      </w:r>
      <w:r>
        <w:rPr>
          <w:rFonts w:eastAsia="宋体"/>
          <w:color w:val="000000" w:themeColor="text1"/>
          <w:kern w:val="2"/>
          <w:sz w:val="24"/>
          <w:szCs w:val="24"/>
          <w:highlight w:val="none"/>
          <w14:textFill>
            <w14:solidFill>
              <w14:schemeClr w14:val="tx1"/>
            </w14:solidFill>
          </w14:textFill>
        </w:rPr>
        <w:t>倍频带声压级，</w:t>
      </w:r>
      <w:r>
        <w:rPr>
          <w:rFonts w:eastAsia="宋体"/>
          <w:color w:val="000000" w:themeColor="text1"/>
          <w:kern w:val="2"/>
          <w:sz w:val="24"/>
          <w:szCs w:val="24"/>
          <w:highlight w:val="none"/>
          <w:lang w:val="pt-BR"/>
          <w14:textFill>
            <w14:solidFill>
              <w14:schemeClr w14:val="tx1"/>
            </w14:solidFill>
          </w14:textFill>
        </w:rPr>
        <w:t>dB；</w:t>
      </w:r>
    </w:p>
    <w:p w14:paraId="2F277002">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ascii="Cambria Math" w:hAnsi="Cambria Math" w:eastAsia="宋体" w:cs="Cambria Math"/>
          <w:color w:val="000000" w:themeColor="text1"/>
          <w:kern w:val="2"/>
          <w:sz w:val="24"/>
          <w:szCs w:val="24"/>
          <w:highlight w:val="none"/>
          <w14:textFill>
            <w14:solidFill>
              <w14:schemeClr w14:val="tx1"/>
            </w14:solidFill>
          </w14:textFill>
        </w:rPr>
        <w:t>△</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第</w:t>
      </w:r>
      <w:r>
        <w:rPr>
          <w:rFonts w:eastAsia="宋体"/>
          <w:i/>
          <w:iCs/>
          <w:color w:val="000000" w:themeColor="text1"/>
          <w:kern w:val="2"/>
          <w:sz w:val="24"/>
          <w:szCs w:val="24"/>
          <w:highlight w:val="none"/>
          <w14:textFill>
            <w14:solidFill>
              <w14:schemeClr w14:val="tx1"/>
            </w14:solidFill>
          </w14:textFill>
        </w:rPr>
        <w:t>i</w:t>
      </w:r>
      <w:r>
        <w:rPr>
          <w:rFonts w:eastAsia="宋体"/>
          <w:color w:val="000000" w:themeColor="text1"/>
          <w:kern w:val="2"/>
          <w:sz w:val="24"/>
          <w:szCs w:val="24"/>
          <w:highlight w:val="none"/>
          <w14:textFill>
            <w14:solidFill>
              <w14:schemeClr w14:val="tx1"/>
            </w14:solidFill>
          </w14:textFill>
        </w:rPr>
        <w:t>倍频带的A计权网络修正值，dB</w:t>
      </w:r>
      <w:r>
        <w:rPr>
          <w:rFonts w:eastAsia="宋体"/>
          <w:color w:val="000000" w:themeColor="text1"/>
          <w:kern w:val="2"/>
          <w:sz w:val="24"/>
          <w:szCs w:val="24"/>
          <w:highlight w:val="none"/>
          <w:lang w:val="pt-BR"/>
          <w14:textFill>
            <w14:solidFill>
              <w14:schemeClr w14:val="tx1"/>
            </w14:solidFill>
          </w14:textFill>
        </w:rPr>
        <w:t>；</w:t>
      </w:r>
    </w:p>
    <w:p w14:paraId="183DC9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c</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在只考虑几何发散衰减时按下式计算：</w:t>
      </w:r>
    </w:p>
    <w:p w14:paraId="25D703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12"/>
          <w:sz w:val="24"/>
          <w:szCs w:val="24"/>
          <w:highlight w:val="none"/>
          <w14:textFill>
            <w14:solidFill>
              <w14:schemeClr w14:val="tx1"/>
            </w14:solidFill>
          </w14:textFill>
        </w:rPr>
        <w:object>
          <v:shape id="_x0000_i1047" o:spt="75" type="#_x0000_t75" style="height:18.5pt;width:94pt;" o:ole="t" filled="f" o:preferrelative="t" stroked="f" coordsize="21600,21600">
            <v:path/>
            <v:fill on="f" focussize="0,0"/>
            <v:stroke on="f" joinstyle="miter"/>
            <v:imagedata r:id="rId79" o:title=""/>
            <o:lock v:ext="edit" aspectratio="t"/>
            <w10:wrap type="none"/>
            <w10:anchorlock/>
          </v:shape>
          <o:OLEObject Type="Embed" ProgID="Equation.3" ShapeID="_x0000_i1047" DrawAspect="Content" ObjectID="_1468075747" r:id="rId78">
            <o:LockedField>false</o:LockedField>
          </o:OLEObject>
        </w:object>
      </w:r>
    </w:p>
    <w:p w14:paraId="29FC9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color w:val="000000" w:themeColor="text1"/>
          <w:kern w:val="2"/>
          <w:sz w:val="24"/>
          <w:szCs w:val="24"/>
          <w:highlight w:val="none"/>
          <w:lang w:val="pt-BR"/>
          <w14:textFill>
            <w14:solidFill>
              <w14:schemeClr w14:val="tx1"/>
            </w14:solidFill>
          </w14:textFill>
        </w:rPr>
        <w:t>：</w:t>
      </w:r>
      <w:r>
        <w:rPr>
          <w:rFonts w:eastAsia="宋体"/>
          <w:color w:val="000000" w:themeColor="text1"/>
          <w:kern w:val="2"/>
          <w:position w:val="-10"/>
          <w:sz w:val="24"/>
          <w:szCs w:val="24"/>
          <w:highlight w:val="none"/>
          <w:lang w:val="pt-BR"/>
          <w14:textFill>
            <w14:solidFill>
              <w14:schemeClr w14:val="tx1"/>
            </w14:solidFill>
          </w14:textFill>
        </w:rPr>
        <w:object>
          <v:shape id="_x0000_i1048" o:spt="75" type="#_x0000_t75" style="height:17.5pt;width:32pt;" o:ole="t" filled="f" o:preferrelative="t" stroked="f" coordsize="21600,21600">
            <v:path/>
            <v:fill on="f" focussize="0,0"/>
            <v:stroke on="f" joinstyle="miter"/>
            <v:imagedata r:id="rId75" o:title=""/>
            <o:lock v:ext="edit" aspectratio="t"/>
            <w10:wrap type="none"/>
            <w10:anchorlock/>
          </v:shape>
          <o:OLEObject Type="Embed" ProgID="Equation.3" ShapeID="_x0000_i1048" DrawAspect="Content" ObjectID="_1468075748" r:id="rId80">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距声源</w:t>
      </w:r>
      <w:r>
        <w:rPr>
          <w:rFonts w:eastAsia="宋体"/>
          <w:i/>
          <w:iCs/>
          <w:color w:val="000000" w:themeColor="text1"/>
          <w:kern w:val="2"/>
          <w:sz w:val="24"/>
          <w:szCs w:val="24"/>
          <w:highlight w:val="none"/>
          <w14:textFill>
            <w14:solidFill>
              <w14:schemeClr w14:val="tx1"/>
            </w14:solidFill>
          </w14:textFill>
        </w:rPr>
        <w:t>r</w:t>
      </w:r>
      <w:r>
        <w:rPr>
          <w:rFonts w:eastAsia="宋体"/>
          <w:color w:val="000000" w:themeColor="text1"/>
          <w:kern w:val="2"/>
          <w:sz w:val="24"/>
          <w:szCs w:val="24"/>
          <w:highlight w:val="none"/>
          <w14:textFill>
            <w14:solidFill>
              <w14:schemeClr w14:val="tx1"/>
            </w14:solidFill>
          </w14:textFill>
        </w:rPr>
        <w:t>处的A声级</w:t>
      </w:r>
      <w:r>
        <w:rPr>
          <w:rFonts w:eastAsia="宋体"/>
          <w:color w:val="000000" w:themeColor="text1"/>
          <w:kern w:val="2"/>
          <w:sz w:val="24"/>
          <w:szCs w:val="24"/>
          <w:highlight w:val="none"/>
          <w:lang w:val="pt-BR"/>
          <w14:textFill>
            <w14:solidFill>
              <w14:schemeClr w14:val="tx1"/>
            </w14:solidFill>
          </w14:textFill>
        </w:rPr>
        <w:t>，dB</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A</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w:t>
      </w:r>
    </w:p>
    <w:p w14:paraId="1DBE4E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color w:val="000000" w:themeColor="text1"/>
          <w:kern w:val="2"/>
          <w:position w:val="-12"/>
          <w:sz w:val="24"/>
          <w:szCs w:val="24"/>
          <w:highlight w:val="none"/>
          <w:lang w:val="pt-BR"/>
          <w14:textFill>
            <w14:solidFill>
              <w14:schemeClr w14:val="tx1"/>
            </w14:solidFill>
          </w14:textFill>
        </w:rPr>
        <w:object>
          <v:shape id="_x0000_i1049" o:spt="75" type="#_x0000_t75" style="height:18.5pt;width:32pt;" o:ole="t" filled="f" o:preferrelative="t" stroked="f" coordsize="21600,21600">
            <v:path/>
            <v:fill on="f" focussize="0,0"/>
            <v:stroke on="f" joinstyle="miter"/>
            <v:imagedata r:id="rId82" o:title=""/>
            <o:lock v:ext="edit" aspectratio="t"/>
            <w10:wrap type="none"/>
            <w10:anchorlock/>
          </v:shape>
          <o:OLEObject Type="Embed" ProgID="Equation.3" ShapeID="_x0000_i1049" DrawAspect="Content" ObjectID="_1468075749" r:id="rId81">
            <o:LockedField>false</o:LockedField>
          </o:OLEObject>
        </w:objec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参考位置</w:t>
      </w:r>
      <w:r>
        <w:rPr>
          <w:rFonts w:eastAsia="宋体"/>
          <w:i/>
          <w:iCs/>
          <w:color w:val="000000" w:themeColor="text1"/>
          <w:kern w:val="2"/>
          <w:sz w:val="24"/>
          <w:szCs w:val="24"/>
          <w:highlight w:val="none"/>
          <w14:textFill>
            <w14:solidFill>
              <w14:schemeClr w14:val="tx1"/>
            </w14:solidFill>
          </w14:textFill>
        </w:rPr>
        <w:t>r</w:t>
      </w:r>
      <w:r>
        <w:rPr>
          <w:rFonts w:eastAsia="宋体"/>
          <w:i/>
          <w:iCs/>
          <w:color w:val="000000" w:themeColor="text1"/>
          <w:kern w:val="2"/>
          <w:sz w:val="24"/>
          <w:szCs w:val="24"/>
          <w:highlight w:val="none"/>
          <w:vertAlign w:val="subscript"/>
          <w14:textFill>
            <w14:solidFill>
              <w14:schemeClr w14:val="tx1"/>
            </w14:solidFill>
          </w14:textFill>
        </w:rPr>
        <w:t>0</w:t>
      </w:r>
      <w:r>
        <w:rPr>
          <w:rFonts w:eastAsia="宋体"/>
          <w:color w:val="000000" w:themeColor="text1"/>
          <w:kern w:val="2"/>
          <w:sz w:val="24"/>
          <w:szCs w:val="24"/>
          <w:highlight w:val="none"/>
          <w14:textFill>
            <w14:solidFill>
              <w14:schemeClr w14:val="tx1"/>
            </w14:solidFill>
          </w14:textFill>
        </w:rPr>
        <w:t>处的A声级，</w:t>
      </w:r>
      <w:r>
        <w:rPr>
          <w:rFonts w:eastAsia="宋体"/>
          <w:color w:val="000000" w:themeColor="text1"/>
          <w:kern w:val="2"/>
          <w:sz w:val="24"/>
          <w:szCs w:val="24"/>
          <w:highlight w:val="none"/>
          <w:lang w:val="pt-BR"/>
          <w14:textFill>
            <w14:solidFill>
              <w14:schemeClr w14:val="tx1"/>
            </w14:solidFill>
          </w14:textFill>
        </w:rPr>
        <w:t>dB</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A</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w:t>
      </w:r>
    </w:p>
    <w:p w14:paraId="7088AE8D">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A</w:t>
      </w:r>
      <w:r>
        <w:rPr>
          <w:rFonts w:eastAsia="宋体"/>
          <w:i/>
          <w:iCs/>
          <w:color w:val="000000" w:themeColor="text1"/>
          <w:kern w:val="2"/>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几何发散引起的衰减，dB</w:t>
      </w:r>
      <w:r>
        <w:rPr>
          <w:rFonts w:eastAsia="宋体"/>
          <w:color w:val="000000" w:themeColor="text1"/>
          <w:kern w:val="2"/>
          <w:sz w:val="24"/>
          <w:szCs w:val="24"/>
          <w:highlight w:val="none"/>
          <w:lang w:val="pt-BR"/>
          <w14:textFill>
            <w14:solidFill>
              <w14:schemeClr w14:val="tx1"/>
            </w14:solidFill>
          </w14:textFill>
        </w:rPr>
        <w:t>；</w:t>
      </w:r>
    </w:p>
    <w:p w14:paraId="1CF215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d</w:t>
      </w:r>
      <w:r>
        <w:rPr>
          <w:rFonts w:hint="eastAsia" w:eastAsia="宋体"/>
          <w:color w:val="000000" w:themeColor="text1"/>
          <w:kern w:val="2"/>
          <w:sz w:val="24"/>
          <w:szCs w:val="24"/>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工业企业噪声计算</w:t>
      </w:r>
    </w:p>
    <w:p w14:paraId="088C88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设第</w:t>
      </w:r>
      <w:r>
        <w:rPr>
          <w:rFonts w:eastAsia="宋体"/>
          <w:i/>
          <w:iCs/>
          <w:color w:val="000000" w:themeColor="text1"/>
          <w:kern w:val="2"/>
          <w:sz w:val="24"/>
          <w:szCs w:val="24"/>
          <w:highlight w:val="none"/>
          <w14:textFill>
            <w14:solidFill>
              <w14:schemeClr w14:val="tx1"/>
            </w14:solidFill>
          </w14:textFill>
        </w:rPr>
        <w:t>i</w:t>
      </w:r>
      <w:r>
        <w:rPr>
          <w:rFonts w:eastAsia="宋体"/>
          <w:color w:val="000000" w:themeColor="text1"/>
          <w:kern w:val="2"/>
          <w:sz w:val="24"/>
          <w:szCs w:val="24"/>
          <w:highlight w:val="none"/>
          <w14:textFill>
            <w14:solidFill>
              <w14:schemeClr w14:val="tx1"/>
            </w14:solidFill>
          </w14:textFill>
        </w:rPr>
        <w:t>个室外声源在预测点产生的A声级为</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Ai</w:t>
      </w:r>
      <w:r>
        <w:rPr>
          <w:rFonts w:eastAsia="宋体"/>
          <w:i/>
          <w:iCs/>
          <w:color w:val="000000" w:themeColor="text1"/>
          <w:kern w:val="2"/>
          <w:sz w:val="24"/>
          <w:szCs w:val="24"/>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在</w:t>
      </w:r>
      <w:r>
        <w:rPr>
          <w:rFonts w:eastAsia="宋体"/>
          <w:i/>
          <w:iCs/>
          <w:color w:val="000000" w:themeColor="text1"/>
          <w:kern w:val="2"/>
          <w:sz w:val="24"/>
          <w:szCs w:val="24"/>
          <w:highlight w:val="none"/>
          <w14:textFill>
            <w14:solidFill>
              <w14:schemeClr w14:val="tx1"/>
            </w14:solidFill>
          </w14:textFill>
        </w:rPr>
        <w:t>T</w:t>
      </w:r>
      <w:r>
        <w:rPr>
          <w:rFonts w:eastAsia="宋体"/>
          <w:color w:val="000000" w:themeColor="text1"/>
          <w:kern w:val="2"/>
          <w:sz w:val="24"/>
          <w:szCs w:val="24"/>
          <w:highlight w:val="none"/>
          <w14:textFill>
            <w14:solidFill>
              <w14:schemeClr w14:val="tx1"/>
            </w14:solidFill>
          </w14:textFill>
        </w:rPr>
        <w:t>时间内该声源工作时间为</w:t>
      </w:r>
      <w:r>
        <w:rPr>
          <w:rFonts w:eastAsia="宋体"/>
          <w:i/>
          <w:iCs/>
          <w:color w:val="000000" w:themeColor="text1"/>
          <w:kern w:val="2"/>
          <w:sz w:val="24"/>
          <w:szCs w:val="24"/>
          <w:highlight w:val="none"/>
          <w14:textFill>
            <w14:solidFill>
              <w14:schemeClr w14:val="tx1"/>
            </w14:solidFill>
          </w14:textFill>
        </w:rPr>
        <w:t>t</w:t>
      </w:r>
      <w:r>
        <w:rPr>
          <w:rFonts w:eastAsia="宋体"/>
          <w:i/>
          <w:iCs/>
          <w:color w:val="000000" w:themeColor="text1"/>
          <w:kern w:val="2"/>
          <w:sz w:val="24"/>
          <w:szCs w:val="24"/>
          <w:highlight w:val="none"/>
          <w:vertAlign w:val="subscript"/>
          <w14:textFill>
            <w14:solidFill>
              <w14:schemeClr w14:val="tx1"/>
            </w14:solidFill>
          </w14:textFill>
        </w:rPr>
        <w:t>i</w:t>
      </w:r>
      <w:r>
        <w:rPr>
          <w:rFonts w:eastAsia="宋体"/>
          <w:color w:val="000000" w:themeColor="text1"/>
          <w:kern w:val="2"/>
          <w:sz w:val="24"/>
          <w:szCs w:val="24"/>
          <w:highlight w:val="none"/>
          <w14:textFill>
            <w14:solidFill>
              <w14:schemeClr w14:val="tx1"/>
            </w14:solidFill>
          </w14:textFill>
        </w:rPr>
        <w:t>；第</w:t>
      </w:r>
      <w:r>
        <w:rPr>
          <w:rFonts w:eastAsia="宋体"/>
          <w:i/>
          <w:iCs/>
          <w:color w:val="000000" w:themeColor="text1"/>
          <w:kern w:val="2"/>
          <w:sz w:val="24"/>
          <w:szCs w:val="24"/>
          <w:highlight w:val="none"/>
          <w14:textFill>
            <w14:solidFill>
              <w14:schemeClr w14:val="tx1"/>
            </w14:solidFill>
          </w14:textFill>
        </w:rPr>
        <w:t>j</w:t>
      </w:r>
      <w:r>
        <w:rPr>
          <w:rFonts w:eastAsia="宋体"/>
          <w:color w:val="000000" w:themeColor="text1"/>
          <w:kern w:val="2"/>
          <w:sz w:val="24"/>
          <w:szCs w:val="24"/>
          <w:highlight w:val="none"/>
          <w14:textFill>
            <w14:solidFill>
              <w14:schemeClr w14:val="tx1"/>
            </w14:solidFill>
          </w14:textFill>
        </w:rPr>
        <w:t>个等效室外声源在预测点产生的A声级为</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Aj</w:t>
      </w:r>
      <w:r>
        <w:rPr>
          <w:rFonts w:eastAsia="宋体"/>
          <w:color w:val="000000" w:themeColor="text1"/>
          <w:kern w:val="2"/>
          <w:sz w:val="24"/>
          <w:szCs w:val="24"/>
          <w:highlight w:val="none"/>
          <w14:textFill>
            <w14:solidFill>
              <w14:schemeClr w14:val="tx1"/>
            </w14:solidFill>
          </w14:textFill>
        </w:rPr>
        <w:t>，在T时间内该声源工作时间为</w:t>
      </w:r>
      <w:r>
        <w:rPr>
          <w:rFonts w:eastAsia="宋体"/>
          <w:i/>
          <w:iCs/>
          <w:color w:val="000000" w:themeColor="text1"/>
          <w:kern w:val="2"/>
          <w:sz w:val="24"/>
          <w:szCs w:val="24"/>
          <w:highlight w:val="none"/>
          <w14:textFill>
            <w14:solidFill>
              <w14:schemeClr w14:val="tx1"/>
            </w14:solidFill>
          </w14:textFill>
        </w:rPr>
        <w:t>t</w:t>
      </w:r>
      <w:r>
        <w:rPr>
          <w:rFonts w:eastAsia="宋体"/>
          <w:i/>
          <w:iCs/>
          <w:color w:val="000000" w:themeColor="text1"/>
          <w:kern w:val="2"/>
          <w:sz w:val="24"/>
          <w:szCs w:val="24"/>
          <w:highlight w:val="none"/>
          <w:vertAlign w:val="subscript"/>
          <w14:textFill>
            <w14:solidFill>
              <w14:schemeClr w14:val="tx1"/>
            </w14:solidFill>
          </w14:textFill>
        </w:rPr>
        <w:t>j</w:t>
      </w:r>
      <w:r>
        <w:rPr>
          <w:rFonts w:eastAsia="宋体"/>
          <w:color w:val="000000" w:themeColor="text1"/>
          <w:kern w:val="2"/>
          <w:sz w:val="24"/>
          <w:szCs w:val="24"/>
          <w:highlight w:val="none"/>
          <w14:textFill>
            <w14:solidFill>
              <w14:schemeClr w14:val="tx1"/>
            </w14:solidFill>
          </w14:textFill>
        </w:rPr>
        <w:t>，则拟建项目声源对预测点产生的贡献值</w:t>
      </w:r>
      <w:r>
        <w:rPr>
          <w:rFonts w:hint="eastAsia" w:eastAsia="宋体"/>
          <w:color w:val="000000" w:themeColor="text1"/>
          <w:kern w:val="2"/>
          <w:sz w:val="24"/>
          <w:szCs w:val="24"/>
          <w:highlight w:val="none"/>
          <w:lang w:eastAsia="zh-CN"/>
          <w14:textFill>
            <w14:solidFill>
              <w14:schemeClr w14:val="tx1"/>
            </w14:solidFill>
          </w14:textFill>
        </w:rPr>
        <w:t>（</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eqg</w:t>
      </w:r>
      <w:r>
        <w:rPr>
          <w:rFonts w:hint="eastAsia" w:eastAsia="宋体"/>
          <w:i/>
          <w:iCs/>
          <w:color w:val="000000" w:themeColor="text1"/>
          <w:kern w:val="2"/>
          <w:sz w:val="24"/>
          <w:szCs w:val="24"/>
          <w:highlight w:val="none"/>
          <w:vertAlign w:val="subscript"/>
          <w:lang w:eastAsia="zh-CN"/>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为：</w:t>
      </w:r>
    </w:p>
    <w:p w14:paraId="0DA90FB9">
      <w:pPr>
        <w:keepNext w:val="0"/>
        <w:keepLines w:val="0"/>
        <w:pageBreakBefore w:val="0"/>
        <w:widowControl w:val="0"/>
        <w:kinsoku/>
        <w:wordWrap/>
        <w:overflowPunct/>
        <w:topLinePunct w:val="0"/>
        <w:autoSpaceDE/>
        <w:autoSpaceDN/>
        <w:bidi w:val="0"/>
        <w:adjustRightInd w:val="0"/>
        <w:snapToGrid w:val="0"/>
        <w:spacing w:line="360" w:lineRule="auto"/>
        <w:ind w:firstLine="200"/>
        <w:jc w:val="center"/>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30"/>
          <w:sz w:val="24"/>
          <w:szCs w:val="24"/>
          <w:highlight w:val="none"/>
          <w14:textFill>
            <w14:solidFill>
              <w14:schemeClr w14:val="tx1"/>
            </w14:solidFill>
          </w14:textFill>
        </w:rPr>
        <w:object>
          <v:shape id="_x0000_i1050" o:spt="75" type="#_x0000_t75" style="height:35pt;width:198.5pt;" o:ole="t" filled="f" o:preferrelative="t" stroked="f" coordsize="21600,21600">
            <v:path/>
            <v:fill on="f" focussize="0,0"/>
            <v:stroke on="f" joinstyle="miter"/>
            <v:imagedata r:id="rId84" o:title=""/>
            <o:lock v:ext="edit" aspectratio="t"/>
            <w10:wrap type="none"/>
            <w10:anchorlock/>
          </v:shape>
          <o:OLEObject Type="Embed" ProgID="Equation.3" ShapeID="_x0000_i1050" DrawAspect="Content" ObjectID="_1468075750" r:id="rId83">
            <o:LockedField>false</o:LockedField>
          </o:OLEObject>
        </w:object>
      </w:r>
    </w:p>
    <w:p w14:paraId="49DDFA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eqg</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建设项目声源在预测点产生的噪声贡献值，dB；</w:t>
      </w:r>
    </w:p>
    <w:p w14:paraId="5C9C829C">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T</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用于计算等效声级的时间，s；</w:t>
      </w:r>
    </w:p>
    <w:p w14:paraId="7D3DCF2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N</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室外声源个数；</w:t>
      </w:r>
    </w:p>
    <w:p w14:paraId="0E601E0A">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t</w:t>
      </w:r>
      <w:r>
        <w:rPr>
          <w:rFonts w:eastAsia="宋体"/>
          <w:i/>
          <w:iCs/>
          <w:color w:val="000000" w:themeColor="text1"/>
          <w:kern w:val="2"/>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在T时间内</w:t>
      </w:r>
      <w:r>
        <w:rPr>
          <w:rFonts w:eastAsia="宋体"/>
          <w:i/>
          <w:iCs/>
          <w:color w:val="000000" w:themeColor="text1"/>
          <w:kern w:val="2"/>
          <w:sz w:val="24"/>
          <w:szCs w:val="24"/>
          <w:highlight w:val="none"/>
          <w14:textFill>
            <w14:solidFill>
              <w14:schemeClr w14:val="tx1"/>
            </w14:solidFill>
          </w14:textFill>
        </w:rPr>
        <w:t>i</w:t>
      </w:r>
      <w:r>
        <w:rPr>
          <w:rFonts w:eastAsia="宋体"/>
          <w:color w:val="000000" w:themeColor="text1"/>
          <w:kern w:val="2"/>
          <w:sz w:val="24"/>
          <w:szCs w:val="24"/>
          <w:highlight w:val="none"/>
          <w14:textFill>
            <w14:solidFill>
              <w14:schemeClr w14:val="tx1"/>
            </w14:solidFill>
          </w14:textFill>
        </w:rPr>
        <w:t>声源工作时间，s；</w:t>
      </w:r>
    </w:p>
    <w:p w14:paraId="3A7D418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M</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等效室外声源个数；</w:t>
      </w:r>
    </w:p>
    <w:p w14:paraId="3362153B">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t</w:t>
      </w:r>
      <w:r>
        <w:rPr>
          <w:rFonts w:eastAsia="宋体"/>
          <w:i/>
          <w:iCs/>
          <w:color w:val="000000" w:themeColor="text1"/>
          <w:kern w:val="2"/>
          <w:sz w:val="24"/>
          <w:szCs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在T时间内</w:t>
      </w:r>
      <w:r>
        <w:rPr>
          <w:rFonts w:eastAsia="宋体"/>
          <w:i/>
          <w:iCs/>
          <w:color w:val="000000" w:themeColor="text1"/>
          <w:kern w:val="2"/>
          <w:sz w:val="24"/>
          <w:szCs w:val="24"/>
          <w:highlight w:val="none"/>
          <w14:textFill>
            <w14:solidFill>
              <w14:schemeClr w14:val="tx1"/>
            </w14:solidFill>
          </w14:textFill>
        </w:rPr>
        <w:t>j</w:t>
      </w:r>
      <w:r>
        <w:rPr>
          <w:rFonts w:eastAsia="宋体"/>
          <w:color w:val="000000" w:themeColor="text1"/>
          <w:kern w:val="2"/>
          <w:sz w:val="24"/>
          <w:szCs w:val="24"/>
          <w:highlight w:val="none"/>
          <w14:textFill>
            <w14:solidFill>
              <w14:schemeClr w14:val="tx1"/>
            </w14:solidFill>
          </w14:textFill>
        </w:rPr>
        <w:t>声源工作时间，s。</w:t>
      </w:r>
    </w:p>
    <w:p w14:paraId="02D99E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position w:val="-14"/>
          <w:sz w:val="24"/>
          <w:szCs w:val="24"/>
          <w:highlight w:val="none"/>
          <w14:textFill>
            <w14:solidFill>
              <w14:schemeClr w14:val="tx1"/>
            </w14:solidFill>
          </w14:textFill>
        </w:rPr>
      </w:pPr>
      <w:r>
        <w:rPr>
          <w:rFonts w:eastAsia="宋体"/>
          <w:color w:val="000000" w:themeColor="text1"/>
          <w:kern w:val="2"/>
          <w:position w:val="-14"/>
          <w:sz w:val="24"/>
          <w:szCs w:val="24"/>
          <w:highlight w:val="none"/>
          <w14:textFill>
            <w14:solidFill>
              <w14:schemeClr w14:val="tx1"/>
            </w14:solidFill>
          </w14:textFill>
        </w:rPr>
        <w:t>e</w:t>
      </w:r>
      <w:r>
        <w:rPr>
          <w:rFonts w:hint="eastAsia" w:eastAsia="宋体"/>
          <w:color w:val="000000" w:themeColor="text1"/>
          <w:kern w:val="2"/>
          <w:position w:val="-14"/>
          <w:sz w:val="24"/>
          <w:szCs w:val="24"/>
          <w:highlight w:val="none"/>
          <w14:textFill>
            <w14:solidFill>
              <w14:schemeClr w14:val="tx1"/>
            </w14:solidFill>
          </w14:textFill>
        </w:rPr>
        <w:t>）</w:t>
      </w:r>
      <w:r>
        <w:rPr>
          <w:rFonts w:eastAsia="宋体"/>
          <w:color w:val="000000" w:themeColor="text1"/>
          <w:kern w:val="2"/>
          <w:position w:val="-14"/>
          <w:sz w:val="24"/>
          <w:szCs w:val="24"/>
          <w:highlight w:val="none"/>
          <w14:textFill>
            <w14:solidFill>
              <w14:schemeClr w14:val="tx1"/>
            </w14:solidFill>
          </w14:textFill>
        </w:rPr>
        <w:t>噪声预测值计算</w:t>
      </w:r>
    </w:p>
    <w:p w14:paraId="7F67591D">
      <w:pPr>
        <w:keepNext w:val="0"/>
        <w:keepLines w:val="0"/>
        <w:pageBreakBefore w:val="0"/>
        <w:widowControl w:val="0"/>
        <w:kinsoku/>
        <w:wordWrap/>
        <w:overflowPunct/>
        <w:topLinePunct w:val="0"/>
        <w:autoSpaceDE/>
        <w:autoSpaceDN/>
        <w:bidi w:val="0"/>
        <w:adjustRightInd w:val="0"/>
        <w:snapToGrid w:val="0"/>
        <w:spacing w:line="360" w:lineRule="auto"/>
        <w:ind w:firstLine="200"/>
        <w:jc w:val="center"/>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position w:val="-14"/>
          <w:sz w:val="24"/>
          <w:szCs w:val="24"/>
          <w:highlight w:val="none"/>
          <w14:textFill>
            <w14:solidFill>
              <w14:schemeClr w14:val="tx1"/>
            </w14:solidFill>
          </w14:textFill>
        </w:rPr>
        <w:object>
          <v:shape id="_x0000_i1051" o:spt="75" type="#_x0000_t75" style="height:22pt;width:140.5pt;" o:ole="t" filled="f" o:preferrelative="t" stroked="f" coordsize="21600,21600">
            <v:path/>
            <v:fill on="f" focussize="0,0"/>
            <v:stroke on="f" joinstyle="miter"/>
            <v:imagedata r:id="rId86" o:title=""/>
            <o:lock v:ext="edit" aspectratio="t"/>
            <w10:wrap type="none"/>
            <w10:anchorlock/>
          </v:shape>
          <o:OLEObject Type="Embed" ProgID="Equation.3" ShapeID="_x0000_i1051" DrawAspect="Content" ObjectID="_1468075751" r:id="rId85">
            <o:LockedField>false</o:LockedField>
          </o:OLEObject>
        </w:object>
      </w:r>
    </w:p>
    <w:p w14:paraId="371FC5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式中：</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eq</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预测点的噪声预测值，dB；</w:t>
      </w:r>
    </w:p>
    <w:p w14:paraId="39E3297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eastAsia="宋体"/>
          <w:color w:val="000000" w:themeColor="text1"/>
          <w:kern w:val="2"/>
          <w:sz w:val="24"/>
          <w:szCs w:val="24"/>
          <w:highlight w:val="none"/>
          <w:lang w:val="pt-BR"/>
          <w14:textFill>
            <w14:solidFill>
              <w14:schemeClr w14:val="tx1"/>
            </w14:solidFill>
          </w14:textFill>
        </w:rPr>
      </w:pP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eqg</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建设项目声源在预测点</w:t>
      </w:r>
      <w:r>
        <w:rPr>
          <w:rFonts w:eastAsia="宋体"/>
          <w:color w:val="000000" w:themeColor="text1"/>
          <w:kern w:val="2"/>
          <w:sz w:val="24"/>
          <w:szCs w:val="24"/>
          <w:highlight w:val="none"/>
          <w14:textFill>
            <w14:solidFill>
              <w14:schemeClr w14:val="tx1"/>
            </w14:solidFill>
          </w14:textFill>
        </w:rPr>
        <w:t>产生的噪声贡献值</w:t>
      </w:r>
      <w:r>
        <w:rPr>
          <w:rFonts w:eastAsia="宋体"/>
          <w:color w:val="000000" w:themeColor="text1"/>
          <w:kern w:val="2"/>
          <w:sz w:val="24"/>
          <w:szCs w:val="24"/>
          <w:highlight w:val="none"/>
          <w:lang w:val="pt-BR"/>
          <w14:textFill>
            <w14:solidFill>
              <w14:schemeClr w14:val="tx1"/>
            </w14:solidFill>
          </w14:textFill>
        </w:rPr>
        <w:t>；</w:t>
      </w:r>
    </w:p>
    <w:p w14:paraId="16BBEE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lang w:val="pt-BR"/>
          <w14:textFill>
            <w14:solidFill>
              <w14:schemeClr w14:val="tx1"/>
            </w14:solidFill>
          </w14:textFill>
        </w:rPr>
        <w:t xml:space="preserve">      </w:t>
      </w:r>
      <w:r>
        <w:rPr>
          <w:rFonts w:eastAsia="宋体"/>
          <w:i/>
          <w:iCs/>
          <w:color w:val="000000" w:themeColor="text1"/>
          <w:kern w:val="2"/>
          <w:sz w:val="24"/>
          <w:szCs w:val="24"/>
          <w:highlight w:val="none"/>
          <w14:textFill>
            <w14:solidFill>
              <w14:schemeClr w14:val="tx1"/>
            </w14:solidFill>
          </w14:textFill>
        </w:rPr>
        <w:t>L</w:t>
      </w:r>
      <w:r>
        <w:rPr>
          <w:rFonts w:eastAsia="宋体"/>
          <w:i/>
          <w:iCs/>
          <w:color w:val="000000" w:themeColor="text1"/>
          <w:kern w:val="2"/>
          <w:sz w:val="24"/>
          <w:szCs w:val="24"/>
          <w:highlight w:val="none"/>
          <w:vertAlign w:val="subscript"/>
          <w14:textFill>
            <w14:solidFill>
              <w14:schemeClr w14:val="tx1"/>
            </w14:solidFill>
          </w14:textFill>
        </w:rPr>
        <w:t>eqb</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w:t>
      </w:r>
      <w:r>
        <w:rPr>
          <w:rFonts w:eastAsia="宋体"/>
          <w:color w:val="000000" w:themeColor="text1"/>
          <w:kern w:val="2"/>
          <w:sz w:val="24"/>
          <w:szCs w:val="24"/>
          <w:highlight w:val="none"/>
          <w:lang w:val="pt-BR"/>
          <w14:textFill>
            <w14:solidFill>
              <w14:schemeClr w14:val="tx1"/>
            </w14:solidFill>
          </w14:textFill>
        </w:rPr>
        <w:t>预测点的背景</w:t>
      </w:r>
      <w:r>
        <w:rPr>
          <w:rFonts w:eastAsia="宋体"/>
          <w:color w:val="000000" w:themeColor="text1"/>
          <w:kern w:val="2"/>
          <w:sz w:val="24"/>
          <w:szCs w:val="24"/>
          <w:highlight w:val="none"/>
          <w14:textFill>
            <w14:solidFill>
              <w14:schemeClr w14:val="tx1"/>
            </w14:solidFill>
          </w14:textFill>
        </w:rPr>
        <w:t>噪声</w:t>
      </w:r>
      <w:r>
        <w:rPr>
          <w:rFonts w:eastAsia="宋体"/>
          <w:color w:val="000000" w:themeColor="text1"/>
          <w:kern w:val="2"/>
          <w:sz w:val="24"/>
          <w:szCs w:val="24"/>
          <w:highlight w:val="none"/>
          <w:lang w:val="pt-BR"/>
          <w14:textFill>
            <w14:solidFill>
              <w14:schemeClr w14:val="tx1"/>
            </w14:solidFill>
          </w14:textFill>
        </w:rPr>
        <w:t>值，dB。</w:t>
      </w:r>
    </w:p>
    <w:p w14:paraId="19C845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f</w:t>
      </w:r>
      <w:r>
        <w:rPr>
          <w:rFonts w:hint="eastAsia" w:eastAsia="宋体"/>
          <w:color w:val="000000" w:themeColor="text1"/>
          <w:kern w:val="2"/>
          <w:sz w:val="24"/>
          <w:szCs w:val="24"/>
          <w:highlight w:val="none"/>
          <w14:textFill>
            <w14:solidFill>
              <w14:schemeClr w14:val="tx1"/>
            </w14:solidFill>
          </w14:textFill>
        </w:rPr>
        <w:t>）</w:t>
      </w:r>
      <w:r>
        <w:rPr>
          <w:rFonts w:eastAsia="宋体"/>
          <w:color w:val="000000" w:themeColor="text1"/>
          <w:kern w:val="2"/>
          <w:sz w:val="24"/>
          <w:szCs w:val="24"/>
          <w:highlight w:val="none"/>
          <w14:textFill>
            <w14:solidFill>
              <w14:schemeClr w14:val="tx1"/>
            </w14:solidFill>
          </w14:textFill>
        </w:rPr>
        <w:t>噪声预测点位</w:t>
      </w:r>
    </w:p>
    <w:p w14:paraId="4AD548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 w:val="24"/>
          <w:szCs w:val="24"/>
          <w:highlight w:val="none"/>
          <w14:textFill>
            <w14:solidFill>
              <w14:schemeClr w14:val="tx1"/>
            </w14:solidFill>
          </w14:textFill>
        </w:rPr>
      </w:pPr>
      <w:r>
        <w:rPr>
          <w:rFonts w:eastAsia="宋体"/>
          <w:color w:val="000000" w:themeColor="text1"/>
          <w:kern w:val="2"/>
          <w:sz w:val="24"/>
          <w:szCs w:val="24"/>
          <w:highlight w:val="none"/>
          <w14:textFill>
            <w14:solidFill>
              <w14:schemeClr w14:val="tx1"/>
            </w14:solidFill>
          </w14:textFill>
        </w:rPr>
        <w:t>本评价预测噪声源对场界四周噪声贡献值。</w:t>
      </w:r>
    </w:p>
    <w:p w14:paraId="2F95A73F">
      <w:pPr>
        <w:keepNext w:val="0"/>
        <w:keepLines w:val="0"/>
        <w:pageBreakBefore w:val="0"/>
        <w:kinsoku/>
        <w:wordWrap/>
        <w:overflowPunct/>
        <w:topLinePunct w:val="0"/>
        <w:autoSpaceDE/>
        <w:autoSpaceDN/>
        <w:bidi w:val="0"/>
        <w:adjustRightInd w:val="0"/>
        <w:snapToGrid w:val="0"/>
        <w:spacing w:line="360" w:lineRule="auto"/>
        <w:ind w:firstLine="482"/>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（二）噪声源参数的确定</w:t>
      </w:r>
    </w:p>
    <w:p w14:paraId="1E21DEFB">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t>本工程各井场噪声源类似，井场面积及平面布置基本相同，井场噪声源噪声参数见表5.</w:t>
      </w:r>
      <w:r>
        <w:rPr>
          <w:rFonts w:hint="eastAsia" w:cs="Times New Roman"/>
          <w:color w:val="000000" w:themeColor="text1"/>
          <w:spacing w:val="4"/>
          <w:kern w:val="24"/>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t>-2。</w:t>
      </w:r>
    </w:p>
    <w:p w14:paraId="371B04B7">
      <w:pPr>
        <w:pStyle w:val="84"/>
        <w:bidi w:val="0"/>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表5.6-2   井场噪声源参数一览表</w:t>
      </w:r>
    </w:p>
    <w:tbl>
      <w:tblPr>
        <w:tblStyle w:val="3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73"/>
        <w:gridCol w:w="846"/>
        <w:gridCol w:w="910"/>
        <w:gridCol w:w="740"/>
        <w:gridCol w:w="740"/>
        <w:gridCol w:w="742"/>
        <w:gridCol w:w="1565"/>
        <w:gridCol w:w="1332"/>
        <w:gridCol w:w="938"/>
      </w:tblGrid>
      <w:tr w14:paraId="4B999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473" w:type="dxa"/>
            <w:vMerge w:val="restart"/>
            <w:tcBorders>
              <w:tl2br w:val="nil"/>
              <w:tr2bl w:val="nil"/>
            </w:tcBorders>
            <w:noWrap w:val="0"/>
            <w:vAlign w:val="center"/>
          </w:tcPr>
          <w:p w14:paraId="6A0141DC">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序号</w:t>
            </w:r>
          </w:p>
        </w:tc>
        <w:tc>
          <w:tcPr>
            <w:tcW w:w="1756" w:type="dxa"/>
            <w:gridSpan w:val="2"/>
            <w:vMerge w:val="restart"/>
            <w:tcBorders>
              <w:tl2br w:val="nil"/>
              <w:tr2bl w:val="nil"/>
            </w:tcBorders>
            <w:noWrap w:val="0"/>
            <w:vAlign w:val="center"/>
          </w:tcPr>
          <w:p w14:paraId="570E9F2D">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声源名称</w:t>
            </w:r>
          </w:p>
        </w:tc>
        <w:tc>
          <w:tcPr>
            <w:tcW w:w="2222" w:type="dxa"/>
            <w:gridSpan w:val="3"/>
            <w:tcBorders>
              <w:tl2br w:val="nil"/>
              <w:tr2bl w:val="nil"/>
            </w:tcBorders>
            <w:noWrap w:val="0"/>
            <w:vAlign w:val="center"/>
          </w:tcPr>
          <w:p w14:paraId="70204894">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空间相对位置/m</w:t>
            </w:r>
          </w:p>
        </w:tc>
        <w:tc>
          <w:tcPr>
            <w:tcW w:w="1565" w:type="dxa"/>
            <w:vMerge w:val="restart"/>
            <w:tcBorders>
              <w:tl2br w:val="nil"/>
              <w:tr2bl w:val="nil"/>
            </w:tcBorders>
            <w:noWrap w:val="0"/>
            <w:vAlign w:val="center"/>
          </w:tcPr>
          <w:p w14:paraId="1AFC7C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highlight w:val="none"/>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声源源强</w:t>
            </w:r>
            <w:r>
              <w:rPr>
                <w:rFonts w:hint="eastAsia" w:hAnsi="宋体" w:cs="Times New Roman"/>
                <w:color w:val="000000" w:themeColor="text1"/>
                <w:spacing w:val="-10"/>
                <w:sz w:val="21"/>
                <w:szCs w:val="21"/>
                <w:highlight w:val="none"/>
                <w:lang w:val="en-US" w:eastAsia="zh-CN"/>
                <w14:textFill>
                  <w14:solidFill>
                    <w14:schemeClr w14:val="tx1"/>
                  </w14:solidFill>
                </w14:textFill>
              </w:rPr>
              <w:t>（</w:t>
            </w: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dB</w:t>
            </w:r>
            <w:r>
              <w:rPr>
                <w:rFonts w:hint="eastAsia" w:hAnsi="宋体" w:cs="Times New Roman"/>
                <w:color w:val="000000" w:themeColor="text1"/>
                <w:spacing w:val="-10"/>
                <w:sz w:val="21"/>
                <w:szCs w:val="21"/>
                <w:highlight w:val="none"/>
                <w:lang w:val="en-US" w:eastAsia="zh-CN"/>
                <w14:textFill>
                  <w14:solidFill>
                    <w14:schemeClr w14:val="tx1"/>
                  </w14:solidFill>
                </w14:textFill>
              </w:rPr>
              <w:t>（</w:t>
            </w: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A</w:t>
            </w:r>
            <w:r>
              <w:rPr>
                <w:rFonts w:hint="eastAsia" w:hAnsi="宋体" w:cs="Times New Roman"/>
                <w:color w:val="000000" w:themeColor="text1"/>
                <w:spacing w:val="-10"/>
                <w:sz w:val="21"/>
                <w:szCs w:val="21"/>
                <w:highlight w:val="none"/>
                <w:lang w:val="en-US" w:eastAsia="zh-CN"/>
                <w14:textFill>
                  <w14:solidFill>
                    <w14:schemeClr w14:val="tx1"/>
                  </w14:solidFill>
                </w14:textFill>
              </w:rPr>
              <w:t>））</w:t>
            </w:r>
          </w:p>
        </w:tc>
        <w:tc>
          <w:tcPr>
            <w:tcW w:w="1332" w:type="dxa"/>
            <w:vMerge w:val="restart"/>
            <w:tcBorders>
              <w:tl2br w:val="nil"/>
              <w:tr2bl w:val="nil"/>
            </w:tcBorders>
            <w:noWrap w:val="0"/>
            <w:vAlign w:val="center"/>
          </w:tcPr>
          <w:p w14:paraId="0E8B5D2A">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声源控制措施</w:t>
            </w:r>
          </w:p>
        </w:tc>
        <w:tc>
          <w:tcPr>
            <w:tcW w:w="938" w:type="dxa"/>
            <w:vMerge w:val="restart"/>
            <w:tcBorders>
              <w:tl2br w:val="nil"/>
              <w:tr2bl w:val="nil"/>
            </w:tcBorders>
            <w:noWrap w:val="0"/>
            <w:vAlign w:val="center"/>
          </w:tcPr>
          <w:p w14:paraId="3F6AEE53">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运行时段</w:t>
            </w:r>
          </w:p>
        </w:tc>
      </w:tr>
      <w:tr w14:paraId="0D1498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73" w:type="dxa"/>
            <w:vMerge w:val="continue"/>
            <w:tcBorders>
              <w:tl2br w:val="nil"/>
              <w:tr2bl w:val="nil"/>
            </w:tcBorders>
            <w:noWrap w:val="0"/>
            <w:vAlign w:val="center"/>
          </w:tcPr>
          <w:p w14:paraId="214BC128">
            <w:pPr>
              <w:pStyle w:val="47"/>
              <w:bidi w:val="0"/>
              <w:rPr>
                <w:rFonts w:hint="default"/>
                <w:color w:val="000000" w:themeColor="text1"/>
                <w:highlight w:val="none"/>
                <w14:textFill>
                  <w14:solidFill>
                    <w14:schemeClr w14:val="tx1"/>
                  </w14:solidFill>
                </w14:textFill>
              </w:rPr>
            </w:pPr>
          </w:p>
        </w:tc>
        <w:tc>
          <w:tcPr>
            <w:tcW w:w="1756" w:type="dxa"/>
            <w:gridSpan w:val="2"/>
            <w:vMerge w:val="continue"/>
            <w:tcBorders>
              <w:tl2br w:val="nil"/>
              <w:tr2bl w:val="nil"/>
            </w:tcBorders>
            <w:noWrap w:val="0"/>
            <w:vAlign w:val="center"/>
          </w:tcPr>
          <w:p w14:paraId="42636EF3">
            <w:pPr>
              <w:pStyle w:val="47"/>
              <w:bidi w:val="0"/>
              <w:rPr>
                <w:rFonts w:hint="default"/>
                <w:color w:val="000000" w:themeColor="text1"/>
                <w:highlight w:val="none"/>
                <w14:textFill>
                  <w14:solidFill>
                    <w14:schemeClr w14:val="tx1"/>
                  </w14:solidFill>
                </w14:textFill>
              </w:rPr>
            </w:pPr>
          </w:p>
        </w:tc>
        <w:tc>
          <w:tcPr>
            <w:tcW w:w="740" w:type="dxa"/>
            <w:tcBorders>
              <w:tl2br w:val="nil"/>
              <w:tr2bl w:val="nil"/>
            </w:tcBorders>
            <w:noWrap w:val="0"/>
            <w:vAlign w:val="center"/>
          </w:tcPr>
          <w:p w14:paraId="65784500">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X</w:t>
            </w:r>
          </w:p>
        </w:tc>
        <w:tc>
          <w:tcPr>
            <w:tcW w:w="740" w:type="dxa"/>
            <w:tcBorders>
              <w:tl2br w:val="nil"/>
              <w:tr2bl w:val="nil"/>
            </w:tcBorders>
            <w:noWrap w:val="0"/>
            <w:vAlign w:val="center"/>
          </w:tcPr>
          <w:p w14:paraId="2090E422">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Y</w:t>
            </w:r>
          </w:p>
        </w:tc>
        <w:tc>
          <w:tcPr>
            <w:tcW w:w="742" w:type="dxa"/>
            <w:tcBorders>
              <w:tl2br w:val="nil"/>
              <w:tr2bl w:val="nil"/>
            </w:tcBorders>
            <w:noWrap w:val="0"/>
            <w:vAlign w:val="center"/>
          </w:tcPr>
          <w:p w14:paraId="5217193F">
            <w:pPr>
              <w:pStyle w:val="47"/>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Z</w:t>
            </w:r>
          </w:p>
        </w:tc>
        <w:tc>
          <w:tcPr>
            <w:tcW w:w="1565" w:type="dxa"/>
            <w:vMerge w:val="continue"/>
            <w:tcBorders>
              <w:tl2br w:val="nil"/>
              <w:tr2bl w:val="nil"/>
            </w:tcBorders>
            <w:noWrap w:val="0"/>
            <w:vAlign w:val="center"/>
          </w:tcPr>
          <w:p w14:paraId="5D8DAA50">
            <w:pPr>
              <w:pStyle w:val="47"/>
              <w:bidi w:val="0"/>
              <w:rPr>
                <w:rFonts w:hint="default"/>
                <w:color w:val="000000" w:themeColor="text1"/>
                <w:highlight w:val="none"/>
                <w14:textFill>
                  <w14:solidFill>
                    <w14:schemeClr w14:val="tx1"/>
                  </w14:solidFill>
                </w14:textFill>
              </w:rPr>
            </w:pPr>
          </w:p>
        </w:tc>
        <w:tc>
          <w:tcPr>
            <w:tcW w:w="1332" w:type="dxa"/>
            <w:vMerge w:val="continue"/>
            <w:tcBorders>
              <w:tl2br w:val="nil"/>
              <w:tr2bl w:val="nil"/>
            </w:tcBorders>
            <w:noWrap w:val="0"/>
            <w:vAlign w:val="center"/>
          </w:tcPr>
          <w:p w14:paraId="198FBA0B">
            <w:pPr>
              <w:pStyle w:val="47"/>
              <w:bidi w:val="0"/>
              <w:rPr>
                <w:rFonts w:hint="default"/>
                <w:color w:val="000000" w:themeColor="text1"/>
                <w:highlight w:val="none"/>
                <w14:textFill>
                  <w14:solidFill>
                    <w14:schemeClr w14:val="tx1"/>
                  </w14:solidFill>
                </w14:textFill>
              </w:rPr>
            </w:pPr>
          </w:p>
        </w:tc>
        <w:tc>
          <w:tcPr>
            <w:tcW w:w="938" w:type="dxa"/>
            <w:vMerge w:val="continue"/>
            <w:tcBorders>
              <w:tl2br w:val="nil"/>
              <w:tr2bl w:val="nil"/>
            </w:tcBorders>
            <w:noWrap w:val="0"/>
            <w:vAlign w:val="center"/>
          </w:tcPr>
          <w:p w14:paraId="1A1DD5FB">
            <w:pPr>
              <w:pStyle w:val="47"/>
              <w:bidi w:val="0"/>
              <w:rPr>
                <w:rFonts w:hint="default"/>
                <w:color w:val="000000" w:themeColor="text1"/>
                <w:highlight w:val="none"/>
                <w14:textFill>
                  <w14:solidFill>
                    <w14:schemeClr w14:val="tx1"/>
                  </w14:solidFill>
                </w14:textFill>
              </w:rPr>
            </w:pPr>
          </w:p>
        </w:tc>
      </w:tr>
      <w:tr w14:paraId="6A6A1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73" w:type="dxa"/>
            <w:tcBorders>
              <w:tl2br w:val="nil"/>
              <w:tr2bl w:val="nil"/>
            </w:tcBorders>
            <w:noWrap w:val="0"/>
            <w:vAlign w:val="center"/>
          </w:tcPr>
          <w:p w14:paraId="1DEA41EE">
            <w:pPr>
              <w:pStyle w:val="47"/>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846" w:type="dxa"/>
            <w:vMerge w:val="restart"/>
            <w:tcBorders>
              <w:tl2br w:val="nil"/>
              <w:tr2bl w:val="nil"/>
            </w:tcBorders>
            <w:noWrap w:val="0"/>
            <w:vAlign w:val="center"/>
          </w:tcPr>
          <w:p w14:paraId="4A417BB1">
            <w:pPr>
              <w:pStyle w:val="47"/>
              <w:bidi w:val="0"/>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井场</w:t>
            </w:r>
          </w:p>
        </w:tc>
        <w:tc>
          <w:tcPr>
            <w:tcW w:w="910" w:type="dxa"/>
            <w:tcBorders>
              <w:tl2br w:val="nil"/>
              <w:tr2bl w:val="nil"/>
            </w:tcBorders>
            <w:noWrap w:val="0"/>
            <w:vAlign w:val="center"/>
          </w:tcPr>
          <w:p w14:paraId="7071E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采气树</w:t>
            </w:r>
          </w:p>
        </w:tc>
        <w:tc>
          <w:tcPr>
            <w:tcW w:w="740" w:type="dxa"/>
            <w:tcBorders>
              <w:tl2br w:val="nil"/>
              <w:tr2bl w:val="nil"/>
            </w:tcBorders>
            <w:noWrap w:val="0"/>
            <w:vAlign w:val="center"/>
          </w:tcPr>
          <w:p w14:paraId="75A54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83</w:t>
            </w:r>
          </w:p>
        </w:tc>
        <w:tc>
          <w:tcPr>
            <w:tcW w:w="740" w:type="dxa"/>
            <w:tcBorders>
              <w:tl2br w:val="nil"/>
              <w:tr2bl w:val="nil"/>
            </w:tcBorders>
            <w:noWrap w:val="0"/>
            <w:vAlign w:val="center"/>
          </w:tcPr>
          <w:p w14:paraId="5BD11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100</w:t>
            </w:r>
          </w:p>
        </w:tc>
        <w:tc>
          <w:tcPr>
            <w:tcW w:w="742" w:type="dxa"/>
            <w:tcBorders>
              <w:tl2br w:val="nil"/>
              <w:tr2bl w:val="nil"/>
            </w:tcBorders>
            <w:noWrap w:val="0"/>
            <w:vAlign w:val="center"/>
          </w:tcPr>
          <w:p w14:paraId="6E410716">
            <w:pPr>
              <w:pStyle w:val="47"/>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565" w:type="dxa"/>
            <w:tcBorders>
              <w:tl2br w:val="nil"/>
              <w:tr2bl w:val="nil"/>
            </w:tcBorders>
            <w:noWrap w:val="0"/>
            <w:vAlign w:val="center"/>
          </w:tcPr>
          <w:p w14:paraId="40FC03C2">
            <w:pPr>
              <w:pStyle w:val="47"/>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85</w:t>
            </w:r>
          </w:p>
        </w:tc>
        <w:tc>
          <w:tcPr>
            <w:tcW w:w="1332" w:type="dxa"/>
            <w:tcBorders>
              <w:tl2br w:val="nil"/>
              <w:tr2bl w:val="nil"/>
            </w:tcBorders>
            <w:noWrap w:val="0"/>
            <w:vAlign w:val="center"/>
          </w:tcPr>
          <w:p w14:paraId="64616A08">
            <w:pPr>
              <w:pStyle w:val="47"/>
              <w:bidi w:val="0"/>
              <w:ind w:firstLine="0" w:firstLineChars="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基础减振</w:t>
            </w:r>
          </w:p>
        </w:tc>
        <w:tc>
          <w:tcPr>
            <w:tcW w:w="938" w:type="dxa"/>
            <w:tcBorders>
              <w:tl2br w:val="nil"/>
              <w:tr2bl w:val="nil"/>
            </w:tcBorders>
            <w:noWrap w:val="0"/>
            <w:vAlign w:val="center"/>
          </w:tcPr>
          <w:p w14:paraId="01186EC4">
            <w:pPr>
              <w:pStyle w:val="47"/>
              <w:bidi w:val="0"/>
              <w:ind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昼夜</w:t>
            </w:r>
          </w:p>
        </w:tc>
      </w:tr>
      <w:tr w14:paraId="022CDF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473" w:type="dxa"/>
            <w:tcBorders>
              <w:tl2br w:val="nil"/>
              <w:tr2bl w:val="nil"/>
            </w:tcBorders>
            <w:noWrap w:val="0"/>
            <w:vAlign w:val="center"/>
          </w:tcPr>
          <w:p w14:paraId="317C17B6">
            <w:pPr>
              <w:pStyle w:val="47"/>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846" w:type="dxa"/>
            <w:vMerge w:val="continue"/>
            <w:tcBorders>
              <w:tl2br w:val="nil"/>
              <w:tr2bl w:val="nil"/>
            </w:tcBorders>
            <w:noWrap w:val="0"/>
            <w:vAlign w:val="center"/>
          </w:tcPr>
          <w:p w14:paraId="7992973F">
            <w:pPr>
              <w:pStyle w:val="47"/>
              <w:bidi w:val="0"/>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pPr>
          </w:p>
        </w:tc>
        <w:tc>
          <w:tcPr>
            <w:tcW w:w="910" w:type="dxa"/>
            <w:tcBorders>
              <w:tl2br w:val="nil"/>
              <w:tr2bl w:val="nil"/>
            </w:tcBorders>
            <w:noWrap w:val="0"/>
            <w:vAlign w:val="center"/>
          </w:tcPr>
          <w:p w14:paraId="38FAB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分离器</w:t>
            </w:r>
          </w:p>
        </w:tc>
        <w:tc>
          <w:tcPr>
            <w:tcW w:w="740" w:type="dxa"/>
            <w:tcBorders>
              <w:tl2br w:val="nil"/>
              <w:tr2bl w:val="nil"/>
            </w:tcBorders>
            <w:noWrap w:val="0"/>
            <w:vAlign w:val="center"/>
          </w:tcPr>
          <w:p w14:paraId="21F4E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10"/>
                <w:sz w:val="21"/>
                <w:szCs w:val="21"/>
                <w:highlight w:val="none"/>
                <w:lang w:val="en-US" w:eastAsia="zh-CN"/>
                <w14:textFill>
                  <w14:solidFill>
                    <w14:schemeClr w14:val="tx1"/>
                  </w14:solidFill>
                </w14:textFill>
              </w:rPr>
              <w:t>155</w:t>
            </w:r>
          </w:p>
        </w:tc>
        <w:tc>
          <w:tcPr>
            <w:tcW w:w="740" w:type="dxa"/>
            <w:tcBorders>
              <w:tl2br w:val="nil"/>
              <w:tr2bl w:val="nil"/>
            </w:tcBorders>
            <w:noWrap w:val="0"/>
            <w:vAlign w:val="center"/>
          </w:tcPr>
          <w:p w14:paraId="4066D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hint="eastAsia" w:ascii="Times New Roman" w:hAnsi="宋体" w:eastAsia="宋体" w:cs="Times New Roman"/>
                <w:color w:val="000000" w:themeColor="text1"/>
                <w:spacing w:val="-10"/>
                <w:kern w:val="2"/>
                <w:sz w:val="21"/>
                <w:szCs w:val="21"/>
                <w:highlight w:val="none"/>
                <w:lang w:val="en-US" w:eastAsia="zh-CN" w:bidi="ar-SA"/>
                <w14:textFill>
                  <w14:solidFill>
                    <w14:schemeClr w14:val="tx1"/>
                  </w14:solidFill>
                </w14:textFill>
              </w:rPr>
              <w:t>95</w:t>
            </w:r>
          </w:p>
        </w:tc>
        <w:tc>
          <w:tcPr>
            <w:tcW w:w="742" w:type="dxa"/>
            <w:tcBorders>
              <w:tl2br w:val="nil"/>
              <w:tr2bl w:val="nil"/>
            </w:tcBorders>
            <w:noWrap w:val="0"/>
            <w:vAlign w:val="center"/>
          </w:tcPr>
          <w:p w14:paraId="4254559B">
            <w:pPr>
              <w:pStyle w:val="47"/>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565" w:type="dxa"/>
            <w:tcBorders>
              <w:tl2br w:val="nil"/>
              <w:tr2bl w:val="nil"/>
            </w:tcBorders>
            <w:noWrap w:val="0"/>
            <w:vAlign w:val="center"/>
          </w:tcPr>
          <w:p w14:paraId="6C7FAD89">
            <w:pPr>
              <w:pStyle w:val="47"/>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85</w:t>
            </w:r>
          </w:p>
        </w:tc>
        <w:tc>
          <w:tcPr>
            <w:tcW w:w="1332" w:type="dxa"/>
            <w:tcBorders>
              <w:tl2br w:val="nil"/>
              <w:tr2bl w:val="nil"/>
            </w:tcBorders>
            <w:noWrap w:val="0"/>
            <w:vAlign w:val="center"/>
          </w:tcPr>
          <w:p w14:paraId="4F4AABAD">
            <w:pPr>
              <w:pStyle w:val="47"/>
              <w:bidi w:val="0"/>
              <w:ind w:firstLine="0" w:firstLineChars="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基础减振</w:t>
            </w:r>
          </w:p>
        </w:tc>
        <w:tc>
          <w:tcPr>
            <w:tcW w:w="938" w:type="dxa"/>
            <w:tcBorders>
              <w:tl2br w:val="nil"/>
              <w:tr2bl w:val="nil"/>
            </w:tcBorders>
            <w:noWrap w:val="0"/>
            <w:vAlign w:val="center"/>
          </w:tcPr>
          <w:p w14:paraId="7A847855">
            <w:pPr>
              <w:pStyle w:val="47"/>
              <w:bidi w:val="0"/>
              <w:ind w:firstLine="0" w:firstLine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昼夜</w:t>
            </w:r>
          </w:p>
        </w:tc>
      </w:tr>
    </w:tbl>
    <w:p w14:paraId="248DD6CF">
      <w:pPr>
        <w:keepNext w:val="0"/>
        <w:keepLines w:val="0"/>
        <w:pageBreakBefore w:val="0"/>
        <w:widowControl/>
        <w:kinsoku/>
        <w:wordWrap/>
        <w:overflowPunct/>
        <w:topLinePunct w:val="0"/>
        <w:autoSpaceDE/>
        <w:autoSpaceDN/>
        <w:bidi w:val="0"/>
        <w:adjustRightInd w:val="0"/>
        <w:snapToGrid w:val="0"/>
        <w:spacing w:line="360" w:lineRule="auto"/>
        <w:ind w:firstLine="482"/>
        <w:textAlignment w:val="auto"/>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（三）预测结果及评价</w:t>
      </w:r>
    </w:p>
    <w:p w14:paraId="712B4D38">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按照噪声预测模式，结合噪声源到各预测点距离，通过计算，本工程各噪声源对四周场界的贡献声级值见表5.6-3。</w:t>
      </w:r>
    </w:p>
    <w:p w14:paraId="776B4F8C">
      <w:pPr>
        <w:pStyle w:val="84"/>
        <w:bidi w:val="0"/>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表5.6-3   井场噪声预测结果一览表   单位：dB（A）</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413"/>
        <w:gridCol w:w="1413"/>
        <w:gridCol w:w="1736"/>
        <w:gridCol w:w="2009"/>
        <w:gridCol w:w="722"/>
        <w:gridCol w:w="1066"/>
      </w:tblGrid>
      <w:tr w14:paraId="3BAE5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845" w:type="pct"/>
            <w:noWrap w:val="0"/>
            <w:vAlign w:val="center"/>
          </w:tcPr>
          <w:p w14:paraId="2FBC92D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场地</w:t>
            </w:r>
          </w:p>
        </w:tc>
        <w:tc>
          <w:tcPr>
            <w:tcW w:w="845" w:type="pct"/>
            <w:noWrap w:val="0"/>
            <w:vAlign w:val="center"/>
          </w:tcPr>
          <w:p w14:paraId="21A24947">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场界</w:t>
            </w:r>
          </w:p>
        </w:tc>
        <w:tc>
          <w:tcPr>
            <w:tcW w:w="1038" w:type="pct"/>
            <w:noWrap w:val="0"/>
            <w:vAlign w:val="center"/>
          </w:tcPr>
          <w:p w14:paraId="7D580105">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贡献值</w:t>
            </w:r>
          </w:p>
        </w:tc>
        <w:tc>
          <w:tcPr>
            <w:tcW w:w="1633" w:type="pct"/>
            <w:gridSpan w:val="2"/>
            <w:noWrap w:val="0"/>
            <w:vAlign w:val="center"/>
          </w:tcPr>
          <w:p w14:paraId="69BA6DA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标准值</w:t>
            </w:r>
          </w:p>
        </w:tc>
        <w:tc>
          <w:tcPr>
            <w:tcW w:w="637" w:type="pct"/>
            <w:noWrap w:val="0"/>
            <w:vAlign w:val="center"/>
          </w:tcPr>
          <w:p w14:paraId="3B824251">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结论</w:t>
            </w:r>
          </w:p>
        </w:tc>
      </w:tr>
      <w:tr w14:paraId="30359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845" w:type="pct"/>
            <w:vMerge w:val="restart"/>
            <w:noWrap w:val="0"/>
            <w:vAlign w:val="center"/>
          </w:tcPr>
          <w:p w14:paraId="616241E5">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井场</w:t>
            </w:r>
          </w:p>
        </w:tc>
        <w:tc>
          <w:tcPr>
            <w:tcW w:w="845" w:type="pct"/>
            <w:vMerge w:val="restart"/>
            <w:noWrap w:val="0"/>
            <w:vAlign w:val="center"/>
          </w:tcPr>
          <w:p w14:paraId="052557CD">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东场界</w:t>
            </w:r>
          </w:p>
        </w:tc>
        <w:tc>
          <w:tcPr>
            <w:tcW w:w="1038" w:type="pct"/>
            <w:vMerge w:val="restart"/>
            <w:noWrap w:val="0"/>
            <w:vAlign w:val="center"/>
          </w:tcPr>
          <w:p w14:paraId="2C0153F7">
            <w:pPr>
              <w:pStyle w:val="47"/>
              <w:bidi w:val="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7.7</w:t>
            </w:r>
          </w:p>
        </w:tc>
        <w:tc>
          <w:tcPr>
            <w:tcW w:w="1201" w:type="pct"/>
            <w:noWrap w:val="0"/>
            <w:vAlign w:val="center"/>
          </w:tcPr>
          <w:p w14:paraId="6E3CB13A">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32" w:type="pct"/>
            <w:noWrap w:val="0"/>
            <w:vAlign w:val="center"/>
          </w:tcPr>
          <w:p w14:paraId="0ACBD39C">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637" w:type="pct"/>
            <w:noWrap w:val="0"/>
            <w:vAlign w:val="center"/>
          </w:tcPr>
          <w:p w14:paraId="375F071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2DAD6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845" w:type="pct"/>
            <w:vMerge w:val="continue"/>
            <w:noWrap w:val="0"/>
            <w:vAlign w:val="center"/>
          </w:tcPr>
          <w:p w14:paraId="20F8767F">
            <w:pPr>
              <w:rPr>
                <w:color w:val="000000" w:themeColor="text1"/>
                <w:highlight w:val="none"/>
                <w14:textFill>
                  <w14:solidFill>
                    <w14:schemeClr w14:val="tx1"/>
                  </w14:solidFill>
                </w14:textFill>
              </w:rPr>
            </w:pPr>
          </w:p>
        </w:tc>
        <w:tc>
          <w:tcPr>
            <w:tcW w:w="845" w:type="pct"/>
            <w:vMerge w:val="continue"/>
            <w:noWrap w:val="0"/>
            <w:vAlign w:val="center"/>
          </w:tcPr>
          <w:p w14:paraId="1B34B1D0">
            <w:pPr>
              <w:rPr>
                <w:color w:val="000000" w:themeColor="text1"/>
                <w:highlight w:val="none"/>
                <w14:textFill>
                  <w14:solidFill>
                    <w14:schemeClr w14:val="tx1"/>
                  </w14:solidFill>
                </w14:textFill>
              </w:rPr>
            </w:pPr>
          </w:p>
        </w:tc>
        <w:tc>
          <w:tcPr>
            <w:tcW w:w="1038" w:type="pct"/>
            <w:vMerge w:val="continue"/>
            <w:noWrap w:val="0"/>
            <w:vAlign w:val="center"/>
          </w:tcPr>
          <w:p w14:paraId="53C34200">
            <w:pPr>
              <w:rPr>
                <w:color w:val="000000" w:themeColor="text1"/>
                <w:highlight w:val="none"/>
                <w14:textFill>
                  <w14:solidFill>
                    <w14:schemeClr w14:val="tx1"/>
                  </w14:solidFill>
                </w14:textFill>
              </w:rPr>
            </w:pPr>
          </w:p>
        </w:tc>
        <w:tc>
          <w:tcPr>
            <w:tcW w:w="1201" w:type="pct"/>
            <w:noWrap w:val="0"/>
            <w:vAlign w:val="center"/>
          </w:tcPr>
          <w:p w14:paraId="3116796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432" w:type="pct"/>
            <w:noWrap w:val="0"/>
            <w:vAlign w:val="center"/>
          </w:tcPr>
          <w:p w14:paraId="73CA5975">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w:t>
            </w:r>
          </w:p>
        </w:tc>
        <w:tc>
          <w:tcPr>
            <w:tcW w:w="637" w:type="pct"/>
            <w:noWrap w:val="0"/>
            <w:vAlign w:val="center"/>
          </w:tcPr>
          <w:p w14:paraId="7B0C14E7">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3185C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845" w:type="pct"/>
            <w:vMerge w:val="continue"/>
            <w:noWrap w:val="0"/>
            <w:vAlign w:val="center"/>
          </w:tcPr>
          <w:p w14:paraId="4FCA2407">
            <w:pPr>
              <w:rPr>
                <w:color w:val="000000" w:themeColor="text1"/>
                <w:highlight w:val="none"/>
                <w14:textFill>
                  <w14:solidFill>
                    <w14:schemeClr w14:val="tx1"/>
                  </w14:solidFill>
                </w14:textFill>
              </w:rPr>
            </w:pPr>
          </w:p>
        </w:tc>
        <w:tc>
          <w:tcPr>
            <w:tcW w:w="845" w:type="pct"/>
            <w:vMerge w:val="restart"/>
            <w:noWrap w:val="0"/>
            <w:vAlign w:val="center"/>
          </w:tcPr>
          <w:p w14:paraId="5AFAF466">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南场界</w:t>
            </w:r>
          </w:p>
        </w:tc>
        <w:tc>
          <w:tcPr>
            <w:tcW w:w="1038" w:type="pct"/>
            <w:vMerge w:val="restart"/>
            <w:noWrap w:val="0"/>
            <w:vAlign w:val="center"/>
          </w:tcPr>
          <w:p w14:paraId="781A5A6E">
            <w:pPr>
              <w:pStyle w:val="47"/>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41.7</w:t>
            </w:r>
          </w:p>
        </w:tc>
        <w:tc>
          <w:tcPr>
            <w:tcW w:w="1201" w:type="pct"/>
            <w:noWrap w:val="0"/>
            <w:vAlign w:val="center"/>
          </w:tcPr>
          <w:p w14:paraId="597ACC91">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32" w:type="pct"/>
            <w:noWrap w:val="0"/>
            <w:vAlign w:val="center"/>
          </w:tcPr>
          <w:p w14:paraId="0FA61CC8">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637" w:type="pct"/>
            <w:noWrap w:val="0"/>
            <w:vAlign w:val="center"/>
          </w:tcPr>
          <w:p w14:paraId="016CBE09">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7FD3D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845" w:type="pct"/>
            <w:vMerge w:val="continue"/>
            <w:noWrap w:val="0"/>
            <w:vAlign w:val="center"/>
          </w:tcPr>
          <w:p w14:paraId="2043809F">
            <w:pPr>
              <w:rPr>
                <w:color w:val="000000" w:themeColor="text1"/>
                <w:highlight w:val="none"/>
                <w14:textFill>
                  <w14:solidFill>
                    <w14:schemeClr w14:val="tx1"/>
                  </w14:solidFill>
                </w14:textFill>
              </w:rPr>
            </w:pPr>
          </w:p>
        </w:tc>
        <w:tc>
          <w:tcPr>
            <w:tcW w:w="845" w:type="pct"/>
            <w:vMerge w:val="continue"/>
            <w:noWrap w:val="0"/>
            <w:vAlign w:val="center"/>
          </w:tcPr>
          <w:p w14:paraId="692C0F1E">
            <w:pPr>
              <w:rPr>
                <w:color w:val="000000" w:themeColor="text1"/>
                <w:highlight w:val="none"/>
                <w14:textFill>
                  <w14:solidFill>
                    <w14:schemeClr w14:val="tx1"/>
                  </w14:solidFill>
                </w14:textFill>
              </w:rPr>
            </w:pPr>
          </w:p>
        </w:tc>
        <w:tc>
          <w:tcPr>
            <w:tcW w:w="1038" w:type="pct"/>
            <w:vMerge w:val="continue"/>
            <w:noWrap w:val="0"/>
            <w:vAlign w:val="center"/>
          </w:tcPr>
          <w:p w14:paraId="1B9FA0B1">
            <w:pPr>
              <w:rPr>
                <w:color w:val="000000" w:themeColor="text1"/>
                <w:highlight w:val="none"/>
                <w14:textFill>
                  <w14:solidFill>
                    <w14:schemeClr w14:val="tx1"/>
                  </w14:solidFill>
                </w14:textFill>
              </w:rPr>
            </w:pPr>
          </w:p>
        </w:tc>
        <w:tc>
          <w:tcPr>
            <w:tcW w:w="1201" w:type="pct"/>
            <w:noWrap w:val="0"/>
            <w:vAlign w:val="center"/>
          </w:tcPr>
          <w:p w14:paraId="64C45EB9">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432" w:type="pct"/>
            <w:noWrap w:val="0"/>
            <w:vAlign w:val="center"/>
          </w:tcPr>
          <w:p w14:paraId="768ADA74">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w:t>
            </w:r>
          </w:p>
        </w:tc>
        <w:tc>
          <w:tcPr>
            <w:tcW w:w="637" w:type="pct"/>
            <w:noWrap w:val="0"/>
            <w:vAlign w:val="center"/>
          </w:tcPr>
          <w:p w14:paraId="6431EE23">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287D2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845" w:type="pct"/>
            <w:vMerge w:val="continue"/>
            <w:noWrap w:val="0"/>
            <w:vAlign w:val="center"/>
          </w:tcPr>
          <w:p w14:paraId="25413CFC">
            <w:pPr>
              <w:rPr>
                <w:color w:val="000000" w:themeColor="text1"/>
                <w:highlight w:val="none"/>
                <w14:textFill>
                  <w14:solidFill>
                    <w14:schemeClr w14:val="tx1"/>
                  </w14:solidFill>
                </w14:textFill>
              </w:rPr>
            </w:pPr>
          </w:p>
        </w:tc>
        <w:tc>
          <w:tcPr>
            <w:tcW w:w="845" w:type="pct"/>
            <w:vMerge w:val="restart"/>
            <w:noWrap w:val="0"/>
            <w:vAlign w:val="center"/>
          </w:tcPr>
          <w:p w14:paraId="4F143010">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西场界</w:t>
            </w:r>
          </w:p>
        </w:tc>
        <w:tc>
          <w:tcPr>
            <w:tcW w:w="1038" w:type="pct"/>
            <w:vMerge w:val="restart"/>
            <w:noWrap w:val="0"/>
            <w:vAlign w:val="center"/>
          </w:tcPr>
          <w:p w14:paraId="5F4ADF26">
            <w:pPr>
              <w:pStyle w:val="4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39.1</w:t>
            </w:r>
          </w:p>
        </w:tc>
        <w:tc>
          <w:tcPr>
            <w:tcW w:w="1201" w:type="pct"/>
            <w:noWrap w:val="0"/>
            <w:vAlign w:val="center"/>
          </w:tcPr>
          <w:p w14:paraId="5D75991C">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32" w:type="pct"/>
            <w:noWrap w:val="0"/>
            <w:vAlign w:val="center"/>
          </w:tcPr>
          <w:p w14:paraId="604CCD29">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637" w:type="pct"/>
            <w:noWrap w:val="0"/>
            <w:vAlign w:val="center"/>
          </w:tcPr>
          <w:p w14:paraId="3A8BE04C">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13B3C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845" w:type="pct"/>
            <w:vMerge w:val="continue"/>
            <w:noWrap w:val="0"/>
            <w:vAlign w:val="center"/>
          </w:tcPr>
          <w:p w14:paraId="4D7335B9">
            <w:pPr>
              <w:rPr>
                <w:color w:val="000000" w:themeColor="text1"/>
                <w:highlight w:val="none"/>
                <w14:textFill>
                  <w14:solidFill>
                    <w14:schemeClr w14:val="tx1"/>
                  </w14:solidFill>
                </w14:textFill>
              </w:rPr>
            </w:pPr>
          </w:p>
        </w:tc>
        <w:tc>
          <w:tcPr>
            <w:tcW w:w="845" w:type="pct"/>
            <w:vMerge w:val="continue"/>
            <w:noWrap w:val="0"/>
            <w:vAlign w:val="center"/>
          </w:tcPr>
          <w:p w14:paraId="11839504">
            <w:pPr>
              <w:rPr>
                <w:color w:val="000000" w:themeColor="text1"/>
                <w:highlight w:val="none"/>
                <w14:textFill>
                  <w14:solidFill>
                    <w14:schemeClr w14:val="tx1"/>
                  </w14:solidFill>
                </w14:textFill>
              </w:rPr>
            </w:pPr>
          </w:p>
        </w:tc>
        <w:tc>
          <w:tcPr>
            <w:tcW w:w="1038" w:type="pct"/>
            <w:vMerge w:val="continue"/>
            <w:noWrap w:val="0"/>
            <w:vAlign w:val="center"/>
          </w:tcPr>
          <w:p w14:paraId="25A943AA">
            <w:pPr>
              <w:rPr>
                <w:color w:val="000000" w:themeColor="text1"/>
                <w:highlight w:val="none"/>
                <w14:textFill>
                  <w14:solidFill>
                    <w14:schemeClr w14:val="tx1"/>
                  </w14:solidFill>
                </w14:textFill>
              </w:rPr>
            </w:pPr>
          </w:p>
        </w:tc>
        <w:tc>
          <w:tcPr>
            <w:tcW w:w="1201" w:type="pct"/>
            <w:noWrap w:val="0"/>
            <w:vAlign w:val="center"/>
          </w:tcPr>
          <w:p w14:paraId="45C36FA9">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432" w:type="pct"/>
            <w:noWrap w:val="0"/>
            <w:vAlign w:val="center"/>
          </w:tcPr>
          <w:p w14:paraId="0C7E3488">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w:t>
            </w:r>
          </w:p>
        </w:tc>
        <w:tc>
          <w:tcPr>
            <w:tcW w:w="637" w:type="pct"/>
            <w:noWrap w:val="0"/>
            <w:vAlign w:val="center"/>
          </w:tcPr>
          <w:p w14:paraId="2F662DD8">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4AA39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5" w:hRule="atLeast"/>
          <w:jc w:val="center"/>
        </w:trPr>
        <w:tc>
          <w:tcPr>
            <w:tcW w:w="845" w:type="pct"/>
            <w:vMerge w:val="continue"/>
            <w:noWrap w:val="0"/>
            <w:vAlign w:val="center"/>
          </w:tcPr>
          <w:p w14:paraId="2490D33C">
            <w:pPr>
              <w:rPr>
                <w:color w:val="000000" w:themeColor="text1"/>
                <w:highlight w:val="none"/>
                <w14:textFill>
                  <w14:solidFill>
                    <w14:schemeClr w14:val="tx1"/>
                  </w14:solidFill>
                </w14:textFill>
              </w:rPr>
            </w:pPr>
          </w:p>
        </w:tc>
        <w:tc>
          <w:tcPr>
            <w:tcW w:w="845" w:type="pct"/>
            <w:vMerge w:val="restart"/>
            <w:noWrap w:val="0"/>
            <w:vAlign w:val="center"/>
          </w:tcPr>
          <w:p w14:paraId="56681C1E">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北场界</w:t>
            </w:r>
          </w:p>
        </w:tc>
        <w:tc>
          <w:tcPr>
            <w:tcW w:w="1038" w:type="pct"/>
            <w:vMerge w:val="restart"/>
            <w:noWrap w:val="0"/>
            <w:vAlign w:val="center"/>
          </w:tcPr>
          <w:p w14:paraId="2E008AEE">
            <w:pPr>
              <w:pStyle w:val="47"/>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37.1</w:t>
            </w:r>
          </w:p>
        </w:tc>
        <w:tc>
          <w:tcPr>
            <w:tcW w:w="1201" w:type="pct"/>
            <w:noWrap w:val="0"/>
            <w:vAlign w:val="center"/>
          </w:tcPr>
          <w:p w14:paraId="628685FF">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432" w:type="pct"/>
            <w:noWrap w:val="0"/>
            <w:vAlign w:val="center"/>
          </w:tcPr>
          <w:p w14:paraId="0154DD08">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w:t>
            </w:r>
          </w:p>
        </w:tc>
        <w:tc>
          <w:tcPr>
            <w:tcW w:w="637" w:type="pct"/>
            <w:noWrap w:val="0"/>
            <w:vAlign w:val="center"/>
          </w:tcPr>
          <w:p w14:paraId="5E6E277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1D4F9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845" w:type="pct"/>
            <w:vMerge w:val="continue"/>
            <w:noWrap w:val="0"/>
            <w:vAlign w:val="center"/>
          </w:tcPr>
          <w:p w14:paraId="52DCA12A">
            <w:pPr>
              <w:rPr>
                <w:color w:val="000000" w:themeColor="text1"/>
                <w:highlight w:val="none"/>
                <w14:textFill>
                  <w14:solidFill>
                    <w14:schemeClr w14:val="tx1"/>
                  </w14:solidFill>
                </w14:textFill>
              </w:rPr>
            </w:pPr>
          </w:p>
        </w:tc>
        <w:tc>
          <w:tcPr>
            <w:tcW w:w="845" w:type="pct"/>
            <w:vMerge w:val="continue"/>
            <w:noWrap w:val="0"/>
            <w:vAlign w:val="center"/>
          </w:tcPr>
          <w:p w14:paraId="26E54D08">
            <w:pPr>
              <w:rPr>
                <w:color w:val="000000" w:themeColor="text1"/>
                <w:highlight w:val="none"/>
                <w14:textFill>
                  <w14:solidFill>
                    <w14:schemeClr w14:val="tx1"/>
                  </w14:solidFill>
                </w14:textFill>
              </w:rPr>
            </w:pPr>
          </w:p>
        </w:tc>
        <w:tc>
          <w:tcPr>
            <w:tcW w:w="1038" w:type="pct"/>
            <w:vMerge w:val="continue"/>
            <w:noWrap w:val="0"/>
            <w:vAlign w:val="center"/>
          </w:tcPr>
          <w:p w14:paraId="3CBD9B47">
            <w:pPr>
              <w:rPr>
                <w:color w:val="000000" w:themeColor="text1"/>
                <w:highlight w:val="none"/>
                <w14:textFill>
                  <w14:solidFill>
                    <w14:schemeClr w14:val="tx1"/>
                  </w14:solidFill>
                </w14:textFill>
              </w:rPr>
            </w:pPr>
          </w:p>
        </w:tc>
        <w:tc>
          <w:tcPr>
            <w:tcW w:w="1201" w:type="pct"/>
            <w:noWrap w:val="0"/>
            <w:vAlign w:val="center"/>
          </w:tcPr>
          <w:p w14:paraId="0FFD635B">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c>
          <w:tcPr>
            <w:tcW w:w="432" w:type="pct"/>
            <w:noWrap w:val="0"/>
            <w:vAlign w:val="center"/>
          </w:tcPr>
          <w:p w14:paraId="2EABE892">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w:t>
            </w:r>
          </w:p>
        </w:tc>
        <w:tc>
          <w:tcPr>
            <w:tcW w:w="637" w:type="pct"/>
            <w:noWrap w:val="0"/>
            <w:vAlign w:val="center"/>
          </w:tcPr>
          <w:p w14:paraId="38E02891">
            <w:pPr>
              <w:pStyle w:val="4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bl>
    <w:p w14:paraId="577DD758">
      <w:pPr>
        <w:pageBreakBefore w:val="0"/>
        <w:shd w:val="clear" w:color="auto" w:fill="auto"/>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由表</w:t>
      </w:r>
      <w:r>
        <w:rPr>
          <w:rFonts w:hint="eastAsia" w:cs="Times New Roman"/>
          <w:color w:val="000000" w:themeColor="text1"/>
          <w:spacing w:val="4"/>
          <w:kern w:val="24"/>
          <w:sz w:val="24"/>
          <w:highlight w:val="none"/>
          <w:lang w:val="en-US" w:eastAsia="zh-CN" w:bidi="ar-SA"/>
          <w14:textFill>
            <w14:solidFill>
              <w14:schemeClr w14:val="tx1"/>
            </w14:solidFill>
          </w14:textFill>
        </w:rPr>
        <w:t>5.6-3</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可知，井场噪声源对场界的噪声贡献值昼间、夜间为</w:t>
      </w:r>
      <w:r>
        <w:rPr>
          <w:rFonts w:hint="eastAsia" w:cs="Times New Roman"/>
          <w:color w:val="000000" w:themeColor="text1"/>
          <w:spacing w:val="4"/>
          <w:kern w:val="24"/>
          <w:sz w:val="24"/>
          <w:highlight w:val="none"/>
          <w:lang w:val="en-US" w:eastAsia="zh-CN" w:bidi="ar-SA"/>
          <w14:textFill>
            <w14:solidFill>
              <w14:schemeClr w14:val="tx1"/>
            </w14:solidFill>
          </w14:textFill>
        </w:rPr>
        <w:t>37.1</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～4</w:t>
      </w:r>
      <w:r>
        <w:rPr>
          <w:rFonts w:hint="eastAsia" w:cs="Times New Roman"/>
          <w:color w:val="000000" w:themeColor="text1"/>
          <w:spacing w:val="4"/>
          <w:kern w:val="24"/>
          <w:sz w:val="24"/>
          <w:highlight w:val="none"/>
          <w:lang w:val="en-US" w:eastAsia="zh-CN" w:bidi="ar-SA"/>
          <w14:textFill>
            <w14:solidFill>
              <w14:schemeClr w14:val="tx1"/>
            </w14:solidFill>
          </w14:textFill>
        </w:rPr>
        <w:t>7.7</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dB</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A</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，满足《</w:t>
      </w:r>
      <w:bookmarkStart w:id="1089" w:name="OLE_LINK1216"/>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工业企业厂界环境噪声排放标准</w:t>
      </w:r>
      <w:bookmarkEnd w:id="1089"/>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GB12348-2008</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中2类区昼间、夜间标准要求。</w:t>
      </w:r>
    </w:p>
    <w:p w14:paraId="536A8CA8">
      <w:pPr>
        <w:pageBreakBefore w:val="0"/>
        <w:shd w:val="clear" w:color="auto" w:fill="auto"/>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综上，本工程实施后不会对周边声环境产生明显影响，</w:t>
      </w:r>
      <w:r>
        <w:rPr>
          <w:rFonts w:hint="eastAsia" w:cs="Times New Roman"/>
          <w:color w:val="000000" w:themeColor="text1"/>
          <w:spacing w:val="4"/>
          <w:kern w:val="24"/>
          <w:sz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周边无噪声敏感目标，不会造成噪声污染。</w:t>
      </w:r>
    </w:p>
    <w:p w14:paraId="1CA46FB4">
      <w:pPr>
        <w:pStyle w:val="5"/>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井下作业噪声环境影响分析</w:t>
      </w:r>
    </w:p>
    <w:p w14:paraId="3BB0710F">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井下作业过程中最强的噪声源为压裂车噪声，最高可达120dB</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A</w:t>
      </w:r>
      <w:r>
        <w:rPr>
          <w:rFonts w:hint="eastAsia"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，导致作业现场周围噪声超出《</w:t>
      </w:r>
      <w:bookmarkStart w:id="1090" w:name="OLE_LINK1217"/>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建筑施工场界环境噪声排放标准</w:t>
      </w:r>
      <w:bookmarkEnd w:id="1090"/>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》（GB12523-2011）标准要求，但是由于油井多分布在空旷地带，加上井下作业周期较短，声源具有不固定性和不稳定性，在施工时，对高噪声设备设置临时屏蔽设施，则其对周围环境的影响是可以接受的。</w:t>
      </w:r>
    </w:p>
    <w:bookmarkEnd w:id="1087"/>
    <w:p w14:paraId="58810048">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91" w:name="_Toc30088"/>
      <w:bookmarkStart w:id="1092" w:name="_Toc4540"/>
      <w:bookmarkStart w:id="1093" w:name="_Toc6147"/>
      <w:r>
        <w:rPr>
          <w:rFonts w:hint="default" w:ascii="Times New Roman" w:hAnsi="Times New Roman" w:cs="Times New Roman"/>
          <w:color w:val="000000" w:themeColor="text1"/>
          <w:highlight w:val="none"/>
          <w14:textFill>
            <w14:solidFill>
              <w14:schemeClr w14:val="tx1"/>
            </w14:solidFill>
          </w14:textFill>
        </w:rPr>
        <w:t>5.</w:t>
      </w:r>
      <w:bookmarkEnd w:id="1091"/>
      <w:bookmarkEnd w:id="1092"/>
      <w:bookmarkEnd w:id="1093"/>
      <w:r>
        <w:rPr>
          <w:rFonts w:hint="default" w:ascii="Times New Roman" w:hAnsi="Times New Roman" w:cs="Times New Roman"/>
          <w:color w:val="000000" w:themeColor="text1"/>
          <w:highlight w:val="none"/>
          <w14:textFill>
            <w14:solidFill>
              <w14:schemeClr w14:val="tx1"/>
            </w14:solidFill>
          </w14:textFill>
        </w:rPr>
        <w:t>6.3退役期声环境影响分析</w:t>
      </w:r>
    </w:p>
    <w:p w14:paraId="4FA5ACC7">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本工程退役期，噪声主要源自井场设备拆卸，且</w:t>
      </w:r>
      <w:r>
        <w:rPr>
          <w:rFonts w:hint="eastAsia" w:cs="Times New Roman"/>
          <w:color w:val="000000" w:themeColor="text1"/>
          <w:spacing w:val="4"/>
          <w:kern w:val="24"/>
          <w:sz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周边无声环境敏感目标，不会造成噪声污染。</w:t>
      </w:r>
    </w:p>
    <w:p w14:paraId="1B32FBA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94" w:name="_Toc7189"/>
      <w:bookmarkStart w:id="1095" w:name="_Toc8204"/>
      <w:bookmarkStart w:id="1096" w:name="_Toc12962"/>
      <w:bookmarkStart w:id="1097" w:name="OLE_LINK989"/>
      <w:r>
        <w:rPr>
          <w:rFonts w:hint="default" w:ascii="Times New Roman" w:hAnsi="Times New Roman" w:cs="Times New Roman"/>
          <w:color w:val="000000" w:themeColor="text1"/>
          <w:highlight w:val="none"/>
          <w14:textFill>
            <w14:solidFill>
              <w14:schemeClr w14:val="tx1"/>
            </w14:solidFill>
          </w14:textFill>
        </w:rPr>
        <w:t>5.</w:t>
      </w:r>
      <w:bookmarkEnd w:id="1094"/>
      <w:bookmarkEnd w:id="1095"/>
      <w:bookmarkEnd w:id="1096"/>
      <w:r>
        <w:rPr>
          <w:rFonts w:hint="default" w:ascii="Times New Roman" w:hAnsi="Times New Roman" w:cs="Times New Roman"/>
          <w:color w:val="000000" w:themeColor="text1"/>
          <w:highlight w:val="none"/>
          <w14:textFill>
            <w14:solidFill>
              <w14:schemeClr w14:val="tx1"/>
            </w14:solidFill>
          </w14:textFill>
        </w:rPr>
        <w:t>6.4声环境影响评价结论</w:t>
      </w:r>
    </w:p>
    <w:bookmarkEnd w:id="1097"/>
    <w:p w14:paraId="59B04071">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综上所述，本工程施工期噪声源主要是各类施工机械和运输车辆。施工期噪声影响是短暂的，随施工结束即消失。</w:t>
      </w:r>
    </w:p>
    <w:p w14:paraId="2F07DDF9">
      <w:pPr>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本工程运营期产生的噪声主要包括泵撬等设备运转噪声，以及井下作业噪声等。井场设备噪声源强较低，影响范围有限，类比同类井场，正常生产时，单井井场厂界噪声值较低，能够满足</w:t>
      </w:r>
      <w:r>
        <w:rPr>
          <w:rFonts w:hint="default" w:ascii="Times New Roman" w:hAnsi="Times New Roman" w:eastAsia="宋体" w:cs="Times New Roman"/>
          <w:color w:val="000000" w:themeColor="text1"/>
          <w:spacing w:val="4"/>
          <w:kern w:val="24"/>
          <w:sz w:val="24"/>
          <w:highlight w:val="none"/>
          <w:lang w:val="zh-CN" w:eastAsia="zh-CN" w:bidi="ar-SA"/>
          <w14:textFill>
            <w14:solidFill>
              <w14:schemeClr w14:val="tx1"/>
            </w14:solidFill>
          </w14:textFill>
        </w:rPr>
        <w:t>《</w:t>
      </w:r>
      <w:bookmarkStart w:id="1098" w:name="OLE_LINK1218"/>
      <w:r>
        <w:rPr>
          <w:rFonts w:hint="default" w:ascii="Times New Roman" w:hAnsi="Times New Roman" w:eastAsia="宋体" w:cs="Times New Roman"/>
          <w:color w:val="000000" w:themeColor="text1"/>
          <w:spacing w:val="4"/>
          <w:kern w:val="24"/>
          <w:sz w:val="24"/>
          <w:highlight w:val="none"/>
          <w:lang w:val="zh-CN" w:eastAsia="zh-CN" w:bidi="ar-SA"/>
          <w14:textFill>
            <w14:solidFill>
              <w14:schemeClr w14:val="tx1"/>
            </w14:solidFill>
          </w14:textFill>
        </w:rPr>
        <w:t>工业企业厂界环境噪声排放标准</w:t>
      </w:r>
      <w:bookmarkEnd w:id="1098"/>
      <w:r>
        <w:rPr>
          <w:rFonts w:hint="default" w:ascii="Times New Roman" w:hAnsi="Times New Roman" w:eastAsia="宋体" w:cs="Times New Roman"/>
          <w:color w:val="000000" w:themeColor="text1"/>
          <w:spacing w:val="4"/>
          <w:kern w:val="24"/>
          <w:sz w:val="24"/>
          <w:highlight w:val="none"/>
          <w:lang w:val="zh-CN" w:eastAsia="zh-CN" w:bidi="ar-SA"/>
          <w14:textFill>
            <w14:solidFill>
              <w14:schemeClr w14:val="tx1"/>
            </w14:solidFill>
          </w14:textFill>
        </w:rPr>
        <w:t>》（GB12348-2008）中的2类区标准要求；井下作业将产生高强度噪声，厂界噪声会出现短期超标现象，但井下作业具有阶段性特征，井下作业结束其噪声影响即消失。井场周边范围内</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无居民区，不会出现噪声扰民现象。</w:t>
      </w:r>
    </w:p>
    <w:p w14:paraId="3304A30D">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5.6.</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声环境影响评价自查表</w:t>
      </w:r>
    </w:p>
    <w:p w14:paraId="77C299F9">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拟建项目声环境影响评价自</w:t>
      </w:r>
      <w:r>
        <w:rPr>
          <w:rFonts w:eastAsia="宋体"/>
          <w:color w:val="000000" w:themeColor="text1"/>
          <w:kern w:val="2"/>
          <w:szCs w:val="24"/>
          <w:highlight w:val="none"/>
          <w14:textFill>
            <w14:solidFill>
              <w14:schemeClr w14:val="tx1"/>
            </w14:solidFill>
          </w14:textFill>
        </w:rPr>
        <w:t>查表见表5.</w:t>
      </w:r>
      <w:r>
        <w:rPr>
          <w:rFonts w:hint="eastAsia" w:eastAsia="宋体"/>
          <w:color w:val="000000" w:themeColor="text1"/>
          <w:kern w:val="2"/>
          <w:szCs w:val="24"/>
          <w:highlight w:val="none"/>
          <w:lang w:val="en-US" w:eastAsia="zh-CN"/>
          <w14:textFill>
            <w14:solidFill>
              <w14:schemeClr w14:val="tx1"/>
            </w14:solidFill>
          </w14:textFill>
        </w:rPr>
        <w:t>6</w:t>
      </w:r>
      <w:r>
        <w:rPr>
          <w:rFonts w:eastAsia="宋体"/>
          <w:color w:val="000000" w:themeColor="text1"/>
          <w:kern w:val="2"/>
          <w:szCs w:val="24"/>
          <w:highlight w:val="none"/>
          <w14:textFill>
            <w14:solidFill>
              <w14:schemeClr w14:val="tx1"/>
            </w14:solidFill>
          </w14:textFill>
        </w:rPr>
        <w:t>-</w:t>
      </w:r>
      <w:r>
        <w:rPr>
          <w:rFonts w:hint="eastAsia" w:eastAsia="宋体"/>
          <w:color w:val="000000" w:themeColor="text1"/>
          <w:kern w:val="2"/>
          <w:szCs w:val="24"/>
          <w:highlight w:val="none"/>
          <w:lang w:val="en-US" w:eastAsia="zh-CN"/>
          <w14:textFill>
            <w14:solidFill>
              <w14:schemeClr w14:val="tx1"/>
            </w14:solidFill>
          </w14:textFill>
        </w:rPr>
        <w:t>4</w:t>
      </w:r>
      <w:r>
        <w:rPr>
          <w:rFonts w:eastAsia="宋体"/>
          <w:color w:val="000000" w:themeColor="text1"/>
          <w:kern w:val="2"/>
          <w:szCs w:val="24"/>
          <w:highlight w:val="none"/>
          <w14:textFill>
            <w14:solidFill>
              <w14:schemeClr w14:val="tx1"/>
            </w14:solidFill>
          </w14:textFill>
        </w:rPr>
        <w:t>。</w:t>
      </w:r>
    </w:p>
    <w:p w14:paraId="723CE95F">
      <w:pPr>
        <w:pStyle w:val="84"/>
        <w:bidi w:val="0"/>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表5.6-4  声环境影响评价自查表</w:t>
      </w:r>
    </w:p>
    <w:tbl>
      <w:tblPr>
        <w:tblStyle w:val="37"/>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
        <w:gridCol w:w="911"/>
        <w:gridCol w:w="1098"/>
        <w:gridCol w:w="1210"/>
        <w:gridCol w:w="506"/>
        <w:gridCol w:w="294"/>
        <w:gridCol w:w="204"/>
        <w:gridCol w:w="1007"/>
        <w:gridCol w:w="17"/>
        <w:gridCol w:w="1015"/>
        <w:gridCol w:w="514"/>
        <w:gridCol w:w="462"/>
        <w:gridCol w:w="27"/>
        <w:gridCol w:w="1070"/>
      </w:tblGrid>
      <w:tr w14:paraId="21769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1203" w:type="pct"/>
            <w:gridSpan w:val="2"/>
            <w:noWrap w:val="0"/>
            <w:vAlign w:val="center"/>
          </w:tcPr>
          <w:p w14:paraId="7E5963A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工作内容</w:t>
            </w:r>
          </w:p>
        </w:tc>
        <w:tc>
          <w:tcPr>
            <w:tcW w:w="3790" w:type="pct"/>
            <w:gridSpan w:val="11"/>
            <w:noWrap w:val="0"/>
            <w:vAlign w:val="center"/>
          </w:tcPr>
          <w:p w14:paraId="05181A2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自查项目</w:t>
            </w:r>
          </w:p>
        </w:tc>
      </w:tr>
      <w:tr w14:paraId="46EA4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restart"/>
            <w:noWrap w:val="0"/>
            <w:vAlign w:val="center"/>
          </w:tcPr>
          <w:p w14:paraId="2A134D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评价等级与范围</w:t>
            </w:r>
          </w:p>
        </w:tc>
        <w:tc>
          <w:tcPr>
            <w:tcW w:w="658" w:type="pct"/>
            <w:noWrap w:val="0"/>
            <w:vAlign w:val="center"/>
          </w:tcPr>
          <w:p w14:paraId="49D9A3A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评价等级</w:t>
            </w:r>
          </w:p>
        </w:tc>
        <w:tc>
          <w:tcPr>
            <w:tcW w:w="3790" w:type="pct"/>
            <w:gridSpan w:val="11"/>
            <w:noWrap w:val="0"/>
            <w:vAlign w:val="center"/>
          </w:tcPr>
          <w:p w14:paraId="4D3A8061">
            <w:pPr>
              <w:keepNext w:val="0"/>
              <w:keepLines w:val="0"/>
              <w:pageBreakBefore w:val="0"/>
              <w:widowControl w:val="0"/>
              <w:suppressLineNumbers w:val="0"/>
              <w:tabs>
                <w:tab w:val="left" w:pos="2103"/>
                <w:tab w:val="left" w:pos="3635"/>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一级□          二级☑          三级□</w:t>
            </w:r>
          </w:p>
        </w:tc>
      </w:tr>
      <w:tr w14:paraId="443BB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continue"/>
            <w:noWrap w:val="0"/>
            <w:vAlign w:val="center"/>
          </w:tcPr>
          <w:p w14:paraId="750BAE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1BD338A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评价范围</w:t>
            </w:r>
          </w:p>
        </w:tc>
        <w:tc>
          <w:tcPr>
            <w:tcW w:w="3790" w:type="pct"/>
            <w:gridSpan w:val="11"/>
            <w:noWrap w:val="0"/>
            <w:vAlign w:val="center"/>
          </w:tcPr>
          <w:p w14:paraId="753BDB39">
            <w:pPr>
              <w:keepNext w:val="0"/>
              <w:keepLines w:val="0"/>
              <w:pageBreakBefore w:val="0"/>
              <w:widowControl w:val="0"/>
              <w:suppressLineNumbers w:val="0"/>
              <w:tabs>
                <w:tab w:val="left" w:pos="2384"/>
                <w:tab w:val="left" w:pos="5315"/>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200m☑          大于200m□          小于200m□</w:t>
            </w:r>
          </w:p>
        </w:tc>
      </w:tr>
      <w:tr w14:paraId="4CE3C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noWrap w:val="0"/>
            <w:vAlign w:val="center"/>
          </w:tcPr>
          <w:p w14:paraId="0B2FDD8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评价因子</w:t>
            </w:r>
          </w:p>
        </w:tc>
        <w:tc>
          <w:tcPr>
            <w:tcW w:w="658" w:type="pct"/>
            <w:noWrap w:val="0"/>
            <w:vAlign w:val="center"/>
          </w:tcPr>
          <w:p w14:paraId="19079A8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评价因子</w:t>
            </w:r>
          </w:p>
        </w:tc>
        <w:tc>
          <w:tcPr>
            <w:tcW w:w="3790" w:type="pct"/>
            <w:gridSpan w:val="11"/>
            <w:noWrap w:val="0"/>
            <w:vAlign w:val="center"/>
          </w:tcPr>
          <w:p w14:paraId="095664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 最大A声级□ 计权等效连续感觉噪声级□</w:t>
            </w:r>
          </w:p>
        </w:tc>
      </w:tr>
      <w:tr w14:paraId="3C067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noWrap w:val="0"/>
            <w:vAlign w:val="center"/>
          </w:tcPr>
          <w:p w14:paraId="36DBB3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评价标准</w:t>
            </w:r>
          </w:p>
        </w:tc>
        <w:tc>
          <w:tcPr>
            <w:tcW w:w="658" w:type="pct"/>
            <w:noWrap w:val="0"/>
            <w:vAlign w:val="center"/>
          </w:tcPr>
          <w:p w14:paraId="45B5B5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评价标准</w:t>
            </w:r>
          </w:p>
        </w:tc>
        <w:tc>
          <w:tcPr>
            <w:tcW w:w="3790" w:type="pct"/>
            <w:gridSpan w:val="11"/>
            <w:noWrap w:val="0"/>
            <w:vAlign w:val="center"/>
          </w:tcPr>
          <w:p w14:paraId="35274B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国家标准☑     地方标准□     国外标准□</w:t>
            </w:r>
          </w:p>
        </w:tc>
      </w:tr>
      <w:tr w14:paraId="2A3C0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restart"/>
            <w:noWrap w:val="0"/>
            <w:vAlign w:val="center"/>
          </w:tcPr>
          <w:p w14:paraId="519646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现状评价</w:t>
            </w:r>
          </w:p>
        </w:tc>
        <w:tc>
          <w:tcPr>
            <w:tcW w:w="658" w:type="pct"/>
            <w:noWrap w:val="0"/>
            <w:vAlign w:val="center"/>
          </w:tcPr>
          <w:p w14:paraId="5652EC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环境功能区</w:t>
            </w:r>
          </w:p>
        </w:tc>
        <w:tc>
          <w:tcPr>
            <w:tcW w:w="725" w:type="pct"/>
            <w:noWrap w:val="0"/>
            <w:vAlign w:val="center"/>
          </w:tcPr>
          <w:p w14:paraId="015C65D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0类区□</w:t>
            </w:r>
          </w:p>
        </w:tc>
        <w:tc>
          <w:tcPr>
            <w:tcW w:w="601" w:type="pct"/>
            <w:gridSpan w:val="3"/>
            <w:noWrap w:val="0"/>
            <w:vAlign w:val="center"/>
          </w:tcPr>
          <w:p w14:paraId="25FA4E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1类区□</w:t>
            </w:r>
          </w:p>
        </w:tc>
        <w:tc>
          <w:tcPr>
            <w:tcW w:w="602" w:type="pct"/>
            <w:noWrap w:val="0"/>
            <w:vAlign w:val="center"/>
          </w:tcPr>
          <w:p w14:paraId="1958E4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2类区☑</w:t>
            </w:r>
          </w:p>
        </w:tc>
        <w:tc>
          <w:tcPr>
            <w:tcW w:w="618" w:type="pct"/>
            <w:gridSpan w:val="2"/>
            <w:noWrap w:val="0"/>
            <w:vAlign w:val="center"/>
          </w:tcPr>
          <w:p w14:paraId="382340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3类区□</w:t>
            </w:r>
          </w:p>
        </w:tc>
        <w:tc>
          <w:tcPr>
            <w:tcW w:w="585" w:type="pct"/>
            <w:gridSpan w:val="2"/>
            <w:noWrap w:val="0"/>
            <w:vAlign w:val="center"/>
          </w:tcPr>
          <w:p w14:paraId="7793088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4a类区□</w:t>
            </w:r>
          </w:p>
        </w:tc>
        <w:tc>
          <w:tcPr>
            <w:tcW w:w="658" w:type="pct"/>
            <w:gridSpan w:val="2"/>
            <w:noWrap w:val="0"/>
            <w:vAlign w:val="center"/>
          </w:tcPr>
          <w:p w14:paraId="2067460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4b类区□</w:t>
            </w:r>
          </w:p>
        </w:tc>
      </w:tr>
      <w:tr w14:paraId="115F2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continue"/>
            <w:noWrap w:val="0"/>
            <w:vAlign w:val="center"/>
          </w:tcPr>
          <w:p w14:paraId="57B0844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0314B53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评价年度</w:t>
            </w:r>
          </w:p>
        </w:tc>
        <w:tc>
          <w:tcPr>
            <w:tcW w:w="1028" w:type="pct"/>
            <w:gridSpan w:val="2"/>
            <w:noWrap w:val="0"/>
            <w:vAlign w:val="center"/>
          </w:tcPr>
          <w:p w14:paraId="7B41A8A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初期□</w:t>
            </w:r>
          </w:p>
        </w:tc>
        <w:tc>
          <w:tcPr>
            <w:tcW w:w="901" w:type="pct"/>
            <w:gridSpan w:val="3"/>
            <w:noWrap w:val="0"/>
            <w:vAlign w:val="center"/>
          </w:tcPr>
          <w:p w14:paraId="32AA90E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近期☑</w:t>
            </w:r>
          </w:p>
        </w:tc>
        <w:tc>
          <w:tcPr>
            <w:tcW w:w="926" w:type="pct"/>
            <w:gridSpan w:val="3"/>
            <w:noWrap w:val="0"/>
            <w:vAlign w:val="center"/>
          </w:tcPr>
          <w:p w14:paraId="220CA37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中期□</w:t>
            </w:r>
          </w:p>
        </w:tc>
        <w:tc>
          <w:tcPr>
            <w:tcW w:w="936" w:type="pct"/>
            <w:gridSpan w:val="3"/>
            <w:noWrap w:val="0"/>
            <w:vAlign w:val="center"/>
          </w:tcPr>
          <w:p w14:paraId="5A9F78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远期□</w:t>
            </w:r>
          </w:p>
        </w:tc>
      </w:tr>
      <w:tr w14:paraId="55A92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continue"/>
            <w:noWrap w:val="0"/>
            <w:vAlign w:val="center"/>
          </w:tcPr>
          <w:p w14:paraId="668D69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3B7814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现状调查方法</w:t>
            </w:r>
          </w:p>
        </w:tc>
        <w:tc>
          <w:tcPr>
            <w:tcW w:w="3790" w:type="pct"/>
            <w:gridSpan w:val="11"/>
            <w:noWrap w:val="0"/>
            <w:vAlign w:val="center"/>
          </w:tcPr>
          <w:p w14:paraId="12980ED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现场实测法☑   现场实测加模型计算法□   收集资料□</w:t>
            </w:r>
          </w:p>
        </w:tc>
      </w:tr>
      <w:tr w14:paraId="16318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Before w:val="1"/>
          <w:wBefore w:w="7" w:type="pct"/>
          <w:trHeight w:val="397" w:hRule="atLeast"/>
          <w:jc w:val="center"/>
        </w:trPr>
        <w:tc>
          <w:tcPr>
            <w:tcW w:w="545" w:type="pct"/>
            <w:vMerge w:val="continue"/>
            <w:noWrap w:val="0"/>
            <w:vAlign w:val="center"/>
          </w:tcPr>
          <w:p w14:paraId="5274DEC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65D32C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现状评价</w:t>
            </w:r>
          </w:p>
        </w:tc>
        <w:tc>
          <w:tcPr>
            <w:tcW w:w="1204" w:type="pct"/>
            <w:gridSpan w:val="3"/>
            <w:noWrap w:val="0"/>
            <w:vAlign w:val="center"/>
          </w:tcPr>
          <w:p w14:paraId="1D129A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达标百分比</w:t>
            </w:r>
          </w:p>
        </w:tc>
        <w:tc>
          <w:tcPr>
            <w:tcW w:w="2586" w:type="pct"/>
            <w:gridSpan w:val="8"/>
            <w:noWrap w:val="0"/>
            <w:vAlign w:val="center"/>
          </w:tcPr>
          <w:p w14:paraId="4FEE6E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100</w:t>
            </w:r>
          </w:p>
        </w:tc>
      </w:tr>
      <w:tr w14:paraId="7EF14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noWrap w:val="0"/>
            <w:vAlign w:val="center"/>
          </w:tcPr>
          <w:p w14:paraId="0428B4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噪声源调查</w:t>
            </w:r>
          </w:p>
        </w:tc>
        <w:tc>
          <w:tcPr>
            <w:tcW w:w="658" w:type="pct"/>
            <w:noWrap w:val="0"/>
            <w:vAlign w:val="center"/>
          </w:tcPr>
          <w:p w14:paraId="63F2608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噪声源调查方法</w:t>
            </w:r>
          </w:p>
        </w:tc>
        <w:tc>
          <w:tcPr>
            <w:tcW w:w="3790" w:type="pct"/>
            <w:gridSpan w:val="11"/>
            <w:noWrap w:val="0"/>
            <w:vAlign w:val="center"/>
          </w:tcPr>
          <w:p w14:paraId="2C22812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现场实测□     已有资料☑     研究成果□</w:t>
            </w:r>
          </w:p>
        </w:tc>
      </w:tr>
      <w:tr w14:paraId="33534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restart"/>
            <w:noWrap w:val="0"/>
            <w:vAlign w:val="center"/>
          </w:tcPr>
          <w:p w14:paraId="4A4265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声环境影响预测与评价</w:t>
            </w:r>
          </w:p>
        </w:tc>
        <w:tc>
          <w:tcPr>
            <w:tcW w:w="658" w:type="pct"/>
            <w:noWrap w:val="0"/>
            <w:vAlign w:val="center"/>
          </w:tcPr>
          <w:p w14:paraId="673F833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预测模型</w:t>
            </w:r>
          </w:p>
        </w:tc>
        <w:tc>
          <w:tcPr>
            <w:tcW w:w="3790" w:type="pct"/>
            <w:gridSpan w:val="11"/>
            <w:noWrap w:val="0"/>
            <w:vAlign w:val="center"/>
          </w:tcPr>
          <w:p w14:paraId="5D53FD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导则推荐模型☑          其他□</w:t>
            </w:r>
          </w:p>
        </w:tc>
      </w:tr>
      <w:tr w14:paraId="00CDF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continue"/>
            <w:noWrap w:val="0"/>
            <w:vAlign w:val="center"/>
          </w:tcPr>
          <w:p w14:paraId="7114BF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665DE42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预测范围</w:t>
            </w:r>
          </w:p>
        </w:tc>
        <w:tc>
          <w:tcPr>
            <w:tcW w:w="3790" w:type="pct"/>
            <w:gridSpan w:val="11"/>
            <w:noWrap w:val="0"/>
            <w:vAlign w:val="center"/>
          </w:tcPr>
          <w:p w14:paraId="5CD7D4C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200m☑     大于200m□     小于200m□</w:t>
            </w:r>
          </w:p>
        </w:tc>
      </w:tr>
      <w:tr w14:paraId="0E67D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continue"/>
            <w:noWrap w:val="0"/>
            <w:vAlign w:val="center"/>
          </w:tcPr>
          <w:p w14:paraId="49B88C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51EABED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预测因子</w:t>
            </w:r>
          </w:p>
        </w:tc>
        <w:tc>
          <w:tcPr>
            <w:tcW w:w="3790" w:type="pct"/>
            <w:gridSpan w:val="11"/>
            <w:noWrap w:val="0"/>
            <w:vAlign w:val="center"/>
          </w:tcPr>
          <w:p w14:paraId="165A49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 最大A声级□ 计权等效连续感觉噪声级□</w:t>
            </w:r>
          </w:p>
        </w:tc>
      </w:tr>
      <w:tr w14:paraId="094AE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continue"/>
            <w:noWrap w:val="0"/>
            <w:vAlign w:val="center"/>
          </w:tcPr>
          <w:p w14:paraId="093BBD3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0B7C45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厂界噪声贡献值</w:t>
            </w:r>
          </w:p>
        </w:tc>
        <w:tc>
          <w:tcPr>
            <w:tcW w:w="3790" w:type="pct"/>
            <w:gridSpan w:val="11"/>
            <w:noWrap w:val="0"/>
            <w:vAlign w:val="center"/>
          </w:tcPr>
          <w:p w14:paraId="27BCA0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          不达标□</w:t>
            </w:r>
          </w:p>
        </w:tc>
      </w:tr>
      <w:tr w14:paraId="647D9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continue"/>
            <w:noWrap w:val="0"/>
            <w:vAlign w:val="center"/>
          </w:tcPr>
          <w:p w14:paraId="7B50E78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55FC611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声环境保护目标处噪声值</w:t>
            </w:r>
          </w:p>
        </w:tc>
        <w:tc>
          <w:tcPr>
            <w:tcW w:w="3790" w:type="pct"/>
            <w:gridSpan w:val="11"/>
            <w:noWrap w:val="0"/>
            <w:vAlign w:val="center"/>
          </w:tcPr>
          <w:p w14:paraId="2E70C3A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          不达标□</w:t>
            </w:r>
          </w:p>
        </w:tc>
      </w:tr>
      <w:tr w14:paraId="3358C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restart"/>
            <w:noWrap w:val="0"/>
            <w:vAlign w:val="center"/>
          </w:tcPr>
          <w:p w14:paraId="3852BB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环境监测计划</w:t>
            </w:r>
          </w:p>
        </w:tc>
        <w:tc>
          <w:tcPr>
            <w:tcW w:w="658" w:type="pct"/>
            <w:noWrap w:val="0"/>
            <w:vAlign w:val="center"/>
          </w:tcPr>
          <w:p w14:paraId="066ACCE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排放监测</w:t>
            </w:r>
          </w:p>
        </w:tc>
        <w:tc>
          <w:tcPr>
            <w:tcW w:w="3790" w:type="pct"/>
            <w:gridSpan w:val="11"/>
            <w:noWrap w:val="0"/>
            <w:vAlign w:val="center"/>
          </w:tcPr>
          <w:p w14:paraId="4B38039A">
            <w:pPr>
              <w:keepNext w:val="0"/>
              <w:keepLines w:val="0"/>
              <w:pageBreakBefore w:val="0"/>
              <w:widowControl w:val="0"/>
              <w:suppressLineNumbers w:val="0"/>
              <w:tabs>
                <w:tab w:val="left" w:pos="1621"/>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厂界监测</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 xml:space="preserve"> 固定位置监测□ 自动监测□ 手动监测□ 无监测□</w:t>
            </w:r>
          </w:p>
        </w:tc>
      </w:tr>
      <w:tr w14:paraId="7AFCB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vMerge w:val="continue"/>
            <w:noWrap w:val="0"/>
            <w:vAlign w:val="center"/>
          </w:tcPr>
          <w:p w14:paraId="52BB2DC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58" w:type="pct"/>
            <w:noWrap w:val="0"/>
            <w:vAlign w:val="center"/>
          </w:tcPr>
          <w:p w14:paraId="4F4749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声环境保护目标处噪声监测</w:t>
            </w:r>
          </w:p>
        </w:tc>
        <w:tc>
          <w:tcPr>
            <w:tcW w:w="1939" w:type="pct"/>
            <w:gridSpan w:val="6"/>
            <w:noWrap w:val="0"/>
            <w:vAlign w:val="center"/>
          </w:tcPr>
          <w:p w14:paraId="6D1CBB44">
            <w:pPr>
              <w:keepNext w:val="0"/>
              <w:keepLines w:val="0"/>
              <w:pageBreakBefore w:val="0"/>
              <w:widowControl w:val="0"/>
              <w:suppressLineNumbers w:val="0"/>
              <w:tabs>
                <w:tab w:val="left" w:pos="2252"/>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1209" w:type="pct"/>
            <w:gridSpan w:val="4"/>
            <w:noWrap w:val="0"/>
            <w:vAlign w:val="center"/>
          </w:tcPr>
          <w:p w14:paraId="6D89F9CD">
            <w:pPr>
              <w:keepNext w:val="0"/>
              <w:keepLines w:val="0"/>
              <w:pageBreakBefore w:val="0"/>
              <w:widowControl w:val="0"/>
              <w:suppressLineNumbers w:val="0"/>
              <w:tabs>
                <w:tab w:val="left" w:pos="1735"/>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监测点位数</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642" w:type="pct"/>
            <w:noWrap w:val="0"/>
            <w:vAlign w:val="center"/>
          </w:tcPr>
          <w:p w14:paraId="685829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无监测☑</w:t>
            </w:r>
          </w:p>
        </w:tc>
      </w:tr>
      <w:tr w14:paraId="3A52B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pct"/>
            <w:gridSpan w:val="2"/>
            <w:noWrap w:val="0"/>
            <w:vAlign w:val="center"/>
          </w:tcPr>
          <w:p w14:paraId="7B1E4A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评价结论</w:t>
            </w:r>
          </w:p>
        </w:tc>
        <w:tc>
          <w:tcPr>
            <w:tcW w:w="658" w:type="pct"/>
            <w:noWrap w:val="0"/>
            <w:vAlign w:val="center"/>
          </w:tcPr>
          <w:p w14:paraId="3F7CB1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环境影响</w:t>
            </w:r>
          </w:p>
        </w:tc>
        <w:tc>
          <w:tcPr>
            <w:tcW w:w="3790" w:type="pct"/>
            <w:gridSpan w:val="11"/>
            <w:noWrap w:val="0"/>
            <w:vAlign w:val="center"/>
          </w:tcPr>
          <w:p w14:paraId="2C2D0AF1">
            <w:pPr>
              <w:keepNext w:val="0"/>
              <w:keepLines w:val="0"/>
              <w:pageBreakBefore w:val="0"/>
              <w:widowControl w:val="0"/>
              <w:suppressLineNumbers w:val="0"/>
              <w:tabs>
                <w:tab w:val="left" w:pos="1202"/>
              </w:tabs>
              <w:kinsoku/>
              <w:wordWrap w:val="0"/>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可行☑    不可行□</w:t>
            </w:r>
          </w:p>
        </w:tc>
      </w:tr>
      <w:tr w14:paraId="42B55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4"/>
            <w:noWrap w:val="0"/>
            <w:vAlign w:val="center"/>
          </w:tcPr>
          <w:p w14:paraId="598C615B">
            <w:pPr>
              <w:keepNext w:val="0"/>
              <w:keepLines w:val="0"/>
              <w:pageBreakBefore w:val="0"/>
              <w:widowControl w:val="0"/>
              <w:suppressLineNumbers w:val="0"/>
              <w:tabs>
                <w:tab w:val="left" w:pos="3079"/>
              </w:tabs>
              <w:kinsoku/>
              <w:wordWrap w:val="0"/>
              <w:overflowPunct/>
              <w:topLinePunct w:val="0"/>
              <w:autoSpaceDE/>
              <w:autoSpaceDN/>
              <w:bidi w:val="0"/>
              <w:adjustRightInd/>
              <w:snapToGrid/>
              <w:spacing w:before="0" w:beforeAutospacing="0" w:after="0" w:afterAutospacing="0" w:line="0" w:lineRule="atLeast"/>
              <w:ind w:left="0" w:right="0" w:firstLine="0" w:firstLineChars="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注：“□”为勾选项，可√；“</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”为内容填写项。</w:t>
            </w:r>
          </w:p>
        </w:tc>
      </w:tr>
    </w:tbl>
    <w:p w14:paraId="06B4EED0">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099" w:name="_Toc21419"/>
      <w:bookmarkStart w:id="1100" w:name="_Toc508291897"/>
      <w:bookmarkStart w:id="1101" w:name="_Toc75438903"/>
      <w:bookmarkStart w:id="1102" w:name="_Toc42981118"/>
      <w:bookmarkStart w:id="1103" w:name="_Toc4024"/>
      <w:r>
        <w:rPr>
          <w:rFonts w:hint="default" w:ascii="Times New Roman" w:hAnsi="Times New Roman" w:cs="Times New Roman"/>
          <w:color w:val="000000" w:themeColor="text1"/>
          <w:highlight w:val="none"/>
          <w14:textFill>
            <w14:solidFill>
              <w14:schemeClr w14:val="tx1"/>
            </w14:solidFill>
          </w14:textFill>
        </w:rPr>
        <w:t>5.</w:t>
      </w:r>
      <w:bookmarkEnd w:id="1099"/>
      <w:bookmarkEnd w:id="1100"/>
      <w:bookmarkEnd w:id="1101"/>
      <w:bookmarkEnd w:id="1102"/>
      <w:r>
        <w:rPr>
          <w:rFonts w:hint="default" w:ascii="Times New Roman" w:hAnsi="Times New Roman" w:cs="Times New Roman"/>
          <w:color w:val="000000" w:themeColor="text1"/>
          <w:highlight w:val="none"/>
          <w14:textFill>
            <w14:solidFill>
              <w14:schemeClr w14:val="tx1"/>
            </w14:solidFill>
          </w14:textFill>
        </w:rPr>
        <w:t>7固体废物影响分析</w:t>
      </w:r>
      <w:bookmarkEnd w:id="1103"/>
    </w:p>
    <w:p w14:paraId="76537082">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104" w:name="_Toc20321"/>
      <w:bookmarkStart w:id="1105" w:name="_Toc12524"/>
      <w:bookmarkStart w:id="1106" w:name="_Toc34"/>
      <w:bookmarkStart w:id="1107" w:name="_Toc212280213"/>
      <w:bookmarkStart w:id="1108" w:name="OLE_LINK505"/>
      <w:bookmarkStart w:id="1109" w:name="_Toc125468031"/>
      <w:bookmarkStart w:id="1110" w:name="_Hlk48692888"/>
      <w:bookmarkStart w:id="1111" w:name="_Toc246160433"/>
      <w:r>
        <w:rPr>
          <w:rFonts w:hint="default" w:ascii="Times New Roman" w:hAnsi="Times New Roman" w:cs="Times New Roman"/>
          <w:color w:val="000000" w:themeColor="text1"/>
          <w:highlight w:val="none"/>
          <w14:textFill>
            <w14:solidFill>
              <w14:schemeClr w14:val="tx1"/>
            </w14:solidFill>
          </w14:textFill>
        </w:rPr>
        <w:t>5.7.1施工期固体废物影响分析</w:t>
      </w:r>
      <w:bookmarkEnd w:id="1104"/>
      <w:bookmarkEnd w:id="1105"/>
      <w:bookmarkEnd w:id="1106"/>
    </w:p>
    <w:p w14:paraId="6B4EBBF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本工程施工期产生的固体废物主要</w:t>
      </w:r>
      <w:r>
        <w:rPr>
          <w:rFonts w:hint="eastAsia" w:cs="Times New Roman"/>
          <w:color w:val="000000" w:themeColor="text1"/>
          <w:kern w:val="2"/>
          <w:sz w:val="24"/>
          <w:szCs w:val="32"/>
          <w:highlight w:val="none"/>
          <w:lang w:eastAsia="zh-CN"/>
          <w14:textFill>
            <w14:solidFill>
              <w14:schemeClr w14:val="tx1"/>
            </w14:solidFill>
          </w14:textFill>
        </w:rPr>
        <w:t>包括</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钻井泥浆</w:t>
      </w:r>
      <w:r>
        <w:rPr>
          <w:rFonts w:hint="eastAsia" w:cs="Times New Roman"/>
          <w:color w:val="000000" w:themeColor="text1"/>
          <w:kern w:val="2"/>
          <w:sz w:val="24"/>
          <w:szCs w:val="32"/>
          <w:highlight w:val="none"/>
          <w:lang w:eastAsia="zh-CN"/>
          <w14:textFill>
            <w14:solidFill>
              <w14:schemeClr w14:val="tx1"/>
            </w14:solidFill>
          </w14:textFill>
        </w:rPr>
        <w:t>、钻井岩屑、落地油、废润滑油、</w:t>
      </w:r>
      <w:r>
        <w:rPr>
          <w:rFonts w:hint="eastAsia" w:cs="Times New Roman"/>
          <w:color w:val="000000" w:themeColor="text1"/>
          <w:kern w:val="2"/>
          <w:sz w:val="24"/>
          <w:szCs w:val="32"/>
          <w:highlight w:val="none"/>
          <w:lang w:val="en-US" w:eastAsia="zh-CN"/>
          <w14:textFill>
            <w14:solidFill>
              <w14:schemeClr w14:val="tx1"/>
            </w14:solidFill>
          </w14:textFill>
        </w:rPr>
        <w:t>废烧碱包装袋</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、施工废料</w:t>
      </w:r>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和土石方。</w:t>
      </w:r>
    </w:p>
    <w:p w14:paraId="6014379B">
      <w:pPr>
        <w:pStyle w:val="33"/>
        <w:keepNext w:val="0"/>
        <w:keepLines w:val="0"/>
        <w:pageBreakBefore w:val="0"/>
        <w:widowControl w:val="0"/>
        <w:kinsoku/>
        <w:wordWrap/>
        <w:overflowPunct/>
        <w:bidi w:val="0"/>
        <w:adjustRightInd w:val="0"/>
        <w:snapToGrid w:val="0"/>
        <w:spacing w:before="0" w:beforeLines="0" w:beforeAutospacing="0" w:after="0" w:afterLines="0" w:afterAutospacing="0" w:line="360" w:lineRule="auto"/>
        <w:ind w:firstLine="480" w:firstLineChars="200"/>
        <w:jc w:val="both"/>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钻井泥浆</w:t>
      </w:r>
    </w:p>
    <w:p w14:paraId="027A7A1A">
      <w:pPr>
        <w:pStyle w:val="6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112" w:name="OLE_LINK846"/>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本工程</w:t>
      </w:r>
      <w:bookmarkEnd w:id="1112"/>
      <w:r>
        <w:rPr>
          <w:rFonts w:hint="default" w:ascii="Times New Roman" w:hAnsi="Times New Roman" w:eastAsia="宋体" w:cs="Times New Roman"/>
          <w:color w:val="000000" w:themeColor="text1"/>
          <w:sz w:val="24"/>
          <w:szCs w:val="24"/>
          <w:highlight w:val="none"/>
          <w14:textFill>
            <w14:solidFill>
              <w14:schemeClr w14:val="tx1"/>
            </w14:solidFill>
          </w14:textFill>
        </w:rPr>
        <w:t>钻井泥浆、岩屑一同进入井队固控系统进行分离处理，分离后的液体统一转运至阿克苏塔河环保工程有限公司绿色环保工作站处置。</w:t>
      </w:r>
    </w:p>
    <w:p w14:paraId="3A97896C">
      <w:pPr>
        <w:pStyle w:val="64"/>
        <w:keepNext w:val="0"/>
        <w:keepLines w:val="0"/>
        <w:pageBreakBefore w:val="0"/>
        <w:kinsoku/>
        <w:wordWrap/>
        <w:overflowPunct/>
        <w:autoSpaceDE/>
        <w:autoSpaceDN/>
        <w:bidi w:val="0"/>
        <w:adjustRightInd w:val="0"/>
        <w:snapToGrid w:val="0"/>
        <w:spacing w:after="0" w:line="360" w:lineRule="auto"/>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5"/>
          <w:szCs w:val="25"/>
          <w:highlight w:val="none"/>
          <w14:textFill>
            <w14:solidFill>
              <w14:schemeClr w14:val="tx1"/>
            </w14:solidFill>
          </w14:textFill>
        </w:rPr>
        <w:t>②</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钻井岩屑</w:t>
      </w:r>
    </w:p>
    <w:p w14:paraId="401BE1CB">
      <w:pPr>
        <w:pStyle w:val="11"/>
        <w:pageBreakBefore w:val="0"/>
        <w:kinsoku/>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113" w:name="OLE_LINK1423"/>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钻井泥浆、岩屑一同进入井队固控系统进行分离处理，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分离后的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岩屑进入随钻不落地处理技术进行就地无害化处理，经处置检测合格并按规定进行留样，满足《油气田钻井固体废物综合利用污染控制要求》（DB65/T3997-2017）中综合利用污染物限值要求后用于铺垫油区内的井场、道路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油基泥浆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委托有资质单位拉运处置</w:t>
      </w:r>
      <w:bookmarkEnd w:id="1113"/>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8147295">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kern w:val="2"/>
          <w:sz w:val="24"/>
          <w:szCs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fldChar w:fldCharType="begin"/>
      </w:r>
      <w:r>
        <w:rPr>
          <w:color w:val="000000" w:themeColor="text1"/>
          <w:kern w:val="2"/>
          <w:sz w:val="24"/>
          <w:szCs w:val="24"/>
          <w:highlight w:val="none"/>
          <w14:textFill>
            <w14:solidFill>
              <w14:schemeClr w14:val="tx1"/>
            </w14:solidFill>
          </w14:textFill>
        </w:rPr>
        <w:instrText xml:space="preserve"> = 3 \* GB3 \* MERGEFORMAT </w:instrText>
      </w:r>
      <w:r>
        <w:rPr>
          <w:color w:val="000000" w:themeColor="text1"/>
          <w:kern w:val="2"/>
          <w:sz w:val="24"/>
          <w:szCs w:val="24"/>
          <w:highlight w:val="none"/>
          <w14:textFill>
            <w14:solidFill>
              <w14:schemeClr w14:val="tx1"/>
            </w14:solidFill>
          </w14:textFill>
        </w:rPr>
        <w:fldChar w:fldCharType="separate"/>
      </w:r>
      <w:r>
        <w:rPr>
          <w:rFonts w:hint="eastAsia" w:ascii="宋体" w:hAnsi="宋体" w:cs="宋体"/>
          <w:color w:val="000000" w:themeColor="text1"/>
          <w:kern w:val="2"/>
          <w:sz w:val="24"/>
          <w:szCs w:val="24"/>
          <w:highlight w:val="none"/>
          <w14:textFill>
            <w14:solidFill>
              <w14:schemeClr w14:val="tx1"/>
            </w14:solidFill>
          </w14:textFill>
        </w:rPr>
        <w:t>③</w:t>
      </w:r>
      <w:r>
        <w:rPr>
          <w:color w:val="000000" w:themeColor="text1"/>
          <w:kern w:val="2"/>
          <w:sz w:val="24"/>
          <w:szCs w:val="24"/>
          <w:highlight w:val="none"/>
          <w14:textFill>
            <w14:solidFill>
              <w14:schemeClr w14:val="tx1"/>
            </w14:solidFill>
          </w14:textFill>
        </w:rPr>
        <w:fldChar w:fldCharType="end"/>
      </w:r>
      <w:r>
        <w:rPr>
          <w:color w:val="000000" w:themeColor="text1"/>
          <w:kern w:val="2"/>
          <w:sz w:val="24"/>
          <w:szCs w:val="24"/>
          <w:highlight w:val="none"/>
          <w14:textFill>
            <w14:solidFill>
              <w14:schemeClr w14:val="tx1"/>
            </w14:solidFill>
          </w14:textFill>
        </w:rPr>
        <w:t>落地油</w:t>
      </w:r>
    </w:p>
    <w:p w14:paraId="6BEF5490">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落地油主要来自突发环境事件和</w:t>
      </w:r>
      <w:r>
        <w:rPr>
          <w:rFonts w:hint="eastAsia" w:cs="Times New Roman"/>
          <w:color w:val="000000" w:themeColor="text1"/>
          <w:kern w:val="0"/>
          <w:sz w:val="24"/>
          <w:szCs w:val="24"/>
          <w:highlight w:val="none"/>
          <w:lang w:val="en-US" w:eastAsia="zh-CN" w:bidi="ar-SA"/>
          <w14:textFill>
            <w14:solidFill>
              <w14:schemeClr w14:val="tx1"/>
            </w14:solidFill>
          </w14:textFill>
        </w:rPr>
        <w:t>油气</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处理环节等，属于《国家危险废物名录（2025年版）》，HW08类危险废物（废物代码：071-001-08）。落地油不在</w:t>
      </w:r>
      <w:r>
        <w:rPr>
          <w:rFonts w:hint="eastAsia" w:cs="Times New Roman"/>
          <w:color w:val="000000" w:themeColor="text1"/>
          <w:kern w:val="0"/>
          <w:sz w:val="24"/>
          <w:szCs w:val="24"/>
          <w:highlight w:val="none"/>
          <w:lang w:val="en-US" w:eastAsia="zh-CN" w:bidi="ar-SA"/>
          <w14:textFill>
            <w14:solidFill>
              <w14:schemeClr w14:val="tx1"/>
            </w14:solidFill>
          </w14:textFill>
        </w:rPr>
        <w:t>施工现场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储存，直接在作业施工现场由施工人员回收至罐车内，罐车采用密闭的专用罐车，统一由阿克苏塔河环保工程有限公司绿色环保工作站进行无害化处理。严格按照《危险废物贮存污染控制标准》（GB18597-2023）、《危险废物收集</w:t>
      </w:r>
      <w:r>
        <w:rPr>
          <w:rFonts w:hint="eastAsia" w:cs="Times New Roman"/>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贮存</w:t>
      </w:r>
      <w:r>
        <w:rPr>
          <w:rFonts w:hint="eastAsia" w:cs="Times New Roman"/>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运输技术规范》（HJ2025-2012）和《危险废物转移管理办法》</w:t>
      </w:r>
      <w:r>
        <w:rPr>
          <w:rFonts w:hint="eastAsia" w:cs="Times New Roman"/>
          <w:color w:val="000000" w:themeColor="text1"/>
          <w:kern w:val="0"/>
          <w:sz w:val="24"/>
          <w:szCs w:val="24"/>
          <w:highlight w:val="none"/>
          <w:lang w:val="en-US" w:eastAsia="zh-CN" w:bidi="ar-SA"/>
          <w14:textFill>
            <w14:solidFill>
              <w14:schemeClr w14:val="tx1"/>
            </w14:solidFill>
          </w14:textFill>
        </w:rPr>
        <w:t>（生态环境部、公安部、交通运输部令第23号）</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中的相关要求收集、贮存、运输</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2B35FF01">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④废润滑油</w:t>
      </w:r>
    </w:p>
    <w:p w14:paraId="7E958158">
      <w:pPr>
        <w:pStyle w:val="11"/>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废润滑油主要来自设备维修过程，属于《国家危险废物名录（2025年版）》，HW08类危险废物（废物代码：900-214-08）。废润滑油间歇产生，收集后自行利用回注系统或委托持有危险废物经营许可证的单位利用处置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6C51004A">
      <w:pPr>
        <w:pStyle w:val="64"/>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baseline"/>
        <w:outlineLvl w:val="9"/>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5"/>
          <w:szCs w:val="25"/>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5"/>
          <w:szCs w:val="25"/>
          <w:highlight w:val="none"/>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5"/>
          <w:szCs w:val="25"/>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⑥</w:t>
      </w:r>
      <w:r>
        <w:rPr>
          <w:rFonts w:hint="default" w:ascii="Times New Roman" w:hAnsi="Times New Roman" w:eastAsia="宋体" w:cs="Times New Roman"/>
          <w:color w:val="000000" w:themeColor="text1"/>
          <w:sz w:val="25"/>
          <w:szCs w:val="25"/>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施工废料</w:t>
      </w:r>
    </w:p>
    <w:p w14:paraId="34C6EA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施工废料主要包括管材边角料等。施工废料应首先考虑回收利用，不可回收利用部分由库车绿能环保科技有限公司拉运至库车经济开发区工业固废填埋场合规处置。</w:t>
      </w:r>
    </w:p>
    <w:p w14:paraId="23597305">
      <w:pPr>
        <w:pStyle w:val="65"/>
        <w:pageBreakBefore w:val="0"/>
        <w:kinsoku/>
        <w:overflowPunct/>
        <w:topLinePunct w:val="0"/>
        <w:autoSpaceDE/>
        <w:autoSpaceDN/>
        <w:bidi w:val="0"/>
        <w:adjustRightInd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begin"/>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⑦</w:t>
      </w:r>
      <w:r>
        <w:rPr>
          <w:rFonts w:hint="default" w:ascii="Times New Roman" w:hAnsi="Times New Roman" w:eastAsia="宋体" w:cs="Times New Roman"/>
          <w:color w:val="000000" w:themeColor="text1"/>
          <w:kern w:val="2"/>
          <w:sz w:val="25"/>
          <w:szCs w:val="25"/>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土石方平衡</w:t>
      </w:r>
    </w:p>
    <w:p w14:paraId="59E483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本工程挖方量</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全部用于回填，场地平整</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bookmarkEnd w:id="1107"/>
    <w:bookmarkEnd w:id="1108"/>
    <w:bookmarkEnd w:id="1109"/>
    <w:bookmarkEnd w:id="1110"/>
    <w:bookmarkEnd w:id="1111"/>
    <w:p w14:paraId="1F73656D">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5.7.</w:t>
      </w:r>
      <w:r>
        <w:rPr>
          <w:rFonts w:hint="eastAsia" w:ascii="Times New Roman" w:hAnsi="Times New Roman" w:cs="Times New Roman"/>
          <w:color w:val="000000" w:themeColor="text1"/>
          <w:highlight w:val="none"/>
          <w:lang w:val="en-US" w:eastAsia="zh-CN"/>
          <w14:textFill>
            <w14:solidFill>
              <w14:schemeClr w14:val="tx1"/>
            </w14:solidFill>
          </w14:textFill>
        </w:rPr>
        <w:t>2</w:t>
      </w:r>
      <w:bookmarkStart w:id="1114" w:name="OLE_LINK851"/>
      <w:r>
        <w:rPr>
          <w:rFonts w:hint="default" w:ascii="Times New Roman" w:hAnsi="Times New Roman" w:cs="Times New Roman"/>
          <w:color w:val="000000" w:themeColor="text1"/>
          <w:highlight w:val="none"/>
          <w14:textFill>
            <w14:solidFill>
              <w14:schemeClr w14:val="tx1"/>
            </w14:solidFill>
          </w14:textFill>
        </w:rPr>
        <w:t>运营期</w:t>
      </w:r>
      <w:bookmarkEnd w:id="1114"/>
      <w:r>
        <w:rPr>
          <w:rFonts w:hint="default" w:ascii="Times New Roman" w:hAnsi="Times New Roman" w:cs="Times New Roman"/>
          <w:color w:val="000000" w:themeColor="text1"/>
          <w:highlight w:val="none"/>
          <w14:textFill>
            <w14:solidFill>
              <w14:schemeClr w14:val="tx1"/>
            </w14:solidFill>
          </w14:textFill>
        </w:rPr>
        <w:t>固体废物影响分析</w:t>
      </w:r>
    </w:p>
    <w:p w14:paraId="53288E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本工程运营期产生的危险废物主要有</w:t>
      </w:r>
      <w:r>
        <w:rPr>
          <w:rFonts w:hint="eastAsia" w:cs="Times New Roman"/>
          <w:color w:val="000000" w:themeColor="text1"/>
          <w:sz w:val="24"/>
          <w:szCs w:val="24"/>
          <w:highlight w:val="none"/>
          <w:lang w:val="en-US" w:eastAsia="zh-CN"/>
          <w14:textFill>
            <w14:solidFill>
              <w14:schemeClr w14:val="tx1"/>
            </w14:solidFill>
          </w14:textFill>
        </w:rPr>
        <w:t>废弃油基泥浆、</w:t>
      </w:r>
      <w:r>
        <w:rPr>
          <w:rFonts w:hint="default" w:ascii="Times New Roman" w:hAnsi="Times New Roman" w:eastAsia="宋体" w:cs="Times New Roman"/>
          <w:color w:val="000000" w:themeColor="text1"/>
          <w:sz w:val="24"/>
          <w:szCs w:val="24"/>
          <w:highlight w:val="none"/>
          <w14:textFill>
            <w14:solidFill>
              <w14:schemeClr w14:val="tx1"/>
            </w14:solidFill>
          </w14:textFill>
        </w:rPr>
        <w:t>落地油、</w:t>
      </w:r>
      <w:r>
        <w:rPr>
          <w:rFonts w:hint="eastAsia" w:ascii="Times New Roman" w:hAnsi="Times New Roman" w:eastAsia="宋体" w:cs="Times New Roman"/>
          <w:color w:val="000000" w:themeColor="text1"/>
          <w:sz w:val="24"/>
          <w:szCs w:val="24"/>
          <w:highlight w:val="none"/>
          <w14:textFill>
            <w14:solidFill>
              <w14:schemeClr w14:val="tx1"/>
            </w14:solidFill>
          </w14:textFill>
        </w:rPr>
        <w:t>废防渗材料、清罐底泥</w:t>
      </w:r>
      <w:r>
        <w:rPr>
          <w:rFonts w:hint="eastAsia" w:eastAsia="宋体" w:cs="Times New Roman"/>
          <w:color w:val="000000" w:themeColor="text1"/>
          <w:highlight w:val="none"/>
          <w:lang w:val="en-US" w:eastAsia="zh-CN"/>
          <w14:textFill>
            <w14:solidFill>
              <w14:schemeClr w14:val="tx1"/>
            </w14:solidFill>
          </w14:textFill>
        </w:rPr>
        <w:t>和</w:t>
      </w:r>
      <w:r>
        <w:rPr>
          <w:rFonts w:hint="eastAsia" w:eastAsia="宋体" w:cs="Times New Roman"/>
          <w:color w:val="000000" w:themeColor="text1"/>
          <w:highlight w:val="none"/>
          <w:lang w:eastAsia="zh-CN"/>
          <w14:textFill>
            <w14:solidFill>
              <w14:schemeClr w14:val="tx1"/>
            </w14:solidFill>
          </w14:textFill>
        </w:rPr>
        <w:t>废润滑油</w:t>
      </w:r>
      <w:r>
        <w:rPr>
          <w:rFonts w:hint="default" w:ascii="Times New Roman" w:hAnsi="Times New Roman" w:eastAsia="宋体" w:cs="Times New Roman"/>
          <w:color w:val="000000" w:themeColor="text1"/>
          <w:sz w:val="24"/>
          <w:szCs w:val="24"/>
          <w:highlight w:val="none"/>
          <w14:textFill>
            <w14:solidFill>
              <w14:schemeClr w14:val="tx1"/>
            </w14:solidFill>
          </w14:textFill>
        </w:rPr>
        <w:t>等。</w:t>
      </w:r>
    </w:p>
    <w:p w14:paraId="5F86A4F9">
      <w:pPr>
        <w:pStyle w:val="6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bookmarkStart w:id="1115" w:name="OLE_LINK852"/>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油基泥浆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委托有资质单位拉运处置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5A28233">
      <w:pPr>
        <w:pStyle w:val="6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落地油</w:t>
      </w:r>
      <w:bookmarkEnd w:id="1115"/>
    </w:p>
    <w:p w14:paraId="29DBB88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落地油主要</w:t>
      </w:r>
      <w:r>
        <w:rPr>
          <w:rFonts w:hint="default" w:ascii="Times New Roman" w:hAnsi="Times New Roman" w:cs="Times New Roman"/>
          <w:color w:val="000000" w:themeColor="text1"/>
          <w:highlight w:val="none"/>
          <w14:textFill>
            <w14:solidFill>
              <w14:schemeClr w14:val="tx1"/>
            </w14:solidFill>
          </w14:textFill>
        </w:rPr>
        <w:t>来自</w:t>
      </w:r>
      <w:r>
        <w:rPr>
          <w:rFonts w:hint="eastAsia" w:cs="Times New Roman"/>
          <w:color w:val="000000" w:themeColor="text1"/>
          <w:highlight w:val="none"/>
          <w:lang w:val="en-US" w:eastAsia="zh-CN"/>
          <w14:textFill>
            <w14:solidFill>
              <w14:schemeClr w14:val="tx1"/>
            </w14:solidFill>
          </w14:textFill>
        </w:rPr>
        <w:t>井下作业环节</w:t>
      </w:r>
      <w:r>
        <w:rPr>
          <w:rFonts w:hint="default" w:ascii="Times New Roman" w:hAnsi="Times New Roman" w:cs="Times New Roman"/>
          <w:color w:val="000000" w:themeColor="text1"/>
          <w:highlight w:val="none"/>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油气</w:t>
      </w:r>
      <w:r>
        <w:rPr>
          <w:rFonts w:hint="default" w:ascii="Times New Roman" w:hAnsi="Times New Roman" w:cs="Times New Roman"/>
          <w:color w:val="000000" w:themeColor="text1"/>
          <w:highlight w:val="none"/>
          <w14:textFill>
            <w14:solidFill>
              <w14:schemeClr w14:val="tx1"/>
            </w14:solidFill>
          </w14:textFill>
        </w:rPr>
        <w:t>处理环节等</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w:t>
      </w:r>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HW08废矿物油与含矿物油废物</w:t>
      </w:r>
      <w:r>
        <w:rPr>
          <w:rFonts w:hint="default"/>
          <w:color w:val="000000" w:themeColor="text1"/>
          <w:highlight w:val="none"/>
          <w:lang w:eastAsia="zh-CN"/>
          <w14:textFill>
            <w14:solidFill>
              <w14:schemeClr w14:val="tx1"/>
            </w14:solidFill>
          </w14:textFill>
        </w:rPr>
        <w:t>（废物代码：</w:t>
      </w:r>
      <w:r>
        <w:rPr>
          <w:rFonts w:hint="default"/>
          <w:color w:val="000000" w:themeColor="text1"/>
          <w:highlight w:val="none"/>
          <w14:textFill>
            <w14:solidFill>
              <w14:schemeClr w14:val="tx1"/>
            </w14:solidFill>
          </w14:textFill>
        </w:rPr>
        <w:t>071-001-08</w:t>
      </w:r>
      <w:r>
        <w:rPr>
          <w:rFonts w:hint="default"/>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15CCCE1">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本</w:t>
      </w:r>
      <w:r>
        <w:rPr>
          <w:rFonts w:hint="eastAsia" w:cs="Times New Roman"/>
          <w:snapToGrid w:val="0"/>
          <w:color w:val="000000" w:themeColor="text1"/>
          <w:spacing w:val="4"/>
          <w:szCs w:val="22"/>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spacing w:val="4"/>
          <w:szCs w:val="22"/>
          <w:highlight w:val="none"/>
          <w14:textFill>
            <w14:solidFill>
              <w14:schemeClr w14:val="tx1"/>
            </w14:solidFill>
          </w14:textFill>
        </w:rPr>
        <w:t>井下作业时带罐作业，防止产生落地油，井口排出物全部进罐，做到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cs="Times New Roman"/>
          <w:snapToGrid w:val="0"/>
          <w:color w:val="000000" w:themeColor="text1"/>
          <w:spacing w:val="4"/>
          <w:szCs w:val="22"/>
          <w:highlight w:val="none"/>
          <w14:textFill>
            <w14:solidFill>
              <w14:schemeClr w14:val="tx1"/>
            </w14:solidFill>
          </w14:textFill>
        </w:rPr>
        <w:t>100%回收</w:t>
      </w:r>
      <w:r>
        <w:rPr>
          <w:rFonts w:hint="eastAsia"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落地油不在施工井场储存，直接在作业施工现场由施工人员回收至密闭的专用罐车内，</w:t>
      </w:r>
      <w:r>
        <w:rPr>
          <w:rFonts w:hint="default" w:ascii="Times New Roman" w:hAnsi="Times New Roman" w:cs="Times New Roman"/>
          <w:snapToGrid w:val="0"/>
          <w:color w:val="000000" w:themeColor="text1"/>
          <w:spacing w:val="4"/>
          <w:szCs w:val="22"/>
          <w:highlight w:val="none"/>
          <w14:textFill>
            <w14:solidFill>
              <w14:schemeClr w14:val="tx1"/>
            </w14:solidFill>
          </w14:textFill>
        </w:rPr>
        <w:t>统一由阿克苏塔河环保工程有限公司绿色环保工作站进行无害化处理。严格按照《危险废物贮存污染控制标准》</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GB18597-2023</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《危险废物收集</w:t>
      </w:r>
      <w:r>
        <w:rPr>
          <w:rFonts w:hint="default" w:ascii="Times New Roman" w:hAnsi="Times New Roman" w:cs="Times New Roman"/>
          <w:snapToGrid w:val="0"/>
          <w:color w:val="000000" w:themeColor="text1"/>
          <w:spacing w:val="4"/>
          <w:szCs w:val="22"/>
          <w:highlight w:val="none"/>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pacing w:val="4"/>
          <w:szCs w:val="22"/>
          <w:highlight w:val="none"/>
          <w14:textFill>
            <w14:solidFill>
              <w14:schemeClr w14:val="tx1"/>
            </w14:solidFill>
          </w14:textFill>
        </w:rPr>
        <w:t>贮存</w:t>
      </w:r>
      <w:r>
        <w:rPr>
          <w:rFonts w:hint="default" w:ascii="Times New Roman" w:hAnsi="Times New Roman" w:cs="Times New Roman"/>
          <w:snapToGrid w:val="0"/>
          <w:color w:val="000000" w:themeColor="text1"/>
          <w:spacing w:val="4"/>
          <w:szCs w:val="22"/>
          <w:highlight w:val="none"/>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pacing w:val="4"/>
          <w:szCs w:val="22"/>
          <w:highlight w:val="none"/>
          <w14:textFill>
            <w14:solidFill>
              <w14:schemeClr w14:val="tx1"/>
            </w14:solidFill>
          </w14:textFill>
        </w:rPr>
        <w:t>运输技术规范》</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HJ2025-2012</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和《危险废物转移管理办法》</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中的相关要求收集、贮存、运输</w:t>
      </w:r>
      <w:r>
        <w:rPr>
          <w:rFonts w:hint="default" w:ascii="Times New Roman" w:hAnsi="Times New Roman" w:cs="Times New Roman"/>
          <w:color w:val="000000" w:themeColor="text1"/>
          <w:highlight w:val="none"/>
          <w14:textFill>
            <w14:solidFill>
              <w14:schemeClr w14:val="tx1"/>
            </w14:solidFill>
          </w14:textFill>
        </w:rPr>
        <w:t>。</w:t>
      </w:r>
    </w:p>
    <w:p w14:paraId="6481B97E">
      <w:pPr>
        <w:pStyle w:val="6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bookmarkStart w:id="1116" w:name="OLE_LINK854"/>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3 \* GB3 \* MERGEFORMAT </w:instrTex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废防渗材料</w:t>
      </w:r>
      <w:bookmarkEnd w:id="1116"/>
    </w:p>
    <w:p w14:paraId="0E14C23C">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废防渗材料主要来自作业过程</w:t>
      </w:r>
      <w:r>
        <w:rPr>
          <w:rFonts w:hint="eastAsia" w:eastAsia="宋体" w:cs="Times New Roman"/>
          <w:snapToGrid w:val="0"/>
          <w:color w:val="000000" w:themeColor="text1"/>
          <w:spacing w:val="4"/>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w:t>
      </w:r>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HW08废矿物油与含矿物油废物</w:t>
      </w:r>
      <w:r>
        <w:rPr>
          <w:rFonts w:hint="default"/>
          <w:color w:val="000000" w:themeColor="text1"/>
          <w:highlight w:val="none"/>
          <w:lang w:eastAsia="zh-CN"/>
          <w14:textFill>
            <w14:solidFill>
              <w14:schemeClr w14:val="tx1"/>
            </w14:solidFill>
          </w14:textFill>
        </w:rPr>
        <w:t>（废物代码：</w:t>
      </w:r>
      <w:r>
        <w:rPr>
          <w:rFonts w:hint="default"/>
          <w:color w:val="000000" w:themeColor="text1"/>
          <w:highlight w:val="none"/>
          <w14:textFill>
            <w14:solidFill>
              <w14:schemeClr w14:val="tx1"/>
            </w14:solidFill>
          </w14:textFill>
        </w:rPr>
        <w:t>900-249-08</w:t>
      </w:r>
      <w:r>
        <w:rPr>
          <w:rFonts w:hint="default"/>
          <w:color w:val="000000" w:themeColor="text1"/>
          <w:highlight w:val="none"/>
          <w:lang w:eastAsia="zh-CN"/>
          <w14:textFill>
            <w14:solidFill>
              <w14:schemeClr w14:val="tx1"/>
            </w14:solidFill>
          </w14:textFill>
        </w:rPr>
        <w:t>）</w:t>
      </w:r>
      <w:r>
        <w:rPr>
          <w:rFonts w:hint="eastAsia" w:eastAsia="宋体" w:cs="Times New Roman"/>
          <w:snapToGrid w:val="0"/>
          <w:color w:val="000000" w:themeColor="text1"/>
          <w:spacing w:val="4"/>
          <w:sz w:val="24"/>
          <w:szCs w:val="22"/>
          <w:highlight w:val="none"/>
          <w:lang w:val="en-US" w:eastAsia="zh-CN" w:bidi="ar-SA"/>
          <w14:textFill>
            <w14:solidFill>
              <w14:schemeClr w14:val="tx1"/>
            </w14:solidFill>
          </w14:textFill>
        </w:rPr>
        <w:t>。</w:t>
      </w:r>
    </w:p>
    <w:p w14:paraId="7C720A4E">
      <w:pPr>
        <w:pStyle w:val="11"/>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运营期作业时，作业场地下方铺设防渗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，产生的落地油直接落在防渗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上，目前油田使用的防渗</w:t>
      </w:r>
      <w:r>
        <w:rPr>
          <w:rFonts w:hint="eastAsia"/>
          <w:color w:val="000000" w:themeColor="text1"/>
          <w:highlight w:val="none"/>
          <w14:textFill>
            <w14:solidFill>
              <w14:schemeClr w14:val="tx1"/>
            </w14:solidFill>
          </w14:textFill>
        </w:rPr>
        <w:t>材料</w:t>
      </w:r>
      <w:r>
        <w:rPr>
          <w:rFonts w:hint="default" w:ascii="Times New Roman" w:hAnsi="Times New Roman" w:cs="Times New Roman"/>
          <w:color w:val="000000" w:themeColor="text1"/>
          <w:highlight w:val="none"/>
          <w14:textFill>
            <w14:solidFill>
              <w14:schemeClr w14:val="tx1"/>
            </w14:solidFill>
          </w14:textFill>
        </w:rPr>
        <w:t>均可重复利用，平均重复利用1</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2年。作业施工结束后，由施工单位将废弃的</w:t>
      </w:r>
      <w:r>
        <w:rPr>
          <w:rFonts w:hint="default" w:ascii="Times New Roman" w:hAnsi="Times New Roman" w:eastAsia="宋体" w:cs="Times New Roman"/>
          <w:snapToGrid w:val="0"/>
          <w:color w:val="000000" w:themeColor="text1"/>
          <w:spacing w:val="4"/>
          <w:sz w:val="24"/>
          <w:szCs w:val="22"/>
          <w:highlight w:val="none"/>
          <w:lang w:val="en-US" w:eastAsia="zh-CN" w:bidi="ar-SA"/>
          <w14:textFill>
            <w14:solidFill>
              <w14:schemeClr w14:val="tx1"/>
            </w14:solidFill>
          </w14:textFill>
        </w:rPr>
        <w:t>废防渗材料</w:t>
      </w:r>
      <w:r>
        <w:rPr>
          <w:rFonts w:hint="default" w:ascii="Times New Roman" w:hAnsi="Times New Roman" w:cs="Times New Roman"/>
          <w:color w:val="000000" w:themeColor="text1"/>
          <w:highlight w:val="none"/>
          <w14:textFill>
            <w14:solidFill>
              <w14:schemeClr w14:val="tx1"/>
            </w14:solidFill>
          </w14:textFill>
        </w:rPr>
        <w:t>集中收集，不在井场贮存，委托持有危险废物经营许可证的</w:t>
      </w:r>
      <w:r>
        <w:rPr>
          <w:rFonts w:hint="eastAsia" w:ascii="Times New Roman" w:hAnsi="Times New Roman" w:cs="Times New Roman"/>
          <w:color w:val="000000" w:themeColor="text1"/>
          <w:highlight w:val="none"/>
          <w:lang w:eastAsia="zh-CN"/>
          <w14:textFill>
            <w14:solidFill>
              <w14:schemeClr w14:val="tx1"/>
            </w14:solidFill>
          </w14:textFill>
        </w:rPr>
        <w:t>单位利用处置</w:t>
      </w:r>
      <w:r>
        <w:rPr>
          <w:rFonts w:hint="default" w:ascii="Times New Roman" w:hAnsi="Times New Roman" w:cs="Times New Roman"/>
          <w:color w:val="000000" w:themeColor="text1"/>
          <w:highlight w:val="none"/>
          <w14:textFill>
            <w14:solidFill>
              <w14:schemeClr w14:val="tx1"/>
            </w14:solidFill>
          </w14:textFill>
        </w:rPr>
        <w:t>，拉运过程中持有危险废物经营许可证的单位应使用专车、按照指定的拉运路线。</w:t>
      </w:r>
    </w:p>
    <w:p w14:paraId="4EE28CF2">
      <w:pPr>
        <w:pageBreakBefore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color w:val="000000" w:themeColor="text1"/>
          <w:highlight w:val="none"/>
          <w:lang w:eastAsia="zh-CN"/>
          <w14:textFill>
            <w14:solidFill>
              <w14:schemeClr w14:val="tx1"/>
            </w14:solidFill>
          </w14:textFill>
        </w:rPr>
      </w:pPr>
      <w:r>
        <w:rPr>
          <w:rFonts w:hint="eastAsia" w:eastAsia="宋体" w:cs="Times New Roman"/>
          <w:color w:val="000000" w:themeColor="text1"/>
          <w:highlight w:val="none"/>
          <w:lang w:eastAsia="zh-CN"/>
          <w14:textFill>
            <w14:solidFill>
              <w14:schemeClr w14:val="tx1"/>
            </w14:solidFill>
          </w14:textFill>
        </w:rPr>
        <w:fldChar w:fldCharType="begin"/>
      </w:r>
      <w:r>
        <w:rPr>
          <w:rFonts w:hint="eastAsia" w:eastAsia="宋体" w:cs="Times New Roman"/>
          <w:color w:val="000000" w:themeColor="text1"/>
          <w:highlight w:val="none"/>
          <w:lang w:eastAsia="zh-CN"/>
          <w14:textFill>
            <w14:solidFill>
              <w14:schemeClr w14:val="tx1"/>
            </w14:solidFill>
          </w14:textFill>
        </w:rPr>
        <w:instrText xml:space="preserve"> = 4 \* GB3 \* MERGEFORMAT </w:instrText>
      </w:r>
      <w:r>
        <w:rPr>
          <w:rFonts w:hint="eastAsia" w:eastAsia="宋体" w:cs="Times New Roman"/>
          <w:color w:val="000000" w:themeColor="text1"/>
          <w:highlight w:val="none"/>
          <w:lang w:eastAsia="zh-CN"/>
          <w14:textFill>
            <w14:solidFill>
              <w14:schemeClr w14:val="tx1"/>
            </w14:solidFill>
          </w14:textFill>
        </w:rPr>
        <w:fldChar w:fldCharType="separate"/>
      </w:r>
      <w:r>
        <w:rPr>
          <w:color w:val="000000" w:themeColor="text1"/>
          <w:highlight w:val="none"/>
          <w14:textFill>
            <w14:solidFill>
              <w14:schemeClr w14:val="tx1"/>
            </w14:solidFill>
          </w14:textFill>
        </w:rPr>
        <w:t>④</w:t>
      </w:r>
      <w:r>
        <w:rPr>
          <w:rFonts w:hint="eastAsia" w:eastAsia="宋体" w:cs="Times New Roman"/>
          <w:color w:val="000000" w:themeColor="text1"/>
          <w:highlight w:val="none"/>
          <w:lang w:eastAsia="zh-CN"/>
          <w14:textFill>
            <w14:solidFill>
              <w14:schemeClr w14:val="tx1"/>
            </w14:solidFill>
          </w14:textFill>
        </w:rPr>
        <w:fldChar w:fldCharType="end"/>
      </w:r>
      <w:r>
        <w:rPr>
          <w:rFonts w:hint="eastAsia" w:cs="Times New Roman"/>
          <w:color w:val="000000" w:themeColor="text1"/>
          <w:highlight w:val="none"/>
          <w:lang w:eastAsia="zh-CN"/>
          <w14:textFill>
            <w14:solidFill>
              <w14:schemeClr w14:val="tx1"/>
            </w14:solidFill>
          </w14:textFill>
        </w:rPr>
        <w:t>清罐底泥</w:t>
      </w:r>
    </w:p>
    <w:p w14:paraId="1EF4C3F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清罐底泥主要来自井场储罐和天然气</w:t>
      </w:r>
      <w:r>
        <w:rPr>
          <w:rFonts w:hint="eastAsia" w:cs="Times New Roman"/>
          <w:color w:val="000000" w:themeColor="text1"/>
          <w:highlight w:val="none"/>
          <w:lang w:val="en-US" w:eastAsia="zh-CN"/>
          <w14:textFill>
            <w14:solidFill>
              <w14:schemeClr w14:val="tx1"/>
            </w14:solidFill>
          </w14:textFill>
        </w:rPr>
        <w:t>处理装置</w:t>
      </w:r>
      <w:r>
        <w:rPr>
          <w:rFonts w:hint="eastAsia" w:cs="Times New Roman"/>
          <w:color w:val="000000" w:themeColor="text1"/>
          <w:highlight w:val="none"/>
          <w:lang w:eastAsia="zh-CN"/>
          <w14:textFill>
            <w14:solidFill>
              <w14:schemeClr w14:val="tx1"/>
            </w14:solidFill>
          </w14:textFill>
        </w:rPr>
        <w:t>排污罐。</w:t>
      </w:r>
      <w:r>
        <w:rPr>
          <w:rFonts w:hint="eastAsia"/>
          <w:color w:val="000000" w:themeColor="text1"/>
          <w:highlight w:val="none"/>
          <w:lang w:val="en-US" w:eastAsia="zh-CN"/>
          <w14:textFill>
            <w14:solidFill>
              <w14:schemeClr w14:val="tx1"/>
            </w14:solidFill>
          </w14:textFill>
        </w:rPr>
        <w:t>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w:t>
      </w:r>
      <w:r>
        <w:rPr>
          <w:rFonts w:hint="default"/>
          <w:color w:val="000000" w:themeColor="text1"/>
          <w:highlight w:val="none"/>
          <w14:textFill>
            <w14:solidFill>
              <w14:schemeClr w14:val="tx1"/>
            </w14:solidFill>
          </w14:textFill>
        </w:rPr>
        <w:t>废物类别</w:t>
      </w: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HW08废矿物油与含矿物油废物</w:t>
      </w:r>
      <w:r>
        <w:rPr>
          <w:rFonts w:hint="default"/>
          <w:color w:val="000000" w:themeColor="text1"/>
          <w:highlight w:val="none"/>
          <w:lang w:eastAsia="zh-CN"/>
          <w14:textFill>
            <w14:solidFill>
              <w14:schemeClr w14:val="tx1"/>
            </w14:solidFill>
          </w14:textFill>
        </w:rPr>
        <w:t>（废物代码：</w:t>
      </w:r>
      <w:r>
        <w:rPr>
          <w:rFonts w:hint="default"/>
          <w:color w:val="000000" w:themeColor="text1"/>
          <w:highlight w:val="none"/>
          <w14:textFill>
            <w14:solidFill>
              <w14:schemeClr w14:val="tx1"/>
            </w14:solidFill>
          </w14:textFill>
        </w:rPr>
        <w:t>071-001-08</w:t>
      </w:r>
      <w:r>
        <w:rPr>
          <w:rFonts w:hint="default"/>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。清罐底泥直接在作业施工现场由施工人员回收至密闭的专用罐车内，</w:t>
      </w:r>
      <w:r>
        <w:rPr>
          <w:rFonts w:hint="default" w:ascii="Times New Roman" w:hAnsi="Times New Roman" w:cs="Times New Roman"/>
          <w:color w:val="000000" w:themeColor="text1"/>
          <w:highlight w:val="none"/>
          <w14:textFill>
            <w14:solidFill>
              <w14:schemeClr w14:val="tx1"/>
            </w14:solidFill>
          </w14:textFill>
        </w:rPr>
        <w:t>委托持有危险废物经营许可证的</w:t>
      </w:r>
      <w:r>
        <w:rPr>
          <w:rFonts w:hint="eastAsia" w:cs="Times New Roman"/>
          <w:color w:val="000000" w:themeColor="text1"/>
          <w:highlight w:val="none"/>
          <w:lang w:eastAsia="zh-CN"/>
          <w14:textFill>
            <w14:solidFill>
              <w14:schemeClr w14:val="tx1"/>
            </w14:solidFill>
          </w14:textFill>
        </w:rPr>
        <w:t>单位利用处置</w:t>
      </w:r>
      <w:r>
        <w:rPr>
          <w:rFonts w:hint="eastAsia" w:cs="Times New Roman"/>
          <w:color w:val="000000" w:themeColor="text1"/>
          <w:highlight w:val="none"/>
          <w:lang w:val="en-US" w:eastAsia="zh-CN"/>
          <w14:textFill>
            <w14:solidFill>
              <w14:schemeClr w14:val="tx1"/>
            </w14:solidFill>
          </w14:textFill>
        </w:rPr>
        <w:t>。</w:t>
      </w:r>
    </w:p>
    <w:p w14:paraId="0C5FFBD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000000" w:themeColor="text1"/>
          <w:highlight w:val="none"/>
          <w:lang w:eastAsia="zh-CN"/>
          <w14:textFill>
            <w14:solidFill>
              <w14:schemeClr w14:val="tx1"/>
            </w14:solidFill>
          </w14:textFill>
        </w:rPr>
      </w:pPr>
      <w:bookmarkStart w:id="1117" w:name="OLE_LINK666"/>
      <w:r>
        <w:rPr>
          <w:rFonts w:hint="eastAsia" w:eastAsia="宋体" w:cs="Times New Roman"/>
          <w:color w:val="000000" w:themeColor="text1"/>
          <w:highlight w:val="none"/>
          <w:lang w:eastAsia="zh-CN"/>
          <w14:textFill>
            <w14:solidFill>
              <w14:schemeClr w14:val="tx1"/>
            </w14:solidFill>
          </w14:textFill>
        </w:rPr>
        <w:fldChar w:fldCharType="begin"/>
      </w:r>
      <w:r>
        <w:rPr>
          <w:rFonts w:hint="eastAsia" w:eastAsia="宋体" w:cs="Times New Roman"/>
          <w:color w:val="000000" w:themeColor="text1"/>
          <w:highlight w:val="none"/>
          <w:lang w:eastAsia="zh-CN"/>
          <w14:textFill>
            <w14:solidFill>
              <w14:schemeClr w14:val="tx1"/>
            </w14:solidFill>
          </w14:textFill>
        </w:rPr>
        <w:instrText xml:space="preserve"> = 5 \* GB3 \* MERGEFORMAT </w:instrText>
      </w:r>
      <w:r>
        <w:rPr>
          <w:rFonts w:hint="eastAsia" w:eastAsia="宋体" w:cs="Times New Roman"/>
          <w:color w:val="000000" w:themeColor="text1"/>
          <w:highlight w:val="none"/>
          <w:lang w:eastAsia="zh-CN"/>
          <w14:textFill>
            <w14:solidFill>
              <w14:schemeClr w14:val="tx1"/>
            </w14:solidFill>
          </w14:textFill>
        </w:rPr>
        <w:fldChar w:fldCharType="separate"/>
      </w:r>
      <w:r>
        <w:rPr>
          <w:rFonts w:hint="eastAsia" w:eastAsia="宋体" w:cs="Times New Roman"/>
          <w:color w:val="000000" w:themeColor="text1"/>
          <w:highlight w:val="none"/>
          <w:lang w:eastAsia="zh-CN"/>
          <w14:textFill>
            <w14:solidFill>
              <w14:schemeClr w14:val="tx1"/>
            </w14:solidFill>
          </w14:textFill>
        </w:rPr>
        <w:t>⑤</w:t>
      </w:r>
      <w:r>
        <w:rPr>
          <w:rFonts w:hint="eastAsia" w:eastAsia="宋体" w:cs="Times New Roman"/>
          <w:color w:val="000000" w:themeColor="text1"/>
          <w:highlight w:val="none"/>
          <w:lang w:eastAsia="zh-CN"/>
          <w14:textFill>
            <w14:solidFill>
              <w14:schemeClr w14:val="tx1"/>
            </w14:solidFill>
          </w14:textFill>
        </w:rPr>
        <w:fldChar w:fldCharType="end"/>
      </w:r>
      <w:r>
        <w:rPr>
          <w:rFonts w:hint="eastAsia" w:eastAsia="宋体" w:cs="Times New Roman"/>
          <w:color w:val="000000" w:themeColor="text1"/>
          <w:highlight w:val="none"/>
          <w:lang w:eastAsia="zh-CN"/>
          <w14:textFill>
            <w14:solidFill>
              <w14:schemeClr w14:val="tx1"/>
            </w14:solidFill>
          </w14:textFill>
        </w:rPr>
        <w:t>废润滑油</w:t>
      </w:r>
      <w:bookmarkEnd w:id="1117"/>
    </w:p>
    <w:p w14:paraId="56043EA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000000" w:themeColor="text1"/>
          <w:highlight w:val="none"/>
          <w:lang w:eastAsia="zh-CN"/>
          <w14:textFill>
            <w14:solidFill>
              <w14:schemeClr w14:val="tx1"/>
            </w14:solidFill>
          </w14:textFill>
        </w:rPr>
      </w:pPr>
      <w:r>
        <w:rPr>
          <w:rFonts w:hint="default" w:eastAsia="宋体" w:cs="Times New Roman"/>
          <w:color w:val="000000" w:themeColor="text1"/>
          <w:highlight w:val="none"/>
          <w:lang w:eastAsia="zh-CN"/>
          <w14:textFill>
            <w14:solidFill>
              <w14:schemeClr w14:val="tx1"/>
            </w14:solidFill>
          </w14:textFill>
        </w:rPr>
        <w:t>废润滑油主要来自设备维修</w:t>
      </w:r>
      <w:r>
        <w:rPr>
          <w:rFonts w:hint="default" w:eastAsia="宋体" w:cs="Times New Roman"/>
          <w:color w:val="000000" w:themeColor="text1"/>
          <w:highlight w:val="none"/>
          <w:lang w:val="en-US" w:eastAsia="zh-CN"/>
          <w14:textFill>
            <w14:solidFill>
              <w14:schemeClr w14:val="tx1"/>
            </w14:solidFill>
          </w14:textFill>
        </w:rPr>
        <w:t>过程</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w:t>
      </w:r>
      <w:r>
        <w:rPr>
          <w:rFonts w:hint="default" w:eastAsia="宋体" w:cs="Times New Roman"/>
          <w:color w:val="000000" w:themeColor="text1"/>
          <w:highlight w:val="none"/>
          <w:lang w:eastAsia="zh-CN"/>
          <w14:textFill>
            <w14:solidFill>
              <w14:schemeClr w14:val="tx1"/>
            </w14:solidFill>
          </w14:textFill>
        </w:rPr>
        <w:t>《国家危险废物名录（2025年版）》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eastAsia="宋体" w:cs="Times New Roman"/>
          <w:color w:val="000000" w:themeColor="text1"/>
          <w:highlight w:val="none"/>
          <w:lang w:eastAsia="zh-CN"/>
          <w14:textFill>
            <w14:solidFill>
              <w14:schemeClr w14:val="tx1"/>
            </w14:solidFill>
          </w14:textFill>
        </w:rPr>
        <w:t>，废润滑油</w:t>
      </w:r>
      <w:r>
        <w:rPr>
          <w:rFonts w:hint="eastAsia" w:eastAsia="宋体" w:cs="Times New Roman"/>
          <w:color w:val="000000" w:themeColor="text1"/>
          <w:highlight w:val="none"/>
          <w:lang w:val="en-US" w:eastAsia="zh-CN"/>
          <w14:textFill>
            <w14:solidFill>
              <w14:schemeClr w14:val="tx1"/>
            </w14:solidFill>
          </w14:textFill>
        </w:rPr>
        <w:t>属于</w:t>
      </w:r>
      <w:r>
        <w:rPr>
          <w:rFonts w:hint="default" w:eastAsia="宋体" w:cs="Times New Roman"/>
          <w:color w:val="000000" w:themeColor="text1"/>
          <w:highlight w:val="none"/>
          <w:lang w:eastAsia="zh-CN"/>
          <w14:textFill>
            <w14:solidFill>
              <w14:schemeClr w14:val="tx1"/>
            </w14:solidFill>
          </w14:textFill>
        </w:rPr>
        <w:t>HW08废矿物油与含矿物油废物（废物代码：900-214-08）。废润滑油间歇产生，</w:t>
      </w:r>
      <w:r>
        <w:rPr>
          <w:rFonts w:hint="default" w:eastAsia="宋体" w:cs="Times New Roman"/>
          <w:color w:val="000000" w:themeColor="text1"/>
          <w:highlight w:val="none"/>
          <w:lang w:val="en-US" w:eastAsia="zh-CN"/>
          <w14:textFill>
            <w14:solidFill>
              <w14:schemeClr w14:val="tx1"/>
            </w14:solidFill>
          </w14:textFill>
        </w:rPr>
        <w:t>收集后</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r>
        <w:rPr>
          <w:rFonts w:hint="default" w:eastAsia="宋体" w:cs="Times New Roman"/>
          <w:color w:val="000000" w:themeColor="text1"/>
          <w:highlight w:val="none"/>
          <w:lang w:val="en-US" w:eastAsia="zh-CN"/>
          <w14:textFill>
            <w14:solidFill>
              <w14:schemeClr w14:val="tx1"/>
            </w14:solidFill>
          </w14:textFill>
        </w:rPr>
        <w:t>。</w:t>
      </w:r>
    </w:p>
    <w:p w14:paraId="06388621">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s="Times New Roman"/>
          <w:color w:val="000000" w:themeColor="text1"/>
          <w:highlight w:val="none"/>
          <w:lang w:eastAsia="zh-CN"/>
          <w14:textFill>
            <w14:solidFill>
              <w14:schemeClr w14:val="tx1"/>
            </w14:solidFill>
          </w14:textFill>
        </w:rPr>
      </w:pPr>
    </w:p>
    <w:p w14:paraId="10FDD993">
      <w:pPr>
        <w:pStyle w:val="11"/>
        <w:pageBreakBefore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5.</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3退役期固体废物影响分析</w:t>
      </w:r>
    </w:p>
    <w:p w14:paraId="3DF72DE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000000" w:themeColor="text1"/>
          <w:highlight w:val="none"/>
          <w:lang w:eastAsia="zh-CN"/>
          <w14:textFill>
            <w14:solidFill>
              <w14:schemeClr w14:val="tx1"/>
            </w14:solidFill>
          </w14:textFill>
        </w:rPr>
      </w:pPr>
      <w:r>
        <w:rPr>
          <w:rFonts w:hint="default" w:eastAsia="宋体" w:cs="Times New Roman"/>
          <w:color w:val="000000" w:themeColor="text1"/>
          <w:highlight w:val="none"/>
          <w:lang w:eastAsia="zh-CN"/>
          <w14:textFill>
            <w14:solidFill>
              <w14:schemeClr w14:val="tx1"/>
            </w14:solidFill>
          </w14:textFill>
        </w:rPr>
        <w:t>本工程</w:t>
      </w:r>
      <w:r>
        <w:rPr>
          <w:rFonts w:hint="eastAsia" w:eastAsia="宋体" w:cs="Times New Roman"/>
          <w:color w:val="000000" w:themeColor="text1"/>
          <w:highlight w:val="none"/>
          <w:lang w:eastAsia="zh-CN"/>
          <w14:textFill>
            <w14:solidFill>
              <w14:schemeClr w14:val="tx1"/>
            </w14:solidFill>
          </w14:textFill>
        </w:rPr>
        <w:t>退役期</w:t>
      </w:r>
      <w:r>
        <w:rPr>
          <w:rFonts w:hint="default" w:eastAsia="宋体" w:cs="Times New Roman"/>
          <w:color w:val="000000" w:themeColor="text1"/>
          <w:highlight w:val="none"/>
          <w:lang w:eastAsia="zh-CN"/>
          <w14:textFill>
            <w14:solidFill>
              <w14:schemeClr w14:val="tx1"/>
            </w14:solidFill>
          </w14:textFill>
        </w:rPr>
        <w:t>，井场拆除的井架、井构筑物等</w:t>
      </w:r>
      <w:r>
        <w:rPr>
          <w:rFonts w:hint="eastAsia" w:cs="Times New Roman"/>
          <w:color w:val="000000" w:themeColor="text1"/>
          <w:highlight w:val="none"/>
          <w:lang w:eastAsia="zh-CN"/>
          <w14:textFill>
            <w14:solidFill>
              <w14:schemeClr w14:val="tx1"/>
            </w14:solidFill>
          </w14:textFill>
        </w:rPr>
        <w:t>钢质</w:t>
      </w:r>
      <w:r>
        <w:rPr>
          <w:rFonts w:hint="default" w:eastAsia="宋体" w:cs="Times New Roman"/>
          <w:color w:val="000000" w:themeColor="text1"/>
          <w:highlight w:val="none"/>
          <w:lang w:eastAsia="zh-CN"/>
          <w14:textFill>
            <w14:solidFill>
              <w14:schemeClr w14:val="tx1"/>
            </w14:solidFill>
          </w14:textFill>
        </w:rPr>
        <w:t>材料，清洗油污后可回收利用</w:t>
      </w:r>
      <w:r>
        <w:rPr>
          <w:rFonts w:hint="eastAsia" w:eastAsia="宋体" w:cs="Times New Roman"/>
          <w:color w:val="000000" w:themeColor="text1"/>
          <w:highlight w:val="none"/>
          <w:lang w:eastAsia="zh-CN"/>
          <w14:textFill>
            <w14:solidFill>
              <w14:schemeClr w14:val="tx1"/>
            </w14:solidFill>
          </w14:textFill>
        </w:rPr>
        <w:t>。</w:t>
      </w:r>
    </w:p>
    <w:p w14:paraId="0679C425">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highlight w:val="none"/>
          <w14:textFill>
            <w14:solidFill>
              <w14:schemeClr w14:val="tx1"/>
            </w14:solidFill>
          </w14:textFill>
        </w:rPr>
      </w:pPr>
      <w:bookmarkStart w:id="1118" w:name="OLE_LINK506"/>
      <w:r>
        <w:rPr>
          <w:rFonts w:hint="default" w:ascii="Times New Roman" w:hAnsi="Times New Roman" w:cs="Times New Roman"/>
          <w:color w:val="000000" w:themeColor="text1"/>
          <w:highlight w:val="none"/>
          <w14:textFill>
            <w14:solidFill>
              <w14:schemeClr w14:val="tx1"/>
            </w14:solidFill>
          </w14:textFill>
        </w:rPr>
        <w:t>5.</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4固体废物</w:t>
      </w:r>
      <w:r>
        <w:rPr>
          <w:rFonts w:hint="default" w:ascii="Times New Roman" w:hAnsi="Times New Roman" w:cs="Times New Roman"/>
          <w:color w:val="000000" w:themeColor="text1"/>
          <w:highlight w:val="none"/>
          <w14:textFill>
            <w14:solidFill>
              <w14:schemeClr w14:val="tx1"/>
            </w14:solidFill>
          </w14:textFill>
        </w:rPr>
        <w:t>影响评价小结</w:t>
      </w:r>
    </w:p>
    <w:bookmarkEnd w:id="1118"/>
    <w:p w14:paraId="4F032C26">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s="Times New Roman"/>
          <w:color w:val="000000" w:themeColor="text1"/>
          <w:highlight w:val="none"/>
          <w:lang w:eastAsia="zh-CN"/>
          <w14:textFill>
            <w14:solidFill>
              <w14:schemeClr w14:val="tx1"/>
            </w14:solidFill>
          </w14:textFill>
        </w:rPr>
      </w:pPr>
      <w:bookmarkStart w:id="1119" w:name="OLE_LINK667"/>
      <w:r>
        <w:rPr>
          <w:rFonts w:hint="default" w:eastAsia="宋体" w:cs="Times New Roman"/>
          <w:color w:val="000000" w:themeColor="text1"/>
          <w:highlight w:val="none"/>
          <w:lang w:eastAsia="zh-CN"/>
          <w14:textFill>
            <w14:solidFill>
              <w14:schemeClr w14:val="tx1"/>
            </w14:solidFill>
          </w14:textFill>
        </w:rPr>
        <w:t>本工程施工期、运营期和退役期产生的固体废物能够通过有效的途径得到较好</w:t>
      </w:r>
      <w:r>
        <w:rPr>
          <w:rFonts w:hint="eastAsia" w:cs="Times New Roman"/>
          <w:color w:val="000000" w:themeColor="text1"/>
          <w:highlight w:val="none"/>
          <w:lang w:eastAsia="zh-CN"/>
          <w14:textFill>
            <w14:solidFill>
              <w14:schemeClr w14:val="tx1"/>
            </w14:solidFill>
          </w14:textFill>
        </w:rPr>
        <w:t>地</w:t>
      </w:r>
      <w:r>
        <w:rPr>
          <w:rFonts w:hint="default" w:eastAsia="宋体" w:cs="Times New Roman"/>
          <w:color w:val="000000" w:themeColor="text1"/>
          <w:highlight w:val="none"/>
          <w:lang w:eastAsia="zh-CN"/>
          <w14:textFill>
            <w14:solidFill>
              <w14:schemeClr w14:val="tx1"/>
            </w14:solidFill>
          </w14:textFill>
        </w:rPr>
        <w:t>处置，对评价区环境影响较小</w:t>
      </w:r>
      <w:r>
        <w:rPr>
          <w:rFonts w:hint="eastAsia" w:eastAsia="宋体" w:cs="Times New Roman"/>
          <w:color w:val="000000" w:themeColor="text1"/>
          <w:highlight w:val="none"/>
          <w:lang w:eastAsia="zh-CN"/>
          <w14:textFill>
            <w14:solidFill>
              <w14:schemeClr w14:val="tx1"/>
            </w14:solidFill>
          </w14:textFill>
        </w:rPr>
        <w:t>。</w:t>
      </w:r>
    </w:p>
    <w:bookmarkEnd w:id="1119"/>
    <w:p w14:paraId="568BB818">
      <w:pPr>
        <w:pStyle w:val="127"/>
        <w:pageBreakBefore w:val="0"/>
        <w:kinsoku/>
        <w:wordWrap/>
        <w:overflowPunct/>
        <w:topLinePunct w:val="0"/>
        <w:autoSpaceDE/>
        <w:autoSpaceDN/>
        <w:bidi w:val="0"/>
        <w:adjustRightInd w:val="0"/>
        <w:snapToGrid w:val="0"/>
        <w:spacing w:beforeLines="0" w:afterLines="0" w:line="360" w:lineRule="auto"/>
        <w:textAlignment w:val="auto"/>
        <w:outlineLvl w:val="1"/>
        <w:rPr>
          <w:rFonts w:hint="default"/>
          <w:color w:val="000000" w:themeColor="text1"/>
          <w:highlight w:val="none"/>
          <w:lang w:val="en-US" w:eastAsia="en-US"/>
          <w14:textFill>
            <w14:solidFill>
              <w14:schemeClr w14:val="tx1"/>
            </w14:solidFill>
          </w14:textFill>
        </w:rPr>
      </w:pPr>
      <w:bookmarkStart w:id="1120" w:name="_Toc26369"/>
      <w:bookmarkStart w:id="1121" w:name="_Toc26149"/>
      <w:r>
        <w:rPr>
          <w:rFonts w:hint="eastAsia" w:cs="Times New Roman"/>
          <w:b/>
          <w:snapToGrid w:val="0"/>
          <w:color w:val="000000" w:themeColor="text1"/>
          <w:kern w:val="0"/>
          <w:sz w:val="30"/>
          <w:szCs w:val="21"/>
          <w:highlight w:val="none"/>
          <w:lang w:val="en-US" w:eastAsia="zh-CN" w:bidi="ar-SA"/>
          <w14:textFill>
            <w14:solidFill>
              <w14:schemeClr w14:val="tx1"/>
            </w14:solidFill>
          </w14:textFill>
        </w:rPr>
        <w:t>5.8</w:t>
      </w:r>
      <w:r>
        <w:rPr>
          <w:rFonts w:hint="default" w:ascii="Times New Roman" w:hAnsi="Times New Roman" w:eastAsia="宋体" w:cs="Times New Roman"/>
          <w:b/>
          <w:snapToGrid w:val="0"/>
          <w:color w:val="000000" w:themeColor="text1"/>
          <w:kern w:val="0"/>
          <w:sz w:val="30"/>
          <w:szCs w:val="21"/>
          <w:highlight w:val="none"/>
          <w:lang w:val="en-US" w:eastAsia="en-US" w:bidi="ar-SA"/>
          <w14:textFill>
            <w14:solidFill>
              <w14:schemeClr w14:val="tx1"/>
            </w14:solidFill>
          </w14:textFill>
        </w:rPr>
        <w:t>环境风险评价</w:t>
      </w:r>
      <w:bookmarkEnd w:id="1120"/>
    </w:p>
    <w:p w14:paraId="408E3B7E">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_Toc25455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5.8.1风险</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lang w:val="en-US" w:eastAsia="zh-CN"/>
          <w14:textFill>
            <w14:solidFill>
              <w14:schemeClr w14:val="tx1"/>
            </w14:solidFill>
          </w14:textFill>
        </w:rPr>
        <w:t>调查</w:t>
      </w:r>
    </w:p>
    <w:p w14:paraId="270F6AE2">
      <w:pPr>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建设项目风险源调查</w:t>
      </w:r>
    </w:p>
    <w:p w14:paraId="4D078D05">
      <w:pPr>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highlight w:val="none"/>
          <w:lang w:eastAsia="zh-CN"/>
          <w14:textFill>
            <w14:solidFill>
              <w14:schemeClr w14:val="tx1"/>
            </w14:solidFill>
          </w14:textFill>
        </w:rPr>
        <w:t>施工期和运营期涉及的主要危险物质为</w:t>
      </w:r>
      <w:bookmarkStart w:id="1122" w:name="OLE_LINK668"/>
      <w:r>
        <w:rPr>
          <w:rFonts w:hint="eastAsia" w:ascii="Times New Roman" w:hAnsi="Times New Roman" w:eastAsia="宋体" w:cs="Times New Roman"/>
          <w:color w:val="000000" w:themeColor="text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highlight w:val="none"/>
          <w:lang w:eastAsia="zh-CN"/>
          <w14:textFill>
            <w14:solidFill>
              <w14:schemeClr w14:val="tx1"/>
            </w14:solidFill>
          </w14:textFill>
        </w:rPr>
        <w:t>、</w:t>
      </w:r>
      <w:bookmarkStart w:id="1123" w:name="OLE_LINK784"/>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bookmarkEnd w:id="1122"/>
      <w:bookmarkEnd w:id="1123"/>
      <w:r>
        <w:rPr>
          <w:rFonts w:hint="default" w:ascii="Times New Roman" w:hAnsi="Times New Roman" w:eastAsia="宋体" w:cs="Times New Roman"/>
          <w:color w:val="000000" w:themeColor="text1"/>
          <w:highlight w:val="none"/>
          <w:lang w:eastAsia="zh-CN"/>
          <w14:textFill>
            <w14:solidFill>
              <w14:schemeClr w14:val="tx1"/>
            </w14:solidFill>
          </w14:textFill>
        </w:rPr>
        <w:t>，涉及的风险为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运营期</w:t>
      </w:r>
      <w:bookmarkStart w:id="1124" w:name="OLE_LINK669"/>
      <w:r>
        <w:rPr>
          <w:rFonts w:hint="default" w:ascii="Times New Roman" w:hAnsi="Times New Roman" w:eastAsia="宋体" w:cs="Times New Roman"/>
          <w:color w:val="000000" w:themeColor="text1"/>
          <w:highlight w:val="none"/>
          <w:lang w:val="en-US" w:eastAsia="zh-CN"/>
          <w14:textFill>
            <w14:solidFill>
              <w14:schemeClr w14:val="tx1"/>
            </w14:solidFill>
          </w14:textFill>
        </w:rPr>
        <w:t>井场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设备、储罐</w:t>
      </w:r>
      <w:bookmarkEnd w:id="1124"/>
      <w:r>
        <w:rPr>
          <w:rFonts w:hint="default" w:ascii="Times New Roman" w:hAnsi="Times New Roman" w:eastAsia="宋体" w:cs="Times New Roman"/>
          <w:color w:val="000000" w:themeColor="text1"/>
          <w:highlight w:val="none"/>
          <w:lang w:eastAsia="zh-CN"/>
          <w14:textFill>
            <w14:solidFill>
              <w14:schemeClr w14:val="tx1"/>
            </w14:solidFill>
          </w14:textFill>
        </w:rPr>
        <w:t>破损造成的</w:t>
      </w:r>
      <w:bookmarkStart w:id="1125" w:name="OLE_LINK711"/>
      <w:r>
        <w:rPr>
          <w:rFonts w:hint="eastAsia" w:ascii="Times New Roman" w:hAnsi="Times New Roman" w:eastAsia="宋体" w:cs="Times New Roman"/>
          <w:color w:val="000000" w:themeColor="text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bookmarkEnd w:id="1125"/>
      <w:r>
        <w:rPr>
          <w:rFonts w:hint="default" w:ascii="Times New Roman" w:hAnsi="Times New Roman" w:eastAsia="宋体" w:cs="Times New Roman"/>
          <w:color w:val="000000" w:themeColor="text1"/>
          <w:highlight w:val="none"/>
          <w:lang w:eastAsia="zh-CN"/>
          <w14:textFill>
            <w14:solidFill>
              <w14:schemeClr w14:val="tx1"/>
            </w14:solidFill>
          </w14:textFill>
        </w:rPr>
        <w:t>的泄漏。</w:t>
      </w:r>
    </w:p>
    <w:p w14:paraId="0C3640A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bookmarkStart w:id="1126" w:name="OLE_LINK673"/>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表5.8-1</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本工程危险物质分布情况一览表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426"/>
        <w:gridCol w:w="2239"/>
        <w:gridCol w:w="1687"/>
        <w:gridCol w:w="2420"/>
      </w:tblGrid>
      <w:tr w14:paraId="72F3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40" w:type="pct"/>
            <w:vAlign w:val="center"/>
          </w:tcPr>
          <w:p w14:paraId="741DC6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序号</w:t>
            </w:r>
          </w:p>
        </w:tc>
        <w:tc>
          <w:tcPr>
            <w:tcW w:w="836" w:type="pct"/>
            <w:vAlign w:val="center"/>
          </w:tcPr>
          <w:p w14:paraId="5B03936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风险单元</w:t>
            </w:r>
          </w:p>
        </w:tc>
        <w:tc>
          <w:tcPr>
            <w:tcW w:w="1313" w:type="pct"/>
            <w:vAlign w:val="center"/>
          </w:tcPr>
          <w:p w14:paraId="1A1F48F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存储单元</w:t>
            </w:r>
          </w:p>
        </w:tc>
        <w:tc>
          <w:tcPr>
            <w:tcW w:w="989" w:type="pct"/>
            <w:vAlign w:val="center"/>
          </w:tcPr>
          <w:p w14:paraId="0E1528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危险物质名称</w:t>
            </w:r>
          </w:p>
        </w:tc>
        <w:tc>
          <w:tcPr>
            <w:tcW w:w="1419" w:type="pct"/>
            <w:vAlign w:val="center"/>
          </w:tcPr>
          <w:p w14:paraId="343341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存储装置参数</w:t>
            </w:r>
          </w:p>
        </w:tc>
      </w:tr>
      <w:tr w14:paraId="1B3C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40" w:type="pct"/>
            <w:vAlign w:val="center"/>
          </w:tcPr>
          <w:p w14:paraId="1BBC92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836" w:type="pct"/>
            <w:vMerge w:val="restart"/>
            <w:vAlign w:val="center"/>
          </w:tcPr>
          <w:p w14:paraId="1F5ED74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井场工艺装置区</w:t>
            </w:r>
          </w:p>
        </w:tc>
        <w:tc>
          <w:tcPr>
            <w:tcW w:w="1313" w:type="pct"/>
            <w:vAlign w:val="center"/>
          </w:tcPr>
          <w:p w14:paraId="67F905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计量分离器（两相）</w:t>
            </w:r>
          </w:p>
        </w:tc>
        <w:tc>
          <w:tcPr>
            <w:tcW w:w="989" w:type="pct"/>
            <w:vAlign w:val="center"/>
          </w:tcPr>
          <w:p w14:paraId="3C7B5F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凝析油</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、天然气</w:t>
            </w:r>
          </w:p>
        </w:tc>
        <w:tc>
          <w:tcPr>
            <w:tcW w:w="1419" w:type="pct"/>
            <w:vAlign w:val="center"/>
          </w:tcPr>
          <w:p w14:paraId="7B345B0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设计压力9.5MPa</w:t>
            </w:r>
          </w:p>
        </w:tc>
      </w:tr>
      <w:tr w14:paraId="6EFA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40" w:type="pct"/>
            <w:vAlign w:val="center"/>
          </w:tcPr>
          <w:p w14:paraId="1DC841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w:t>
            </w:r>
          </w:p>
        </w:tc>
        <w:tc>
          <w:tcPr>
            <w:tcW w:w="836" w:type="pct"/>
            <w:vMerge w:val="continue"/>
            <w:vAlign w:val="center"/>
          </w:tcPr>
          <w:p w14:paraId="78FC65F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313" w:type="pct"/>
            <w:vAlign w:val="center"/>
          </w:tcPr>
          <w:p w14:paraId="29E3079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火炬分液罐</w:t>
            </w:r>
          </w:p>
        </w:tc>
        <w:tc>
          <w:tcPr>
            <w:tcW w:w="989" w:type="pct"/>
            <w:vAlign w:val="center"/>
          </w:tcPr>
          <w:p w14:paraId="3EE6DF0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天然气</w:t>
            </w:r>
          </w:p>
        </w:tc>
        <w:tc>
          <w:tcPr>
            <w:tcW w:w="1419" w:type="pct"/>
            <w:vAlign w:val="center"/>
          </w:tcPr>
          <w:p w14:paraId="3D2D8C1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Ø800×3200</w:t>
            </w:r>
            <w:r>
              <w:rPr>
                <w:rFonts w:hint="default" w:ascii="Times New Roman" w:hAnsi="Times New Roman" w:eastAsia="宋体" w:cs="Times New Roman"/>
                <w:color w:val="000000" w:themeColor="text1"/>
                <w:sz w:val="21"/>
                <w:szCs w:val="21"/>
                <w:highlight w:val="none"/>
                <w14:textFill>
                  <w14:solidFill>
                    <w14:schemeClr w14:val="tx1"/>
                  </w14:solidFill>
                </w14:textFill>
              </w:rPr>
              <w:t>mm</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Pw</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0.5</w:t>
            </w:r>
            <w:r>
              <w:rPr>
                <w:rFonts w:hint="default" w:ascii="Times New Roman" w:hAnsi="Times New Roman" w:eastAsia="宋体" w:cs="Times New Roman"/>
                <w:color w:val="000000" w:themeColor="text1"/>
                <w:sz w:val="21"/>
                <w:szCs w:val="21"/>
                <w:highlight w:val="none"/>
                <w14:textFill>
                  <w14:solidFill>
                    <w14:schemeClr w14:val="tx1"/>
                  </w14:solidFill>
                </w14:textFill>
              </w:rPr>
              <w:t>MPa</w:t>
            </w:r>
          </w:p>
        </w:tc>
      </w:tr>
      <w:tr w14:paraId="76B6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40" w:type="pct"/>
            <w:vAlign w:val="center"/>
          </w:tcPr>
          <w:p w14:paraId="257272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3</w:t>
            </w:r>
          </w:p>
        </w:tc>
        <w:tc>
          <w:tcPr>
            <w:tcW w:w="836" w:type="pct"/>
            <w:vAlign w:val="center"/>
          </w:tcPr>
          <w:p w14:paraId="780CA5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井场储罐区</w:t>
            </w:r>
          </w:p>
        </w:tc>
        <w:tc>
          <w:tcPr>
            <w:tcW w:w="1313" w:type="pct"/>
            <w:vAlign w:val="center"/>
          </w:tcPr>
          <w:p w14:paraId="5BEC28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多功能储集器</w:t>
            </w:r>
            <w:r>
              <w:rPr>
                <w:rFonts w:hint="default" w:ascii="Times New Roman" w:hAnsi="Times New Roman" w:eastAsia="宋体" w:cs="Times New Roman"/>
                <w:color w:val="000000" w:themeColor="text1"/>
                <w:spacing w:val="-43"/>
                <w:sz w:val="21"/>
                <w:szCs w:val="21"/>
                <w:highlight w:val="none"/>
                <w14:textFill>
                  <w14:solidFill>
                    <w14:schemeClr w14:val="tx1"/>
                  </w14:solidFill>
                </w14:textFill>
              </w:rPr>
              <w:t xml:space="preserve"> </w:t>
            </w:r>
          </w:p>
        </w:tc>
        <w:tc>
          <w:tcPr>
            <w:tcW w:w="989" w:type="pct"/>
            <w:vAlign w:val="center"/>
          </w:tcPr>
          <w:p w14:paraId="1016B1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凝析油</w:t>
            </w:r>
          </w:p>
        </w:tc>
        <w:tc>
          <w:tcPr>
            <w:tcW w:w="1419" w:type="pct"/>
            <w:vAlign w:val="center"/>
          </w:tcPr>
          <w:p w14:paraId="6D613A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127" w:name="OLE_LINK710"/>
            <w:r>
              <w:rPr>
                <w:rFonts w:hint="eastAsia" w:cs="Times New Roman"/>
                <w:color w:val="000000" w:themeColor="text1"/>
                <w:spacing w:val="-7"/>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m³</w:t>
            </w:r>
            <w:r>
              <w:rPr>
                <w:rFonts w:hint="default" w:ascii="Times New Roman" w:hAnsi="Times New Roman" w:eastAsia="宋体" w:cs="Times New Roman"/>
                <w:color w:val="000000" w:themeColor="text1"/>
                <w:spacing w:val="-40"/>
                <w:sz w:val="21"/>
                <w:szCs w:val="21"/>
                <w:highlight w:val="none"/>
                <w14:textFill>
                  <w14:solidFill>
                    <w14:schemeClr w14:val="tx1"/>
                  </w14:solidFill>
                </w14:textFill>
              </w:rPr>
              <w:t xml:space="preserve"> </w:t>
            </w:r>
            <w:bookmarkEnd w:id="1127"/>
          </w:p>
        </w:tc>
      </w:tr>
      <w:bookmarkEnd w:id="1126"/>
    </w:tbl>
    <w:p w14:paraId="24D04F85">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_Toc24975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5.8.2环境风险潜势初判</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p>
    <w:p w14:paraId="6E52BB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3"/>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（1）P的分级确定</w:t>
      </w:r>
    </w:p>
    <w:p w14:paraId="51A8CF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snapToGrid w:val="0"/>
          <w:color w:val="000000" w:themeColor="text1"/>
          <w:sz w:val="28"/>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根据《建设项目环境风险评价技术导则》（HJ169-2018），定量分析危险物质数量与临界量的比值（Q），见表</w:t>
      </w:r>
      <w:r>
        <w:rPr>
          <w:rFonts w:hint="eastAsia" w:cs="Times New Roman"/>
          <w:caps w:val="0"/>
          <w:color w:val="000000" w:themeColor="text1"/>
          <w:sz w:val="24"/>
          <w:szCs w:val="24"/>
          <w:highlight w:val="none"/>
          <w:lang w:val="en-US" w:eastAsia="zh-CN"/>
          <w14:textFill>
            <w14:solidFill>
              <w14:schemeClr w14:val="tx1"/>
            </w14:solidFill>
          </w14:textFill>
        </w:rPr>
        <w:t>5.8-2</w:t>
      </w: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w:t>
      </w:r>
    </w:p>
    <w:p w14:paraId="78A0744D">
      <w:pPr>
        <w:pStyle w:val="52"/>
        <w:keepNext w:val="0"/>
        <w:keepLines w:val="0"/>
        <w:pageBreakBefore w:val="0"/>
        <w:widowControl/>
        <w:kinsoku/>
        <w:wordWrap/>
        <w:overflowPunct/>
        <w:topLinePunct w:val="0"/>
        <w:autoSpaceDE/>
        <w:autoSpaceDN/>
        <w:bidi w:val="0"/>
        <w:adjustRightInd w:val="0"/>
        <w:snapToGrid w:val="0"/>
        <w:spacing w:line="240" w:lineRule="auto"/>
        <w:ind w:left="-6" w:firstLine="561"/>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bookmarkStart w:id="1128" w:name="OLE_LINK672"/>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29" w:name="OLE_LINK671"/>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29"/>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本</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工程</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重大危险源辨识一览表</w:t>
      </w:r>
    </w:p>
    <w:tbl>
      <w:tblPr>
        <w:tblStyle w:val="37"/>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5663"/>
        <w:gridCol w:w="1238"/>
        <w:gridCol w:w="1000"/>
      </w:tblGrid>
      <w:tr w14:paraId="7893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216F06A5">
            <w:pPr>
              <w:widowControl w:val="0"/>
              <w:adjustRightInd w:val="0"/>
              <w:snapToGrid w:val="0"/>
              <w:jc w:val="cente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序号</w:t>
            </w:r>
          </w:p>
        </w:tc>
        <w:tc>
          <w:tcPr>
            <w:tcW w:w="3298" w:type="pct"/>
            <w:tcBorders>
              <w:top w:val="single" w:color="auto" w:sz="4" w:space="0"/>
              <w:left w:val="single" w:color="auto" w:sz="4" w:space="0"/>
              <w:bottom w:val="single" w:color="auto" w:sz="4" w:space="0"/>
              <w:right w:val="single" w:color="auto" w:sz="4" w:space="0"/>
            </w:tcBorders>
            <w:noWrap w:val="0"/>
            <w:vAlign w:val="center"/>
          </w:tcPr>
          <w:p w14:paraId="0613F2E7">
            <w:pPr>
              <w:widowControl w:val="0"/>
              <w:adjustRightInd w:val="0"/>
              <w:snapToGrid w:val="0"/>
              <w:jc w:val="cente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物质名称</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15C3AD7F">
            <w:pPr>
              <w:widowControl w:val="0"/>
              <w:adjustRightInd w:val="0"/>
              <w:snapToGrid w:val="0"/>
              <w:jc w:val="cente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CAS号</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6913E232">
            <w:pPr>
              <w:widowControl w:val="0"/>
              <w:adjustRightInd w:val="0"/>
              <w:snapToGrid w:val="0"/>
              <w:jc w:val="cente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临界量/t</w:t>
            </w:r>
          </w:p>
        </w:tc>
      </w:tr>
      <w:tr w14:paraId="0A67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4FCECE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3298" w:type="pct"/>
            <w:tcBorders>
              <w:top w:val="single" w:color="auto" w:sz="4" w:space="0"/>
              <w:left w:val="single" w:color="auto" w:sz="4" w:space="0"/>
              <w:bottom w:val="single" w:color="auto" w:sz="4" w:space="0"/>
              <w:right w:val="single" w:color="auto" w:sz="4" w:space="0"/>
            </w:tcBorders>
            <w:noWrap w:val="0"/>
            <w:vAlign w:val="center"/>
          </w:tcPr>
          <w:p w14:paraId="6D43C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油类物质</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矿物油类，如石油、汽油、柴油等；生物柴油等</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65BAD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495BF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2500</w:t>
            </w:r>
          </w:p>
        </w:tc>
      </w:tr>
      <w:tr w14:paraId="6306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14:paraId="099F2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3298" w:type="pct"/>
            <w:tcBorders>
              <w:top w:val="single" w:color="auto" w:sz="4" w:space="0"/>
              <w:left w:val="single" w:color="auto" w:sz="4" w:space="0"/>
              <w:bottom w:val="single" w:color="auto" w:sz="4" w:space="0"/>
              <w:right w:val="single" w:color="auto" w:sz="4" w:space="0"/>
            </w:tcBorders>
            <w:noWrap w:val="0"/>
            <w:vAlign w:val="center"/>
          </w:tcPr>
          <w:p w14:paraId="4823F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天然气</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甲烷</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74E57C7E">
            <w:pPr>
              <w:pStyle w:val="47"/>
              <w:bidi w:val="0"/>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74-82-8</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5F35B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w:t>
            </w:r>
          </w:p>
        </w:tc>
      </w:tr>
      <w:bookmarkEnd w:id="1128"/>
    </w:tbl>
    <w:p w14:paraId="29B467B9">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根据《建设项目环境风险评价技术导则》（HJ169-2018）中的判定方法，当存在多种危险物质时，按照下式计算物质总量与其临界量比值</w:t>
      </w:r>
      <w:r>
        <w:rPr>
          <w:rFonts w:hint="default" w:ascii="Times New Roman" w:hAnsi="Times New Roman" w:eastAsia="宋体" w:cs="Times New Roman"/>
          <w:color w:val="000000" w:themeColor="text1"/>
          <w:highlight w:val="none"/>
          <w14:textFill>
            <w14:solidFill>
              <w14:schemeClr w14:val="tx1"/>
            </w14:solidFill>
          </w14:textFill>
        </w:rPr>
        <w:t>（Q）：</w:t>
      </w:r>
    </w:p>
    <w:p w14:paraId="7CDEDFA7">
      <w:pPr>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drawing>
          <wp:inline distT="0" distB="0" distL="114300" distR="114300">
            <wp:extent cx="1913255" cy="493395"/>
            <wp:effectExtent l="0" t="0" r="10795"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rcRect r="42390"/>
                    <a:stretch>
                      <a:fillRect/>
                    </a:stretch>
                  </pic:blipFill>
                  <pic:spPr>
                    <a:xfrm>
                      <a:off x="0" y="0"/>
                      <a:ext cx="1913255" cy="493395"/>
                    </a:xfrm>
                    <a:prstGeom prst="rect">
                      <a:avLst/>
                    </a:prstGeom>
                    <a:noFill/>
                    <a:ln>
                      <a:noFill/>
                    </a:ln>
                  </pic:spPr>
                </pic:pic>
              </a:graphicData>
            </a:graphic>
          </wp:inline>
        </w:drawing>
      </w:r>
    </w:p>
    <w:p w14:paraId="59B4EB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式中：q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n</w:t>
      </w:r>
      <w:bookmarkStart w:id="1130" w:name="OLE_LINK734"/>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bookmarkEnd w:id="1130"/>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每种危险物质的最大存在总量，t；</w:t>
      </w:r>
    </w:p>
    <w:p w14:paraId="06FBC745">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，···，Q</w:t>
      </w:r>
      <w:r>
        <w:rPr>
          <w:rFonts w:hint="default" w:ascii="Times New Roman" w:hAnsi="Times New Roman" w:eastAsia="宋体" w:cs="Times New Roman"/>
          <w:caps w:val="0"/>
          <w:color w:val="000000" w:themeColor="text1"/>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每种危险物质的临界量，t</w:t>
      </w:r>
      <w:r>
        <w:rPr>
          <w:rFonts w:hint="eastAsia" w:cs="Times New Roman"/>
          <w:caps w:val="0"/>
          <w:color w:val="000000" w:themeColor="text1"/>
          <w:sz w:val="24"/>
          <w:szCs w:val="24"/>
          <w:highlight w:val="none"/>
          <w:lang w:eastAsia="zh-CN"/>
          <w14:textFill>
            <w14:solidFill>
              <w14:schemeClr w14:val="tx1"/>
            </w14:solidFill>
          </w14:textFill>
        </w:rPr>
        <w:t>。</w:t>
      </w:r>
    </w:p>
    <w:p w14:paraId="08C106D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当Q&lt;1时，该项目环境风险潜势为I</w:t>
      </w:r>
      <w:r>
        <w:rPr>
          <w:rFonts w:hint="eastAsia" w:cs="Times New Roman"/>
          <w:caps w:val="0"/>
          <w:color w:val="000000" w:themeColor="text1"/>
          <w:sz w:val="24"/>
          <w:szCs w:val="24"/>
          <w:highlight w:val="none"/>
          <w:lang w:eastAsia="zh-CN"/>
          <w14:textFill>
            <w14:solidFill>
              <w14:schemeClr w14:val="tx1"/>
            </w14:solidFill>
          </w14:textFill>
        </w:rPr>
        <w:t>。</w:t>
      </w:r>
    </w:p>
    <w:p w14:paraId="3D41E2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当Q≥1时，将Q值划分为：（1）1≤Q&lt;10；（2）10≤Q&lt;100；（3）Q≥100。</w:t>
      </w:r>
      <w:r>
        <w:rPr>
          <w:rFonts w:hint="default" w:ascii="Times New Roman" w:hAnsi="Times New Roman" w:cs="Times New Roman"/>
          <w:color w:val="000000" w:themeColor="text1"/>
          <w:sz w:val="24"/>
          <w:szCs w:val="24"/>
          <w:highlight w:val="none"/>
          <w14:textFill>
            <w14:solidFill>
              <w14:schemeClr w14:val="tx1"/>
            </w14:solidFill>
          </w14:textFill>
        </w:rPr>
        <w:t>本工程危险物质辨识结果详见表5.8-</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3175A1F5">
      <w:pPr>
        <w:pStyle w:val="52"/>
        <w:keepNext w:val="0"/>
        <w:keepLines w:val="0"/>
        <w:pageBreakBefore w:val="0"/>
        <w:widowControl/>
        <w:kinsoku/>
        <w:wordWrap/>
        <w:overflowPunct/>
        <w:topLinePunct w:val="0"/>
        <w:autoSpaceDE/>
        <w:autoSpaceDN/>
        <w:bidi w:val="0"/>
        <w:adjustRightInd w:val="0"/>
        <w:snapToGrid w:val="0"/>
        <w:spacing w:line="240" w:lineRule="auto"/>
        <w:ind w:left="-6" w:firstLine="561"/>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31" w:name="OLE_LINK712"/>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31"/>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本工程风险单元Q值一览表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298"/>
        <w:gridCol w:w="1521"/>
        <w:gridCol w:w="1042"/>
        <w:gridCol w:w="1154"/>
        <w:gridCol w:w="1180"/>
        <w:gridCol w:w="846"/>
        <w:gridCol w:w="994"/>
      </w:tblGrid>
      <w:tr w14:paraId="311F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6" w:type="pct"/>
            <w:vAlign w:val="center"/>
          </w:tcPr>
          <w:p w14:paraId="6C1D7D7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序号</w:t>
            </w:r>
          </w:p>
        </w:tc>
        <w:tc>
          <w:tcPr>
            <w:tcW w:w="762" w:type="pct"/>
            <w:vAlign w:val="center"/>
          </w:tcPr>
          <w:p w14:paraId="76CA73A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风险单元</w:t>
            </w:r>
          </w:p>
        </w:tc>
        <w:tc>
          <w:tcPr>
            <w:tcW w:w="892" w:type="pct"/>
            <w:vAlign w:val="center"/>
          </w:tcPr>
          <w:p w14:paraId="7404E13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存储单元</w:t>
            </w:r>
          </w:p>
        </w:tc>
        <w:tc>
          <w:tcPr>
            <w:tcW w:w="611" w:type="pct"/>
            <w:vAlign w:val="center"/>
          </w:tcPr>
          <w:p w14:paraId="6D525D1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危险物质名称</w:t>
            </w:r>
          </w:p>
        </w:tc>
        <w:tc>
          <w:tcPr>
            <w:tcW w:w="677" w:type="pct"/>
            <w:vAlign w:val="center"/>
          </w:tcPr>
          <w:p w14:paraId="2B98C38A">
            <w:pPr>
              <w:pStyle w:val="47"/>
              <w:jc w:val="center"/>
              <w:rPr>
                <w:rFonts w:hint="default" w:ascii="Times New Roman" w:hAnsi="Times New Roman"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CAS号</w:t>
            </w:r>
          </w:p>
        </w:tc>
        <w:tc>
          <w:tcPr>
            <w:tcW w:w="692" w:type="pct"/>
            <w:vAlign w:val="center"/>
          </w:tcPr>
          <w:p w14:paraId="25DD5529">
            <w:pPr>
              <w:pStyle w:val="47"/>
              <w:jc w:val="center"/>
              <w:rPr>
                <w:rFonts w:hint="default" w:ascii="Times New Roman" w:hAnsi="Times New Roman"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最大存在总量q</w:t>
            </w:r>
            <w:r>
              <w:rPr>
                <w:rFonts w:hint="default" w:ascii="Times New Roman" w:hAnsi="Times New Roman" w:cs="Times New Roman"/>
                <w:color w:val="000000" w:themeColor="text1"/>
                <w:sz w:val="21"/>
                <w:szCs w:val="21"/>
                <w:highlight w:val="none"/>
                <w:vertAlign w:val="subscript"/>
                <w:lang w:val="zh-CN"/>
                <w14:textFill>
                  <w14:solidFill>
                    <w14:schemeClr w14:val="tx1"/>
                  </w14:solidFill>
                </w14:textFill>
              </w:rPr>
              <w:t>n</w:t>
            </w:r>
            <w:r>
              <w:rPr>
                <w:rFonts w:hint="default" w:ascii="Times New Roman" w:hAnsi="Times New Roman" w:cs="Times New Roman"/>
                <w:color w:val="000000" w:themeColor="text1"/>
                <w:sz w:val="21"/>
                <w:szCs w:val="21"/>
                <w:highlight w:val="none"/>
                <w:lang w:val="zh-CN"/>
                <w14:textFill>
                  <w14:solidFill>
                    <w14:schemeClr w14:val="tx1"/>
                  </w14:solidFill>
                </w14:textFill>
              </w:rPr>
              <w:t>/t</w:t>
            </w:r>
          </w:p>
        </w:tc>
        <w:tc>
          <w:tcPr>
            <w:tcW w:w="495" w:type="pct"/>
            <w:vAlign w:val="center"/>
          </w:tcPr>
          <w:p w14:paraId="55309B0D">
            <w:pPr>
              <w:pStyle w:val="47"/>
              <w:jc w:val="center"/>
              <w:rPr>
                <w:rFonts w:hint="default" w:ascii="Times New Roman" w:hAnsi="Times New Roman"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临界量Q</w:t>
            </w:r>
            <w:r>
              <w:rPr>
                <w:rFonts w:hint="default" w:ascii="Times New Roman" w:hAnsi="Times New Roman" w:cs="Times New Roman"/>
                <w:color w:val="000000" w:themeColor="text1"/>
                <w:sz w:val="21"/>
                <w:szCs w:val="21"/>
                <w:highlight w:val="none"/>
                <w:vertAlign w:val="subscript"/>
                <w:lang w:val="zh-CN"/>
                <w14:textFill>
                  <w14:solidFill>
                    <w14:schemeClr w14:val="tx1"/>
                  </w14:solidFill>
                </w14:textFill>
              </w:rPr>
              <w:t>n</w:t>
            </w:r>
            <w:r>
              <w:rPr>
                <w:rFonts w:hint="default" w:ascii="Times New Roman" w:hAnsi="Times New Roman" w:cs="Times New Roman"/>
                <w:color w:val="000000" w:themeColor="text1"/>
                <w:sz w:val="21"/>
                <w:szCs w:val="21"/>
                <w:highlight w:val="none"/>
                <w:lang w:val="zh-CN"/>
                <w14:textFill>
                  <w14:solidFill>
                    <w14:schemeClr w14:val="tx1"/>
                  </w14:solidFill>
                </w14:textFill>
              </w:rPr>
              <w:t>/t</w:t>
            </w:r>
          </w:p>
        </w:tc>
        <w:tc>
          <w:tcPr>
            <w:tcW w:w="583" w:type="pct"/>
            <w:vAlign w:val="center"/>
          </w:tcPr>
          <w:p w14:paraId="16D40B8E">
            <w:pPr>
              <w:pStyle w:val="47"/>
              <w:jc w:val="center"/>
              <w:rPr>
                <w:rFonts w:hint="default" w:ascii="Times New Roman" w:hAnsi="Times New Roman"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该种危险物质Q值</w:t>
            </w:r>
          </w:p>
        </w:tc>
      </w:tr>
      <w:tr w14:paraId="231C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86" w:type="pct"/>
            <w:vMerge w:val="restart"/>
            <w:vAlign w:val="center"/>
          </w:tcPr>
          <w:p w14:paraId="35FC8B4A">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bookmarkStart w:id="1132" w:name="OLE_LINK999" w:colFirst="5" w:colLast="5"/>
            <w:bookmarkStart w:id="1133" w:name="OLE_LINK364" w:colFirst="6" w:colLast="6"/>
            <w:bookmarkStart w:id="1134" w:name="OLE_LINK1000" w:colFirst="7" w:colLast="7"/>
            <w:r>
              <w:rPr>
                <w:rFonts w:hint="default" w:ascii="Times New Roman" w:hAnsi="Times New Roman" w:cs="Times New Roman"/>
                <w:color w:val="000000" w:themeColor="text1"/>
                <w:kern w:val="2"/>
                <w:sz w:val="21"/>
                <w:szCs w:val="21"/>
                <w:highlight w:val="none"/>
                <w14:textFill>
                  <w14:solidFill>
                    <w14:schemeClr w14:val="tx1"/>
                  </w14:solidFill>
                </w14:textFill>
              </w:rPr>
              <w:t>1</w:t>
            </w:r>
          </w:p>
        </w:tc>
        <w:tc>
          <w:tcPr>
            <w:tcW w:w="762" w:type="pct"/>
            <w:vMerge w:val="restart"/>
            <w:vAlign w:val="center"/>
          </w:tcPr>
          <w:p w14:paraId="72E7994D">
            <w:pPr>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井场工艺装置区</w:t>
            </w:r>
          </w:p>
        </w:tc>
        <w:tc>
          <w:tcPr>
            <w:tcW w:w="892" w:type="pct"/>
            <w:vMerge w:val="restart"/>
            <w:vAlign w:val="center"/>
          </w:tcPr>
          <w:p w14:paraId="4F0A3AF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计量分离器（两相）</w:t>
            </w:r>
          </w:p>
        </w:tc>
        <w:tc>
          <w:tcPr>
            <w:tcW w:w="611" w:type="pct"/>
            <w:vAlign w:val="center"/>
          </w:tcPr>
          <w:p w14:paraId="4C03411A">
            <w:pPr>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凝析油</w:t>
            </w:r>
          </w:p>
        </w:tc>
        <w:tc>
          <w:tcPr>
            <w:tcW w:w="677" w:type="pct"/>
            <w:vAlign w:val="center"/>
          </w:tcPr>
          <w:p w14:paraId="00BC178E">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w:t>
            </w:r>
          </w:p>
        </w:tc>
        <w:tc>
          <w:tcPr>
            <w:tcW w:w="692" w:type="pct"/>
            <w:vAlign w:val="center"/>
          </w:tcPr>
          <w:p w14:paraId="749FCD40">
            <w:pPr>
              <w:jc w:val="cente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6.089</w:t>
            </w:r>
          </w:p>
        </w:tc>
        <w:tc>
          <w:tcPr>
            <w:tcW w:w="495" w:type="pct"/>
            <w:vAlign w:val="center"/>
          </w:tcPr>
          <w:p w14:paraId="2251C647">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2500</w:t>
            </w:r>
          </w:p>
        </w:tc>
        <w:tc>
          <w:tcPr>
            <w:tcW w:w="583" w:type="pct"/>
            <w:vAlign w:val="center"/>
          </w:tcPr>
          <w:p w14:paraId="03DD3508">
            <w:pPr>
              <w:keepNext w:val="0"/>
              <w:keepLines w:val="0"/>
              <w:widowControl/>
              <w:suppressLineNumbers w:val="0"/>
              <w:jc w:val="center"/>
              <w:textAlignment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5034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86" w:type="pct"/>
            <w:vMerge w:val="continue"/>
            <w:vAlign w:val="center"/>
          </w:tcPr>
          <w:p w14:paraId="04BEB5E5">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62" w:type="pct"/>
            <w:vMerge w:val="continue"/>
            <w:vAlign w:val="center"/>
          </w:tcPr>
          <w:p w14:paraId="6B4D5E80">
            <w:pPr>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p>
        </w:tc>
        <w:tc>
          <w:tcPr>
            <w:tcW w:w="892" w:type="pct"/>
            <w:vMerge w:val="continue"/>
            <w:vAlign w:val="center"/>
          </w:tcPr>
          <w:p w14:paraId="65099329">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611" w:type="pct"/>
            <w:vAlign w:val="center"/>
          </w:tcPr>
          <w:p w14:paraId="01F03C18">
            <w:pPr>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天然气</w:t>
            </w:r>
          </w:p>
        </w:tc>
        <w:tc>
          <w:tcPr>
            <w:tcW w:w="677" w:type="pct"/>
            <w:vAlign w:val="center"/>
          </w:tcPr>
          <w:p w14:paraId="6F9C001D">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bookmarkStart w:id="1135" w:name="OLE_LINK702"/>
            <w:r>
              <w:rPr>
                <w:rFonts w:hint="default" w:ascii="Times New Roman" w:hAnsi="Times New Roman" w:cs="Times New Roman"/>
                <w:color w:val="000000" w:themeColor="text1"/>
                <w:sz w:val="21"/>
                <w:szCs w:val="21"/>
                <w:highlight w:val="none"/>
                <w:lang w:bidi="ar"/>
                <w14:textFill>
                  <w14:solidFill>
                    <w14:schemeClr w14:val="tx1"/>
                  </w14:solidFill>
                </w14:textFill>
              </w:rPr>
              <w:t>74-82-8</w:t>
            </w:r>
            <w:bookmarkEnd w:id="1135"/>
          </w:p>
        </w:tc>
        <w:tc>
          <w:tcPr>
            <w:tcW w:w="692" w:type="pct"/>
            <w:vAlign w:val="center"/>
          </w:tcPr>
          <w:p w14:paraId="3387D858">
            <w:pPr>
              <w:jc w:val="center"/>
              <w:rPr>
                <w:rFonts w:hint="default" w:ascii="Times New Roman" w:hAnsi="Times New Roman" w:cs="Times New Roman"/>
                <w:color w:val="000000" w:themeColor="text1"/>
                <w:kern w:val="24"/>
                <w:sz w:val="21"/>
                <w:szCs w:val="21"/>
                <w:highlight w:val="none"/>
                <w:lang w:val="en-US"/>
                <w14:textFill>
                  <w14:solidFill>
                    <w14:schemeClr w14:val="tx1"/>
                  </w14:solidFill>
                </w14:textFill>
              </w:rPr>
            </w:pPr>
            <w:bookmarkStart w:id="1136" w:name="OLE_LINK1005"/>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0.12</w:t>
            </w:r>
            <w:bookmarkEnd w:id="1136"/>
          </w:p>
        </w:tc>
        <w:tc>
          <w:tcPr>
            <w:tcW w:w="495" w:type="pct"/>
            <w:vAlign w:val="center"/>
          </w:tcPr>
          <w:p w14:paraId="212B110C">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10</w:t>
            </w:r>
          </w:p>
        </w:tc>
        <w:tc>
          <w:tcPr>
            <w:tcW w:w="583" w:type="pct"/>
            <w:vAlign w:val="center"/>
          </w:tcPr>
          <w:p w14:paraId="7319A3AC">
            <w:pPr>
              <w:keepNext w:val="0"/>
              <w:keepLines w:val="0"/>
              <w:widowControl/>
              <w:suppressLineNumbers w:val="0"/>
              <w:jc w:val="center"/>
              <w:textAlignment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r>
      <w:tr w14:paraId="5E7E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86" w:type="pct"/>
            <w:vAlign w:val="center"/>
          </w:tcPr>
          <w:p w14:paraId="29BC4FD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bookmarkStart w:id="1137" w:name="OLE_LINK1006" w:colFirst="5" w:colLast="5"/>
            <w:bookmarkStart w:id="1138" w:name="OLE_LINK1318" w:colFirst="5" w:colLast="7"/>
            <w:r>
              <w:rPr>
                <w:rFonts w:hint="eastAsia" w:cs="Times New Roman"/>
                <w:color w:val="000000" w:themeColor="text1"/>
                <w:kern w:val="2"/>
                <w:sz w:val="21"/>
                <w:szCs w:val="21"/>
                <w:highlight w:val="none"/>
                <w:lang w:val="en-US" w:eastAsia="zh-CN"/>
                <w14:textFill>
                  <w14:solidFill>
                    <w14:schemeClr w14:val="tx1"/>
                  </w14:solidFill>
                </w14:textFill>
              </w:rPr>
              <w:t>2</w:t>
            </w:r>
          </w:p>
        </w:tc>
        <w:tc>
          <w:tcPr>
            <w:tcW w:w="762" w:type="pct"/>
            <w:vMerge w:val="continue"/>
            <w:vAlign w:val="center"/>
          </w:tcPr>
          <w:p w14:paraId="2CDA8579">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892" w:type="pct"/>
            <w:vAlign w:val="center"/>
          </w:tcPr>
          <w:p w14:paraId="44E6A3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火炬分液罐</w:t>
            </w:r>
          </w:p>
        </w:tc>
        <w:tc>
          <w:tcPr>
            <w:tcW w:w="611" w:type="pct"/>
            <w:vAlign w:val="center"/>
          </w:tcPr>
          <w:p w14:paraId="2175B5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天然气</w:t>
            </w:r>
          </w:p>
        </w:tc>
        <w:tc>
          <w:tcPr>
            <w:tcW w:w="677" w:type="pct"/>
            <w:vAlign w:val="center"/>
          </w:tcPr>
          <w:p w14:paraId="7F7EEA3E">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bookmarkStart w:id="1139" w:name="OLE_LINK1317"/>
            <w:r>
              <w:rPr>
                <w:rFonts w:hint="default" w:ascii="Times New Roman" w:hAnsi="Times New Roman" w:cs="Times New Roman"/>
                <w:color w:val="000000" w:themeColor="text1"/>
                <w:sz w:val="21"/>
                <w:szCs w:val="21"/>
                <w:highlight w:val="none"/>
                <w:lang w:bidi="ar"/>
                <w14:textFill>
                  <w14:solidFill>
                    <w14:schemeClr w14:val="tx1"/>
                  </w14:solidFill>
                </w14:textFill>
              </w:rPr>
              <w:t>74-82-8</w:t>
            </w:r>
            <w:bookmarkEnd w:id="1139"/>
          </w:p>
        </w:tc>
        <w:tc>
          <w:tcPr>
            <w:tcW w:w="692" w:type="pct"/>
            <w:vAlign w:val="center"/>
          </w:tcPr>
          <w:p w14:paraId="56939C13">
            <w:pPr>
              <w:jc w:val="center"/>
              <w:rPr>
                <w:rFonts w:hint="default" w:ascii="Times New Roman" w:hAnsi="Times New Roman" w:cs="Times New Roman"/>
                <w:color w:val="000000" w:themeColor="text1"/>
                <w:kern w:val="24"/>
                <w:sz w:val="21"/>
                <w:szCs w:val="21"/>
                <w:highlight w:val="none"/>
                <w:lang w:val="en-US"/>
                <w14:textFill>
                  <w14:solidFill>
                    <w14:schemeClr w14:val="tx1"/>
                  </w14:solidFill>
                </w14:textFill>
              </w:rPr>
            </w:pPr>
            <w:bookmarkStart w:id="1140" w:name="OLE_LINK1319"/>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0.0</w:t>
            </w:r>
            <w:r>
              <w:rPr>
                <w:rFonts w:hint="eastAsia" w:cs="Times New Roman"/>
                <w:color w:val="000000" w:themeColor="text1"/>
                <w:kern w:val="24"/>
                <w:sz w:val="21"/>
                <w:szCs w:val="21"/>
                <w:highlight w:val="none"/>
                <w:lang w:val="en-US" w:eastAsia="zh-CN"/>
                <w14:textFill>
                  <w14:solidFill>
                    <w14:schemeClr w14:val="tx1"/>
                  </w14:solidFill>
                </w14:textFill>
              </w:rPr>
              <w:t>09</w:t>
            </w:r>
            <w:bookmarkEnd w:id="1140"/>
          </w:p>
        </w:tc>
        <w:tc>
          <w:tcPr>
            <w:tcW w:w="495" w:type="pct"/>
            <w:vAlign w:val="center"/>
          </w:tcPr>
          <w:p w14:paraId="1401BDDC">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10</w:t>
            </w:r>
          </w:p>
        </w:tc>
        <w:tc>
          <w:tcPr>
            <w:tcW w:w="583" w:type="pct"/>
            <w:vAlign w:val="center"/>
          </w:tcPr>
          <w:p w14:paraId="1FB9D025">
            <w:pPr>
              <w:keepNext w:val="0"/>
              <w:keepLines w:val="0"/>
              <w:widowControl/>
              <w:suppressLineNumbers w:val="0"/>
              <w:jc w:val="center"/>
              <w:textAlignment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r>
      <w:bookmarkEnd w:id="1137"/>
      <w:bookmarkEnd w:id="1138"/>
      <w:tr w14:paraId="0B80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86" w:type="pct"/>
            <w:vAlign w:val="center"/>
          </w:tcPr>
          <w:p w14:paraId="15EC6ABD">
            <w:pPr>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bookmarkStart w:id="1141" w:name="OLE_LINK1004" w:colFirst="5" w:colLast="5"/>
            <w:bookmarkStart w:id="1142" w:name="OLE_LINK708" w:colFirst="4" w:colLast="7"/>
            <w:r>
              <w:rPr>
                <w:rFonts w:hint="eastAsia" w:cs="Times New Roman"/>
                <w:color w:val="000000" w:themeColor="text1"/>
                <w:kern w:val="2"/>
                <w:sz w:val="21"/>
                <w:szCs w:val="21"/>
                <w:highlight w:val="none"/>
                <w:lang w:val="en-US" w:eastAsia="zh-CN"/>
                <w14:textFill>
                  <w14:solidFill>
                    <w14:schemeClr w14:val="tx1"/>
                  </w14:solidFill>
                </w14:textFill>
              </w:rPr>
              <w:t>3</w:t>
            </w:r>
          </w:p>
        </w:tc>
        <w:tc>
          <w:tcPr>
            <w:tcW w:w="762" w:type="pct"/>
            <w:vAlign w:val="center"/>
          </w:tcPr>
          <w:p w14:paraId="465BB22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井场储罐区</w:t>
            </w:r>
          </w:p>
        </w:tc>
        <w:tc>
          <w:tcPr>
            <w:tcW w:w="892" w:type="pct"/>
            <w:vAlign w:val="center"/>
          </w:tcPr>
          <w:p w14:paraId="27BE3DB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4座6</w:t>
            </w:r>
            <w:r>
              <w:rPr>
                <w:rFonts w:hint="default" w:ascii="Times New Roman" w:hAnsi="Times New Roman" w:cs="Times New Roman"/>
                <w:color w:val="000000" w:themeColor="text1"/>
                <w:sz w:val="21"/>
                <w:szCs w:val="21"/>
                <w:highlight w:val="none"/>
                <w14:textFill>
                  <w14:solidFill>
                    <w14:schemeClr w14:val="tx1"/>
                  </w14:solidFill>
                </w14:textFill>
              </w:rPr>
              <w:t>0m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多功能储集器</w:t>
            </w:r>
            <w:r>
              <w:rPr>
                <w:rFonts w:hint="default" w:ascii="Times New Roman" w:hAnsi="Times New Roman" w:eastAsia="宋体" w:cs="Times New Roman"/>
                <w:color w:val="000000" w:themeColor="text1"/>
                <w:spacing w:val="-43"/>
                <w:sz w:val="21"/>
                <w:szCs w:val="21"/>
                <w:highlight w:val="none"/>
                <w14:textFill>
                  <w14:solidFill>
                    <w14:schemeClr w14:val="tx1"/>
                  </w14:solidFill>
                </w14:textFill>
              </w:rPr>
              <w:t xml:space="preserve"> </w:t>
            </w:r>
          </w:p>
        </w:tc>
        <w:tc>
          <w:tcPr>
            <w:tcW w:w="611" w:type="pct"/>
            <w:vAlign w:val="center"/>
          </w:tcPr>
          <w:p w14:paraId="49F35EA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bookmarkStart w:id="1143" w:name="OLE_LINK707"/>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凝析油</w:t>
            </w:r>
            <w:bookmarkEnd w:id="1143"/>
          </w:p>
        </w:tc>
        <w:tc>
          <w:tcPr>
            <w:tcW w:w="677" w:type="pct"/>
            <w:vAlign w:val="center"/>
          </w:tcPr>
          <w:p w14:paraId="254CC6A3">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w:t>
            </w:r>
          </w:p>
        </w:tc>
        <w:tc>
          <w:tcPr>
            <w:tcW w:w="692" w:type="pct"/>
            <w:vAlign w:val="center"/>
          </w:tcPr>
          <w:p w14:paraId="26B8B949">
            <w:pPr>
              <w:jc w:val="center"/>
              <w:rPr>
                <w:rFonts w:hint="default" w:ascii="Times New Roman" w:hAnsi="Times New Roman" w:cs="Times New Roman"/>
                <w:color w:val="000000" w:themeColor="text1"/>
                <w:kern w:val="24"/>
                <w:sz w:val="21"/>
                <w:szCs w:val="21"/>
                <w:highlight w:val="none"/>
                <w:lang w:val="en-US"/>
                <w14:textFill>
                  <w14:solidFill>
                    <w14:schemeClr w14:val="tx1"/>
                  </w14:solidFill>
                </w14:textFill>
              </w:rPr>
            </w:pPr>
            <w:r>
              <w:rPr>
                <w:rFonts w:hint="eastAsia" w:cs="Times New Roman"/>
                <w:color w:val="000000" w:themeColor="text1"/>
                <w:kern w:val="24"/>
                <w:sz w:val="21"/>
                <w:szCs w:val="21"/>
                <w:highlight w:val="none"/>
                <w:lang w:val="en-US" w:eastAsia="zh-CN"/>
                <w14:textFill>
                  <w14:solidFill>
                    <w14:schemeClr w14:val="tx1"/>
                  </w14:solidFill>
                </w14:textFill>
              </w:rPr>
              <w:t>187.75</w:t>
            </w:r>
          </w:p>
        </w:tc>
        <w:tc>
          <w:tcPr>
            <w:tcW w:w="495" w:type="pct"/>
            <w:vAlign w:val="center"/>
          </w:tcPr>
          <w:p w14:paraId="2ED1BFEE">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2500</w:t>
            </w:r>
          </w:p>
        </w:tc>
        <w:tc>
          <w:tcPr>
            <w:tcW w:w="583" w:type="pct"/>
            <w:vAlign w:val="center"/>
          </w:tcPr>
          <w:p w14:paraId="6B79055F">
            <w:pPr>
              <w:keepNext w:val="0"/>
              <w:keepLines w:val="0"/>
              <w:widowControl/>
              <w:suppressLineNumbers w:val="0"/>
              <w:jc w:val="center"/>
              <w:textAlignment w:val="center"/>
              <w:rPr>
                <w:rFonts w:hint="default" w:ascii="Times New Roman" w:hAnsi="Times New Roman" w:cs="Times New Roman"/>
                <w:color w:val="000000" w:themeColor="text1"/>
                <w:kern w:val="24"/>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0.075</w:t>
            </w:r>
          </w:p>
        </w:tc>
      </w:tr>
      <w:bookmarkEnd w:id="1132"/>
      <w:bookmarkEnd w:id="1133"/>
      <w:bookmarkEnd w:id="1134"/>
      <w:bookmarkEnd w:id="1141"/>
      <w:bookmarkEnd w:id="1142"/>
      <w:tr w14:paraId="568B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416" w:type="pct"/>
            <w:gridSpan w:val="7"/>
            <w:vAlign w:val="center"/>
          </w:tcPr>
          <w:p w14:paraId="50D5A2A7">
            <w:pPr>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eastAsia="en-US"/>
                <w14:textFill>
                  <w14:solidFill>
                    <w14:schemeClr w14:val="tx1"/>
                  </w14:solidFill>
                </w14:textFill>
              </w:rPr>
              <w:t>∑Q</w:t>
            </w:r>
          </w:p>
        </w:tc>
        <w:tc>
          <w:tcPr>
            <w:tcW w:w="583" w:type="pct"/>
            <w:vAlign w:val="center"/>
          </w:tcPr>
          <w:p w14:paraId="6457A23B">
            <w:pPr>
              <w:jc w:val="cente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pPr>
            <w:bookmarkStart w:id="1144" w:name="OLE_LINK1002"/>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0.</w:t>
            </w:r>
            <w:bookmarkEnd w:id="1144"/>
            <w:r>
              <w:rPr>
                <w:rFonts w:hint="eastAsia" w:cs="Times New Roman"/>
                <w:color w:val="000000" w:themeColor="text1"/>
                <w:kern w:val="24"/>
                <w:sz w:val="21"/>
                <w:szCs w:val="21"/>
                <w:highlight w:val="none"/>
                <w:lang w:val="en-US" w:eastAsia="zh-CN"/>
                <w14:textFill>
                  <w14:solidFill>
                    <w14:schemeClr w14:val="tx1"/>
                  </w14:solidFill>
                </w14:textFill>
              </w:rPr>
              <w:t>09</w:t>
            </w:r>
          </w:p>
        </w:tc>
      </w:tr>
    </w:tbl>
    <w:p w14:paraId="673A0BB2">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根据上表计算结果，本工程Q=</w:t>
      </w:r>
      <w:r>
        <w:rPr>
          <w:rFonts w:hint="default" w:ascii="Times New Roman" w:hAnsi="Times New Roman" w:cs="Times New Roman"/>
          <w:caps w:val="0"/>
          <w:color w:val="000000" w:themeColor="text1"/>
          <w:sz w:val="24"/>
          <w:szCs w:val="24"/>
          <w:highlight w:val="none"/>
          <w:lang w:val="en-US" w:eastAsia="zh-CN"/>
          <w14:textFill>
            <w14:solidFill>
              <w14:schemeClr w14:val="tx1"/>
            </w14:solidFill>
          </w14:textFill>
        </w:rPr>
        <w:t>0.</w:t>
      </w:r>
      <w:r>
        <w:rPr>
          <w:rFonts w:hint="eastAsia" w:cs="Times New Roman"/>
          <w:caps w:val="0"/>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w:t>
      </w:r>
      <w:bookmarkStart w:id="1145" w:name="OLE_LINK997"/>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Q</w:t>
      </w:r>
      <w:bookmarkEnd w:id="1145"/>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＜1，判断项目风险潜势为Ⅰ，根据《建设项目环境风险评价技术导则》（HJ169-2018）相关要求，</w:t>
      </w: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本工程</w:t>
      </w:r>
      <w:bookmarkStart w:id="1146" w:name="OLE_LINK1439"/>
      <w:bookmarkStart w:id="1147" w:name="OLE_LINK1438"/>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环境风险评价工作等级为简单分析</w:t>
      </w:r>
      <w:bookmarkEnd w:id="1146"/>
      <w:bookmarkEnd w:id="1147"/>
      <w:r>
        <w:rPr>
          <w:rFonts w:hint="eastAsia" w:eastAsia="宋体" w:cs="Times New Roman"/>
          <w:cap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本次评价仅对项目可能存在的环境风险进行简单分析。</w:t>
      </w:r>
    </w:p>
    <w:p w14:paraId="558FAAE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3"/>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bookmarkStart w:id="1148" w:name="OLE_LINK1441"/>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（2）环境</w:t>
      </w:r>
      <w:bookmarkStart w:id="1149" w:name="OLE_LINK1464"/>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敏感</w:t>
      </w:r>
      <w:bookmarkEnd w:id="1149"/>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目标</w:t>
      </w:r>
    </w:p>
    <w:p w14:paraId="1D7BCE44">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本工程</w:t>
      </w:r>
      <w:bookmarkEnd w:id="1148"/>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环境风险评价工作等级为简单分析，</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环境风险</w:t>
      </w:r>
      <w:bookmarkStart w:id="1150" w:name="OLE_LINK1440"/>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评价范围</w:t>
      </w:r>
      <w:bookmarkEnd w:id="1150"/>
      <w:r>
        <w:rPr>
          <w:rFonts w:hint="eastAsia" w:eastAsia="宋体" w:cs="Times New Roman"/>
          <w:caps w:val="0"/>
          <w:color w:val="000000" w:themeColor="text1"/>
          <w:sz w:val="24"/>
          <w:szCs w:val="24"/>
          <w:highlight w:val="none"/>
          <w:lang w:val="en-US" w:eastAsia="zh-CN"/>
          <w14:textFill>
            <w14:solidFill>
              <w14:schemeClr w14:val="tx1"/>
            </w14:solidFill>
          </w14:textFill>
        </w:rPr>
        <w:t>参照大气环境</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评价范围</w:t>
      </w:r>
      <w:r>
        <w:rPr>
          <w:rFonts w:hint="default" w:ascii="Times New Roman" w:hAnsi="Times New Roman" w:cs="Times New Roman"/>
          <w:color w:val="000000" w:themeColor="text1"/>
          <w:highlight w:val="none"/>
          <w:u w:val="none"/>
          <w:lang w:val="en-US" w:eastAsia="zh-CN"/>
          <w14:textFill>
            <w14:solidFill>
              <w14:schemeClr w14:val="tx1"/>
            </w14:solidFill>
          </w14:textFill>
        </w:rPr>
        <w:t>。</w:t>
      </w:r>
    </w:p>
    <w:p w14:paraId="526D3264">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_Toc27368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bookmarkStart w:id="1151" w:name="OLE_LINK869"/>
      <w:r>
        <w:rPr>
          <w:rFonts w:hint="eastAsia" w:ascii="Times New Roman" w:hAnsi="Times New Roman" w:eastAsia="宋体" w:cs="Times New Roman"/>
          <w:color w:val="000000" w:themeColor="text1"/>
          <w:highlight w:val="none"/>
          <w:lang w:val="en-US" w:eastAsia="zh-CN"/>
          <w14:textFill>
            <w14:solidFill>
              <w14:schemeClr w14:val="tx1"/>
            </w14:solidFill>
          </w14:textFill>
        </w:rPr>
        <w:t>5.8.3</w:t>
      </w:r>
      <w:bookmarkEnd w:id="1151"/>
      <w:r>
        <w:rPr>
          <w:rFonts w:hint="eastAsia" w:ascii="Times New Roman" w:hAnsi="Times New Roman" w:eastAsia="宋体" w:cs="Times New Roman"/>
          <w:color w:val="000000" w:themeColor="text1"/>
          <w:highlight w:val="none"/>
          <w14:textFill>
            <w14:solidFill>
              <w14:schemeClr w14:val="tx1"/>
            </w14:solidFill>
          </w14:textFill>
        </w:rPr>
        <w:t>环境风险识别</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p>
    <w:p w14:paraId="13BBD04D">
      <w:pPr>
        <w:pStyle w:val="33"/>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firstLine="480" w:firstLineChars="200"/>
        <w:jc w:val="both"/>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highlight w:val="none"/>
          <w14:textFill>
            <w14:solidFill>
              <w14:schemeClr w14:val="tx1"/>
            </w14:solidFill>
          </w14:textFill>
        </w:rPr>
        <w:t>涉及的主要风险物质为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eastAsia="宋体" w:cs="Times New Roman"/>
          <w:color w:val="000000" w:themeColor="text1"/>
          <w:highlight w:val="none"/>
          <w14:textFill>
            <w14:solidFill>
              <w14:schemeClr w14:val="tx1"/>
            </w14:solidFill>
          </w14:textFill>
        </w:rPr>
        <w:t>，存在于</w:t>
      </w:r>
      <w:bookmarkStart w:id="1152" w:name="OLE_LINK713"/>
      <w:r>
        <w:rPr>
          <w:rFonts w:hint="default" w:ascii="Times New Roman" w:hAnsi="Times New Roman" w:eastAsia="宋体" w:cs="Times New Roman"/>
          <w:color w:val="000000" w:themeColor="text1"/>
          <w:highlight w:val="none"/>
          <w:lang w:val="en-US" w:eastAsia="zh-CN"/>
          <w14:textFill>
            <w14:solidFill>
              <w14:schemeClr w14:val="tx1"/>
            </w14:solidFill>
          </w14:textFill>
        </w:rPr>
        <w:t>井场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设备、</w:t>
      </w:r>
      <w:bookmarkStart w:id="1153" w:name="OLE_LINK893"/>
      <w:r>
        <w:rPr>
          <w:rFonts w:hint="eastAsia" w:ascii="Times New Roman" w:hAnsi="Times New Roman" w:eastAsia="宋体" w:cs="Times New Roman"/>
          <w:color w:val="000000" w:themeColor="text1"/>
          <w:highlight w:val="none"/>
          <w:lang w:val="en-US" w:eastAsia="zh-CN"/>
          <w14:textFill>
            <w14:solidFill>
              <w14:schemeClr w14:val="tx1"/>
            </w14:solidFill>
          </w14:textFill>
        </w:rPr>
        <w:t>储罐</w:t>
      </w:r>
      <w:bookmarkEnd w:id="1152"/>
      <w:bookmarkEnd w:id="1153"/>
      <w:r>
        <w:rPr>
          <w:rFonts w:hint="default" w:ascii="Times New Roman" w:hAnsi="Times New Roman" w:eastAsia="宋体" w:cs="Times New Roman"/>
          <w:color w:val="000000" w:themeColor="text1"/>
          <w:highlight w:val="none"/>
          <w14:textFill>
            <w14:solidFill>
              <w14:schemeClr w14:val="tx1"/>
            </w14:solidFill>
          </w14:textFill>
        </w:rPr>
        <w:t>内。风险物质危险</w:t>
      </w:r>
      <w:r>
        <w:rPr>
          <w:rFonts w:hint="default" w:ascii="Times New Roman" w:hAnsi="Times New Roman" w:cs="Times New Roman"/>
          <w:color w:val="000000" w:themeColor="text1"/>
          <w:highlight w:val="none"/>
          <w14:textFill>
            <w14:solidFill>
              <w14:schemeClr w14:val="tx1"/>
            </w14:solidFill>
          </w14:textFill>
        </w:rPr>
        <w:t>特性见表5.8-</w:t>
      </w:r>
      <w:r>
        <w:rPr>
          <w:rFonts w:hint="eastAsia" w:cs="Times New Roman"/>
          <w:color w:val="000000" w:themeColor="text1"/>
          <w:highlight w:val="none"/>
          <w:lang w:val="en-US" w:eastAsia="zh-CN"/>
          <w14:textFill>
            <w14:solidFill>
              <w14:schemeClr w14:val="tx1"/>
            </w14:solidFill>
          </w14:textFill>
        </w:rPr>
        <w:t>4</w:t>
      </w:r>
    </w:p>
    <w:p w14:paraId="5F4CB10C">
      <w:pPr>
        <w:pStyle w:val="52"/>
        <w:keepNext w:val="0"/>
        <w:keepLines w:val="0"/>
        <w:pageBreakBefore w:val="0"/>
        <w:widowControl/>
        <w:kinsoku/>
        <w:wordWrap/>
        <w:overflowPunct/>
        <w:topLinePunct w:val="0"/>
        <w:autoSpaceDE/>
        <w:autoSpaceDN/>
        <w:bidi w:val="0"/>
        <w:adjustRightInd w:val="0"/>
        <w:snapToGrid w:val="0"/>
        <w:spacing w:line="240" w:lineRule="auto"/>
        <w:ind w:left="-6" w:firstLine="561"/>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表5.8-</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风险物质危险特性和分布一览表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9"/>
        <w:gridCol w:w="1475"/>
        <w:gridCol w:w="3979"/>
        <w:gridCol w:w="2224"/>
      </w:tblGrid>
      <w:tr w14:paraId="7F17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406" w:type="pct"/>
            <w:noWrap w:val="0"/>
            <w:vAlign w:val="center"/>
          </w:tcPr>
          <w:p w14:paraId="50FD1477">
            <w:pPr>
              <w:widowControl w:val="0"/>
              <w:jc w:val="cente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序号</w:t>
            </w:r>
          </w:p>
        </w:tc>
        <w:tc>
          <w:tcPr>
            <w:tcW w:w="882" w:type="pct"/>
            <w:noWrap w:val="0"/>
            <w:vAlign w:val="center"/>
          </w:tcPr>
          <w:p w14:paraId="75779B6F">
            <w:pPr>
              <w:widowControl w:val="0"/>
              <w:jc w:val="cente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危险物质名称</w:t>
            </w:r>
          </w:p>
        </w:tc>
        <w:tc>
          <w:tcPr>
            <w:tcW w:w="2380" w:type="pct"/>
            <w:noWrap w:val="0"/>
            <w:vAlign w:val="center"/>
          </w:tcPr>
          <w:p w14:paraId="0117FA18">
            <w:pPr>
              <w:widowControl w:val="0"/>
              <w:jc w:val="cente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危险特性</w:t>
            </w:r>
          </w:p>
        </w:tc>
        <w:tc>
          <w:tcPr>
            <w:tcW w:w="1330" w:type="pct"/>
            <w:noWrap w:val="0"/>
            <w:vAlign w:val="center"/>
          </w:tcPr>
          <w:p w14:paraId="4260B1F1">
            <w:pPr>
              <w:widowControl w:val="0"/>
              <w:jc w:val="cente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分布</w:t>
            </w:r>
          </w:p>
        </w:tc>
      </w:tr>
      <w:tr w14:paraId="4F4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406" w:type="pct"/>
            <w:noWrap w:val="0"/>
            <w:vAlign w:val="center"/>
          </w:tcPr>
          <w:p w14:paraId="53FD7BFF">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w:t>
            </w:r>
          </w:p>
        </w:tc>
        <w:tc>
          <w:tcPr>
            <w:tcW w:w="882" w:type="pct"/>
            <w:noWrap w:val="0"/>
            <w:vAlign w:val="center"/>
          </w:tcPr>
          <w:p w14:paraId="25A6EEE2">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天然气</w:t>
            </w:r>
          </w:p>
        </w:tc>
        <w:tc>
          <w:tcPr>
            <w:tcW w:w="2380" w:type="pct"/>
            <w:noWrap w:val="0"/>
            <w:vAlign w:val="center"/>
          </w:tcPr>
          <w:p w14:paraId="1847E940">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易燃气体</w:t>
            </w:r>
          </w:p>
        </w:tc>
        <w:tc>
          <w:tcPr>
            <w:tcW w:w="1330" w:type="pct"/>
            <w:noWrap w:val="0"/>
            <w:vAlign w:val="center"/>
          </w:tcPr>
          <w:p w14:paraId="0E63F68A">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井场设备、储罐</w:t>
            </w:r>
          </w:p>
        </w:tc>
      </w:tr>
      <w:tr w14:paraId="48CB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406" w:type="pct"/>
            <w:noWrap w:val="0"/>
            <w:vAlign w:val="center"/>
          </w:tcPr>
          <w:p w14:paraId="647949D0">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w:t>
            </w:r>
          </w:p>
        </w:tc>
        <w:tc>
          <w:tcPr>
            <w:tcW w:w="882" w:type="pct"/>
            <w:noWrap w:val="0"/>
            <w:vAlign w:val="center"/>
          </w:tcPr>
          <w:p w14:paraId="4EB1FAFF">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凝析油</w:t>
            </w:r>
          </w:p>
        </w:tc>
        <w:tc>
          <w:tcPr>
            <w:tcW w:w="2380" w:type="pct"/>
            <w:noWrap w:val="0"/>
            <w:vAlign w:val="center"/>
          </w:tcPr>
          <w:p w14:paraId="15179F66">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可燃液体</w:t>
            </w:r>
          </w:p>
        </w:tc>
        <w:tc>
          <w:tcPr>
            <w:tcW w:w="1330" w:type="pct"/>
            <w:noWrap w:val="0"/>
            <w:vAlign w:val="center"/>
          </w:tcPr>
          <w:p w14:paraId="78777DCA">
            <w:pPr>
              <w:widowControl w:val="0"/>
              <w:jc w:val="center"/>
              <w:rPr>
                <w:rFonts w:hint="default" w:ascii="Times New Roman" w:hAnsi="Times New Roman" w:eastAsia="宋体" w:cs="Times New Roman"/>
                <w:cap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井场设备、储罐</w:t>
            </w:r>
          </w:p>
        </w:tc>
      </w:tr>
    </w:tbl>
    <w:p w14:paraId="7D45DEE4">
      <w:pPr>
        <w:spacing w:line="360" w:lineRule="auto"/>
        <w:ind w:firstLine="480" w:firstLineChars="200"/>
        <w:jc w:val="both"/>
        <w:rPr>
          <w:rFonts w:hint="eastAsia" w:ascii="Times New Roman" w:hAnsi="Times New Roman" w:eastAsia="宋体"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1 \* GB3</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bookmarkStart w:id="1154" w:name="OLE_LINK714"/>
      <w:r>
        <w:rPr>
          <w:rFonts w:hint="eastAsia" w:cs="Times New Roman"/>
          <w:snapToGrid w:val="0"/>
          <w:color w:val="000000" w:themeColor="text1"/>
          <w:highlight w:val="none"/>
          <w:lang w:val="en-US" w:eastAsia="zh-CN"/>
          <w14:textFill>
            <w14:solidFill>
              <w14:schemeClr w14:val="tx1"/>
            </w14:solidFill>
          </w14:textFill>
        </w:rPr>
        <w:t>天然气</w:t>
      </w:r>
      <w:bookmarkEnd w:id="1154"/>
    </w:p>
    <w:p w14:paraId="07F6EEFF">
      <w:pPr>
        <w:spacing w:line="360" w:lineRule="auto"/>
        <w:ind w:firstLine="480" w:firstLineChars="200"/>
        <w:jc w:val="both"/>
        <w:rPr>
          <w:rFonts w:hint="default" w:ascii="Times New Roman" w:hAnsi="Times New Roman" w:cs="Times New Roman"/>
          <w:snapToGrid w:val="0"/>
          <w:color w:val="000000" w:themeColor="text1"/>
          <w:highlight w:val="none"/>
          <w14:textFill>
            <w14:solidFill>
              <w14:schemeClr w14:val="tx1"/>
            </w14:solidFill>
          </w14:textFill>
        </w:rPr>
      </w:pPr>
      <w:bookmarkStart w:id="1155" w:name="OLE_LINK857"/>
      <w:r>
        <w:rPr>
          <w:rFonts w:hint="eastAsia" w:cs="Times New Roman"/>
          <w:color w:val="000000" w:themeColor="text1"/>
          <w:sz w:val="24"/>
          <w:highlight w:val="none"/>
          <w:lang w:val="en-US" w:eastAsia="zh-CN"/>
          <w14:textFill>
            <w14:solidFill>
              <w14:schemeClr w14:val="tx1"/>
            </w14:solidFill>
          </w14:textFill>
        </w:rPr>
        <w:t>星火</w:t>
      </w:r>
      <w:r>
        <w:rPr>
          <w:rFonts w:hint="default" w:ascii="Times New Roman" w:hAnsi="Times New Roman" w:cs="Times New Roman"/>
          <w:color w:val="000000" w:themeColor="text1"/>
          <w:sz w:val="24"/>
          <w:highlight w:val="none"/>
          <w14:textFill>
            <w14:solidFill>
              <w14:schemeClr w14:val="tx1"/>
            </w14:solidFill>
          </w14:textFill>
        </w:rPr>
        <w:t>井区</w:t>
      </w:r>
      <w:bookmarkEnd w:id="1155"/>
      <w:r>
        <w:rPr>
          <w:rFonts w:hint="default" w:ascii="Times New Roman" w:hAnsi="Times New Roman" w:cs="Times New Roman"/>
          <w:color w:val="000000" w:themeColor="text1"/>
          <w:sz w:val="24"/>
          <w:highlight w:val="none"/>
          <w14:textFill>
            <w14:solidFill>
              <w14:schemeClr w14:val="tx1"/>
            </w14:solidFill>
          </w14:textFill>
        </w:rPr>
        <w:t>油藏中的</w:t>
      </w:r>
      <w:r>
        <w:rPr>
          <w:rFonts w:hint="default" w:ascii="Times New Roman" w:hAnsi="Times New Roman" w:cs="Times New Roman"/>
          <w:color w:val="000000" w:themeColor="text1"/>
          <w:highlight w:val="none"/>
          <w:lang w:val="en-US" w:eastAsia="zh-CN"/>
          <w14:textFill>
            <w14:solidFill>
              <w14:schemeClr w14:val="tx1"/>
            </w14:solidFill>
          </w14:textFill>
        </w:rPr>
        <w:t>天然气平均相对密度为0.663</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甲烷平均含量为79.81%，</w:t>
      </w:r>
      <w:bookmarkStart w:id="1156" w:name="OLE_LINK1526"/>
      <w:r>
        <w:rPr>
          <w:rFonts w:hint="default" w:ascii="Times New Roman" w:hAnsi="Times New Roman" w:cs="Times New Roman"/>
          <w:color w:val="000000" w:themeColor="text1"/>
          <w:highlight w:val="none"/>
          <w:lang w:val="en-US" w:eastAsia="zh-CN"/>
          <w14:textFill>
            <w14:solidFill>
              <w14:schemeClr w14:val="tx1"/>
            </w14:solidFill>
          </w14:textFill>
        </w:rPr>
        <w:t>N</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平均含量为2.37%，CO</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平均含量</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为1.04％</w:t>
      </w:r>
      <w:bookmarkEnd w:id="1156"/>
      <w:r>
        <w:rPr>
          <w:rFonts w:hint="default" w:ascii="Times New Roman" w:hAnsi="Times New Roman" w:cs="Times New Roman"/>
          <w:color w:val="000000" w:themeColor="text1"/>
          <w:sz w:val="24"/>
          <w:highlight w:val="none"/>
          <w14:textFill>
            <w14:solidFill>
              <w14:schemeClr w14:val="tx1"/>
            </w14:solidFill>
          </w14:textFill>
        </w:rPr>
        <w:t>。</w:t>
      </w:r>
      <w:bookmarkStart w:id="1157" w:name="OLE_LINK715"/>
      <w:r>
        <w:rPr>
          <w:rFonts w:hint="eastAsia" w:cs="Times New Roman"/>
          <w:snapToGrid w:val="0"/>
          <w:color w:val="000000" w:themeColor="text1"/>
          <w:highlight w:val="none"/>
          <w:lang w:val="en-US" w:eastAsia="zh-CN"/>
          <w14:textFill>
            <w14:solidFill>
              <w14:schemeClr w14:val="tx1"/>
            </w14:solidFill>
          </w14:textFill>
        </w:rPr>
        <w:t>天然气</w:t>
      </w:r>
      <w:bookmarkEnd w:id="1157"/>
      <w:r>
        <w:rPr>
          <w:rFonts w:hint="default" w:ascii="Times New Roman" w:hAnsi="Times New Roman" w:cs="Times New Roman"/>
          <w:color w:val="000000" w:themeColor="text1"/>
          <w:highlight w:val="none"/>
          <w14:textFill>
            <w14:solidFill>
              <w14:schemeClr w14:val="tx1"/>
            </w14:solidFill>
          </w14:textFill>
        </w:rPr>
        <w:t>理化性质及危险危害特性详见表</w:t>
      </w:r>
      <w:r>
        <w:rPr>
          <w:rFonts w:hint="eastAsia" w:cs="Times New Roman"/>
          <w:color w:val="000000" w:themeColor="text1"/>
          <w:highlight w:val="none"/>
          <w:lang w:val="en-US" w:eastAsia="zh-CN"/>
          <w14:textFill>
            <w14:solidFill>
              <w14:schemeClr w14:val="tx1"/>
            </w14:solidFill>
          </w14:textFill>
        </w:rPr>
        <w:t>5.8-5</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34213094">
      <w:pPr>
        <w:ind w:firstLine="422" w:firstLineChars="20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58" w:name="OLE_LINK716"/>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58"/>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5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天然气理化性质、危险危害特性及防护措施表</w:t>
      </w:r>
    </w:p>
    <w:tbl>
      <w:tblPr>
        <w:tblStyle w:val="37"/>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858"/>
        <w:gridCol w:w="1282"/>
        <w:gridCol w:w="572"/>
        <w:gridCol w:w="1321"/>
        <w:gridCol w:w="1109"/>
        <w:gridCol w:w="869"/>
        <w:gridCol w:w="274"/>
        <w:gridCol w:w="2159"/>
      </w:tblGrid>
      <w:tr w14:paraId="572A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restart"/>
            <w:tcBorders>
              <w:top w:val="single" w:color="auto" w:sz="4" w:space="0"/>
              <w:left w:val="single" w:color="auto" w:sz="4" w:space="0"/>
              <w:bottom w:val="single" w:color="auto" w:sz="4" w:space="0"/>
              <w:right w:val="single" w:color="auto" w:sz="4" w:space="0"/>
            </w:tcBorders>
            <w:noWrap w:val="0"/>
            <w:vAlign w:val="center"/>
          </w:tcPr>
          <w:p w14:paraId="31EC5A0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化学品</w:t>
            </w:r>
          </w:p>
          <w:p w14:paraId="47C5C05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名称</w:t>
            </w:r>
          </w:p>
        </w:tc>
        <w:tc>
          <w:tcPr>
            <w:tcW w:w="1854" w:type="dxa"/>
            <w:gridSpan w:val="2"/>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10C1811">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化学品中文名称</w:t>
            </w:r>
          </w:p>
        </w:tc>
        <w:tc>
          <w:tcPr>
            <w:tcW w:w="5732" w:type="dxa"/>
            <w:gridSpan w:val="5"/>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9FF2618">
            <w:pPr>
              <w:widowControl/>
              <w:topLinePunct/>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p>
        </w:tc>
      </w:tr>
      <w:tr w14:paraId="0609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6D56CE56">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854" w:type="dxa"/>
            <w:gridSpan w:val="2"/>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EAE06BA">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化学品英文名称</w:t>
            </w:r>
          </w:p>
        </w:tc>
        <w:tc>
          <w:tcPr>
            <w:tcW w:w="5732" w:type="dxa"/>
            <w:gridSpan w:val="5"/>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B9BD576">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Naturalgasdehydration</w:t>
            </w:r>
          </w:p>
        </w:tc>
      </w:tr>
      <w:tr w14:paraId="56E7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restart"/>
            <w:tcBorders>
              <w:top w:val="single" w:color="auto" w:sz="4" w:space="0"/>
              <w:left w:val="single" w:color="auto" w:sz="4" w:space="0"/>
              <w:bottom w:val="single" w:color="auto" w:sz="4" w:space="0"/>
              <w:right w:val="single" w:color="auto" w:sz="4" w:space="0"/>
            </w:tcBorders>
            <w:noWrap w:val="0"/>
            <w:vAlign w:val="center"/>
          </w:tcPr>
          <w:p w14:paraId="7B67E374">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成分/组成信息</w:t>
            </w:r>
          </w:p>
        </w:tc>
        <w:tc>
          <w:tcPr>
            <w:tcW w:w="3175" w:type="dxa"/>
            <w:gridSpan w:val="3"/>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767D1FA">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主要有害成分</w:t>
            </w:r>
          </w:p>
        </w:tc>
        <w:tc>
          <w:tcPr>
            <w:tcW w:w="4411"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2E59A772">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甲烷</w:t>
            </w:r>
          </w:p>
        </w:tc>
      </w:tr>
      <w:tr w14:paraId="0971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5A98272C">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854" w:type="dxa"/>
            <w:gridSpan w:val="2"/>
            <w:tcBorders>
              <w:top w:val="single" w:color="auto" w:sz="4" w:space="0"/>
              <w:left w:val="single" w:color="auto" w:sz="4" w:space="0"/>
              <w:bottom w:val="single" w:color="auto" w:sz="4" w:space="0"/>
              <w:right w:val="single" w:color="auto" w:sz="4" w:space="0"/>
            </w:tcBorders>
            <w:noWrap w:val="0"/>
            <w:vAlign w:val="center"/>
          </w:tcPr>
          <w:p w14:paraId="3C99AB5C">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分子式</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3CD650C">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CH</w:t>
            </w:r>
            <w:r>
              <w:rPr>
                <w:rFonts w:hint="default" w:ascii="Times New Roman" w:hAnsi="Times New Roman" w:cs="Times New Roman"/>
                <w:color w:val="000000" w:themeColor="text1"/>
                <w:kern w:val="0"/>
                <w:sz w:val="21"/>
                <w:szCs w:val="21"/>
                <w:highlight w:val="none"/>
                <w:vertAlign w:val="subscript"/>
                <w14:textFill>
                  <w14:solidFill>
                    <w14:schemeClr w14:val="tx1"/>
                  </w14:solidFill>
                </w14:textFill>
              </w:rPr>
              <w:t>4</w:t>
            </w:r>
          </w:p>
        </w:tc>
        <w:tc>
          <w:tcPr>
            <w:tcW w:w="1978" w:type="dxa"/>
            <w:gridSpan w:val="2"/>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25540C4B">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分子量</w:t>
            </w:r>
          </w:p>
        </w:tc>
        <w:tc>
          <w:tcPr>
            <w:tcW w:w="2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EA3BF07">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16.05</w:t>
            </w:r>
          </w:p>
        </w:tc>
      </w:tr>
      <w:tr w14:paraId="2117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553"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132A567">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危险</w:t>
            </w:r>
          </w:p>
          <w:p w14:paraId="7A1D1D06">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特性</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4C8C8719">
            <w:pPr>
              <w:widowControl/>
              <w:shd w:val="clear" w:color="auto" w:fill="FFFFFF"/>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危险性类别：第2.1类易燃气体。</w:t>
            </w:r>
          </w:p>
          <w:p w14:paraId="710A049D">
            <w:pPr>
              <w:widowControl/>
              <w:shd w:val="clear" w:color="auto" w:fill="FFFFFF"/>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侵入途径：吸入。</w:t>
            </w:r>
          </w:p>
          <w:p w14:paraId="768252F3">
            <w:pPr>
              <w:widowControl/>
              <w:shd w:val="clear" w:color="auto" w:fill="FFFFFF"/>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健康危害：空气中甲烷浓度过高，能使人窒息。当空气中甲烷达25%</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30%时，可引起头痛、头晕、乏力、注意力不集中、呼吸和心跳加速、共济失调。若不及时脱离，可致窒息死亡。皮肤接触液化气体可致冻伤。</w:t>
            </w:r>
          </w:p>
          <w:p w14:paraId="7E47B0B2">
            <w:pPr>
              <w:widowControl/>
              <w:shd w:val="clear" w:color="auto" w:fill="FFFFFF"/>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环境危害：对环境有害。</w:t>
            </w:r>
          </w:p>
          <w:p w14:paraId="10EF06D5">
            <w:pPr>
              <w:widowControl/>
              <w:shd w:val="clear" w:color="auto" w:fill="FFFFFF"/>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燃爆危险：易燃，与空气混合能形成爆炸性混合物。</w:t>
            </w:r>
          </w:p>
        </w:tc>
      </w:tr>
      <w:tr w14:paraId="764D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013D5CA">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急救</w:t>
            </w:r>
          </w:p>
          <w:p w14:paraId="2ED3CE60">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措施</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329FF9C1">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皮肤接触：如果发生冻伤，将患部浸泡于保持在38~42℃的温水中复温。不要涂擦。不要使用热水或辐射热。使用清洁、干燥的敷料包扎。如有不适感，就医。</w:t>
            </w:r>
          </w:p>
          <w:p w14:paraId="1FE32E09">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吸入：迅速脱离现场至空气新鲜处。保持呼吸道通畅。如呼吸困难，给输氧。呼吸、心跳停止，立即进行心肺复苏术。就医。</w:t>
            </w:r>
          </w:p>
        </w:tc>
      </w:tr>
      <w:tr w14:paraId="1194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290B1882">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消防</w:t>
            </w:r>
          </w:p>
          <w:p w14:paraId="66045835">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措施</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7D3AE872">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危险特性：易燃，与空气混合能形成爆炸性混合物，遇热源和明火有燃烧爆炸的危险。与五氧化溴、氯气、次氯酸、三氟化氮、液氧、二氟化氧及其</w:t>
            </w:r>
            <w:r>
              <w:rPr>
                <w:rFonts w:hint="eastAsia" w:cs="Times New Roman"/>
                <w:color w:val="000000" w:themeColor="text1"/>
                <w:kern w:val="0"/>
                <w:sz w:val="21"/>
                <w:szCs w:val="21"/>
                <w:highlight w:val="none"/>
                <w:lang w:eastAsia="zh-CN"/>
                <w14:textFill>
                  <w14:solidFill>
                    <w14:schemeClr w14:val="tx1"/>
                  </w14:solidFill>
                </w14:textFill>
              </w:rPr>
              <w:t>他</w:t>
            </w:r>
            <w:r>
              <w:rPr>
                <w:rFonts w:hint="default" w:ascii="Times New Roman" w:hAnsi="Times New Roman" w:cs="Times New Roman"/>
                <w:color w:val="000000" w:themeColor="text1"/>
                <w:kern w:val="0"/>
                <w:sz w:val="21"/>
                <w:szCs w:val="21"/>
                <w:highlight w:val="none"/>
                <w14:textFill>
                  <w14:solidFill>
                    <w14:schemeClr w14:val="tx1"/>
                  </w14:solidFill>
                </w14:textFill>
              </w:rPr>
              <w:t>强氧化剂接触发生剧烈反应。</w:t>
            </w:r>
          </w:p>
          <w:p w14:paraId="33166E51">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有害燃烧产物：一氧化碳。</w:t>
            </w:r>
          </w:p>
          <w:p w14:paraId="1DE4A9C1">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灭火方法：用雾状水、泡沫、二氧化碳、干粉灭火。切断气源。若不能切断气源，则不允许熄灭泄漏处的火焰。消防人员必须佩戴空气呼吸器、穿全身防火防毒服，在上风向灭火。尽可能将容器从火场移至空旷处。喷水保持火场容器冷却，直至灭火结束。</w:t>
            </w:r>
          </w:p>
        </w:tc>
      </w:tr>
      <w:tr w14:paraId="022D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D6C2601">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泄漏应急处理</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5C5DA8EE">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限制性空间扩散。隔离</w:t>
            </w:r>
            <w:r>
              <w:rPr>
                <w:rFonts w:hint="eastAsia" w:cs="Times New Roman"/>
                <w:color w:val="000000" w:themeColor="text1"/>
                <w:kern w:val="0"/>
                <w:sz w:val="21"/>
                <w:szCs w:val="21"/>
                <w:highlight w:val="none"/>
                <w:lang w:eastAsia="zh-CN"/>
                <w14:textFill>
                  <w14:solidFill>
                    <w14:schemeClr w14:val="tx1"/>
                  </w14:solidFill>
                </w14:textFill>
              </w:rPr>
              <w:t>泄漏</w:t>
            </w:r>
            <w:r>
              <w:rPr>
                <w:rFonts w:hint="default" w:ascii="Times New Roman" w:hAnsi="Times New Roman" w:cs="Times New Roman"/>
                <w:color w:val="000000" w:themeColor="text1"/>
                <w:kern w:val="0"/>
                <w:sz w:val="21"/>
                <w:szCs w:val="21"/>
                <w:highlight w:val="none"/>
                <w14:textFill>
                  <w14:solidFill>
                    <w14:schemeClr w14:val="tx1"/>
                  </w14:solidFill>
                </w14:textFill>
              </w:rPr>
              <w:t>区直至气体散尽。</w:t>
            </w:r>
          </w:p>
        </w:tc>
      </w:tr>
      <w:tr w14:paraId="4E5E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217A7C84">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操作处置与储存</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5E6DC9CC">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14:paraId="2B90DE3F">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储存注意事项：钢瓶装本品储存于阴凉、通风的易燃气体专用库房。远离火种、热源。库温不宜超过30℃。应与氧化剂等分开存放，切忌混储。采用防爆型照明、通风设施。禁止使用易产生火花的机械设备和工具。储区应备有泄漏应急处理设备。</w:t>
            </w:r>
          </w:p>
        </w:tc>
      </w:tr>
      <w:tr w14:paraId="11BA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7DE13F1">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接触控制/个体防护</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75D3D72E">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工程控制：生产过程密闭，全面通风。</w:t>
            </w:r>
          </w:p>
          <w:p w14:paraId="73FCD9E2">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呼吸系统防护：一般不需要特殊防护，但建议特殊情况下，佩戴过滤式防毒面具（半面罩）。</w:t>
            </w:r>
          </w:p>
          <w:p w14:paraId="0CBE26C0">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眼睛防护：一般不需要特殊防护，高浓度接触时可戴安全防护眼镜。</w:t>
            </w:r>
          </w:p>
          <w:p w14:paraId="7241D5D5">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身体防护：穿防静电工作服。</w:t>
            </w:r>
          </w:p>
          <w:p w14:paraId="1C436B26">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手防护：戴一般作业防护手套。</w:t>
            </w:r>
          </w:p>
          <w:p w14:paraId="6AF7B1BA">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其他防护：工作现场严禁吸烟。避免长期反复接触。进入限制性空间或</w:t>
            </w:r>
            <w:r>
              <w:rPr>
                <w:rFonts w:hint="eastAsia" w:cs="Times New Roman"/>
                <w:color w:val="000000" w:themeColor="text1"/>
                <w:kern w:val="0"/>
                <w:sz w:val="21"/>
                <w:szCs w:val="21"/>
                <w:highlight w:val="none"/>
                <w:lang w:eastAsia="zh-CN"/>
                <w14:textFill>
                  <w14:solidFill>
                    <w14:schemeClr w14:val="tx1"/>
                  </w14:solidFill>
                </w14:textFill>
              </w:rPr>
              <w:t>其他</w:t>
            </w:r>
            <w:r>
              <w:rPr>
                <w:rFonts w:hint="default" w:ascii="Times New Roman" w:hAnsi="Times New Roman" w:cs="Times New Roman"/>
                <w:color w:val="000000" w:themeColor="text1"/>
                <w:kern w:val="0"/>
                <w:sz w:val="21"/>
                <w:szCs w:val="21"/>
                <w:highlight w:val="none"/>
                <w14:textFill>
                  <w14:solidFill>
                    <w14:schemeClr w14:val="tx1"/>
                  </w14:solidFill>
                </w14:textFill>
              </w:rPr>
              <w:t>高浓度区作业，须有人监护。</w:t>
            </w:r>
          </w:p>
        </w:tc>
      </w:tr>
      <w:tr w14:paraId="1489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31" w:hRule="atLeast"/>
          <w:jc w:val="center"/>
        </w:trPr>
        <w:tc>
          <w:tcPr>
            <w:tcW w:w="858" w:type="dxa"/>
            <w:vMerge w:val="restar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262A8FD2">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理化</w:t>
            </w:r>
          </w:p>
          <w:p w14:paraId="4DF546AC">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特性</w:t>
            </w:r>
          </w:p>
        </w:tc>
        <w:tc>
          <w:tcPr>
            <w:tcW w:w="1282" w:type="dxa"/>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6752601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外观与性状</w:t>
            </w:r>
          </w:p>
        </w:tc>
        <w:tc>
          <w:tcPr>
            <w:tcW w:w="3002" w:type="dxa"/>
            <w:gridSpan w:val="3"/>
            <w:tcBorders>
              <w:top w:val="single" w:color="auto" w:sz="4" w:space="0"/>
              <w:left w:val="single" w:color="auto" w:sz="4" w:space="0"/>
              <w:bottom w:val="single" w:color="auto" w:sz="4" w:space="0"/>
              <w:right w:val="single" w:color="auto" w:sz="4" w:space="0"/>
            </w:tcBorders>
            <w:noWrap w:val="0"/>
            <w:vAlign w:val="center"/>
          </w:tcPr>
          <w:p w14:paraId="34FE0135">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无色无味气体</w:t>
            </w:r>
          </w:p>
        </w:tc>
        <w:tc>
          <w:tcPr>
            <w:tcW w:w="1143" w:type="dxa"/>
            <w:gridSpan w:val="2"/>
            <w:tcBorders>
              <w:top w:val="single" w:color="auto" w:sz="4" w:space="0"/>
              <w:left w:val="single" w:color="auto" w:sz="4" w:space="0"/>
              <w:bottom w:val="single" w:color="auto" w:sz="4" w:space="0"/>
              <w:right w:val="single" w:color="auto" w:sz="4" w:space="0"/>
            </w:tcBorders>
            <w:noWrap w:val="0"/>
            <w:vAlign w:val="center"/>
          </w:tcPr>
          <w:p w14:paraId="3718CC9B">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饱和蒸汽</w:t>
            </w:r>
            <w:r>
              <w:rPr>
                <w:rFonts w:hint="default" w:ascii="Times New Roman" w:hAnsi="Times New Roman" w:cs="Times New Roman"/>
                <w:color w:val="000000" w:themeColor="text1"/>
                <w:kern w:val="0"/>
                <w:sz w:val="21"/>
                <w:szCs w:val="21"/>
                <w:highlight w:val="none"/>
                <w14:textFill>
                  <w14:solidFill>
                    <w14:schemeClr w14:val="tx1"/>
                  </w14:solidFill>
                </w14:textFill>
              </w:rPr>
              <w:t>压</w:t>
            </w:r>
          </w:p>
        </w:tc>
        <w:tc>
          <w:tcPr>
            <w:tcW w:w="2159" w:type="dxa"/>
            <w:tcBorders>
              <w:top w:val="single" w:color="auto" w:sz="4" w:space="0"/>
              <w:left w:val="single" w:color="auto" w:sz="4" w:space="0"/>
              <w:bottom w:val="single" w:color="auto" w:sz="4" w:space="0"/>
              <w:right w:val="single" w:color="auto" w:sz="4" w:space="0"/>
            </w:tcBorders>
            <w:noWrap w:val="0"/>
            <w:vAlign w:val="center"/>
          </w:tcPr>
          <w:p w14:paraId="6EA4422A">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53.32kPa/-168.8℃</w:t>
            </w:r>
          </w:p>
        </w:tc>
      </w:tr>
      <w:tr w14:paraId="7A63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4E6E99D3">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82" w:type="dxa"/>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22BBA902">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沸点</w:t>
            </w:r>
          </w:p>
        </w:tc>
        <w:tc>
          <w:tcPr>
            <w:tcW w:w="3002" w:type="dxa"/>
            <w:gridSpan w:val="3"/>
            <w:tcBorders>
              <w:top w:val="single" w:color="auto" w:sz="4" w:space="0"/>
              <w:left w:val="single" w:color="auto" w:sz="4" w:space="0"/>
              <w:bottom w:val="single" w:color="auto" w:sz="4" w:space="0"/>
              <w:right w:val="single" w:color="auto" w:sz="4" w:space="0"/>
            </w:tcBorders>
            <w:noWrap w:val="0"/>
            <w:vAlign w:val="center"/>
          </w:tcPr>
          <w:p w14:paraId="37EF8453">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-161.4℃</w:t>
            </w:r>
          </w:p>
        </w:tc>
        <w:tc>
          <w:tcPr>
            <w:tcW w:w="1143" w:type="dxa"/>
            <w:gridSpan w:val="2"/>
            <w:tcBorders>
              <w:top w:val="single" w:color="auto" w:sz="4" w:space="0"/>
              <w:left w:val="single" w:color="auto" w:sz="4" w:space="0"/>
              <w:bottom w:val="single" w:color="auto" w:sz="4" w:space="0"/>
              <w:right w:val="single" w:color="auto" w:sz="4" w:space="0"/>
            </w:tcBorders>
            <w:noWrap w:val="0"/>
            <w:vAlign w:val="center"/>
          </w:tcPr>
          <w:p w14:paraId="7AE3B3A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闪点</w:t>
            </w:r>
          </w:p>
        </w:tc>
        <w:tc>
          <w:tcPr>
            <w:tcW w:w="2159" w:type="dxa"/>
            <w:tcBorders>
              <w:top w:val="single" w:color="auto" w:sz="4" w:space="0"/>
              <w:left w:val="single" w:color="auto" w:sz="4" w:space="0"/>
              <w:bottom w:val="single" w:color="auto" w:sz="4" w:space="0"/>
              <w:right w:val="single" w:color="auto" w:sz="4" w:space="0"/>
            </w:tcBorders>
            <w:noWrap w:val="0"/>
            <w:vAlign w:val="center"/>
          </w:tcPr>
          <w:p w14:paraId="14F0237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-218℃</w:t>
            </w:r>
          </w:p>
        </w:tc>
      </w:tr>
      <w:tr w14:paraId="797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2250C7CB">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82" w:type="dxa"/>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173E592F">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熔点</w:t>
            </w:r>
          </w:p>
        </w:tc>
        <w:tc>
          <w:tcPr>
            <w:tcW w:w="3002" w:type="dxa"/>
            <w:gridSpan w:val="3"/>
            <w:tcBorders>
              <w:top w:val="single" w:color="auto" w:sz="4" w:space="0"/>
              <w:left w:val="single" w:color="auto" w:sz="4" w:space="0"/>
              <w:bottom w:val="single" w:color="auto" w:sz="4" w:space="0"/>
              <w:right w:val="single" w:color="auto" w:sz="4" w:space="0"/>
            </w:tcBorders>
            <w:noWrap w:val="0"/>
            <w:vAlign w:val="center"/>
          </w:tcPr>
          <w:p w14:paraId="41D66AD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-182.6℃</w:t>
            </w:r>
          </w:p>
        </w:tc>
        <w:tc>
          <w:tcPr>
            <w:tcW w:w="1143" w:type="dxa"/>
            <w:gridSpan w:val="2"/>
            <w:tcBorders>
              <w:top w:val="single" w:color="auto" w:sz="4" w:space="0"/>
              <w:left w:val="single" w:color="auto" w:sz="4" w:space="0"/>
              <w:bottom w:val="single" w:color="auto" w:sz="4" w:space="0"/>
              <w:right w:val="single" w:color="auto" w:sz="4" w:space="0"/>
            </w:tcBorders>
            <w:noWrap w:val="0"/>
            <w:vAlign w:val="center"/>
          </w:tcPr>
          <w:p w14:paraId="2A70A2DA">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溶解性</w:t>
            </w:r>
          </w:p>
        </w:tc>
        <w:tc>
          <w:tcPr>
            <w:tcW w:w="2159" w:type="dxa"/>
            <w:tcBorders>
              <w:top w:val="single" w:color="auto" w:sz="4" w:space="0"/>
              <w:left w:val="single" w:color="auto" w:sz="4" w:space="0"/>
              <w:bottom w:val="single" w:color="auto" w:sz="4" w:space="0"/>
              <w:right w:val="single" w:color="auto" w:sz="4" w:space="0"/>
            </w:tcBorders>
            <w:noWrap w:val="0"/>
            <w:vAlign w:val="center"/>
          </w:tcPr>
          <w:p w14:paraId="043F1487">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微溶于水，溶于乙醇、乙醚、苯、甲苯等。</w:t>
            </w:r>
          </w:p>
        </w:tc>
      </w:tr>
      <w:tr w14:paraId="455A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165AF5B2">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82" w:type="dxa"/>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256E1418">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密度</w:t>
            </w:r>
          </w:p>
        </w:tc>
        <w:tc>
          <w:tcPr>
            <w:tcW w:w="3002" w:type="dxa"/>
            <w:gridSpan w:val="3"/>
            <w:tcBorders>
              <w:top w:val="single" w:color="auto" w:sz="4" w:space="0"/>
              <w:left w:val="single" w:color="auto" w:sz="4" w:space="0"/>
              <w:bottom w:val="single" w:color="auto" w:sz="4" w:space="0"/>
              <w:right w:val="single" w:color="auto" w:sz="4" w:space="0"/>
            </w:tcBorders>
            <w:noWrap w:val="0"/>
            <w:vAlign w:val="center"/>
          </w:tcPr>
          <w:p w14:paraId="09CA4CF2">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相对密度（水=1）：0.42（-164℃）；相对蒸汽密度（空气=1）：0.6</w:t>
            </w:r>
          </w:p>
        </w:tc>
        <w:tc>
          <w:tcPr>
            <w:tcW w:w="1143" w:type="dxa"/>
            <w:gridSpan w:val="2"/>
            <w:tcBorders>
              <w:top w:val="single" w:color="auto" w:sz="4" w:space="0"/>
              <w:left w:val="single" w:color="auto" w:sz="4" w:space="0"/>
              <w:bottom w:val="single" w:color="auto" w:sz="4" w:space="0"/>
              <w:right w:val="single" w:color="auto" w:sz="4" w:space="0"/>
            </w:tcBorders>
            <w:noWrap w:val="0"/>
            <w:vAlign w:val="center"/>
          </w:tcPr>
          <w:p w14:paraId="1F3E2169">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稳定性</w:t>
            </w:r>
          </w:p>
        </w:tc>
        <w:tc>
          <w:tcPr>
            <w:tcW w:w="2159" w:type="dxa"/>
            <w:tcBorders>
              <w:top w:val="single" w:color="auto" w:sz="4" w:space="0"/>
              <w:left w:val="single" w:color="auto" w:sz="4" w:space="0"/>
              <w:bottom w:val="single" w:color="auto" w:sz="4" w:space="0"/>
              <w:right w:val="single" w:color="auto" w:sz="4" w:space="0"/>
            </w:tcBorders>
            <w:noWrap w:val="0"/>
            <w:vAlign w:val="center"/>
          </w:tcPr>
          <w:p w14:paraId="122008E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稳定</w:t>
            </w:r>
          </w:p>
        </w:tc>
      </w:tr>
      <w:tr w14:paraId="59BB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vMerge w:val="continue"/>
            <w:tcBorders>
              <w:top w:val="single" w:color="auto" w:sz="4" w:space="0"/>
              <w:left w:val="single" w:color="auto" w:sz="4" w:space="0"/>
              <w:bottom w:val="single" w:color="auto" w:sz="4" w:space="0"/>
              <w:right w:val="single" w:color="auto" w:sz="4" w:space="0"/>
            </w:tcBorders>
            <w:noWrap w:val="0"/>
            <w:vAlign w:val="center"/>
          </w:tcPr>
          <w:p w14:paraId="505A672A">
            <w:pPr>
              <w:widowControl/>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82" w:type="dxa"/>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01C73661">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爆炸极限</w:t>
            </w:r>
          </w:p>
        </w:tc>
        <w:tc>
          <w:tcPr>
            <w:tcW w:w="3002" w:type="dxa"/>
            <w:gridSpan w:val="3"/>
            <w:tcBorders>
              <w:top w:val="single" w:color="auto" w:sz="4" w:space="0"/>
              <w:left w:val="single" w:color="auto" w:sz="4" w:space="0"/>
              <w:bottom w:val="single" w:color="auto" w:sz="4" w:space="0"/>
              <w:right w:val="single" w:color="auto" w:sz="4" w:space="0"/>
            </w:tcBorders>
            <w:noWrap w:val="0"/>
            <w:vAlign w:val="center"/>
          </w:tcPr>
          <w:p w14:paraId="45430563">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15%</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V%</w:t>
            </w:r>
            <w:r>
              <w:rPr>
                <w:rFonts w:hint="eastAsia" w:cs="Times New Roman"/>
                <w:color w:val="000000" w:themeColor="text1"/>
                <w:kern w:val="0"/>
                <w:sz w:val="21"/>
                <w:szCs w:val="21"/>
                <w:highlight w:val="none"/>
                <w:lang w:eastAsia="zh-CN"/>
                <w14:textFill>
                  <w14:solidFill>
                    <w14:schemeClr w14:val="tx1"/>
                  </w14:solidFill>
                </w14:textFill>
              </w:rPr>
              <w:t>)</w:t>
            </w:r>
          </w:p>
        </w:tc>
        <w:tc>
          <w:tcPr>
            <w:tcW w:w="1143" w:type="dxa"/>
            <w:gridSpan w:val="2"/>
            <w:tcBorders>
              <w:top w:val="single" w:color="auto" w:sz="4" w:space="0"/>
              <w:left w:val="single" w:color="auto" w:sz="4" w:space="0"/>
              <w:bottom w:val="single" w:color="auto" w:sz="4" w:space="0"/>
              <w:right w:val="single" w:color="auto" w:sz="4" w:space="0"/>
            </w:tcBorders>
            <w:noWrap w:val="0"/>
            <w:vAlign w:val="center"/>
          </w:tcPr>
          <w:p w14:paraId="6C6796ED">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引燃温度</w:t>
            </w:r>
          </w:p>
        </w:tc>
        <w:tc>
          <w:tcPr>
            <w:tcW w:w="2159" w:type="dxa"/>
            <w:tcBorders>
              <w:top w:val="single" w:color="auto" w:sz="4" w:space="0"/>
              <w:left w:val="single" w:color="auto" w:sz="4" w:space="0"/>
              <w:bottom w:val="single" w:color="auto" w:sz="4" w:space="0"/>
              <w:right w:val="single" w:color="auto" w:sz="4" w:space="0"/>
            </w:tcBorders>
            <w:noWrap w:val="0"/>
            <w:vAlign w:val="center"/>
          </w:tcPr>
          <w:p w14:paraId="2ED1DF07">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537℃</w:t>
            </w:r>
          </w:p>
        </w:tc>
      </w:tr>
      <w:tr w14:paraId="4CCC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71F2C8B">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稳定性和反应活性</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50C7B089">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稳定性：稳定；禁配物：强氧化剂、强酸、强碱、卤素；避免接触的条件：高热，火源和不相容物质；聚合危害：不发生；分解产物：一氧化碳、二氧化碳。</w:t>
            </w:r>
          </w:p>
        </w:tc>
      </w:tr>
      <w:tr w14:paraId="1070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0CA63409">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毒理学</w:t>
            </w:r>
          </w:p>
          <w:p w14:paraId="4A443A0F">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资料</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5C5BE2C8">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LD50：LC</w:t>
            </w:r>
            <w:r>
              <w:rPr>
                <w:rFonts w:hint="default" w:ascii="Times New Roman" w:hAnsi="Times New Roman" w:cs="Times New Roman"/>
                <w:color w:val="000000" w:themeColor="text1"/>
                <w:kern w:val="0"/>
                <w:sz w:val="21"/>
                <w:szCs w:val="21"/>
                <w:highlight w:val="none"/>
                <w:vertAlign w:val="subscript"/>
                <w14:textFill>
                  <w14:solidFill>
                    <w14:schemeClr w14:val="tx1"/>
                  </w14:solidFill>
                </w14:textFill>
              </w:rPr>
              <w:t>50</w:t>
            </w:r>
            <w:r>
              <w:rPr>
                <w:rFonts w:hint="eastAsia" w:cs="Times New Roman"/>
                <w:color w:val="000000" w:themeColor="text1"/>
                <w:kern w:val="0"/>
                <w:sz w:val="21"/>
                <w:szCs w:val="21"/>
                <w:highlight w:val="none"/>
                <w:vertAlign w:val="subscript"/>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50%（小鼠吸入，2h）。</w:t>
            </w:r>
          </w:p>
          <w:p w14:paraId="268044A2">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LC50：无资料。</w:t>
            </w:r>
          </w:p>
        </w:tc>
      </w:tr>
      <w:tr w14:paraId="531A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7322881">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生态学资料</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7AA42356">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其他有害</w:t>
            </w:r>
            <w:r>
              <w:rPr>
                <w:rFonts w:hint="default" w:ascii="Times New Roman" w:hAnsi="Times New Roman" w:cs="Times New Roman"/>
                <w:color w:val="000000" w:themeColor="text1"/>
                <w:kern w:val="0"/>
                <w:sz w:val="21"/>
                <w:szCs w:val="21"/>
                <w:highlight w:val="none"/>
                <w14:textFill>
                  <w14:solidFill>
                    <w14:schemeClr w14:val="tx1"/>
                  </w14:solidFill>
                </w14:textFill>
              </w:rPr>
              <w:t>作用：温室气体。应特别注意对地表水、土壤、大气和饮用水的污染。</w:t>
            </w:r>
          </w:p>
        </w:tc>
      </w:tr>
      <w:tr w14:paraId="5C7C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80C10AF">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废弃</w:t>
            </w:r>
          </w:p>
          <w:p w14:paraId="7D1D242E">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处置</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601C02D8">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废弃物性质：危险废物。</w:t>
            </w:r>
          </w:p>
          <w:p w14:paraId="695D54DC">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废弃处置方法：建议用焚烧法处置。</w:t>
            </w:r>
          </w:p>
          <w:p w14:paraId="24020B22">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废弃注意事项：处置前应参阅国家和地方有关法规。把倒空的容器归还厂商或在规定场所掩埋。</w:t>
            </w:r>
          </w:p>
        </w:tc>
      </w:tr>
      <w:tr w14:paraId="6F42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5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34E9A56">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运输</w:t>
            </w:r>
          </w:p>
          <w:p w14:paraId="1F94F059">
            <w:pPr>
              <w:widowControl/>
              <w:topLinePunct/>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信息</w:t>
            </w:r>
          </w:p>
        </w:tc>
        <w:tc>
          <w:tcPr>
            <w:tcW w:w="7586" w:type="dxa"/>
            <w:gridSpan w:val="7"/>
            <w:tcBorders>
              <w:top w:val="single" w:color="auto" w:sz="4" w:space="0"/>
              <w:left w:val="single" w:color="auto" w:sz="4" w:space="0"/>
              <w:bottom w:val="single" w:color="auto" w:sz="4" w:space="0"/>
              <w:right w:val="single" w:color="auto" w:sz="4" w:space="0"/>
            </w:tcBorders>
            <w:noWrap w:val="0"/>
            <w:tcMar>
              <w:top w:w="28" w:type="dxa"/>
              <w:left w:w="11" w:type="dxa"/>
              <w:bottom w:w="28" w:type="dxa"/>
              <w:right w:w="11" w:type="dxa"/>
            </w:tcMar>
            <w:vAlign w:val="center"/>
          </w:tcPr>
          <w:p w14:paraId="08F4D55E">
            <w:pPr>
              <w:widowControl/>
              <w:topLinePunct/>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w:t>
            </w:r>
            <w:r>
              <w:rPr>
                <w:rFonts w:hint="eastAsia" w:cs="Times New Roman"/>
                <w:color w:val="000000" w:themeColor="text1"/>
                <w:kern w:val="0"/>
                <w:sz w:val="21"/>
                <w:szCs w:val="21"/>
                <w:highlight w:val="none"/>
                <w:lang w:eastAsia="zh-CN"/>
                <w14:textFill>
                  <w14:solidFill>
                    <w14:schemeClr w14:val="tx1"/>
                  </w14:solidFill>
                </w14:textFill>
              </w:rPr>
              <w:t>暴晒</w:t>
            </w:r>
            <w:r>
              <w:rPr>
                <w:rFonts w:hint="default" w:ascii="Times New Roman" w:hAnsi="Times New Roman" w:cs="Times New Roman"/>
                <w:color w:val="000000" w:themeColor="text1"/>
                <w:kern w:val="0"/>
                <w:sz w:val="21"/>
                <w:szCs w:val="21"/>
                <w:highlight w:val="none"/>
                <w14:textFill>
                  <w14:solidFill>
                    <w14:schemeClr w14:val="tx1"/>
                  </w14:solidFill>
                </w14:textFill>
              </w:rPr>
              <w:t>。中途停留时应远离火种、热源。公路运输时要按规定路线行驶，勿在居民区和人口稠密区停留。铁路运输时要禁止溜放。</w:t>
            </w:r>
          </w:p>
        </w:tc>
      </w:tr>
    </w:tbl>
    <w:p w14:paraId="2A45F3C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1159" w:name="_Hlk69833141"/>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2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凝析油</w:t>
      </w:r>
    </w:p>
    <w:p w14:paraId="2745A5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000000" w:themeColor="text1"/>
          <w:highlight w:val="none"/>
          <w:lang w:val="en-US" w:eastAsia="zh-CN"/>
          <w14:textFill>
            <w14:solidFill>
              <w14:schemeClr w14:val="tx1"/>
            </w14:solidFill>
          </w14:textFill>
        </w:rPr>
      </w:pPr>
      <w:bookmarkStart w:id="1160" w:name="OLE_LINK1013"/>
      <w:r>
        <w:rPr>
          <w:rFonts w:hint="eastAsia" w:cs="Times New Roman"/>
          <w:color w:val="000000" w:themeColor="text1"/>
          <w:sz w:val="24"/>
          <w:highlight w:val="none"/>
          <w:lang w:val="en-US" w:eastAsia="zh-CN"/>
          <w14:textFill>
            <w14:solidFill>
              <w14:schemeClr w14:val="tx1"/>
            </w14:solidFill>
          </w14:textFill>
        </w:rPr>
        <w:t>星火</w:t>
      </w:r>
      <w:r>
        <w:rPr>
          <w:rFonts w:hint="eastAsia" w:cs="Times New Roman"/>
          <w:color w:val="000000" w:themeColor="text1"/>
          <w:highlight w:val="none"/>
          <w:lang w:val="en-US" w:eastAsia="zh-CN"/>
          <w14:textFill>
            <w14:solidFill>
              <w14:schemeClr w14:val="tx1"/>
            </w14:solidFill>
          </w14:textFill>
        </w:rPr>
        <w:t>井区</w:t>
      </w:r>
      <w:bookmarkEnd w:id="1160"/>
      <w:r>
        <w:rPr>
          <w:rFonts w:hint="default" w:ascii="Times New Roman" w:hAnsi="Times New Roman" w:cs="Times New Roman"/>
          <w:bCs/>
          <w:color w:val="000000" w:themeColor="text1"/>
          <w:sz w:val="24"/>
          <w:szCs w:val="18"/>
          <w:highlight w:val="none"/>
          <w14:textFill>
            <w14:solidFill>
              <w14:schemeClr w14:val="tx1"/>
            </w14:solidFill>
          </w14:textFill>
        </w:rPr>
        <w:t>油藏</w:t>
      </w:r>
      <w:r>
        <w:rPr>
          <w:rFonts w:hint="eastAsia" w:ascii="Times New Roman" w:hAnsi="Times New Roman" w:cs="Times New Roman"/>
          <w:bCs/>
          <w:color w:val="000000" w:themeColor="text1"/>
          <w:sz w:val="24"/>
          <w:szCs w:val="18"/>
          <w:highlight w:val="none"/>
          <w:lang w:val="en-US" w:eastAsia="zh-CN"/>
          <w14:textFill>
            <w14:solidFill>
              <w14:schemeClr w14:val="tx1"/>
            </w14:solidFill>
          </w14:textFill>
        </w:rPr>
        <w:t>中的</w:t>
      </w:r>
      <w:r>
        <w:rPr>
          <w:rFonts w:hint="default" w:ascii="Times New Roman" w:hAnsi="Times New Roman" w:cs="Times New Roman"/>
          <w:color w:val="000000" w:themeColor="text1"/>
          <w:highlight w:val="none"/>
          <w:lang w:val="en-US" w:eastAsia="zh-CN"/>
          <w14:textFill>
            <w14:solidFill>
              <w14:schemeClr w14:val="tx1"/>
            </w14:solidFill>
          </w14:textFill>
        </w:rPr>
        <w:t>凝析油地面密度平均为0.7724g/cm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；运动粘度平均为1.74mm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/s；含硫量为0.04%；含蜡量一般为2.72%，凝固点为6.5℃。根据凝析油物性分类标准，预测凝析油属于低密度、低粘度、低含硫、高含蜡的凝析油</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cs="Times New Roman"/>
          <w:color w:val="000000" w:themeColor="text1"/>
          <w:highlight w:val="none"/>
          <w14:textFill>
            <w14:solidFill>
              <w14:schemeClr w14:val="tx1"/>
            </w14:solidFill>
          </w14:textFill>
        </w:rPr>
        <w:t>理化性质及危险危害特性详见表</w:t>
      </w:r>
      <w:r>
        <w:rPr>
          <w:rFonts w:hint="eastAsia" w:ascii="Times New Roman" w:hAnsi="Times New Roman" w:cs="Times New Roman"/>
          <w:color w:val="000000" w:themeColor="text1"/>
          <w:highlight w:val="none"/>
          <w:lang w:val="en-US" w:eastAsia="zh-CN"/>
          <w14:textFill>
            <w14:solidFill>
              <w14:schemeClr w14:val="tx1"/>
            </w14:solidFill>
          </w14:textFill>
        </w:rPr>
        <w:t>5.8-</w:t>
      </w:r>
      <w:r>
        <w:rPr>
          <w:rFonts w:hint="eastAsia"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3BDD9926">
      <w:pPr>
        <w:ind w:firstLine="422" w:firstLineChars="20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61" w:name="OLE_LINK718"/>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61"/>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6   </w:t>
      </w:r>
      <w:bookmarkStart w:id="1162" w:name="OLE_LINK717"/>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凝析油</w:t>
      </w:r>
      <w:bookmarkEnd w:id="1162"/>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理化性质、危险危害特性及防护措施表</w:t>
      </w:r>
    </w:p>
    <w:tbl>
      <w:tblPr>
        <w:tblStyle w:val="37"/>
        <w:tblW w:w="519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1" w:type="dxa"/>
          <w:bottom w:w="0" w:type="dxa"/>
          <w:right w:w="11" w:type="dxa"/>
        </w:tblCellMar>
      </w:tblPr>
      <w:tblGrid>
        <w:gridCol w:w="886"/>
        <w:gridCol w:w="1261"/>
        <w:gridCol w:w="2420"/>
        <w:gridCol w:w="1362"/>
        <w:gridCol w:w="2768"/>
      </w:tblGrid>
      <w:tr w14:paraId="112ECC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restart"/>
            <w:tcBorders>
              <w:tl2br w:val="nil"/>
              <w:tr2bl w:val="nil"/>
            </w:tcBorders>
            <w:noWrap w:val="0"/>
            <w:vAlign w:val="center"/>
          </w:tcPr>
          <w:p w14:paraId="3C5EF105">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化学品</w:t>
            </w:r>
          </w:p>
          <w:p w14:paraId="09C67095">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名称</w:t>
            </w:r>
          </w:p>
        </w:tc>
        <w:tc>
          <w:tcPr>
            <w:tcW w:w="725" w:type="pct"/>
            <w:tcBorders>
              <w:tl2br w:val="nil"/>
              <w:tr2bl w:val="nil"/>
            </w:tcBorders>
            <w:noWrap w:val="0"/>
            <w:tcMar>
              <w:top w:w="28" w:type="dxa"/>
              <w:left w:w="57" w:type="dxa"/>
              <w:bottom w:w="28" w:type="dxa"/>
              <w:right w:w="57" w:type="dxa"/>
            </w:tcMar>
            <w:vAlign w:val="center"/>
          </w:tcPr>
          <w:p w14:paraId="07D09351">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化学品中文名称</w:t>
            </w:r>
          </w:p>
        </w:tc>
        <w:tc>
          <w:tcPr>
            <w:tcW w:w="3764" w:type="pct"/>
            <w:gridSpan w:val="3"/>
            <w:tcBorders>
              <w:tl2br w:val="nil"/>
              <w:tr2bl w:val="nil"/>
            </w:tcBorders>
            <w:noWrap w:val="0"/>
            <w:tcMar>
              <w:top w:w="0" w:type="dxa"/>
              <w:left w:w="57" w:type="dxa"/>
              <w:bottom w:w="0" w:type="dxa"/>
              <w:right w:w="57" w:type="dxa"/>
            </w:tcMar>
            <w:vAlign w:val="center"/>
          </w:tcPr>
          <w:p w14:paraId="24169F2B">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凝析油</w:t>
            </w:r>
          </w:p>
        </w:tc>
      </w:tr>
      <w:tr w14:paraId="19393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continue"/>
            <w:tcBorders>
              <w:tl2br w:val="nil"/>
              <w:tr2bl w:val="nil"/>
            </w:tcBorders>
            <w:noWrap w:val="0"/>
            <w:vAlign w:val="center"/>
          </w:tcPr>
          <w:p w14:paraId="30F940EA">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725" w:type="pct"/>
            <w:tcBorders>
              <w:tl2br w:val="nil"/>
              <w:tr2bl w:val="nil"/>
            </w:tcBorders>
            <w:noWrap w:val="0"/>
            <w:tcMar>
              <w:top w:w="28" w:type="dxa"/>
              <w:left w:w="57" w:type="dxa"/>
              <w:bottom w:w="28" w:type="dxa"/>
              <w:right w:w="57" w:type="dxa"/>
            </w:tcMar>
            <w:vAlign w:val="center"/>
          </w:tcPr>
          <w:p w14:paraId="44620D23">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化学品英文名称</w:t>
            </w:r>
          </w:p>
        </w:tc>
        <w:tc>
          <w:tcPr>
            <w:tcW w:w="3764" w:type="pct"/>
            <w:gridSpan w:val="3"/>
            <w:tcBorders>
              <w:tl2br w:val="nil"/>
              <w:tr2bl w:val="nil"/>
            </w:tcBorders>
            <w:noWrap w:val="0"/>
            <w:tcMar>
              <w:top w:w="0" w:type="dxa"/>
              <w:left w:w="57" w:type="dxa"/>
              <w:bottom w:w="0" w:type="dxa"/>
              <w:right w:w="57" w:type="dxa"/>
            </w:tcMar>
            <w:vAlign w:val="center"/>
          </w:tcPr>
          <w:p w14:paraId="6818F725">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Grudl oil</w:t>
            </w:r>
          </w:p>
        </w:tc>
      </w:tr>
      <w:tr w14:paraId="0F7593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vAlign w:val="center"/>
          </w:tcPr>
          <w:p w14:paraId="5C8B264A">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组成/组分信息</w:t>
            </w:r>
          </w:p>
        </w:tc>
        <w:tc>
          <w:tcPr>
            <w:tcW w:w="4490" w:type="pct"/>
            <w:gridSpan w:val="4"/>
            <w:tcBorders>
              <w:tl2br w:val="nil"/>
              <w:tr2bl w:val="nil"/>
            </w:tcBorders>
            <w:noWrap w:val="0"/>
            <w:tcMar>
              <w:top w:w="28" w:type="dxa"/>
              <w:left w:w="57" w:type="dxa"/>
              <w:bottom w:w="28" w:type="dxa"/>
              <w:right w:w="57" w:type="dxa"/>
            </w:tcMar>
            <w:vAlign w:val="center"/>
          </w:tcPr>
          <w:p w14:paraId="3E2E529B">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烷烃、环烷烃、芳香烃和烯烃等多种液态烃的混合物。主要成分是碳和氢两种元素，分别占83</w:t>
            </w:r>
            <w:r>
              <w:rPr>
                <w:rFonts w:hint="eastAsia" w:cs="Times New Roman"/>
                <w:cap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87%和11</w:t>
            </w:r>
            <w:r>
              <w:rPr>
                <w:rFonts w:hint="eastAsia" w:cs="Times New Roman"/>
                <w:cap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14%；还有少量的硫、氧、氮和微量的磷、砷、钾、钠、钙、镁、镍、铁、钒等元素。</w:t>
            </w:r>
          </w:p>
        </w:tc>
      </w:tr>
      <w:tr w14:paraId="722EF9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30A5AE59">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危险</w:t>
            </w:r>
          </w:p>
          <w:p w14:paraId="32B98407">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特性</w:t>
            </w:r>
          </w:p>
        </w:tc>
        <w:tc>
          <w:tcPr>
            <w:tcW w:w="4490" w:type="pct"/>
            <w:gridSpan w:val="4"/>
            <w:tcBorders>
              <w:tl2br w:val="nil"/>
              <w:tr2bl w:val="nil"/>
            </w:tcBorders>
            <w:noWrap w:val="0"/>
            <w:tcMar>
              <w:top w:w="28" w:type="dxa"/>
              <w:left w:w="11" w:type="dxa"/>
              <w:bottom w:w="28" w:type="dxa"/>
              <w:right w:w="11" w:type="dxa"/>
            </w:tcMar>
            <w:vAlign w:val="center"/>
          </w:tcPr>
          <w:p w14:paraId="2502811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危险性类别：第3.2类中闪点液体。侵入途径：吸入、食入、经皮吸收。健康危害：液体有强烈刺激性。食入可引起恶心、疼痛和呕吐，引起黏膜水肿和溃疡症状，包括口腔和咽喉灼烧感；较大的剂量可引起恶心、呕吐、麻醉、无力、头晕、呼吸表浅、腹痛、抽搐和意识丧失；可引起心律失常、室颤和心电图改变；可发生中枢神经系统抑制。眼睛接触本品可引起刺激，长期接触引起炎症。皮肤长期或持续接触液体可引起脱脂，伴随干燥、破裂、刺激和皮炎。</w:t>
            </w:r>
            <w:r>
              <w:rPr>
                <w:rFonts w:hint="eastAsia" w:cs="Times New Roman"/>
                <w:caps w:val="0"/>
                <w:color w:val="000000" w:themeColor="text1"/>
                <w:sz w:val="21"/>
                <w:szCs w:val="21"/>
                <w:highlight w:val="none"/>
                <w:lang w:val="en-US" w:eastAsia="zh-CN"/>
                <w14:textFill>
                  <w14:solidFill>
                    <w14:schemeClr w14:val="tx1"/>
                  </w14:solidFill>
                </w14:textFill>
              </w:rPr>
              <w:t>蒸汽</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对上呼吸道有刺激性。高温时吸入伤害加重。吸入高浓度蒸气的急性影响是肺部</w:t>
            </w:r>
            <w:r>
              <w:rPr>
                <w:rFonts w:hint="eastAsia" w:cs="Times New Roman"/>
                <w:caps w:val="0"/>
                <w:color w:val="000000" w:themeColor="text1"/>
                <w:sz w:val="21"/>
                <w:szCs w:val="21"/>
                <w:highlight w:val="none"/>
                <w:lang w:val="en-US" w:eastAsia="zh-CN"/>
                <w14:textFill>
                  <w14:solidFill>
                    <w14:schemeClr w14:val="tx1"/>
                  </w14:solidFill>
                </w14:textFill>
              </w:rPr>
              <w:t>刺激征</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状，包括咳嗽伴有恶心；中枢神经抑制表现为头痛、头晕、兴奋、视力模糊、反应迟钝、疲乏和共济失调。长时间暴露于高浓度蒸气中可导致麻醉、神志不清，甚至昏迷和死亡。吸入高浓度的油雾可引起油性肺炎。慢性影响：长时间接触可引起支气管炎和肺水肿。长期皮肤接触可造成皮肤干燥、皲裂和发红。影响神经系统、骨髓机能等。环境危害：造成大气，河流，湖泊，海洋，土壤等污染。燃爆危险：易燃。遇到高热，火星或火苗极易引起燃烧爆炸。</w:t>
            </w:r>
          </w:p>
        </w:tc>
      </w:tr>
      <w:tr w14:paraId="3949D6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07A70CC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急救</w:t>
            </w:r>
          </w:p>
          <w:p w14:paraId="2C2A6AD1">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措施</w:t>
            </w:r>
          </w:p>
        </w:tc>
        <w:tc>
          <w:tcPr>
            <w:tcW w:w="4490" w:type="pct"/>
            <w:gridSpan w:val="4"/>
            <w:tcBorders>
              <w:tl2br w:val="nil"/>
              <w:tr2bl w:val="nil"/>
            </w:tcBorders>
            <w:noWrap w:val="0"/>
            <w:tcMar>
              <w:top w:w="28" w:type="dxa"/>
              <w:left w:w="11" w:type="dxa"/>
              <w:bottom w:w="28" w:type="dxa"/>
              <w:right w:w="11" w:type="dxa"/>
            </w:tcMar>
            <w:vAlign w:val="center"/>
          </w:tcPr>
          <w:p w14:paraId="7B0B9376">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皮肤接触：立即脱去污染的衣着，用肥皂水和清水彻底冲洗皮肤。如有不适感，就医。</w:t>
            </w:r>
          </w:p>
          <w:p w14:paraId="7426D203">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眼睛接触：立即提起眼睑，用大量流动清水或生理盐水冲洗。如有不适感，就医。眼睛受伤后，应由专业人员取出隐形眼镜。</w:t>
            </w:r>
          </w:p>
          <w:p w14:paraId="7842A49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吸入：迅速脱离现场至空气新鲜处。静卧、保暖。开始急救前，取出假牙等，防止阻塞气道。保持呼吸道通畅。如呼吸困难，给输氧。呼吸、心跳停止，立即进行心肺复苏术。就医。</w:t>
            </w:r>
          </w:p>
          <w:p w14:paraId="132A6F2C">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食入：饮水，禁止催吐。保持呼吸道通畅，防止吸入呕吐物。禁止给嗜睡症状或知觉降低即正在失去知觉的病人服用液体。如有不适感，就医。</w:t>
            </w:r>
          </w:p>
        </w:tc>
      </w:tr>
      <w:tr w14:paraId="5C4DF0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21365C43">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消防</w:t>
            </w:r>
          </w:p>
          <w:p w14:paraId="59D97464">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措施</w:t>
            </w:r>
          </w:p>
        </w:tc>
        <w:tc>
          <w:tcPr>
            <w:tcW w:w="4490" w:type="pct"/>
            <w:gridSpan w:val="4"/>
            <w:tcBorders>
              <w:tl2br w:val="nil"/>
              <w:tr2bl w:val="nil"/>
            </w:tcBorders>
            <w:noWrap w:val="0"/>
            <w:tcMar>
              <w:top w:w="28" w:type="dxa"/>
              <w:left w:w="11" w:type="dxa"/>
              <w:bottom w:w="28" w:type="dxa"/>
              <w:right w:w="11" w:type="dxa"/>
            </w:tcMar>
            <w:vAlign w:val="center"/>
          </w:tcPr>
          <w:p w14:paraId="0DD5CFFB">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危险特性：易燃，其蒸气与空气可形成爆炸性混合物，遇明火、高热极易燃烧爆炸。与氧化剂能发生强烈反应。流速过快，容易产生和积聚静电。其蒸气比空气重，沿地面扩散并易积存于低洼处，遇火源会着火回燃。</w:t>
            </w:r>
          </w:p>
          <w:p w14:paraId="17511F0C">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有害燃烧产物：一氧化碳、二氧化碳。</w:t>
            </w:r>
          </w:p>
          <w:p w14:paraId="69BFB29D">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灭火方法：用泡沫、干粉、二氧化碳、砂土灭火。</w:t>
            </w:r>
          </w:p>
        </w:tc>
      </w:tr>
      <w:tr w14:paraId="42F08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2DE7F9B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泄漏应急处理</w:t>
            </w:r>
          </w:p>
        </w:tc>
        <w:tc>
          <w:tcPr>
            <w:tcW w:w="4490" w:type="pct"/>
            <w:gridSpan w:val="4"/>
            <w:tcBorders>
              <w:tl2br w:val="nil"/>
              <w:tr2bl w:val="nil"/>
            </w:tcBorders>
            <w:noWrap w:val="0"/>
            <w:tcMar>
              <w:top w:w="28" w:type="dxa"/>
              <w:left w:w="11" w:type="dxa"/>
              <w:bottom w:w="28" w:type="dxa"/>
              <w:right w:w="11" w:type="dxa"/>
            </w:tcMar>
            <w:vAlign w:val="center"/>
          </w:tcPr>
          <w:p w14:paraId="6C3279BE">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泄漏：用砂土或其他不燃材料吸收。使用洁净的无火花工具收集吸收材料。大量泄漏：构筑围堤或挖坑收容。用泡沫覆盖，减少蒸发。喷水雾能减少蒸发，但不能降低泄漏物在限制性空间内的易燃性。用防爆泵转移至槽车或专用收集器内。</w:t>
            </w:r>
          </w:p>
        </w:tc>
      </w:tr>
      <w:tr w14:paraId="4BC4C1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316A5905">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操作处置与储存</w:t>
            </w:r>
          </w:p>
        </w:tc>
        <w:tc>
          <w:tcPr>
            <w:tcW w:w="4490" w:type="pct"/>
            <w:gridSpan w:val="4"/>
            <w:tcBorders>
              <w:tl2br w:val="nil"/>
              <w:tr2bl w:val="nil"/>
            </w:tcBorders>
            <w:noWrap w:val="0"/>
            <w:tcMar>
              <w:top w:w="28" w:type="dxa"/>
              <w:left w:w="11" w:type="dxa"/>
              <w:bottom w:w="28" w:type="dxa"/>
              <w:right w:w="11" w:type="dxa"/>
            </w:tcMar>
            <w:vAlign w:val="center"/>
          </w:tcPr>
          <w:p w14:paraId="49DBA42F">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操作注意事项：密闭操作，注意通风。操作人员必须经过专门培训，严格遵守操作规程。建议操作人员佩戴过滤式防毒面具，穿防静电工作服。远离火种、热源。工作场所严禁吸烟。使用防爆型的通风系统和设备。防止蒸气泄漏到工作场所空气中。避免与氧化剂接触。灌装时应控制流速，且有接地装置，防止静电积聚。在清除液体和蒸气前不能进行焊接、切割等作业。搬运时要轻装轻卸，防止包装及容器损坏。配备相应品种和数量的消防器材和泄漏应急处理设备。倒空的容器可能残留有害物。</w:t>
            </w:r>
          </w:p>
          <w:p w14:paraId="59739288">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储存注意事项：储存于阴凉、通风的库房。远离火种、热源。库温不宜超过30℃，保持容器密封。应与氧化剂分开存放，切忌混储。采用防爆型照明、通风设备。禁止使用易产生火花的机械设备和工具。储区应备有泄漏应急处理设备和合适的收容材料。</w:t>
            </w:r>
          </w:p>
        </w:tc>
      </w:tr>
      <w:tr w14:paraId="4AC6E3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62FF83E0">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接触控制/个体防护</w:t>
            </w:r>
          </w:p>
        </w:tc>
        <w:tc>
          <w:tcPr>
            <w:tcW w:w="4490" w:type="pct"/>
            <w:gridSpan w:val="4"/>
            <w:tcBorders>
              <w:tl2br w:val="nil"/>
              <w:tr2bl w:val="nil"/>
            </w:tcBorders>
            <w:noWrap w:val="0"/>
            <w:tcMar>
              <w:top w:w="28" w:type="dxa"/>
              <w:left w:w="11" w:type="dxa"/>
              <w:bottom w:w="28" w:type="dxa"/>
              <w:right w:w="11" w:type="dxa"/>
            </w:tcMar>
            <w:vAlign w:val="center"/>
          </w:tcPr>
          <w:p w14:paraId="756F68E7">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工程控制：工作现场严禁吸烟，避免长期反复接触，进入罐、限制性空间或其他</w:t>
            </w:r>
            <w:r>
              <w:rPr>
                <w:rFonts w:hint="eastAsia" w:cs="Times New Roman"/>
                <w:caps w:val="0"/>
                <w:color w:val="000000" w:themeColor="text1"/>
                <w:sz w:val="21"/>
                <w:szCs w:val="21"/>
                <w:highlight w:val="none"/>
                <w:lang w:val="en-US" w:eastAsia="zh-CN"/>
                <w14:textFill>
                  <w14:solidFill>
                    <w14:schemeClr w14:val="tx1"/>
                  </w14:solidFill>
                </w14:textFill>
              </w:rPr>
              <w:t>区域</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作业，须有人监护；生产过程密闭，加强通风；提供安全淋浴和洗眼设备。</w:t>
            </w:r>
          </w:p>
          <w:p w14:paraId="0FFBB59A">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呼吸系统防护：一般不需要特殊防护，高浓度接触时可佩戴过滤式防毒面具（半面罩）。</w:t>
            </w:r>
          </w:p>
          <w:p w14:paraId="39738D56">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眼睛防护：一般不需要特殊防护，但建议在特殊情况下，戴化学安全防护眼镜。</w:t>
            </w:r>
          </w:p>
          <w:p w14:paraId="5F5194E0">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身体防护：穿防静电工作服。</w:t>
            </w:r>
          </w:p>
          <w:p w14:paraId="73DBB735">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手防护：戴一般作业防护手套。</w:t>
            </w:r>
          </w:p>
          <w:p w14:paraId="7B0825F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其他防护：工作现场禁止吸烟、进食和饮水。工作完毕，淋浴更衣。</w:t>
            </w:r>
          </w:p>
        </w:tc>
      </w:tr>
      <w:tr w14:paraId="5F36A0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restart"/>
            <w:tcBorders>
              <w:tl2br w:val="nil"/>
              <w:tr2bl w:val="nil"/>
            </w:tcBorders>
            <w:noWrap w:val="0"/>
            <w:tcMar>
              <w:top w:w="28" w:type="dxa"/>
              <w:left w:w="57" w:type="dxa"/>
              <w:bottom w:w="28" w:type="dxa"/>
              <w:right w:w="57" w:type="dxa"/>
            </w:tcMar>
            <w:vAlign w:val="center"/>
          </w:tcPr>
          <w:p w14:paraId="29EE95C9">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理化</w:t>
            </w:r>
          </w:p>
          <w:p w14:paraId="25A37BDC">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特性</w:t>
            </w:r>
          </w:p>
        </w:tc>
        <w:tc>
          <w:tcPr>
            <w:tcW w:w="725" w:type="pct"/>
            <w:tcBorders>
              <w:tl2br w:val="nil"/>
              <w:tr2bl w:val="nil"/>
            </w:tcBorders>
            <w:noWrap w:val="0"/>
            <w:tcMar>
              <w:top w:w="28" w:type="dxa"/>
              <w:left w:w="11" w:type="dxa"/>
              <w:bottom w:w="28" w:type="dxa"/>
              <w:right w:w="11" w:type="dxa"/>
            </w:tcMar>
            <w:vAlign w:val="center"/>
          </w:tcPr>
          <w:p w14:paraId="0A53F2F9">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外观与性状</w:t>
            </w:r>
          </w:p>
        </w:tc>
        <w:tc>
          <w:tcPr>
            <w:tcW w:w="1391" w:type="pct"/>
            <w:tcBorders>
              <w:tl2br w:val="nil"/>
              <w:tr2bl w:val="nil"/>
            </w:tcBorders>
            <w:noWrap w:val="0"/>
            <w:vAlign w:val="center"/>
          </w:tcPr>
          <w:p w14:paraId="5B50D7F6">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黑色的可燃性黏稠液体</w:t>
            </w:r>
          </w:p>
        </w:tc>
        <w:tc>
          <w:tcPr>
            <w:tcW w:w="783" w:type="pct"/>
            <w:tcBorders>
              <w:tl2br w:val="nil"/>
              <w:tr2bl w:val="nil"/>
            </w:tcBorders>
            <w:noWrap w:val="0"/>
            <w:vAlign w:val="center"/>
          </w:tcPr>
          <w:p w14:paraId="29467530">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蒸气压</w:t>
            </w:r>
          </w:p>
        </w:tc>
        <w:tc>
          <w:tcPr>
            <w:tcW w:w="1589" w:type="pct"/>
            <w:tcBorders>
              <w:tl2br w:val="nil"/>
              <w:tr2bl w:val="nil"/>
            </w:tcBorders>
            <w:noWrap w:val="0"/>
            <w:vAlign w:val="center"/>
          </w:tcPr>
          <w:p w14:paraId="72D7CDC2">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无资料</w:t>
            </w:r>
          </w:p>
        </w:tc>
      </w:tr>
      <w:tr w14:paraId="27278C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continue"/>
            <w:tcBorders>
              <w:tl2br w:val="nil"/>
              <w:tr2bl w:val="nil"/>
            </w:tcBorders>
            <w:noWrap w:val="0"/>
            <w:vAlign w:val="center"/>
          </w:tcPr>
          <w:p w14:paraId="71AE017F">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725" w:type="pct"/>
            <w:tcBorders>
              <w:tl2br w:val="nil"/>
              <w:tr2bl w:val="nil"/>
            </w:tcBorders>
            <w:noWrap w:val="0"/>
            <w:tcMar>
              <w:top w:w="28" w:type="dxa"/>
              <w:left w:w="11" w:type="dxa"/>
              <w:bottom w:w="28" w:type="dxa"/>
              <w:right w:w="11" w:type="dxa"/>
            </w:tcMar>
            <w:vAlign w:val="center"/>
          </w:tcPr>
          <w:p w14:paraId="3D48ABFC">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沸点</w:t>
            </w:r>
          </w:p>
        </w:tc>
        <w:tc>
          <w:tcPr>
            <w:tcW w:w="1391" w:type="pct"/>
            <w:tcBorders>
              <w:tl2br w:val="nil"/>
              <w:tr2bl w:val="nil"/>
            </w:tcBorders>
            <w:noWrap w:val="0"/>
            <w:vAlign w:val="center"/>
          </w:tcPr>
          <w:p w14:paraId="00DACC22">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自常温至500℃以上</w:t>
            </w:r>
          </w:p>
        </w:tc>
        <w:tc>
          <w:tcPr>
            <w:tcW w:w="783" w:type="pct"/>
            <w:tcBorders>
              <w:tl2br w:val="nil"/>
              <w:tr2bl w:val="nil"/>
            </w:tcBorders>
            <w:noWrap w:val="0"/>
            <w:vAlign w:val="center"/>
          </w:tcPr>
          <w:p w14:paraId="7912EC54">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闪点</w:t>
            </w:r>
          </w:p>
        </w:tc>
        <w:tc>
          <w:tcPr>
            <w:tcW w:w="1589" w:type="pct"/>
            <w:tcBorders>
              <w:tl2br w:val="nil"/>
              <w:tr2bl w:val="nil"/>
            </w:tcBorders>
            <w:noWrap w:val="0"/>
            <w:vAlign w:val="center"/>
          </w:tcPr>
          <w:p w14:paraId="4E3E9C16">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-6~155℃</w:t>
            </w:r>
          </w:p>
        </w:tc>
      </w:tr>
      <w:tr w14:paraId="2E5C04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continue"/>
            <w:tcBorders>
              <w:tl2br w:val="nil"/>
              <w:tr2bl w:val="nil"/>
            </w:tcBorders>
            <w:noWrap w:val="0"/>
            <w:vAlign w:val="center"/>
          </w:tcPr>
          <w:p w14:paraId="45359967">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725" w:type="pct"/>
            <w:tcBorders>
              <w:tl2br w:val="nil"/>
              <w:tr2bl w:val="nil"/>
            </w:tcBorders>
            <w:noWrap w:val="0"/>
            <w:tcMar>
              <w:top w:w="28" w:type="dxa"/>
              <w:left w:w="11" w:type="dxa"/>
              <w:bottom w:w="28" w:type="dxa"/>
              <w:right w:w="11" w:type="dxa"/>
            </w:tcMar>
            <w:vAlign w:val="center"/>
          </w:tcPr>
          <w:p w14:paraId="7B40D74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熔点</w:t>
            </w:r>
          </w:p>
        </w:tc>
        <w:tc>
          <w:tcPr>
            <w:tcW w:w="1391" w:type="pct"/>
            <w:tcBorders>
              <w:tl2br w:val="nil"/>
              <w:tr2bl w:val="nil"/>
            </w:tcBorders>
            <w:noWrap w:val="0"/>
            <w:vAlign w:val="center"/>
          </w:tcPr>
          <w:p w14:paraId="41836CDE">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-60℃</w:t>
            </w:r>
          </w:p>
        </w:tc>
        <w:tc>
          <w:tcPr>
            <w:tcW w:w="783" w:type="pct"/>
            <w:tcBorders>
              <w:tl2br w:val="nil"/>
              <w:tr2bl w:val="nil"/>
            </w:tcBorders>
            <w:noWrap w:val="0"/>
            <w:vAlign w:val="center"/>
          </w:tcPr>
          <w:p w14:paraId="57E72CB5">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溶解性</w:t>
            </w:r>
          </w:p>
        </w:tc>
        <w:tc>
          <w:tcPr>
            <w:tcW w:w="1589" w:type="pct"/>
            <w:tcBorders>
              <w:tl2br w:val="nil"/>
              <w:tr2bl w:val="nil"/>
            </w:tcBorders>
            <w:noWrap w:val="0"/>
            <w:vAlign w:val="center"/>
          </w:tcPr>
          <w:p w14:paraId="0330B688">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不溶于水，溶于苯、乙醚、三氯甲烷、四氯化碳等有机溶剂</w:t>
            </w:r>
          </w:p>
        </w:tc>
      </w:tr>
      <w:tr w14:paraId="289848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continue"/>
            <w:tcBorders>
              <w:tl2br w:val="nil"/>
              <w:tr2bl w:val="nil"/>
            </w:tcBorders>
            <w:noWrap w:val="0"/>
            <w:vAlign w:val="center"/>
          </w:tcPr>
          <w:p w14:paraId="4F4FE1A8">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725" w:type="pct"/>
            <w:tcBorders>
              <w:tl2br w:val="nil"/>
              <w:tr2bl w:val="nil"/>
            </w:tcBorders>
            <w:noWrap w:val="0"/>
            <w:tcMar>
              <w:top w:w="28" w:type="dxa"/>
              <w:left w:w="11" w:type="dxa"/>
              <w:bottom w:w="28" w:type="dxa"/>
              <w:right w:w="11" w:type="dxa"/>
            </w:tcMar>
            <w:vAlign w:val="center"/>
          </w:tcPr>
          <w:p w14:paraId="577F92E7">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密度</w:t>
            </w:r>
          </w:p>
        </w:tc>
        <w:tc>
          <w:tcPr>
            <w:tcW w:w="1391" w:type="pct"/>
            <w:tcBorders>
              <w:tl2br w:val="nil"/>
              <w:tr2bl w:val="nil"/>
            </w:tcBorders>
            <w:noWrap w:val="0"/>
            <w:vAlign w:val="center"/>
          </w:tcPr>
          <w:p w14:paraId="366F9336">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相对密度（水=1）0.7365-1.0724g/cm</w:t>
            </w:r>
            <w:r>
              <w:rPr>
                <w:rFonts w:hint="default" w:ascii="Times New Roman" w:hAnsi="Times New Roman" w:eastAsia="宋体" w:cs="Times New Roman"/>
                <w:caps w:val="0"/>
                <w:color w:val="000000" w:themeColor="text1"/>
                <w:sz w:val="21"/>
                <w:szCs w:val="21"/>
                <w:highlight w:val="none"/>
                <w:vertAlign w:val="superscript"/>
                <w:lang w:val="en-US" w:eastAsia="zh-CN"/>
                <w14:textFill>
                  <w14:solidFill>
                    <w14:schemeClr w14:val="tx1"/>
                  </w14:solidFill>
                </w14:textFill>
              </w:rPr>
              <w:t>3</w:t>
            </w:r>
          </w:p>
        </w:tc>
        <w:tc>
          <w:tcPr>
            <w:tcW w:w="783" w:type="pct"/>
            <w:tcBorders>
              <w:tl2br w:val="nil"/>
              <w:tr2bl w:val="nil"/>
            </w:tcBorders>
            <w:noWrap w:val="0"/>
            <w:vAlign w:val="center"/>
          </w:tcPr>
          <w:p w14:paraId="4B5B5738">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稳定性</w:t>
            </w:r>
          </w:p>
        </w:tc>
        <w:tc>
          <w:tcPr>
            <w:tcW w:w="1589" w:type="pct"/>
            <w:tcBorders>
              <w:tl2br w:val="nil"/>
              <w:tr2bl w:val="nil"/>
            </w:tcBorders>
            <w:noWrap w:val="0"/>
            <w:vAlign w:val="center"/>
          </w:tcPr>
          <w:p w14:paraId="36EA8B41">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稳定</w:t>
            </w:r>
          </w:p>
        </w:tc>
      </w:tr>
      <w:tr w14:paraId="49AF59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vMerge w:val="continue"/>
            <w:tcBorders>
              <w:tl2br w:val="nil"/>
              <w:tr2bl w:val="nil"/>
            </w:tcBorders>
            <w:noWrap w:val="0"/>
            <w:vAlign w:val="center"/>
          </w:tcPr>
          <w:p w14:paraId="7F04FF7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725" w:type="pct"/>
            <w:tcBorders>
              <w:tl2br w:val="nil"/>
              <w:tr2bl w:val="nil"/>
            </w:tcBorders>
            <w:noWrap w:val="0"/>
            <w:tcMar>
              <w:top w:w="28" w:type="dxa"/>
              <w:left w:w="11" w:type="dxa"/>
              <w:bottom w:w="28" w:type="dxa"/>
              <w:right w:w="11" w:type="dxa"/>
            </w:tcMar>
            <w:vAlign w:val="center"/>
          </w:tcPr>
          <w:p w14:paraId="360108D8">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爆炸极限</w:t>
            </w:r>
          </w:p>
        </w:tc>
        <w:tc>
          <w:tcPr>
            <w:tcW w:w="1391" w:type="pct"/>
            <w:tcBorders>
              <w:tl2br w:val="nil"/>
              <w:tr2bl w:val="nil"/>
            </w:tcBorders>
            <w:noWrap w:val="0"/>
            <w:vAlign w:val="center"/>
          </w:tcPr>
          <w:p w14:paraId="648B1D8E">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1.1%</w:t>
            </w:r>
            <w:r>
              <w:rPr>
                <w:rFonts w:hint="eastAsia" w:cs="Times New Roman"/>
                <w:cap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8.7%</w:t>
            </w:r>
            <w:r>
              <w:rPr>
                <w:rFonts w:hint="eastAsia" w:cs="Times New Roman"/>
                <w:cap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V%</w:t>
            </w:r>
            <w:r>
              <w:rPr>
                <w:rFonts w:hint="eastAsia" w:cs="Times New Roman"/>
                <w:caps w:val="0"/>
                <w:color w:val="000000" w:themeColor="text1"/>
                <w:sz w:val="21"/>
                <w:szCs w:val="21"/>
                <w:highlight w:val="none"/>
                <w:lang w:val="en-US" w:eastAsia="zh-CN"/>
                <w14:textFill>
                  <w14:solidFill>
                    <w14:schemeClr w14:val="tx1"/>
                  </w14:solidFill>
                </w14:textFill>
              </w:rPr>
              <w:t>)</w:t>
            </w:r>
          </w:p>
        </w:tc>
        <w:tc>
          <w:tcPr>
            <w:tcW w:w="783" w:type="pct"/>
            <w:tcBorders>
              <w:tl2br w:val="nil"/>
              <w:tr2bl w:val="nil"/>
            </w:tcBorders>
            <w:noWrap w:val="0"/>
            <w:vAlign w:val="center"/>
          </w:tcPr>
          <w:p w14:paraId="06307423">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自燃温度</w:t>
            </w:r>
          </w:p>
        </w:tc>
        <w:tc>
          <w:tcPr>
            <w:tcW w:w="1589" w:type="pct"/>
            <w:tcBorders>
              <w:tl2br w:val="nil"/>
              <w:tr2bl w:val="nil"/>
            </w:tcBorders>
            <w:noWrap w:val="0"/>
            <w:vAlign w:val="center"/>
          </w:tcPr>
          <w:p w14:paraId="4285F254">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280℃~380℃</w:t>
            </w:r>
          </w:p>
        </w:tc>
      </w:tr>
      <w:tr w14:paraId="05DC0A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7F8FECEB">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稳定性和反应活性</w:t>
            </w:r>
          </w:p>
        </w:tc>
        <w:tc>
          <w:tcPr>
            <w:tcW w:w="4490" w:type="pct"/>
            <w:gridSpan w:val="4"/>
            <w:tcBorders>
              <w:tl2br w:val="nil"/>
              <w:tr2bl w:val="nil"/>
            </w:tcBorders>
            <w:noWrap w:val="0"/>
            <w:tcMar>
              <w:top w:w="28" w:type="dxa"/>
              <w:left w:w="11" w:type="dxa"/>
              <w:bottom w:w="28" w:type="dxa"/>
              <w:right w:w="11" w:type="dxa"/>
            </w:tcMar>
            <w:vAlign w:val="center"/>
          </w:tcPr>
          <w:p w14:paraId="37163FD7">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稳定性：稳定。</w:t>
            </w:r>
          </w:p>
          <w:p w14:paraId="1CF81DB1">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禁配物：氧化剂。</w:t>
            </w:r>
          </w:p>
          <w:p w14:paraId="4B75F635">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避免接触的条件：高热，火源和不相容物质。</w:t>
            </w:r>
          </w:p>
          <w:p w14:paraId="39490639">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聚合危害：不聚合。</w:t>
            </w:r>
          </w:p>
          <w:p w14:paraId="5FA2032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分解产物：一氧化碳、二氧化碳、氮氧化物、硫氧化物等有毒烟雾。</w:t>
            </w:r>
          </w:p>
        </w:tc>
      </w:tr>
      <w:tr w14:paraId="0AAABA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2235B4A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毒理学</w:t>
            </w:r>
          </w:p>
          <w:p w14:paraId="5A74C119">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资料</w:t>
            </w:r>
          </w:p>
        </w:tc>
        <w:tc>
          <w:tcPr>
            <w:tcW w:w="4490" w:type="pct"/>
            <w:gridSpan w:val="4"/>
            <w:tcBorders>
              <w:tl2br w:val="nil"/>
              <w:tr2bl w:val="nil"/>
            </w:tcBorders>
            <w:noWrap w:val="0"/>
            <w:tcMar>
              <w:top w:w="28" w:type="dxa"/>
              <w:left w:w="11" w:type="dxa"/>
              <w:bottom w:w="28" w:type="dxa"/>
              <w:right w:w="11" w:type="dxa"/>
            </w:tcMar>
            <w:vAlign w:val="center"/>
          </w:tcPr>
          <w:p w14:paraId="0E7DF84F">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有毒。凝析油中芳香烃以及杂原子化合物具有一定的毒性。</w:t>
            </w:r>
          </w:p>
          <w:p w14:paraId="4B2EE35D">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LD50：&gt;4300mg/kg（大鼠经口）</w:t>
            </w:r>
          </w:p>
          <w:p w14:paraId="794DB54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LC50：无资料</w:t>
            </w:r>
          </w:p>
        </w:tc>
      </w:tr>
      <w:tr w14:paraId="203C0F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21EA983D">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生态学资料</w:t>
            </w:r>
          </w:p>
        </w:tc>
        <w:tc>
          <w:tcPr>
            <w:tcW w:w="4490" w:type="pct"/>
            <w:gridSpan w:val="4"/>
            <w:tcBorders>
              <w:tl2br w:val="nil"/>
              <w:tr2bl w:val="nil"/>
            </w:tcBorders>
            <w:noWrap w:val="0"/>
            <w:tcMar>
              <w:top w:w="28" w:type="dxa"/>
              <w:left w:w="11" w:type="dxa"/>
              <w:bottom w:w="28" w:type="dxa"/>
              <w:right w:w="11" w:type="dxa"/>
            </w:tcMar>
            <w:vAlign w:val="center"/>
          </w:tcPr>
          <w:p w14:paraId="0D21F3A2">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生态毒理毒性：凝析油中的芳香族化合物以及杂原子具有一定的毒性。</w:t>
            </w:r>
          </w:p>
          <w:p w14:paraId="36FFB8BA">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生物降解性：自然界中的部分厌氧菌，硫化菌以及部分绿色植物能将凝析油的大部分物质降解。</w:t>
            </w:r>
          </w:p>
          <w:p w14:paraId="0250B08C">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非生物降解性：凝析油中的沥青质等高分子物质具有很难</w:t>
            </w:r>
            <w:r>
              <w:rPr>
                <w:rFonts w:hint="eastAsia" w:cs="Times New Roman"/>
                <w:caps w:val="0"/>
                <w:color w:val="000000" w:themeColor="text1"/>
                <w:sz w:val="21"/>
                <w:szCs w:val="21"/>
                <w:highlight w:val="none"/>
                <w:lang w:val="en-US" w:eastAsia="zh-CN"/>
                <w14:textFill>
                  <w14:solidFill>
                    <w14:schemeClr w14:val="tx1"/>
                  </w14:solidFill>
                </w14:textFill>
              </w:rPr>
              <w:t>的</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生物降解性。</w:t>
            </w:r>
          </w:p>
          <w:p w14:paraId="251E5B5B">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生物富集或生物积累性</w:t>
            </w:r>
            <w:r>
              <w:rPr>
                <w:rFonts w:hint="eastAsia" w:cs="Times New Roman"/>
                <w:caps w:val="0"/>
                <w:color w:val="000000" w:themeColor="text1"/>
                <w:sz w:val="21"/>
                <w:szCs w:val="21"/>
                <w:highlight w:val="none"/>
                <w:lang w:val="en-US" w:eastAsia="zh-CN"/>
                <w14:textFill>
                  <w14:solidFill>
                    <w14:schemeClr w14:val="tx1"/>
                  </w14:solidFill>
                </w14:textFill>
              </w:rPr>
              <w:t>：</w:t>
            </w:r>
          </w:p>
          <w:p w14:paraId="3CE5C6A6">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cs="Times New Roman"/>
                <w:caps w:val="0"/>
                <w:color w:val="000000" w:themeColor="text1"/>
                <w:sz w:val="21"/>
                <w:szCs w:val="21"/>
                <w:highlight w:val="none"/>
                <w:lang w:val="en-US" w:eastAsia="zh-CN"/>
                <w14:textFill>
                  <w14:solidFill>
                    <w14:schemeClr w14:val="tx1"/>
                  </w14:solidFill>
                </w14:textFill>
              </w:rPr>
              <w:t>其他有害</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作用：温室气体。应特别注意对地表水、土壤、大气和饮用水的污染。</w:t>
            </w:r>
          </w:p>
        </w:tc>
      </w:tr>
      <w:tr w14:paraId="427C1D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236D491E">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废弃</w:t>
            </w:r>
          </w:p>
          <w:p w14:paraId="0DB52728">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处置</w:t>
            </w:r>
          </w:p>
        </w:tc>
        <w:tc>
          <w:tcPr>
            <w:tcW w:w="4490" w:type="pct"/>
            <w:gridSpan w:val="4"/>
            <w:tcBorders>
              <w:tl2br w:val="nil"/>
              <w:tr2bl w:val="nil"/>
            </w:tcBorders>
            <w:noWrap w:val="0"/>
            <w:tcMar>
              <w:top w:w="28" w:type="dxa"/>
              <w:left w:w="11" w:type="dxa"/>
              <w:bottom w:w="28" w:type="dxa"/>
              <w:right w:w="11" w:type="dxa"/>
            </w:tcMar>
            <w:vAlign w:val="center"/>
          </w:tcPr>
          <w:p w14:paraId="57DAD8AC">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废弃物性质：危险废物。</w:t>
            </w:r>
          </w:p>
          <w:p w14:paraId="07F9C91C">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cs="Times New Roman"/>
                <w:caps w:val="0"/>
                <w:color w:val="000000" w:themeColor="text1"/>
                <w:sz w:val="21"/>
                <w:szCs w:val="21"/>
                <w:highlight w:val="none"/>
                <w:lang w:val="en-US" w:eastAsia="zh-CN"/>
                <w14:textFill>
                  <w14:solidFill>
                    <w14:schemeClr w14:val="tx1"/>
                  </w14:solidFill>
                </w14:textFill>
              </w:rPr>
              <w:t>废物处置</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方法：若本产品成为废品，必须由取得许可证的专业工厂进行处理。</w:t>
            </w:r>
          </w:p>
          <w:p w14:paraId="2042C131">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废弃注意事项：处置前应参阅国家和地方有关法规。本产品不可排放</w:t>
            </w:r>
            <w:r>
              <w:rPr>
                <w:rFonts w:hint="eastAsia" w:cs="Times New Roman"/>
                <w:caps w:val="0"/>
                <w:color w:val="000000" w:themeColor="text1"/>
                <w:sz w:val="21"/>
                <w:szCs w:val="21"/>
                <w:highlight w:val="none"/>
                <w:lang w:val="en-US" w:eastAsia="zh-CN"/>
                <w14:textFill>
                  <w14:solidFill>
                    <w14:schemeClr w14:val="tx1"/>
                  </w14:solidFill>
                </w14:textFill>
              </w:rPr>
              <w:t>于</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下水道，河流，湖泊，大海等。</w:t>
            </w:r>
          </w:p>
        </w:tc>
      </w:tr>
      <w:tr w14:paraId="31B5B3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4F87EE9B">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运输</w:t>
            </w:r>
          </w:p>
          <w:p w14:paraId="3C5E841C">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信息</w:t>
            </w:r>
          </w:p>
        </w:tc>
        <w:tc>
          <w:tcPr>
            <w:tcW w:w="4490" w:type="pct"/>
            <w:gridSpan w:val="4"/>
            <w:tcBorders>
              <w:tl2br w:val="nil"/>
              <w:tr2bl w:val="nil"/>
            </w:tcBorders>
            <w:noWrap w:val="0"/>
            <w:tcMar>
              <w:top w:w="28" w:type="dxa"/>
              <w:left w:w="11" w:type="dxa"/>
              <w:bottom w:w="28" w:type="dxa"/>
              <w:right w:w="11" w:type="dxa"/>
            </w:tcMar>
            <w:vAlign w:val="center"/>
          </w:tcPr>
          <w:p w14:paraId="071934A7">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运输注意事项：环境密封放置，放置热源和日光暴晒，与强氧化剂隔离。</w:t>
            </w:r>
          </w:p>
        </w:tc>
      </w:tr>
      <w:tr w14:paraId="4C32B2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76377AEB">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法规</w:t>
            </w:r>
          </w:p>
          <w:p w14:paraId="0E9125F3">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信息</w:t>
            </w:r>
          </w:p>
        </w:tc>
        <w:tc>
          <w:tcPr>
            <w:tcW w:w="4490" w:type="pct"/>
            <w:gridSpan w:val="4"/>
            <w:tcBorders>
              <w:tl2br w:val="nil"/>
              <w:tr2bl w:val="nil"/>
            </w:tcBorders>
            <w:noWrap w:val="0"/>
            <w:tcMar>
              <w:top w:w="28" w:type="dxa"/>
              <w:left w:w="11" w:type="dxa"/>
              <w:bottom w:w="28" w:type="dxa"/>
              <w:right w:w="11" w:type="dxa"/>
            </w:tcMar>
            <w:vAlign w:val="center"/>
          </w:tcPr>
          <w:p w14:paraId="18FACF4B">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《危险化学品安全管理条例》中华人民共和国国务院令第591号（自2011年12月1日起施行），中华人民共和国国务院令第645号修订（自2013年12月7日起施行）、《危险化学品目录（2015版）》（自2015年5月1日起施行）。</w:t>
            </w:r>
          </w:p>
        </w:tc>
      </w:tr>
      <w:tr w14:paraId="78F43B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509" w:type="pct"/>
            <w:tcBorders>
              <w:tl2br w:val="nil"/>
              <w:tr2bl w:val="nil"/>
            </w:tcBorders>
            <w:noWrap w:val="0"/>
            <w:tcMar>
              <w:top w:w="28" w:type="dxa"/>
              <w:left w:w="57" w:type="dxa"/>
              <w:bottom w:w="28" w:type="dxa"/>
              <w:right w:w="57" w:type="dxa"/>
            </w:tcMar>
            <w:vAlign w:val="center"/>
          </w:tcPr>
          <w:p w14:paraId="62728A56">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其他</w:t>
            </w:r>
          </w:p>
          <w:p w14:paraId="20BFD1F6">
            <w:pPr>
              <w:widowControl w:val="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信息</w:t>
            </w:r>
          </w:p>
        </w:tc>
        <w:tc>
          <w:tcPr>
            <w:tcW w:w="4490" w:type="pct"/>
            <w:gridSpan w:val="4"/>
            <w:tcBorders>
              <w:tl2br w:val="nil"/>
              <w:tr2bl w:val="nil"/>
            </w:tcBorders>
            <w:noWrap w:val="0"/>
            <w:tcMar>
              <w:top w:w="28" w:type="dxa"/>
              <w:left w:w="11" w:type="dxa"/>
              <w:bottom w:w="28" w:type="dxa"/>
              <w:right w:w="11" w:type="dxa"/>
            </w:tcMar>
            <w:vAlign w:val="center"/>
          </w:tcPr>
          <w:p w14:paraId="64EB256D">
            <w:pPr>
              <w:widowControl w:val="0"/>
              <w:jc w:val="left"/>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表格内数据来源于本</w:t>
            </w: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方案提供的物料特性数据、《危险化学品目录（2015版）》和《危险化学品安全技术全书》。</w:t>
            </w:r>
          </w:p>
        </w:tc>
      </w:tr>
      <w:bookmarkEnd w:id="1159"/>
    </w:tbl>
    <w:p w14:paraId="3BC3F26C">
      <w:pPr>
        <w:pStyle w:val="5"/>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5.8.3.1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生产系统危险性识别</w:t>
      </w:r>
    </w:p>
    <w:p w14:paraId="26B68C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根据本工程工艺流程及平面布置功能分区，并结合物质危险性识别，确定生产系统危险性识别结果见表</w:t>
      </w:r>
      <w:bookmarkStart w:id="1163" w:name="OLE_LINK861"/>
      <w:r>
        <w:rPr>
          <w:rFonts w:hint="eastAsia" w:cs="Times New Roman"/>
          <w:color w:val="000000" w:themeColor="text1"/>
          <w:highlight w:val="none"/>
          <w:lang w:val="en-US" w:eastAsia="zh-CN"/>
          <w14:textFill>
            <w14:solidFill>
              <w14:schemeClr w14:val="tx1"/>
            </w14:solidFill>
          </w14:textFill>
        </w:rPr>
        <w:t>5.8-</w:t>
      </w:r>
      <w:bookmarkEnd w:id="1163"/>
      <w:r>
        <w:rPr>
          <w:rFonts w:hint="eastAsia" w:cs="Times New Roman"/>
          <w:color w:val="000000" w:themeColor="text1"/>
          <w:highlight w:val="none"/>
          <w:lang w:val="en-US" w:eastAsia="zh-CN"/>
          <w14:textFill>
            <w14:solidFill>
              <w14:schemeClr w14:val="tx1"/>
            </w14:solidFill>
          </w14:textFill>
        </w:rPr>
        <w:t>7</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2B67908A">
      <w:pPr>
        <w:pStyle w:val="65"/>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施工期</w:t>
      </w:r>
      <w:r>
        <w:rPr>
          <w:rFonts w:hint="default" w:ascii="Times New Roman" w:hAnsi="Times New Roman" w:cs="Times New Roman"/>
          <w:color w:val="000000" w:themeColor="text1"/>
          <w:highlight w:val="none"/>
          <w:lang w:val="en-US" w:eastAsia="zh-CN"/>
          <w14:textFill>
            <w14:solidFill>
              <w14:schemeClr w14:val="tx1"/>
            </w14:solidFill>
          </w14:textFill>
        </w:rPr>
        <w:t>危险因素识别</w:t>
      </w:r>
    </w:p>
    <w:p w14:paraId="11A28CE9">
      <w:pPr>
        <w:pStyle w:val="65"/>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危险因素及可能产生的事故见表</w:t>
      </w:r>
      <w:r>
        <w:rPr>
          <w:rFonts w:hint="eastAsia" w:cs="Times New Roman"/>
          <w:color w:val="000000" w:themeColor="text1"/>
          <w:highlight w:val="none"/>
          <w:lang w:val="en-US" w:eastAsia="zh-CN"/>
          <w14:textFill>
            <w14:solidFill>
              <w14:schemeClr w14:val="tx1"/>
            </w14:solidFill>
          </w14:textFill>
        </w:rPr>
        <w:t>5.8-7</w:t>
      </w:r>
      <w:r>
        <w:rPr>
          <w:rFonts w:hint="default" w:ascii="Times New Roman" w:hAnsi="Times New Roman" w:cs="Times New Roman"/>
          <w:color w:val="000000" w:themeColor="text1"/>
          <w:highlight w:val="none"/>
          <w14:textFill>
            <w14:solidFill>
              <w14:schemeClr w14:val="tx1"/>
            </w14:solidFill>
          </w14:textFill>
        </w:rPr>
        <w:t>。</w:t>
      </w:r>
    </w:p>
    <w:p w14:paraId="030950DE">
      <w:pPr>
        <w:ind w:firstLine="422" w:firstLineChars="20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64" w:name="OLE_LINK860"/>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64"/>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7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施工期</w:t>
      </w:r>
      <w:bookmarkStart w:id="1165" w:name="OLE_LINK863"/>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主要危险及有害因素分析</w:t>
      </w:r>
      <w:bookmarkEnd w:id="1165"/>
    </w:p>
    <w:tbl>
      <w:tblPr>
        <w:tblStyle w:val="37"/>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743"/>
        <w:gridCol w:w="3187"/>
      </w:tblGrid>
      <w:tr w14:paraId="2124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554EADA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11"/>
                <w:kern w:val="0"/>
                <w:sz w:val="21"/>
                <w:szCs w:val="21"/>
                <w:highlight w:val="none"/>
                <w14:textFill>
                  <w14:solidFill>
                    <w14:schemeClr w14:val="tx1"/>
                  </w14:solidFill>
                </w14:textFill>
              </w:rPr>
              <w:t>序号</w:t>
            </w:r>
          </w:p>
        </w:tc>
        <w:tc>
          <w:tcPr>
            <w:tcW w:w="4743" w:type="dxa"/>
            <w:noWrap w:val="0"/>
            <w:vAlign w:val="center"/>
          </w:tcPr>
          <w:p w14:paraId="582ABF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主要危险、有害因素</w:t>
            </w:r>
          </w:p>
        </w:tc>
        <w:tc>
          <w:tcPr>
            <w:tcW w:w="3187" w:type="dxa"/>
            <w:noWrap w:val="0"/>
            <w:vAlign w:val="center"/>
          </w:tcPr>
          <w:p w14:paraId="2163C8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可能导致的事故</w:t>
            </w:r>
          </w:p>
        </w:tc>
      </w:tr>
      <w:tr w14:paraId="4A31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16BE72A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w:t>
            </w:r>
          </w:p>
        </w:tc>
        <w:tc>
          <w:tcPr>
            <w:tcW w:w="4743" w:type="dxa"/>
            <w:noWrap w:val="0"/>
            <w:vAlign w:val="center"/>
          </w:tcPr>
          <w:p w14:paraId="1A81AB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地层压力不准</w:t>
            </w:r>
            <w:r>
              <w:rPr>
                <w:rFonts w:hint="eastAsia" w:cs="Times New Roman"/>
                <w:color w:val="000000" w:themeColor="text1"/>
                <w:kern w:val="0"/>
                <w:sz w:val="21"/>
                <w:szCs w:val="21"/>
                <w:highlight w:val="none"/>
                <w:lang w:eastAsia="zh-CN"/>
                <w14:textFill>
                  <w14:solidFill>
                    <w14:schemeClr w14:val="tx1"/>
                  </w14:solidFill>
                </w14:textFill>
              </w:rPr>
              <w:t>；导</w:t>
            </w:r>
            <w:r>
              <w:rPr>
                <w:rFonts w:hint="default" w:ascii="Times New Roman" w:hAnsi="Times New Roman" w:cs="Times New Roman"/>
                <w:color w:val="000000" w:themeColor="text1"/>
                <w:kern w:val="0"/>
                <w:sz w:val="21"/>
                <w:szCs w:val="21"/>
                <w:highlight w:val="none"/>
                <w14:textFill>
                  <w14:solidFill>
                    <w14:schemeClr w14:val="tx1"/>
                  </w14:solidFill>
                </w14:textFill>
              </w:rPr>
              <w:t>致设计不准确，钻井液密度低于地层</w:t>
            </w:r>
            <w:r>
              <w:rPr>
                <w:rFonts w:hint="eastAsia" w:cs="Times New Roman"/>
                <w:color w:val="000000" w:themeColor="text1"/>
                <w:kern w:val="0"/>
                <w:sz w:val="21"/>
                <w:szCs w:val="21"/>
                <w:highlight w:val="none"/>
                <w:lang w:eastAsia="zh-CN"/>
                <w14:textFill>
                  <w14:solidFill>
                    <w14:schemeClr w14:val="tx1"/>
                  </w14:solidFill>
                </w14:textFill>
              </w:rPr>
              <w:t>孔隙</w:t>
            </w:r>
            <w:r>
              <w:rPr>
                <w:rFonts w:hint="default" w:ascii="Times New Roman" w:hAnsi="Times New Roman" w:cs="Times New Roman"/>
                <w:color w:val="000000" w:themeColor="text1"/>
                <w:kern w:val="0"/>
                <w:sz w:val="21"/>
                <w:szCs w:val="21"/>
                <w:highlight w:val="none"/>
                <w14:textFill>
                  <w14:solidFill>
                    <w14:schemeClr w14:val="tx1"/>
                  </w14:solidFill>
                </w14:textFill>
              </w:rPr>
              <w:t>压力梯度，埋下井喷事故</w:t>
            </w:r>
          </w:p>
        </w:tc>
        <w:tc>
          <w:tcPr>
            <w:tcW w:w="3187" w:type="dxa"/>
            <w:noWrap w:val="0"/>
            <w:vAlign w:val="center"/>
          </w:tcPr>
          <w:p w14:paraId="794F52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井喷失控、</w:t>
            </w:r>
            <w:bookmarkStart w:id="1166" w:name="OLE_LINK858"/>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bookmarkEnd w:id="1166"/>
            <w:r>
              <w:rPr>
                <w:rFonts w:hint="default" w:ascii="Times New Roman" w:hAnsi="Times New Roman" w:cs="Times New Roman"/>
                <w:color w:val="000000" w:themeColor="text1"/>
                <w:kern w:val="0"/>
                <w:sz w:val="21"/>
                <w:szCs w:val="21"/>
                <w:highlight w:val="none"/>
                <w14:textFill>
                  <w14:solidFill>
                    <w14:schemeClr w14:val="tx1"/>
                  </w14:solidFill>
                </w14:textFill>
              </w:rPr>
              <w:t>燃烧爆炸、大气环境及人群健康影响</w:t>
            </w:r>
          </w:p>
        </w:tc>
      </w:tr>
      <w:tr w14:paraId="29C9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41D4639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w:t>
            </w:r>
          </w:p>
        </w:tc>
        <w:tc>
          <w:tcPr>
            <w:tcW w:w="4743" w:type="dxa"/>
            <w:noWrap w:val="0"/>
            <w:vAlign w:val="center"/>
          </w:tcPr>
          <w:p w14:paraId="0423453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井控设备及管材在安装、使用前未按有关规定进行检验合格后使用</w:t>
            </w:r>
          </w:p>
        </w:tc>
        <w:tc>
          <w:tcPr>
            <w:tcW w:w="3187" w:type="dxa"/>
            <w:noWrap w:val="0"/>
            <w:vAlign w:val="center"/>
          </w:tcPr>
          <w:p w14:paraId="7A3398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设备失效导致井喷</w:t>
            </w:r>
          </w:p>
        </w:tc>
      </w:tr>
      <w:tr w14:paraId="5C1E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3E241D3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3</w:t>
            </w:r>
          </w:p>
        </w:tc>
        <w:tc>
          <w:tcPr>
            <w:tcW w:w="4743" w:type="dxa"/>
            <w:noWrap w:val="0"/>
            <w:vAlign w:val="center"/>
          </w:tcPr>
          <w:p w14:paraId="3CE7E27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防喷器件有刺漏，压力等级不符合要求；非金属材料不符合要求，密封失效</w:t>
            </w:r>
          </w:p>
        </w:tc>
        <w:tc>
          <w:tcPr>
            <w:tcW w:w="3187" w:type="dxa"/>
            <w:noWrap w:val="0"/>
            <w:vAlign w:val="center"/>
          </w:tcPr>
          <w:p w14:paraId="17C20B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设备失效导致井喷</w:t>
            </w:r>
          </w:p>
        </w:tc>
      </w:tr>
      <w:tr w14:paraId="58CD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6F8ED96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4</w:t>
            </w:r>
          </w:p>
        </w:tc>
        <w:tc>
          <w:tcPr>
            <w:tcW w:w="4743" w:type="dxa"/>
            <w:noWrap w:val="0"/>
            <w:vAlign w:val="center"/>
          </w:tcPr>
          <w:p w14:paraId="5DB333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司钻控制下放速度不当或操作不平稳</w:t>
            </w:r>
          </w:p>
        </w:tc>
        <w:tc>
          <w:tcPr>
            <w:tcW w:w="3187" w:type="dxa"/>
            <w:noWrap w:val="0"/>
            <w:vAlign w:val="center"/>
          </w:tcPr>
          <w:p w14:paraId="3D0544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发生井漏事故</w:t>
            </w:r>
          </w:p>
        </w:tc>
      </w:tr>
      <w:tr w14:paraId="17C5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68BC84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w:t>
            </w:r>
          </w:p>
        </w:tc>
        <w:tc>
          <w:tcPr>
            <w:tcW w:w="4743" w:type="dxa"/>
            <w:noWrap w:val="0"/>
            <w:vAlign w:val="center"/>
          </w:tcPr>
          <w:p w14:paraId="631CD6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节流管汇与井喷器连接不平直，容易使节流管汇作用发挥不完全；节流管汇试压未到额定工作压力或稳定时间不够，导致井控管失效</w:t>
            </w:r>
          </w:p>
        </w:tc>
        <w:tc>
          <w:tcPr>
            <w:tcW w:w="3187" w:type="dxa"/>
            <w:noWrap w:val="0"/>
            <w:vAlign w:val="center"/>
          </w:tcPr>
          <w:p w14:paraId="324AF7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井喷失控</w:t>
            </w:r>
          </w:p>
        </w:tc>
      </w:tr>
      <w:tr w14:paraId="075E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5E5A6E8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6</w:t>
            </w:r>
          </w:p>
        </w:tc>
        <w:tc>
          <w:tcPr>
            <w:tcW w:w="4743" w:type="dxa"/>
            <w:noWrap w:val="0"/>
            <w:vAlign w:val="center"/>
          </w:tcPr>
          <w:p w14:paraId="1735555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阀板与阀座之间密封不好或是井控装置部件表面生锈腐蚀使节流压井管失效，方钻杆上下旋转开关不灵活，有可能因不能正常开关而发生井喷事故</w:t>
            </w:r>
          </w:p>
        </w:tc>
        <w:tc>
          <w:tcPr>
            <w:tcW w:w="3187" w:type="dxa"/>
            <w:noWrap w:val="0"/>
            <w:vAlign w:val="center"/>
          </w:tcPr>
          <w:p w14:paraId="277ABDA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bookmarkStart w:id="1167" w:name="OLE_LINK859"/>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bookmarkEnd w:id="1167"/>
            <w:r>
              <w:rPr>
                <w:rFonts w:hint="default" w:ascii="Times New Roman" w:hAnsi="Times New Roman" w:cs="Times New Roman"/>
                <w:color w:val="000000" w:themeColor="text1"/>
                <w:kern w:val="0"/>
                <w:sz w:val="21"/>
                <w:szCs w:val="21"/>
                <w:highlight w:val="none"/>
                <w14:textFill>
                  <w14:solidFill>
                    <w14:schemeClr w14:val="tx1"/>
                  </w14:solidFill>
                </w14:textFill>
              </w:rPr>
              <w:t>燃烧爆炸、大气环境及人群健康影响</w:t>
            </w:r>
          </w:p>
        </w:tc>
      </w:tr>
      <w:tr w14:paraId="131D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35ABCD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7</w:t>
            </w:r>
          </w:p>
        </w:tc>
        <w:tc>
          <w:tcPr>
            <w:tcW w:w="4743" w:type="dxa"/>
            <w:noWrap w:val="0"/>
            <w:vAlign w:val="center"/>
          </w:tcPr>
          <w:p w14:paraId="641F01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未及时发现溢流显示或发现后处理不当等</w:t>
            </w:r>
          </w:p>
        </w:tc>
        <w:tc>
          <w:tcPr>
            <w:tcW w:w="3187" w:type="dxa"/>
            <w:noWrap w:val="0"/>
            <w:vAlign w:val="center"/>
          </w:tcPr>
          <w:p w14:paraId="51ACC62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导致</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r>
              <w:rPr>
                <w:rFonts w:hint="default" w:ascii="Times New Roman" w:hAnsi="Times New Roman" w:cs="Times New Roman"/>
                <w:color w:val="000000" w:themeColor="text1"/>
                <w:kern w:val="0"/>
                <w:sz w:val="21"/>
                <w:szCs w:val="21"/>
                <w:highlight w:val="none"/>
                <w14:textFill>
                  <w14:solidFill>
                    <w14:schemeClr w14:val="tx1"/>
                  </w14:solidFill>
                </w14:textFill>
              </w:rPr>
              <w:t>溢出，发生</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r>
              <w:rPr>
                <w:rFonts w:hint="default" w:ascii="Times New Roman" w:hAnsi="Times New Roman" w:cs="Times New Roman"/>
                <w:color w:val="000000" w:themeColor="text1"/>
                <w:kern w:val="0"/>
                <w:sz w:val="21"/>
                <w:szCs w:val="21"/>
                <w:highlight w:val="none"/>
                <w14:textFill>
                  <w14:solidFill>
                    <w14:schemeClr w14:val="tx1"/>
                  </w14:solidFill>
                </w14:textFill>
              </w:rPr>
              <w:t>燃烧爆炸</w:t>
            </w:r>
          </w:p>
        </w:tc>
      </w:tr>
      <w:tr w14:paraId="2886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1D0E54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8</w:t>
            </w:r>
          </w:p>
        </w:tc>
        <w:tc>
          <w:tcPr>
            <w:tcW w:w="4743" w:type="dxa"/>
            <w:noWrap w:val="0"/>
            <w:vAlign w:val="center"/>
          </w:tcPr>
          <w:p w14:paraId="1A56C9A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换装井口、起下管柱作业和循环施工作业中，对作业时间估计不足，压井时间短，井内压力失衡导致井喷或井喷失控</w:t>
            </w:r>
          </w:p>
        </w:tc>
        <w:tc>
          <w:tcPr>
            <w:tcW w:w="3187" w:type="dxa"/>
            <w:noWrap w:val="0"/>
            <w:vAlign w:val="center"/>
          </w:tcPr>
          <w:p w14:paraId="465F721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r>
              <w:rPr>
                <w:rFonts w:hint="default" w:ascii="Times New Roman" w:hAnsi="Times New Roman" w:cs="Times New Roman"/>
                <w:color w:val="000000" w:themeColor="text1"/>
                <w:kern w:val="0"/>
                <w:sz w:val="21"/>
                <w:szCs w:val="21"/>
                <w:highlight w:val="none"/>
                <w14:textFill>
                  <w14:solidFill>
                    <w14:schemeClr w14:val="tx1"/>
                  </w14:solidFill>
                </w14:textFill>
              </w:rPr>
              <w:t>燃烧爆炸、大气环境及人群健康影响</w:t>
            </w:r>
          </w:p>
        </w:tc>
      </w:tr>
      <w:tr w14:paraId="5574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00" w:type="dxa"/>
            <w:noWrap w:val="0"/>
            <w:vAlign w:val="center"/>
          </w:tcPr>
          <w:p w14:paraId="7A8911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9</w:t>
            </w:r>
          </w:p>
        </w:tc>
        <w:tc>
          <w:tcPr>
            <w:tcW w:w="4743" w:type="dxa"/>
            <w:noWrap w:val="0"/>
            <w:vAlign w:val="center"/>
          </w:tcPr>
          <w:p w14:paraId="5DCE19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安装井下安全阀，因作业所需时间较长，若压井时间不足，井内压力失衡导致井喷或井喷失控</w:t>
            </w:r>
          </w:p>
        </w:tc>
        <w:tc>
          <w:tcPr>
            <w:tcW w:w="3187" w:type="dxa"/>
            <w:noWrap w:val="0"/>
            <w:vAlign w:val="center"/>
          </w:tcPr>
          <w:p w14:paraId="313AD5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天然气</w:t>
            </w:r>
            <w:r>
              <w:rPr>
                <w:rFonts w:hint="default" w:ascii="Times New Roman" w:hAnsi="Times New Roman" w:cs="Times New Roman"/>
                <w:color w:val="000000" w:themeColor="text1"/>
                <w:kern w:val="0"/>
                <w:sz w:val="21"/>
                <w:szCs w:val="21"/>
                <w:highlight w:val="none"/>
                <w14:textFill>
                  <w14:solidFill>
                    <w14:schemeClr w14:val="tx1"/>
                  </w14:solidFill>
                </w14:textFill>
              </w:rPr>
              <w:t>燃烧爆炸、大气环境及人群健康影响</w:t>
            </w:r>
          </w:p>
        </w:tc>
      </w:tr>
    </w:tbl>
    <w:p w14:paraId="0F5CFB99">
      <w:pPr>
        <w:pStyle w:val="65"/>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（2）运营期危险因素识别</w:t>
      </w:r>
    </w:p>
    <w:p w14:paraId="3D7609B7">
      <w:pPr>
        <w:pStyle w:val="65"/>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根据工程分析，</w:t>
      </w:r>
      <w:r>
        <w:rPr>
          <w:rFonts w:hint="default" w:ascii="Times New Roman" w:hAnsi="Times New Roman" w:cs="Times New Roman"/>
          <w:color w:val="000000" w:themeColor="text1"/>
          <w:highlight w:val="none"/>
          <w:lang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开发建设过程中</w:t>
      </w:r>
      <w:r>
        <w:rPr>
          <w:rFonts w:hint="eastAsia" w:cs="Times New Roman"/>
          <w:color w:val="000000" w:themeColor="text1"/>
          <w:highlight w:val="none"/>
          <w:lang w:val="en-US" w:eastAsia="zh-CN"/>
          <w14:textFill>
            <w14:solidFill>
              <w14:schemeClr w14:val="tx1"/>
            </w14:solidFill>
          </w14:textFill>
        </w:rPr>
        <w:t>开采</w:t>
      </w:r>
      <w:r>
        <w:rPr>
          <w:rFonts w:hint="default" w:ascii="Times New Roman" w:hAnsi="Times New Roman" w:cs="Times New Roman"/>
          <w:color w:val="000000" w:themeColor="text1"/>
          <w:highlight w:val="none"/>
          <w14:textFill>
            <w14:solidFill>
              <w14:schemeClr w14:val="tx1"/>
            </w14:solidFill>
          </w14:textFill>
        </w:rPr>
        <w:t>、油气</w:t>
      </w:r>
      <w:r>
        <w:rPr>
          <w:rFonts w:hint="eastAsia" w:cs="Times New Roman"/>
          <w:color w:val="000000" w:themeColor="text1"/>
          <w:highlight w:val="none"/>
          <w:lang w:val="en-US" w:eastAsia="zh-CN"/>
          <w14:textFill>
            <w14:solidFill>
              <w14:schemeClr w14:val="tx1"/>
            </w14:solidFill>
          </w14:textFill>
        </w:rPr>
        <w:t>处理</w:t>
      </w:r>
      <w:r>
        <w:rPr>
          <w:rFonts w:hint="default" w:ascii="Times New Roman" w:hAnsi="Times New Roman" w:cs="Times New Roman"/>
          <w:color w:val="000000" w:themeColor="text1"/>
          <w:highlight w:val="none"/>
          <w14:textFill>
            <w14:solidFill>
              <w14:schemeClr w14:val="tx1"/>
            </w14:solidFill>
          </w14:textFill>
        </w:rPr>
        <w:t>等环节均接触到易燃、易爆的危险性物质，而且生产工艺条件较苛刻，多为高压操作，因此事故风险较大，可能造成环境危害的风险事故主要包括火灾、爆炸、油品泄漏等，具体危害和环境影响可见表</w:t>
      </w:r>
      <w:bookmarkStart w:id="1168" w:name="OLE_LINK862"/>
      <w:r>
        <w:rPr>
          <w:rFonts w:hint="default" w:ascii="Times New Roman" w:hAnsi="Times New Roman" w:cs="Times New Roman"/>
          <w:color w:val="000000" w:themeColor="text1"/>
          <w:highlight w:val="none"/>
          <w:lang w:val="en-US" w:eastAsia="zh-CN"/>
          <w14:textFill>
            <w14:solidFill>
              <w14:schemeClr w14:val="tx1"/>
            </w14:solidFill>
          </w14:textFill>
        </w:rPr>
        <w:t>5.8-</w:t>
      </w:r>
      <w:bookmarkEnd w:id="1168"/>
      <w:r>
        <w:rPr>
          <w:rFonts w:hint="eastAsia"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w:t>
      </w:r>
    </w:p>
    <w:p w14:paraId="12D34E62">
      <w:pPr>
        <w:ind w:firstLine="422" w:firstLineChars="20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69" w:name="OLE_LINK867"/>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69"/>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运营期</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主要危险及有害因素分析</w:t>
      </w:r>
    </w:p>
    <w:tbl>
      <w:tblPr>
        <w:tblStyle w:val="37"/>
        <w:tblW w:w="5000" w:type="pct"/>
        <w:jc w:val="center"/>
        <w:tblBorders>
          <w:top w:val="single" w:color="auto" w:sz="12" w:space="0"/>
          <w:left w:val="single" w:color="auto" w:sz="8" w:space="0"/>
          <w:bottom w:val="single" w:color="auto" w:sz="8" w:space="0"/>
          <w:right w:val="single" w:color="auto" w:sz="8" w:space="0"/>
          <w:insideH w:val="none" w:color="auto" w:sz="0" w:space="0"/>
          <w:insideV w:val="single" w:color="auto" w:sz="8" w:space="0"/>
        </w:tblBorders>
        <w:tblLayout w:type="fixed"/>
        <w:tblCellMar>
          <w:top w:w="0" w:type="dxa"/>
          <w:left w:w="28" w:type="dxa"/>
          <w:bottom w:w="0" w:type="dxa"/>
          <w:right w:w="28" w:type="dxa"/>
        </w:tblCellMar>
      </w:tblPr>
      <w:tblGrid>
        <w:gridCol w:w="989"/>
        <w:gridCol w:w="1118"/>
        <w:gridCol w:w="2319"/>
        <w:gridCol w:w="2386"/>
        <w:gridCol w:w="1550"/>
      </w:tblGrid>
      <w:tr w14:paraId="53EDD0DC">
        <w:tblPrEx>
          <w:tblBorders>
            <w:top w:val="single" w:color="auto" w:sz="12" w:space="0"/>
            <w:left w:val="single" w:color="auto" w:sz="8" w:space="0"/>
            <w:bottom w:val="single" w:color="auto" w:sz="8" w:space="0"/>
            <w:right w:val="single" w:color="auto" w:sz="8" w:space="0"/>
            <w:insideH w:val="none" w:color="auto" w:sz="0" w:space="0"/>
            <w:insideV w:val="single" w:color="auto" w:sz="8" w:space="0"/>
          </w:tblBorders>
          <w:tblCellMar>
            <w:top w:w="0" w:type="dxa"/>
            <w:left w:w="28" w:type="dxa"/>
            <w:bottom w:w="0" w:type="dxa"/>
            <w:right w:w="28" w:type="dxa"/>
          </w:tblCellMar>
        </w:tblPrEx>
        <w:trPr>
          <w:trHeight w:val="397" w:hRule="atLeast"/>
          <w:jc w:val="center"/>
        </w:trPr>
        <w:tc>
          <w:tcPr>
            <w:tcW w:w="591" w:type="pct"/>
            <w:tcBorders>
              <w:top w:val="single" w:color="auto" w:sz="8" w:space="0"/>
              <w:bottom w:val="single" w:color="auto" w:sz="8" w:space="0"/>
            </w:tcBorders>
            <w:noWrap w:val="0"/>
            <w:vAlign w:val="center"/>
          </w:tcPr>
          <w:p w14:paraId="3974049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bookmarkStart w:id="1170" w:name="OLE_LINK864"/>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危险单元</w:t>
            </w:r>
            <w:bookmarkEnd w:id="1170"/>
          </w:p>
        </w:tc>
        <w:tc>
          <w:tcPr>
            <w:tcW w:w="668" w:type="pct"/>
            <w:tcBorders>
              <w:top w:val="single" w:color="auto" w:sz="8" w:space="0"/>
              <w:bottom w:val="single" w:color="auto" w:sz="8" w:space="0"/>
            </w:tcBorders>
            <w:noWrap w:val="0"/>
            <w:vAlign w:val="center"/>
          </w:tcPr>
          <w:p w14:paraId="3F4A9F5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事故类型</w:t>
            </w:r>
          </w:p>
        </w:tc>
        <w:tc>
          <w:tcPr>
            <w:tcW w:w="1386" w:type="pct"/>
            <w:tcBorders>
              <w:top w:val="single" w:color="auto" w:sz="8" w:space="0"/>
              <w:bottom w:val="single" w:color="auto" w:sz="8" w:space="0"/>
            </w:tcBorders>
            <w:noWrap w:val="0"/>
            <w:vAlign w:val="center"/>
          </w:tcPr>
          <w:p w14:paraId="5CA77F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事故原因</w:t>
            </w:r>
          </w:p>
        </w:tc>
        <w:tc>
          <w:tcPr>
            <w:tcW w:w="1426" w:type="pct"/>
            <w:tcBorders>
              <w:top w:val="single" w:color="auto" w:sz="8" w:space="0"/>
              <w:bottom w:val="single" w:color="auto" w:sz="8" w:space="0"/>
            </w:tcBorders>
            <w:noWrap w:val="0"/>
            <w:vAlign w:val="center"/>
          </w:tcPr>
          <w:p w14:paraId="200CA7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事故后果</w:t>
            </w:r>
          </w:p>
        </w:tc>
        <w:tc>
          <w:tcPr>
            <w:tcW w:w="926" w:type="pct"/>
            <w:tcBorders>
              <w:top w:val="single" w:color="auto" w:sz="8" w:space="0"/>
              <w:bottom w:val="single" w:color="auto" w:sz="8" w:space="0"/>
            </w:tcBorders>
            <w:noWrap w:val="0"/>
            <w:vAlign w:val="center"/>
          </w:tcPr>
          <w:p w14:paraId="25072AC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zh-CN"/>
                <w14:textFill>
                  <w14:solidFill>
                    <w14:schemeClr w14:val="tx1"/>
                  </w14:solidFill>
                </w14:textFill>
              </w:rPr>
              <w:t>环境影响途径</w:t>
            </w:r>
          </w:p>
        </w:tc>
      </w:tr>
      <w:tr w14:paraId="5489BFCE">
        <w:tblPrEx>
          <w:tblBorders>
            <w:top w:val="single" w:color="auto" w:sz="12" w:space="0"/>
            <w:left w:val="single" w:color="auto" w:sz="8" w:space="0"/>
            <w:bottom w:val="single" w:color="auto" w:sz="8" w:space="0"/>
            <w:right w:val="single" w:color="auto" w:sz="8" w:space="0"/>
            <w:insideH w:val="none" w:color="auto" w:sz="0" w:space="0"/>
            <w:insideV w:val="single" w:color="auto" w:sz="8" w:space="0"/>
          </w:tblBorders>
          <w:tblCellMar>
            <w:top w:w="0" w:type="dxa"/>
            <w:left w:w="28" w:type="dxa"/>
            <w:bottom w:w="0" w:type="dxa"/>
            <w:right w:w="28" w:type="dxa"/>
          </w:tblCellMar>
        </w:tblPrEx>
        <w:trPr>
          <w:trHeight w:val="899" w:hRule="atLeast"/>
          <w:jc w:val="center"/>
        </w:trPr>
        <w:tc>
          <w:tcPr>
            <w:tcW w:w="591" w:type="pct"/>
            <w:tcBorders>
              <w:top w:val="single" w:color="auto" w:sz="8" w:space="0"/>
              <w:bottom w:val="single" w:color="auto" w:sz="8" w:space="0"/>
            </w:tcBorders>
            <w:noWrap w:val="0"/>
            <w:vAlign w:val="center"/>
          </w:tcPr>
          <w:p w14:paraId="400FA0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bookmarkStart w:id="1171" w:name="OLE_LINK865"/>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储罐</w:t>
            </w:r>
            <w:bookmarkEnd w:id="1171"/>
          </w:p>
        </w:tc>
        <w:tc>
          <w:tcPr>
            <w:tcW w:w="668" w:type="pct"/>
            <w:tcBorders>
              <w:top w:val="single" w:color="auto" w:sz="8" w:space="0"/>
              <w:bottom w:val="single" w:color="auto" w:sz="8" w:space="0"/>
            </w:tcBorders>
            <w:noWrap w:val="0"/>
            <w:vAlign w:val="center"/>
          </w:tcPr>
          <w:p w14:paraId="49D472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bookmarkStart w:id="1172" w:name="OLE_LINK866"/>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火灾爆炸</w:t>
            </w:r>
            <w:bookmarkEnd w:id="1172"/>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、物理爆炸</w:t>
            </w:r>
          </w:p>
        </w:tc>
        <w:tc>
          <w:tcPr>
            <w:tcW w:w="1386" w:type="pct"/>
            <w:tcBorders>
              <w:top w:val="single" w:color="auto" w:sz="8" w:space="0"/>
              <w:bottom w:val="single" w:color="auto" w:sz="8" w:space="0"/>
            </w:tcBorders>
            <w:noWrap w:val="0"/>
            <w:vAlign w:val="center"/>
          </w:tcPr>
          <w:p w14:paraId="433BB4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操作不当或自然灾害等外力作用导致</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储罐</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破裂，导致火灾、爆炸事故</w:t>
            </w:r>
          </w:p>
        </w:tc>
        <w:tc>
          <w:tcPr>
            <w:tcW w:w="1426" w:type="pct"/>
            <w:vMerge w:val="restart"/>
            <w:tcBorders>
              <w:top w:val="single" w:color="auto" w:sz="8" w:space="0"/>
            </w:tcBorders>
            <w:noWrap w:val="0"/>
            <w:vAlign w:val="center"/>
          </w:tcPr>
          <w:p w14:paraId="51DD9C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天然气及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油品泄漏后，遇火源会发生火灾、爆炸事故，燃烧产生的次生CO引发周围人员CO中毒事件，油类物质渗流至地下水；</w:t>
            </w:r>
            <w:r>
              <w:rPr>
                <w:rFonts w:hint="eastAsia" w:cs="Times New Roman"/>
                <w:color w:val="000000" w:themeColor="text1"/>
                <w:kern w:val="0"/>
                <w:sz w:val="21"/>
                <w:szCs w:val="2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泄漏后，进入大气引发中毒事故。</w:t>
            </w:r>
          </w:p>
        </w:tc>
        <w:tc>
          <w:tcPr>
            <w:tcW w:w="926" w:type="pct"/>
            <w:vMerge w:val="restart"/>
            <w:tcBorders>
              <w:top w:val="single" w:color="auto" w:sz="8" w:space="0"/>
            </w:tcBorders>
            <w:noWrap w:val="0"/>
            <w:vAlign w:val="center"/>
          </w:tcPr>
          <w:p w14:paraId="2C4007C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大气、土壤、地下水</w:t>
            </w:r>
          </w:p>
        </w:tc>
      </w:tr>
      <w:tr w14:paraId="503B200C">
        <w:tblPrEx>
          <w:tblBorders>
            <w:top w:val="single" w:color="auto" w:sz="12" w:space="0"/>
            <w:left w:val="single" w:color="auto" w:sz="8" w:space="0"/>
            <w:bottom w:val="single" w:color="auto" w:sz="8" w:space="0"/>
            <w:right w:val="single" w:color="auto" w:sz="8" w:space="0"/>
            <w:insideH w:val="none" w:color="auto" w:sz="0" w:space="0"/>
            <w:insideV w:val="single" w:color="auto" w:sz="8" w:space="0"/>
          </w:tblBorders>
          <w:tblCellMar>
            <w:top w:w="0" w:type="dxa"/>
            <w:left w:w="28" w:type="dxa"/>
            <w:bottom w:w="0" w:type="dxa"/>
            <w:right w:w="28" w:type="dxa"/>
          </w:tblCellMar>
        </w:tblPrEx>
        <w:trPr>
          <w:trHeight w:val="397" w:hRule="atLeast"/>
          <w:jc w:val="center"/>
        </w:trPr>
        <w:tc>
          <w:tcPr>
            <w:tcW w:w="591" w:type="pct"/>
            <w:tcBorders>
              <w:top w:val="single" w:color="auto" w:sz="8" w:space="0"/>
            </w:tcBorders>
            <w:noWrap w:val="0"/>
            <w:vAlign w:val="center"/>
          </w:tcPr>
          <w:p w14:paraId="7FD0F9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工艺装置</w:t>
            </w:r>
          </w:p>
        </w:tc>
        <w:tc>
          <w:tcPr>
            <w:tcW w:w="668" w:type="pct"/>
            <w:tcBorders>
              <w:top w:val="single" w:color="auto" w:sz="8" w:space="0"/>
            </w:tcBorders>
            <w:noWrap w:val="0"/>
            <w:vAlign w:val="center"/>
          </w:tcPr>
          <w:p w14:paraId="3B502C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火灾爆炸</w:t>
            </w:r>
          </w:p>
        </w:tc>
        <w:tc>
          <w:tcPr>
            <w:tcW w:w="1386" w:type="pct"/>
            <w:tcBorders>
              <w:top w:val="single" w:color="auto" w:sz="8" w:space="0"/>
            </w:tcBorders>
            <w:noWrap w:val="0"/>
            <w:vAlign w:val="center"/>
          </w:tcPr>
          <w:p w14:paraId="4E22A79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设备穿孔、破裂，导致天然气泄漏</w:t>
            </w:r>
            <w:r>
              <w:rPr>
                <w:rFonts w:hint="eastAsia" w:cs="Times New Roman"/>
                <w:color w:val="000000" w:themeColor="text1"/>
                <w:kern w:val="0"/>
                <w:sz w:val="21"/>
                <w:szCs w:val="21"/>
                <w:highlight w:val="none"/>
                <w:lang w:eastAsia="zh-CN"/>
                <w14:textFill>
                  <w14:solidFill>
                    <w14:schemeClr w14:val="tx1"/>
                  </w14:solidFill>
                </w14:textFill>
              </w:rPr>
              <w:t>，引发的火灾、爆炸事故</w:t>
            </w:r>
          </w:p>
        </w:tc>
        <w:tc>
          <w:tcPr>
            <w:tcW w:w="1426" w:type="pct"/>
            <w:vMerge w:val="continue"/>
            <w:noWrap w:val="0"/>
            <w:vAlign w:val="center"/>
          </w:tcPr>
          <w:p w14:paraId="1C5D6B7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p>
        </w:tc>
        <w:tc>
          <w:tcPr>
            <w:tcW w:w="926" w:type="pct"/>
            <w:vMerge w:val="continue"/>
            <w:noWrap w:val="0"/>
            <w:vAlign w:val="center"/>
          </w:tcPr>
          <w:p w14:paraId="6B4BD79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bl>
    <w:p w14:paraId="5140CC7E">
      <w:pPr>
        <w:pStyle w:val="5"/>
        <w:pageBreakBefore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5.8.3.2危险物质向环境转移的途径识别</w:t>
      </w:r>
    </w:p>
    <w:p w14:paraId="0B83D69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本工程可能发生的环境风险主要包括井喷、井漏、</w:t>
      </w:r>
      <w:r>
        <w:rPr>
          <w:rFonts w:hint="eastAsia"/>
          <w:color w:val="000000" w:themeColor="text1"/>
          <w:highlight w:val="none"/>
          <w14:textFill>
            <w14:solidFill>
              <w14:schemeClr w14:val="tx1"/>
            </w14:solidFill>
          </w14:textFill>
        </w:rPr>
        <w:t>储罐发生</w:t>
      </w:r>
      <w:r>
        <w:rPr>
          <w:rFonts w:hint="eastAsia"/>
          <w:color w:val="000000" w:themeColor="text1"/>
          <w:highlight w:val="none"/>
          <w:lang w:eastAsia="zh-CN"/>
          <w14:textFill>
            <w14:solidFill>
              <w14:schemeClr w14:val="tx1"/>
            </w14:solidFill>
          </w14:textFill>
        </w:rPr>
        <w:t>泄漏</w:t>
      </w:r>
      <w:r>
        <w:rPr>
          <w:color w:val="000000" w:themeColor="text1"/>
          <w:highlight w:val="none"/>
          <w14:textFill>
            <w14:solidFill>
              <w14:schemeClr w14:val="tx1"/>
            </w14:solidFill>
          </w14:textFill>
        </w:rPr>
        <w:t>以及油气</w:t>
      </w:r>
      <w:r>
        <w:rPr>
          <w:rFonts w:hint="eastAsia"/>
          <w:color w:val="000000" w:themeColor="text1"/>
          <w:highlight w:val="none"/>
          <w:lang w:eastAsia="zh-CN"/>
          <w14:textFill>
            <w14:solidFill>
              <w14:schemeClr w14:val="tx1"/>
            </w14:solidFill>
          </w14:textFill>
        </w:rPr>
        <w:t>泄漏</w:t>
      </w:r>
      <w:r>
        <w:rPr>
          <w:color w:val="000000" w:themeColor="text1"/>
          <w:highlight w:val="none"/>
          <w14:textFill>
            <w14:solidFill>
              <w14:schemeClr w14:val="tx1"/>
            </w14:solidFill>
          </w14:textFill>
        </w:rPr>
        <w:t>后遇明火引发的火灾、爆炸</w:t>
      </w:r>
      <w:r>
        <w:rPr>
          <w:rFonts w:hint="eastAsia"/>
          <w:color w:val="000000" w:themeColor="text1"/>
          <w:highlight w:val="none"/>
          <w14:textFill>
            <w14:solidFill>
              <w14:schemeClr w14:val="tx1"/>
            </w14:solidFill>
          </w14:textFill>
        </w:rPr>
        <w:t>次生污染物</w:t>
      </w:r>
      <w:r>
        <w:rPr>
          <w:color w:val="000000" w:themeColor="text1"/>
          <w:highlight w:val="none"/>
          <w14:textFill>
            <w14:solidFill>
              <w14:schemeClr w14:val="tx1"/>
            </w14:solidFill>
          </w14:textFill>
        </w:rPr>
        <w:t>等</w:t>
      </w:r>
      <w:r>
        <w:rPr>
          <w:rFonts w:hint="eastAsia"/>
          <w:color w:val="000000" w:themeColor="text1"/>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井喷、井场工艺装置区、井场储罐区</w:t>
      </w:r>
      <w:r>
        <w:rPr>
          <w:rFonts w:hint="eastAsia"/>
          <w:color w:val="000000" w:themeColor="text1"/>
          <w:highlight w:val="none"/>
          <w14:textFill>
            <w14:solidFill>
              <w14:schemeClr w14:val="tx1"/>
            </w14:solidFill>
          </w14:textFill>
        </w:rPr>
        <w:t>发生</w:t>
      </w:r>
      <w:r>
        <w:rPr>
          <w:rFonts w:hint="eastAsia"/>
          <w:color w:val="000000" w:themeColor="text1"/>
          <w:szCs w:val="20"/>
          <w:highlight w:val="none"/>
          <w14:textFill>
            <w14:solidFill>
              <w14:schemeClr w14:val="tx1"/>
            </w14:solidFill>
          </w14:textFill>
        </w:rPr>
        <w:t>泄漏会对大气、土壤、地下水产生的直接影响以及遇明火后发生火灾、爆炸等引发的伴生/次生污染物排放。</w:t>
      </w:r>
      <w:r>
        <w:rPr>
          <w:rFonts w:hint="eastAsia"/>
          <w:color w:val="000000" w:themeColor="text1"/>
          <w:highlight w:val="none"/>
          <w14:textFill>
            <w14:solidFill>
              <w14:schemeClr w14:val="tx1"/>
            </w14:solidFill>
          </w14:textFill>
        </w:rPr>
        <w:t>井漏会对地下水造成影响。</w:t>
      </w:r>
      <w:r>
        <w:rPr>
          <w:color w:val="000000" w:themeColor="text1"/>
          <w:highlight w:val="none"/>
          <w14:textFill>
            <w14:solidFill>
              <w14:schemeClr w14:val="tx1"/>
            </w14:solidFill>
          </w14:textFill>
        </w:rPr>
        <w:t>具体危害和环境影响可见表</w:t>
      </w:r>
      <w:bookmarkStart w:id="1173" w:name="OLE_LINK868"/>
      <w:r>
        <w:rPr>
          <w:rFonts w:hint="default" w:ascii="Times New Roman" w:hAnsi="Times New Roman" w:eastAsia="宋体" w:cs="Times New Roman"/>
          <w:color w:val="000000" w:themeColor="text1"/>
          <w:highlight w:val="none"/>
          <w:lang w:eastAsia="zh-CN"/>
          <w14:textFill>
            <w14:solidFill>
              <w14:schemeClr w14:val="tx1"/>
            </w14:solidFill>
          </w14:textFill>
        </w:rPr>
        <w:t>5.8-</w:t>
      </w:r>
      <w:bookmarkEnd w:id="1173"/>
      <w:r>
        <w:rPr>
          <w:rFonts w:hint="eastAsia" w:cs="Times New Roman"/>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36D29691">
      <w:pPr>
        <w:ind w:firstLine="422" w:firstLineChars="20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表</w:t>
      </w:r>
      <w:bookmarkStart w:id="1174" w:name="OLE_LINK899"/>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5.8-</w:t>
      </w:r>
      <w:bookmarkEnd w:id="1174"/>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9   </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危险物质向环境转移的途径识别</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708"/>
        <w:gridCol w:w="1357"/>
        <w:gridCol w:w="1110"/>
        <w:gridCol w:w="3466"/>
        <w:gridCol w:w="1072"/>
      </w:tblGrid>
      <w:tr w14:paraId="507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14:paraId="0EA35D74">
            <w:pPr>
              <w:pStyle w:val="47"/>
              <w:widowControl w:val="0"/>
              <w:rPr>
                <w:color w:val="000000" w:themeColor="text1"/>
                <w:sz w:val="21"/>
                <w:szCs w:val="21"/>
                <w:highlight w:val="none"/>
                <w14:textFill>
                  <w14:solidFill>
                    <w14:schemeClr w14:val="tx1"/>
                  </w14:solidFill>
                </w14:textFill>
              </w:rPr>
            </w:pPr>
            <w:bookmarkStart w:id="1175" w:name="OLE_LINK890"/>
            <w:r>
              <w:rPr>
                <w:rFonts w:hint="eastAsia"/>
                <w:b/>
                <w:bCs/>
                <w:color w:val="000000" w:themeColor="text1"/>
                <w:sz w:val="21"/>
                <w:szCs w:val="21"/>
                <w:highlight w:val="none"/>
                <w14:textFill>
                  <w14:solidFill>
                    <w14:schemeClr w14:val="tx1"/>
                  </w14:solidFill>
                </w14:textFill>
              </w:rPr>
              <w:t>风险单元</w:t>
            </w:r>
          </w:p>
        </w:tc>
        <w:tc>
          <w:tcPr>
            <w:tcW w:w="415" w:type="pct"/>
            <w:vAlign w:val="center"/>
          </w:tcPr>
          <w:p w14:paraId="68C2EF2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事故类型</w:t>
            </w:r>
          </w:p>
        </w:tc>
        <w:tc>
          <w:tcPr>
            <w:tcW w:w="796" w:type="pct"/>
            <w:vAlign w:val="center"/>
          </w:tcPr>
          <w:p w14:paraId="28941C6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来源</w:t>
            </w:r>
          </w:p>
        </w:tc>
        <w:tc>
          <w:tcPr>
            <w:tcW w:w="651" w:type="pct"/>
            <w:vAlign w:val="center"/>
          </w:tcPr>
          <w:p w14:paraId="4EBBBF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危险物质</w:t>
            </w:r>
          </w:p>
        </w:tc>
        <w:tc>
          <w:tcPr>
            <w:tcW w:w="2033" w:type="pct"/>
            <w:vAlign w:val="center"/>
          </w:tcPr>
          <w:p w14:paraId="587D053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影响环境的途径</w:t>
            </w:r>
          </w:p>
        </w:tc>
        <w:tc>
          <w:tcPr>
            <w:tcW w:w="628" w:type="pct"/>
            <w:vAlign w:val="center"/>
          </w:tcPr>
          <w:p w14:paraId="74A840E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影响环境的途径</w:t>
            </w:r>
          </w:p>
        </w:tc>
      </w:tr>
      <w:tr w14:paraId="1E20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475" w:type="pct"/>
            <w:vMerge w:val="restart"/>
            <w:vAlign w:val="center"/>
          </w:tcPr>
          <w:p w14:paraId="041D10BF">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井场</w:t>
            </w:r>
          </w:p>
        </w:tc>
        <w:tc>
          <w:tcPr>
            <w:tcW w:w="415" w:type="pct"/>
            <w:vAlign w:val="center"/>
          </w:tcPr>
          <w:p w14:paraId="2FF4BCB1">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井喷</w:t>
            </w:r>
          </w:p>
        </w:tc>
        <w:tc>
          <w:tcPr>
            <w:tcW w:w="796" w:type="pct"/>
            <w:vAlign w:val="center"/>
          </w:tcPr>
          <w:p w14:paraId="71C0D7BD">
            <w:pPr>
              <w:pStyle w:val="47"/>
              <w:widowControl w:val="0"/>
              <w:rPr>
                <w:color w:val="000000" w:themeColor="text1"/>
                <w:sz w:val="21"/>
                <w:szCs w:val="21"/>
                <w:highlight w:val="none"/>
                <w14:textFill>
                  <w14:solidFill>
                    <w14:schemeClr w14:val="tx1"/>
                  </w14:solidFill>
                </w14:textFill>
              </w:rPr>
            </w:pPr>
            <w:bookmarkStart w:id="1176" w:name="OLE_LINK870"/>
            <w:r>
              <w:rPr>
                <w:rFonts w:hint="eastAsia"/>
                <w:color w:val="000000" w:themeColor="text1"/>
                <w:sz w:val="21"/>
                <w:szCs w:val="21"/>
                <w:highlight w:val="none"/>
                <w14:textFill>
                  <w14:solidFill>
                    <w14:schemeClr w14:val="tx1"/>
                  </w14:solidFill>
                </w14:textFill>
              </w:rPr>
              <w:t>采气</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采油</w:t>
            </w:r>
            <w:r>
              <w:rPr>
                <w:rFonts w:hint="eastAsia"/>
                <w:color w:val="000000" w:themeColor="text1"/>
                <w:sz w:val="21"/>
                <w:szCs w:val="21"/>
                <w:highlight w:val="none"/>
                <w14:textFill>
                  <w14:solidFill>
                    <w14:schemeClr w14:val="tx1"/>
                  </w14:solidFill>
                </w14:textFill>
              </w:rPr>
              <w:t>过程</w:t>
            </w:r>
            <w:bookmarkEnd w:id="1176"/>
          </w:p>
        </w:tc>
        <w:tc>
          <w:tcPr>
            <w:tcW w:w="651" w:type="pct"/>
            <w:vAlign w:val="center"/>
          </w:tcPr>
          <w:p w14:paraId="6E964732">
            <w:pPr>
              <w:pStyle w:val="47"/>
              <w:widowControl w:val="0"/>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天然气</w:t>
            </w:r>
            <w:r>
              <w:rPr>
                <w:rFonts w:hint="eastAsia"/>
                <w:color w:val="000000" w:themeColor="text1"/>
                <w:sz w:val="21"/>
                <w:szCs w:val="21"/>
                <w:highlight w:val="none"/>
                <w:lang w:eastAsia="zh-CN"/>
                <w14:textFill>
                  <w14:solidFill>
                    <w14:schemeClr w14:val="tx1"/>
                  </w14:solidFill>
                </w14:textFill>
              </w:rPr>
              <w:t>、</w:t>
            </w:r>
            <w:bookmarkStart w:id="1177" w:name="OLE_LINK871"/>
            <w:r>
              <w:rPr>
                <w:rFonts w:hint="eastAsia"/>
                <w:color w:val="000000" w:themeColor="text1"/>
                <w:sz w:val="21"/>
                <w:szCs w:val="21"/>
                <w:highlight w:val="none"/>
                <w:lang w:val="en-US" w:eastAsia="zh-CN"/>
                <w14:textFill>
                  <w14:solidFill>
                    <w14:schemeClr w14:val="tx1"/>
                  </w14:solidFill>
                </w14:textFill>
              </w:rPr>
              <w:t>凝析油</w:t>
            </w:r>
            <w:bookmarkEnd w:id="1177"/>
          </w:p>
        </w:tc>
        <w:tc>
          <w:tcPr>
            <w:tcW w:w="2033" w:type="pct"/>
            <w:vAlign w:val="center"/>
          </w:tcPr>
          <w:p w14:paraId="7EA87244">
            <w:pPr>
              <w:pStyle w:val="47"/>
              <w:widowControl w:val="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井喷时，油气泄漏后直接进入大气环境或挥发进入大气环境，遇明火易引发爆炸；</w:t>
            </w:r>
          </w:p>
          <w:p w14:paraId="6CC526F9">
            <w:pPr>
              <w:pStyle w:val="47"/>
              <w:widowControl w:val="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rFonts w:hint="eastAsia"/>
                <w:color w:val="000000" w:themeColor="text1"/>
                <w:sz w:val="21"/>
                <w:szCs w:val="21"/>
                <w:highlight w:val="none"/>
                <w:lang w:val="en-US" w:eastAsia="zh-CN"/>
                <w14:textFill>
                  <w14:solidFill>
                    <w14:schemeClr w14:val="tx1"/>
                  </w14:solidFill>
                </w14:textFill>
              </w:rPr>
              <w:t>凝析油</w:t>
            </w:r>
            <w:r>
              <w:rPr>
                <w:color w:val="000000" w:themeColor="text1"/>
                <w:sz w:val="21"/>
                <w:szCs w:val="21"/>
                <w:highlight w:val="none"/>
                <w14:textFill>
                  <w14:solidFill>
                    <w14:schemeClr w14:val="tx1"/>
                  </w14:solidFill>
                </w14:textFill>
              </w:rPr>
              <w:t xml:space="preserve">泄漏进入地表，阻塞土壤孔隙，使土壤板结，降低通透性，不利于植物生长，还有可能污染地下水； </w:t>
            </w:r>
          </w:p>
          <w:p w14:paraId="2FB98CCF">
            <w:pPr>
              <w:pStyle w:val="47"/>
              <w:widowControl w:val="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油气中的天然气扩散至环境空气中，可能引发天然气中毒事件。</w:t>
            </w:r>
          </w:p>
        </w:tc>
        <w:tc>
          <w:tcPr>
            <w:tcW w:w="628" w:type="pct"/>
            <w:vAlign w:val="center"/>
          </w:tcPr>
          <w:p w14:paraId="4BB7EB67">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大气、土壤、地下水</w:t>
            </w:r>
          </w:p>
        </w:tc>
      </w:tr>
      <w:tr w14:paraId="2672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continue"/>
            <w:vAlign w:val="center"/>
          </w:tcPr>
          <w:p w14:paraId="61FADA79">
            <w:pPr>
              <w:pStyle w:val="47"/>
              <w:widowControl w:val="0"/>
              <w:rPr>
                <w:color w:val="000000" w:themeColor="text1"/>
                <w:sz w:val="21"/>
                <w:szCs w:val="21"/>
                <w:highlight w:val="none"/>
                <w14:textFill>
                  <w14:solidFill>
                    <w14:schemeClr w14:val="tx1"/>
                  </w14:solidFill>
                </w14:textFill>
              </w:rPr>
            </w:pPr>
          </w:p>
        </w:tc>
        <w:tc>
          <w:tcPr>
            <w:tcW w:w="415" w:type="pct"/>
            <w:vAlign w:val="center"/>
          </w:tcPr>
          <w:p w14:paraId="3E4A02F6">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井漏</w:t>
            </w:r>
          </w:p>
        </w:tc>
        <w:tc>
          <w:tcPr>
            <w:tcW w:w="796" w:type="pct"/>
            <w:vAlign w:val="center"/>
          </w:tcPr>
          <w:p w14:paraId="76F37F66">
            <w:pPr>
              <w:pStyle w:val="47"/>
              <w:widowControl w:val="0"/>
              <w:rPr>
                <w:color w:val="000000" w:themeColor="text1"/>
                <w:sz w:val="21"/>
                <w:szCs w:val="21"/>
                <w:highlight w:val="none"/>
                <w14:textFill>
                  <w14:solidFill>
                    <w14:schemeClr w14:val="tx1"/>
                  </w14:solidFill>
                </w14:textFill>
              </w:rPr>
            </w:pPr>
            <w:bookmarkStart w:id="1178" w:name="OLE_LINK874"/>
            <w:r>
              <w:rPr>
                <w:rFonts w:hint="eastAsia"/>
                <w:color w:val="000000" w:themeColor="text1"/>
                <w:sz w:val="21"/>
                <w:szCs w:val="21"/>
                <w:highlight w:val="none"/>
                <w14:textFill>
                  <w14:solidFill>
                    <w14:schemeClr w14:val="tx1"/>
                  </w14:solidFill>
                </w14:textFill>
              </w:rPr>
              <w:t>采气</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采油</w:t>
            </w:r>
            <w:r>
              <w:rPr>
                <w:rFonts w:hint="eastAsia"/>
                <w:color w:val="000000" w:themeColor="text1"/>
                <w:sz w:val="21"/>
                <w:szCs w:val="21"/>
                <w:highlight w:val="none"/>
                <w14:textFill>
                  <w14:solidFill>
                    <w14:schemeClr w14:val="tx1"/>
                  </w14:solidFill>
                </w14:textFill>
              </w:rPr>
              <w:t>过程</w:t>
            </w:r>
            <w:bookmarkEnd w:id="1178"/>
          </w:p>
        </w:tc>
        <w:tc>
          <w:tcPr>
            <w:tcW w:w="651" w:type="pct"/>
            <w:vAlign w:val="center"/>
          </w:tcPr>
          <w:p w14:paraId="5A77C7EF">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采出液</w:t>
            </w:r>
          </w:p>
        </w:tc>
        <w:tc>
          <w:tcPr>
            <w:tcW w:w="2033" w:type="pct"/>
            <w:vAlign w:val="center"/>
          </w:tcPr>
          <w:p w14:paraId="22568B56">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固井套管下入深度不够或固井质量不好。引起油气上窜造成地下水水质污染</w:t>
            </w:r>
            <w:r>
              <w:rPr>
                <w:rFonts w:hint="eastAsia"/>
                <w:color w:val="000000" w:themeColor="text1"/>
                <w:sz w:val="21"/>
                <w:szCs w:val="21"/>
                <w:highlight w:val="none"/>
                <w:lang w:eastAsia="zh-CN"/>
                <w14:textFill>
                  <w14:solidFill>
                    <w14:schemeClr w14:val="tx1"/>
                  </w14:solidFill>
                </w14:textFill>
              </w:rPr>
              <w:t>。</w:t>
            </w:r>
          </w:p>
        </w:tc>
        <w:tc>
          <w:tcPr>
            <w:tcW w:w="628" w:type="pct"/>
            <w:vAlign w:val="center"/>
          </w:tcPr>
          <w:p w14:paraId="0995AD19">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tc>
      </w:tr>
      <w:tr w14:paraId="11B6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5" w:type="pct"/>
            <w:vMerge w:val="continue"/>
            <w:vAlign w:val="center"/>
          </w:tcPr>
          <w:p w14:paraId="16A6A2A0">
            <w:pPr>
              <w:pStyle w:val="47"/>
              <w:widowControl w:val="0"/>
              <w:rPr>
                <w:color w:val="000000" w:themeColor="text1"/>
                <w:sz w:val="21"/>
                <w:szCs w:val="21"/>
                <w:highlight w:val="none"/>
                <w14:textFill>
                  <w14:solidFill>
                    <w14:schemeClr w14:val="tx1"/>
                  </w14:solidFill>
                </w14:textFill>
              </w:rPr>
            </w:pPr>
          </w:p>
        </w:tc>
        <w:tc>
          <w:tcPr>
            <w:tcW w:w="415" w:type="pct"/>
            <w:vMerge w:val="restart"/>
            <w:vAlign w:val="center"/>
          </w:tcPr>
          <w:p w14:paraId="7C5C7655">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泄漏</w:t>
            </w:r>
          </w:p>
        </w:tc>
        <w:tc>
          <w:tcPr>
            <w:tcW w:w="796" w:type="pct"/>
            <w:vMerge w:val="restart"/>
            <w:vAlign w:val="center"/>
          </w:tcPr>
          <w:p w14:paraId="55084370">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井场设备区、</w:t>
            </w:r>
            <w:r>
              <w:rPr>
                <w:rFonts w:hint="eastAsia"/>
                <w:color w:val="000000" w:themeColor="text1"/>
                <w:sz w:val="21"/>
                <w:szCs w:val="21"/>
                <w:highlight w:val="none"/>
                <w14:textFill>
                  <w14:solidFill>
                    <w14:schemeClr w14:val="tx1"/>
                  </w14:solidFill>
                </w14:textFill>
              </w:rPr>
              <w:t>储罐区</w:t>
            </w:r>
          </w:p>
        </w:tc>
        <w:tc>
          <w:tcPr>
            <w:tcW w:w="651" w:type="pct"/>
            <w:vAlign w:val="center"/>
          </w:tcPr>
          <w:p w14:paraId="1A58A43D">
            <w:pPr>
              <w:pStyle w:val="47"/>
              <w:widowControl w:val="0"/>
              <w:rPr>
                <w:color w:val="000000" w:themeColor="text1"/>
                <w:sz w:val="21"/>
                <w:szCs w:val="21"/>
                <w:highlight w:val="none"/>
                <w14:textFill>
                  <w14:solidFill>
                    <w14:schemeClr w14:val="tx1"/>
                  </w14:solidFill>
                </w14:textFill>
              </w:rPr>
            </w:pPr>
            <w:bookmarkStart w:id="1179" w:name="OLE_LINK873"/>
            <w:r>
              <w:rPr>
                <w:rFonts w:hint="eastAsia"/>
                <w:color w:val="000000" w:themeColor="text1"/>
                <w:sz w:val="21"/>
                <w:szCs w:val="21"/>
                <w:highlight w:val="none"/>
                <w:lang w:val="en-US" w:eastAsia="zh-CN"/>
                <w14:textFill>
                  <w14:solidFill>
                    <w14:schemeClr w14:val="tx1"/>
                  </w14:solidFill>
                </w14:textFill>
              </w:rPr>
              <w:t>凝析油</w:t>
            </w:r>
            <w:bookmarkEnd w:id="1179"/>
          </w:p>
        </w:tc>
        <w:tc>
          <w:tcPr>
            <w:tcW w:w="2033" w:type="pct"/>
            <w:vAlign w:val="center"/>
          </w:tcPr>
          <w:p w14:paraId="18FEC50D">
            <w:pPr>
              <w:pStyle w:val="47"/>
              <w:widowControl w:val="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①罐体破损后，</w:t>
            </w:r>
            <w:r>
              <w:rPr>
                <w:color w:val="000000" w:themeColor="text1"/>
                <w:sz w:val="21"/>
                <w:szCs w:val="21"/>
                <w:highlight w:val="none"/>
                <w14:textFill>
                  <w14:solidFill>
                    <w14:schemeClr w14:val="tx1"/>
                  </w14:solidFill>
                </w14:textFill>
              </w:rPr>
              <w:t>油气泄漏后直接进入大气环境或挥发进入大气环境，遇明火易引发爆炸；</w:t>
            </w:r>
          </w:p>
          <w:p w14:paraId="43944995">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rFonts w:hint="eastAsia"/>
                <w:color w:val="000000" w:themeColor="text1"/>
                <w:sz w:val="21"/>
                <w:szCs w:val="21"/>
                <w:highlight w:val="none"/>
                <w:lang w:val="en-US" w:eastAsia="zh-CN"/>
                <w14:textFill>
                  <w14:solidFill>
                    <w14:schemeClr w14:val="tx1"/>
                  </w14:solidFill>
                </w14:textFill>
              </w:rPr>
              <w:t>凝析油</w:t>
            </w:r>
            <w:r>
              <w:rPr>
                <w:color w:val="000000" w:themeColor="text1"/>
                <w:sz w:val="21"/>
                <w:szCs w:val="21"/>
                <w:highlight w:val="none"/>
                <w14:textFill>
                  <w14:solidFill>
                    <w14:schemeClr w14:val="tx1"/>
                  </w14:solidFill>
                </w14:textFill>
              </w:rPr>
              <w:t>泄漏进入地表，阻塞土壤孔隙，使土壤板结，降低通透性，不利于植物生长，还有可能污染地下水</w:t>
            </w:r>
            <w:r>
              <w:rPr>
                <w:rFonts w:hint="eastAsia"/>
                <w:color w:val="000000" w:themeColor="text1"/>
                <w:sz w:val="21"/>
                <w:szCs w:val="21"/>
                <w:highlight w:val="none"/>
                <w:lang w:eastAsia="zh-CN"/>
                <w14:textFill>
                  <w14:solidFill>
                    <w14:schemeClr w14:val="tx1"/>
                  </w14:solidFill>
                </w14:textFill>
              </w:rPr>
              <w:t>。</w:t>
            </w:r>
          </w:p>
        </w:tc>
        <w:tc>
          <w:tcPr>
            <w:tcW w:w="628" w:type="pct"/>
            <w:vAlign w:val="center"/>
          </w:tcPr>
          <w:p w14:paraId="643AF576">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大气、土壤、地下水</w:t>
            </w:r>
          </w:p>
        </w:tc>
      </w:tr>
      <w:tr w14:paraId="6870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75" w:type="pct"/>
            <w:vMerge w:val="continue"/>
            <w:vAlign w:val="center"/>
          </w:tcPr>
          <w:p w14:paraId="7C873C3D">
            <w:pPr>
              <w:pStyle w:val="47"/>
              <w:widowControl w:val="0"/>
              <w:rPr>
                <w:color w:val="000000" w:themeColor="text1"/>
                <w:sz w:val="21"/>
                <w:szCs w:val="21"/>
                <w:highlight w:val="none"/>
                <w14:textFill>
                  <w14:solidFill>
                    <w14:schemeClr w14:val="tx1"/>
                  </w14:solidFill>
                </w14:textFill>
              </w:rPr>
            </w:pPr>
          </w:p>
        </w:tc>
        <w:tc>
          <w:tcPr>
            <w:tcW w:w="415" w:type="pct"/>
            <w:vMerge w:val="continue"/>
            <w:vAlign w:val="center"/>
          </w:tcPr>
          <w:p w14:paraId="151CA044">
            <w:pPr>
              <w:pStyle w:val="47"/>
              <w:widowControl w:val="0"/>
              <w:rPr>
                <w:color w:val="000000" w:themeColor="text1"/>
                <w:sz w:val="21"/>
                <w:szCs w:val="21"/>
                <w:highlight w:val="none"/>
                <w14:textFill>
                  <w14:solidFill>
                    <w14:schemeClr w14:val="tx1"/>
                  </w14:solidFill>
                </w14:textFill>
              </w:rPr>
            </w:pPr>
          </w:p>
        </w:tc>
        <w:tc>
          <w:tcPr>
            <w:tcW w:w="796" w:type="pct"/>
            <w:vMerge w:val="continue"/>
            <w:vAlign w:val="center"/>
          </w:tcPr>
          <w:p w14:paraId="059CA3A5">
            <w:pPr>
              <w:pStyle w:val="47"/>
              <w:widowControl w:val="0"/>
              <w:rPr>
                <w:rFonts w:hint="eastAsia" w:eastAsia="宋体"/>
                <w:color w:val="000000" w:themeColor="text1"/>
                <w:sz w:val="21"/>
                <w:szCs w:val="21"/>
                <w:highlight w:val="none"/>
                <w:lang w:eastAsia="zh-CN"/>
                <w14:textFill>
                  <w14:solidFill>
                    <w14:schemeClr w14:val="tx1"/>
                  </w14:solidFill>
                </w14:textFill>
              </w:rPr>
            </w:pPr>
          </w:p>
        </w:tc>
        <w:tc>
          <w:tcPr>
            <w:tcW w:w="651" w:type="pct"/>
            <w:vAlign w:val="center"/>
          </w:tcPr>
          <w:p w14:paraId="360580BC">
            <w:pPr>
              <w:pStyle w:val="47"/>
              <w:widowControl w:val="0"/>
              <w:rPr>
                <w:color w:val="000000" w:themeColor="text1"/>
                <w:sz w:val="21"/>
                <w:szCs w:val="21"/>
                <w:highlight w:val="none"/>
                <w14:textFill>
                  <w14:solidFill>
                    <w14:schemeClr w14:val="tx1"/>
                  </w14:solidFill>
                </w14:textFill>
              </w:rPr>
            </w:pPr>
            <w:bookmarkStart w:id="1180" w:name="OLE_LINK875"/>
            <w:r>
              <w:rPr>
                <w:rFonts w:hint="eastAsia"/>
                <w:color w:val="000000" w:themeColor="text1"/>
                <w:sz w:val="21"/>
                <w:szCs w:val="21"/>
                <w:highlight w:val="none"/>
                <w14:textFill>
                  <w14:solidFill>
                    <w14:schemeClr w14:val="tx1"/>
                  </w14:solidFill>
                </w14:textFill>
              </w:rPr>
              <w:t>天然气</w:t>
            </w:r>
            <w:bookmarkEnd w:id="1180"/>
          </w:p>
        </w:tc>
        <w:tc>
          <w:tcPr>
            <w:tcW w:w="2033" w:type="pct"/>
            <w:vAlign w:val="center"/>
          </w:tcPr>
          <w:p w14:paraId="1E15E239">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天然气扩散至环境空气中，可能引发天然气中毒事件。</w:t>
            </w:r>
          </w:p>
        </w:tc>
        <w:tc>
          <w:tcPr>
            <w:tcW w:w="628" w:type="pct"/>
            <w:vAlign w:val="center"/>
          </w:tcPr>
          <w:p w14:paraId="398F0D23">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w:t>
            </w:r>
          </w:p>
        </w:tc>
      </w:tr>
      <w:tr w14:paraId="2996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continue"/>
            <w:vAlign w:val="center"/>
          </w:tcPr>
          <w:p w14:paraId="58F47597">
            <w:pPr>
              <w:pStyle w:val="47"/>
              <w:widowControl w:val="0"/>
              <w:rPr>
                <w:color w:val="000000" w:themeColor="text1"/>
                <w:sz w:val="21"/>
                <w:szCs w:val="21"/>
                <w:highlight w:val="none"/>
                <w14:textFill>
                  <w14:solidFill>
                    <w14:schemeClr w14:val="tx1"/>
                  </w14:solidFill>
                </w14:textFill>
              </w:rPr>
            </w:pPr>
          </w:p>
        </w:tc>
        <w:tc>
          <w:tcPr>
            <w:tcW w:w="415" w:type="pct"/>
            <w:vAlign w:val="center"/>
          </w:tcPr>
          <w:p w14:paraId="16501A8F">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火灾爆炸</w:t>
            </w:r>
          </w:p>
        </w:tc>
        <w:tc>
          <w:tcPr>
            <w:tcW w:w="796" w:type="pct"/>
            <w:vAlign w:val="center"/>
          </w:tcPr>
          <w:p w14:paraId="09DA2620">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采气</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采油</w:t>
            </w:r>
            <w:r>
              <w:rPr>
                <w:rFonts w:hint="eastAsia"/>
                <w:color w:val="000000" w:themeColor="text1"/>
                <w:sz w:val="21"/>
                <w:szCs w:val="21"/>
                <w:highlight w:val="none"/>
                <w14:textFill>
                  <w14:solidFill>
                    <w14:schemeClr w14:val="tx1"/>
                  </w14:solidFill>
                </w14:textFill>
              </w:rPr>
              <w:t>过程</w:t>
            </w:r>
          </w:p>
        </w:tc>
        <w:tc>
          <w:tcPr>
            <w:tcW w:w="651" w:type="pct"/>
            <w:vAlign w:val="center"/>
          </w:tcPr>
          <w:p w14:paraId="1F763834">
            <w:pPr>
              <w:pStyle w:val="47"/>
              <w:widowControl w:val="0"/>
              <w:rPr>
                <w:color w:val="000000" w:themeColor="text1"/>
                <w:sz w:val="21"/>
                <w:szCs w:val="21"/>
                <w:highlight w:val="none"/>
                <w14:textFill>
                  <w14:solidFill>
                    <w14:schemeClr w14:val="tx1"/>
                  </w14:solidFill>
                </w14:textFill>
              </w:rPr>
            </w:pPr>
            <w:bookmarkStart w:id="1181" w:name="OLE_LINK878"/>
            <w:r>
              <w:rPr>
                <w:rFonts w:hint="eastAsia"/>
                <w:color w:val="000000" w:themeColor="text1"/>
                <w:sz w:val="21"/>
                <w:szCs w:val="21"/>
                <w:highlight w:val="none"/>
                <w14:textFill>
                  <w14:solidFill>
                    <w14:schemeClr w14:val="tx1"/>
                  </w14:solidFill>
                </w14:textFill>
              </w:rPr>
              <w:t>伴生</w:t>
            </w:r>
            <w:r>
              <w:rPr>
                <w:color w:val="000000" w:themeColor="text1"/>
                <w:sz w:val="21"/>
                <w:szCs w:val="21"/>
                <w:highlight w:val="none"/>
                <w14:textFill>
                  <w14:solidFill>
                    <w14:schemeClr w14:val="tx1"/>
                  </w14:solidFill>
                </w14:textFill>
              </w:rPr>
              <w:t>及次生污染物</w:t>
            </w:r>
            <w:bookmarkEnd w:id="1181"/>
          </w:p>
        </w:tc>
        <w:tc>
          <w:tcPr>
            <w:tcW w:w="2033" w:type="pct"/>
            <w:vAlign w:val="center"/>
          </w:tcPr>
          <w:p w14:paraId="45B569A8">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油气</w:t>
            </w:r>
            <w:r>
              <w:rPr>
                <w:rFonts w:hint="eastAsia"/>
                <w:color w:val="000000" w:themeColor="text1"/>
                <w:sz w:val="21"/>
                <w:szCs w:val="21"/>
                <w:highlight w:val="none"/>
                <w:lang w:eastAsia="zh-CN"/>
                <w14:textFill>
                  <w14:solidFill>
                    <w14:schemeClr w14:val="tx1"/>
                  </w14:solidFill>
                </w14:textFill>
              </w:rPr>
              <w:t>泄漏</w:t>
            </w:r>
            <w:r>
              <w:rPr>
                <w:color w:val="000000" w:themeColor="text1"/>
                <w:sz w:val="21"/>
                <w:szCs w:val="21"/>
                <w:highlight w:val="none"/>
                <w14:textFill>
                  <w14:solidFill>
                    <w14:schemeClr w14:val="tx1"/>
                  </w14:solidFill>
                </w14:textFill>
              </w:rPr>
              <w:t>遇明火发生火灾或爆炸，污染大气，同时破坏周围地表植被</w:t>
            </w:r>
            <w:r>
              <w:rPr>
                <w:rFonts w:hint="eastAsia"/>
                <w:color w:val="000000" w:themeColor="text1"/>
                <w:sz w:val="21"/>
                <w:szCs w:val="21"/>
                <w:highlight w:val="none"/>
                <w:lang w:eastAsia="zh-CN"/>
                <w14:textFill>
                  <w14:solidFill>
                    <w14:schemeClr w14:val="tx1"/>
                  </w14:solidFill>
                </w14:textFill>
              </w:rPr>
              <w:t>。</w:t>
            </w:r>
          </w:p>
        </w:tc>
        <w:tc>
          <w:tcPr>
            <w:tcW w:w="628" w:type="pct"/>
            <w:vAlign w:val="center"/>
          </w:tcPr>
          <w:p w14:paraId="2F0A23F4">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r w14:paraId="7E75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continue"/>
            <w:vAlign w:val="center"/>
          </w:tcPr>
          <w:p w14:paraId="43E2F927">
            <w:pPr>
              <w:pStyle w:val="47"/>
              <w:widowControl w:val="0"/>
              <w:rPr>
                <w:color w:val="000000" w:themeColor="text1"/>
                <w:sz w:val="21"/>
                <w:szCs w:val="21"/>
                <w:highlight w:val="none"/>
                <w14:textFill>
                  <w14:solidFill>
                    <w14:schemeClr w14:val="tx1"/>
                  </w14:solidFill>
                </w14:textFill>
              </w:rPr>
            </w:pPr>
          </w:p>
        </w:tc>
        <w:tc>
          <w:tcPr>
            <w:tcW w:w="415" w:type="pct"/>
            <w:vAlign w:val="center"/>
          </w:tcPr>
          <w:p w14:paraId="3EFEB65E">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泄漏</w:t>
            </w:r>
          </w:p>
        </w:tc>
        <w:tc>
          <w:tcPr>
            <w:tcW w:w="796" w:type="pct"/>
            <w:vMerge w:val="restart"/>
            <w:vAlign w:val="center"/>
          </w:tcPr>
          <w:p w14:paraId="2224276E">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回收过程</w:t>
            </w:r>
          </w:p>
        </w:tc>
        <w:tc>
          <w:tcPr>
            <w:tcW w:w="651" w:type="pct"/>
            <w:vAlign w:val="center"/>
          </w:tcPr>
          <w:p w14:paraId="72A73D00">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天然气</w:t>
            </w:r>
          </w:p>
        </w:tc>
        <w:tc>
          <w:tcPr>
            <w:tcW w:w="2033" w:type="pct"/>
            <w:vAlign w:val="center"/>
          </w:tcPr>
          <w:p w14:paraId="397D36A4">
            <w:pPr>
              <w:pStyle w:val="47"/>
              <w:widowControl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天然气</w:t>
            </w:r>
            <w:r>
              <w:rPr>
                <w:color w:val="000000" w:themeColor="text1"/>
                <w:sz w:val="21"/>
                <w:szCs w:val="21"/>
                <w:highlight w:val="none"/>
                <w14:textFill>
                  <w14:solidFill>
                    <w14:schemeClr w14:val="tx1"/>
                  </w14:solidFill>
                </w14:textFill>
              </w:rPr>
              <w:t>发生</w:t>
            </w:r>
            <w:r>
              <w:rPr>
                <w:rFonts w:hint="eastAsia"/>
                <w:color w:val="000000" w:themeColor="text1"/>
                <w:sz w:val="21"/>
                <w:szCs w:val="21"/>
                <w:highlight w:val="none"/>
                <w:lang w:eastAsia="zh-CN"/>
                <w14:textFill>
                  <w14:solidFill>
                    <w14:schemeClr w14:val="tx1"/>
                  </w14:solidFill>
                </w14:textFill>
              </w:rPr>
              <w:t>泄漏</w:t>
            </w:r>
            <w:r>
              <w:rPr>
                <w:color w:val="000000" w:themeColor="text1"/>
                <w:sz w:val="21"/>
                <w:szCs w:val="21"/>
                <w:highlight w:val="none"/>
                <w14:textFill>
                  <w14:solidFill>
                    <w14:schemeClr w14:val="tx1"/>
                  </w14:solidFill>
                </w14:textFill>
              </w:rPr>
              <w:t>，气体扩散至环境空气中，可能引发员工天然气</w:t>
            </w:r>
            <w:r>
              <w:rPr>
                <w:rFonts w:hint="eastAsia"/>
                <w:color w:val="000000" w:themeColor="text1"/>
                <w:sz w:val="21"/>
                <w:szCs w:val="21"/>
                <w:highlight w:val="none"/>
                <w:lang w:eastAsia="zh-CN"/>
                <w14:textFill>
                  <w14:solidFill>
                    <w14:schemeClr w14:val="tx1"/>
                  </w14:solidFill>
                </w14:textFill>
              </w:rPr>
              <w:t>。</w:t>
            </w:r>
          </w:p>
        </w:tc>
        <w:tc>
          <w:tcPr>
            <w:tcW w:w="628" w:type="pct"/>
            <w:vAlign w:val="center"/>
          </w:tcPr>
          <w:p w14:paraId="6E867011">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r w14:paraId="3A56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continue"/>
            <w:vAlign w:val="center"/>
          </w:tcPr>
          <w:p w14:paraId="3316FCEE">
            <w:pPr>
              <w:pStyle w:val="47"/>
              <w:widowControl w:val="0"/>
              <w:rPr>
                <w:color w:val="000000" w:themeColor="text1"/>
                <w:sz w:val="21"/>
                <w:szCs w:val="21"/>
                <w:highlight w:val="none"/>
                <w14:textFill>
                  <w14:solidFill>
                    <w14:schemeClr w14:val="tx1"/>
                  </w14:solidFill>
                </w14:textFill>
              </w:rPr>
            </w:pPr>
          </w:p>
        </w:tc>
        <w:tc>
          <w:tcPr>
            <w:tcW w:w="415" w:type="pct"/>
            <w:vAlign w:val="center"/>
          </w:tcPr>
          <w:p w14:paraId="783F34AA">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火灾爆炸</w:t>
            </w:r>
          </w:p>
        </w:tc>
        <w:tc>
          <w:tcPr>
            <w:tcW w:w="796" w:type="pct"/>
            <w:vMerge w:val="continue"/>
            <w:vAlign w:val="center"/>
          </w:tcPr>
          <w:p w14:paraId="3EE4D153">
            <w:pPr>
              <w:pStyle w:val="47"/>
              <w:widowControl w:val="0"/>
              <w:rPr>
                <w:color w:val="000000" w:themeColor="text1"/>
                <w:sz w:val="21"/>
                <w:szCs w:val="21"/>
                <w:highlight w:val="none"/>
                <w14:textFill>
                  <w14:solidFill>
                    <w14:schemeClr w14:val="tx1"/>
                  </w14:solidFill>
                </w14:textFill>
              </w:rPr>
            </w:pPr>
          </w:p>
        </w:tc>
        <w:tc>
          <w:tcPr>
            <w:tcW w:w="651" w:type="pct"/>
            <w:vAlign w:val="center"/>
          </w:tcPr>
          <w:p w14:paraId="23B2C28B">
            <w:pPr>
              <w:pStyle w:val="4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伴生</w:t>
            </w:r>
            <w:r>
              <w:rPr>
                <w:color w:val="000000" w:themeColor="text1"/>
                <w:sz w:val="21"/>
                <w:szCs w:val="21"/>
                <w:highlight w:val="none"/>
                <w14:textFill>
                  <w14:solidFill>
                    <w14:schemeClr w14:val="tx1"/>
                  </w14:solidFill>
                </w14:textFill>
              </w:rPr>
              <w:t>及次生污染物</w:t>
            </w:r>
          </w:p>
        </w:tc>
        <w:tc>
          <w:tcPr>
            <w:tcW w:w="2033" w:type="pct"/>
            <w:vAlign w:val="center"/>
          </w:tcPr>
          <w:p w14:paraId="571FD91A">
            <w:pPr>
              <w:pStyle w:val="47"/>
              <w:widowControl w:val="0"/>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天然气泄漏后，遇火源会发生火灾、爆炸事故，燃烧产生的次生CO引发周围人员CO中毒事件</w:t>
            </w:r>
            <w:r>
              <w:rPr>
                <w:rFonts w:hint="eastAsia"/>
                <w:color w:val="000000" w:themeColor="text1"/>
                <w:sz w:val="21"/>
                <w:szCs w:val="21"/>
                <w:highlight w:val="none"/>
                <w:lang w:eastAsia="zh-CN"/>
                <w14:textFill>
                  <w14:solidFill>
                    <w14:schemeClr w14:val="tx1"/>
                  </w14:solidFill>
                </w14:textFill>
              </w:rPr>
              <w:t>。</w:t>
            </w:r>
          </w:p>
        </w:tc>
        <w:tc>
          <w:tcPr>
            <w:tcW w:w="628" w:type="pct"/>
            <w:vAlign w:val="center"/>
          </w:tcPr>
          <w:p w14:paraId="1C28313C">
            <w:pPr>
              <w:pStyle w:val="47"/>
              <w:widowControl w:val="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bookmarkEnd w:id="1175"/>
    </w:tbl>
    <w:p w14:paraId="292967F8">
      <w:pPr>
        <w:pStyle w:val="52"/>
        <w:keepNext w:val="0"/>
        <w:keepLines w:val="0"/>
        <w:pageBreakBefore w:val="0"/>
        <w:widowControl/>
        <w:kinsoku/>
        <w:wordWrap/>
        <w:overflowPunct/>
        <w:topLinePunct w:val="0"/>
        <w:autoSpaceDE/>
        <w:autoSpaceDN/>
        <w:bidi w:val="0"/>
        <w:adjustRightInd w:val="0"/>
        <w:snapToGrid w:val="0"/>
        <w:spacing w:line="240" w:lineRule="auto"/>
        <w:ind w:left="-6" w:firstLine="561"/>
        <w:jc w:val="center"/>
        <w:textAlignment w:val="auto"/>
        <w:outlineLvl w:val="9"/>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pPr>
    </w:p>
    <w:p w14:paraId="5BE522D1">
      <w:pPr>
        <w:pStyle w:val="65"/>
        <w:pageBreakBefore w:val="0"/>
        <w:widowControl/>
        <w:kinsoku/>
        <w:wordWrap/>
        <w:overflowPunct/>
        <w:topLinePunct w:val="0"/>
        <w:autoSpaceDE/>
        <w:autoSpaceDN/>
        <w:bidi w:val="0"/>
        <w:adjustRightInd w:val="0"/>
        <w:snapToGrid w:val="0"/>
        <w:ind w:left="0" w:leftChars="0" w:firstLine="0" w:firstLineChars="0"/>
        <w:textAlignment w:val="auto"/>
        <w:outlineLvl w:val="3"/>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5.8.3.3风险识别结果</w:t>
      </w:r>
    </w:p>
    <w:p w14:paraId="14E9639C">
      <w:pPr>
        <w:pStyle w:val="65"/>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outlineLvl w:val="9"/>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根据本工程所涉及的危险物质及生产系统危险性识别结果，本工程可能发生的环境风险主要包括</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井喷、</w:t>
      </w:r>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井漏、油气泄漏、火灾、爆炸等引发的</w:t>
      </w:r>
      <w:bookmarkStart w:id="1182" w:name="OLE_LINK877"/>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伴生</w:t>
      </w:r>
      <w:bookmarkEnd w:id="1182"/>
      <w:r>
        <w:rPr>
          <w:rFonts w:hint="eastAsia"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/次生污染物排放。</w:t>
      </w:r>
    </w:p>
    <w:p w14:paraId="543CB605">
      <w:pPr>
        <w:pStyle w:val="65"/>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运营期储罐</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及设备</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发生破损造成</w:t>
      </w:r>
      <w:r>
        <w:rPr>
          <w:rFonts w:hint="eastAsia" w:cs="Times New Roman"/>
          <w:b w:val="0"/>
          <w:snapToGrid/>
          <w:color w:val="000000" w:themeColor="text1"/>
          <w:kern w:val="0"/>
          <w:sz w:val="24"/>
          <w:szCs w:val="24"/>
          <w:highlight w:val="none"/>
          <w:lang w:val="en-US" w:eastAsia="zh-CN" w:bidi="ar-SA"/>
          <w14:textFill>
            <w14:solidFill>
              <w14:schemeClr w14:val="tx1"/>
            </w14:solidFill>
          </w14:textFill>
        </w:rPr>
        <w:t>天然气及</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泄漏，会污染土壤和大气，泄漏</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凝析油</w:t>
      </w:r>
      <w:r>
        <w:rPr>
          <w:rFonts w:hint="default" w:ascii="Times New Roman" w:hAnsi="Times New Roman" w:eastAsia="宋体" w:cs="Times New Roman"/>
          <w:b w:val="0"/>
          <w:snapToGrid/>
          <w:color w:val="000000" w:themeColor="text1"/>
          <w:kern w:val="0"/>
          <w:sz w:val="24"/>
          <w:szCs w:val="24"/>
          <w:highlight w:val="none"/>
          <w:lang w:val="en-US" w:eastAsia="zh-CN" w:bidi="ar-SA"/>
          <w14:textFill>
            <w14:solidFill>
              <w14:schemeClr w14:val="tx1"/>
            </w14:solidFill>
          </w14:textFill>
        </w:rPr>
        <w:t>有可能通过包气带渗漏进入地下含水层，污染地下水；泄漏的油气若遇明火，发生火灾、爆炸，污染大气环境。</w:t>
      </w:r>
    </w:p>
    <w:p w14:paraId="1D90FECC">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_Toc23901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bookmarkStart w:id="1183" w:name="OLE_LINK876"/>
      <w:r>
        <w:rPr>
          <w:rFonts w:hint="eastAsia" w:ascii="Times New Roman" w:hAnsi="Times New Roman" w:eastAsia="宋体" w:cs="Times New Roman"/>
          <w:color w:val="000000" w:themeColor="text1"/>
          <w:highlight w:val="none"/>
          <w:lang w:val="en-US" w:eastAsia="zh-CN"/>
          <w14:textFill>
            <w14:solidFill>
              <w14:schemeClr w14:val="tx1"/>
            </w14:solidFill>
          </w14:textFill>
        </w:rPr>
        <w:t>5.8.4</w:t>
      </w:r>
      <w:bookmarkEnd w:id="1183"/>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环境风险事故情形分析</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p>
    <w:p w14:paraId="60A0952C">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184" w:name="OLE_LINK879"/>
      <w:bookmarkStart w:id="1185" w:name="_Toc12952"/>
      <w:bookmarkStart w:id="1186" w:name="_Toc173941954"/>
      <w:bookmarkStart w:id="1187" w:name="_Toc23925"/>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.1</w:t>
      </w:r>
      <w:bookmarkEnd w:id="1184"/>
      <w:r>
        <w:rPr>
          <w:color w:val="000000" w:themeColor="text1"/>
          <w:sz w:val="24"/>
          <w:szCs w:val="24"/>
          <w:highlight w:val="none"/>
          <w14:textFill>
            <w14:solidFill>
              <w14:schemeClr w14:val="tx1"/>
            </w14:solidFill>
          </w14:textFill>
        </w:rPr>
        <w:t>井喷事故影响分析</w:t>
      </w:r>
      <w:bookmarkEnd w:id="1185"/>
      <w:bookmarkEnd w:id="1186"/>
      <w:bookmarkEnd w:id="1187"/>
    </w:p>
    <w:p w14:paraId="6B5A42DF">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井喷时最容易受到污染的是大气</w:t>
      </w:r>
      <w:bookmarkStart w:id="1188" w:name="OLE_LINK882"/>
      <w:r>
        <w:rPr>
          <w:color w:val="000000" w:themeColor="text1"/>
          <w:sz w:val="24"/>
          <w:szCs w:val="24"/>
          <w:highlight w:val="none"/>
          <w14:textFill>
            <w14:solidFill>
              <w14:schemeClr w14:val="tx1"/>
            </w14:solidFill>
          </w14:textFill>
        </w:rPr>
        <w:t>环境</w:t>
      </w:r>
      <w:bookmarkEnd w:id="1188"/>
      <w:r>
        <w:rPr>
          <w:color w:val="000000" w:themeColor="text1"/>
          <w:sz w:val="24"/>
          <w:szCs w:val="24"/>
          <w:highlight w:val="none"/>
          <w14:textFill>
            <w14:solidFill>
              <w14:schemeClr w14:val="tx1"/>
            </w14:solidFill>
          </w14:textFill>
        </w:rPr>
        <w:t>、土壤环境以及生态环境。</w:t>
      </w:r>
    </w:p>
    <w:p w14:paraId="515092A6">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（1）对大气环境及人群监控的影响</w:t>
      </w:r>
    </w:p>
    <w:p w14:paraId="77777E3B">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井喷时喷出大量气体，可使短时间内使局部大气环境中的轻烃含量激增，根据类比调查，井喷的影响范围可达到下风向4</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5km，地面总烃的最大浓度可达到1300mg/Nm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，造成短期局部大气环境中污染物超标，但不会对整个评价区的大气环境质量造成长久的明显的恶化。本工程区人烟稀少</w:t>
      </w:r>
      <w:r>
        <w:rPr>
          <w:rFonts w:hint="eastAsia"/>
          <w:color w:val="000000" w:themeColor="text1"/>
          <w:sz w:val="24"/>
          <w:szCs w:val="24"/>
          <w:highlight w:val="none"/>
          <w14:textFill>
            <w14:solidFill>
              <w14:schemeClr w14:val="tx1"/>
            </w14:solidFill>
          </w14:textFill>
        </w:rPr>
        <w:t>，区域地势平坦，扩散条件较好，</w:t>
      </w:r>
      <w:r>
        <w:rPr>
          <w:color w:val="000000" w:themeColor="text1"/>
          <w:sz w:val="24"/>
          <w:szCs w:val="24"/>
          <w:highlight w:val="none"/>
          <w14:textFill>
            <w14:solidFill>
              <w14:schemeClr w14:val="tx1"/>
            </w14:solidFill>
          </w14:textFill>
        </w:rPr>
        <w:t>所以井喷对人员的伤害有限。</w:t>
      </w:r>
    </w:p>
    <w:p w14:paraId="0E41C152">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（2）对土壤、地下水的影响</w:t>
      </w:r>
    </w:p>
    <w:p w14:paraId="55A48DC2">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井喷事故一旦发生，大量的油气喷出井口，散落于井场周围</w:t>
      </w:r>
      <w:r>
        <w:rPr>
          <w:rFonts w:hint="eastAsia"/>
          <w:color w:val="000000" w:themeColor="text1"/>
          <w:sz w:val="24"/>
          <w:szCs w:val="24"/>
          <w:highlight w:val="none"/>
          <w14:textFill>
            <w14:solidFill>
              <w14:schemeClr w14:val="tx1"/>
            </w14:solidFill>
          </w14:textFill>
        </w:rPr>
        <w:t>，造成大面积的土壤污染，</w:t>
      </w:r>
      <w:r>
        <w:rPr>
          <w:color w:val="000000" w:themeColor="text1"/>
          <w:sz w:val="24"/>
          <w:szCs w:val="24"/>
          <w:highlight w:val="none"/>
          <w14:textFill>
            <w14:solidFill>
              <w14:schemeClr w14:val="tx1"/>
            </w14:solidFill>
          </w14:textFill>
        </w:rPr>
        <w:t>井喷时大量泄漏的</w:t>
      </w:r>
      <w:r>
        <w:rPr>
          <w:rFonts w:hint="eastAsia"/>
          <w:color w:val="000000" w:themeColor="text1"/>
          <w:sz w:val="24"/>
          <w:szCs w:val="24"/>
          <w:highlight w:val="none"/>
          <w14:textFill>
            <w14:solidFill>
              <w14:schemeClr w14:val="tx1"/>
            </w14:solidFill>
          </w14:textFill>
        </w:rPr>
        <w:t>凝析油</w:t>
      </w:r>
      <w:r>
        <w:rPr>
          <w:color w:val="000000" w:themeColor="text1"/>
          <w:sz w:val="24"/>
          <w:szCs w:val="24"/>
          <w:highlight w:val="none"/>
          <w14:textFill>
            <w14:solidFill>
              <w14:schemeClr w14:val="tx1"/>
            </w14:solidFill>
          </w14:textFill>
        </w:rPr>
        <w:t>覆盖在地表层可使土壤透气性下降，抑制土壤中酶的活性，土壤理</w:t>
      </w:r>
      <w:r>
        <w:rPr>
          <w:rFonts w:hint="eastAsia"/>
          <w:color w:val="000000" w:themeColor="text1"/>
          <w:sz w:val="24"/>
          <w:szCs w:val="24"/>
          <w:highlight w:val="none"/>
          <w14:textFill>
            <w14:solidFill>
              <w14:schemeClr w14:val="tx1"/>
            </w14:solidFill>
          </w14:textFill>
        </w:rPr>
        <w:t>化性</w:t>
      </w:r>
      <w:r>
        <w:rPr>
          <w:color w:val="000000" w:themeColor="text1"/>
          <w:sz w:val="24"/>
          <w:szCs w:val="24"/>
          <w:highlight w:val="none"/>
          <w14:textFill>
            <w14:solidFill>
              <w14:schemeClr w14:val="tx1"/>
            </w14:solidFill>
          </w14:textFill>
        </w:rPr>
        <w:t>质发生变化。</w:t>
      </w:r>
      <w:r>
        <w:rPr>
          <w:rFonts w:hint="eastAsia"/>
          <w:color w:val="000000" w:themeColor="text1"/>
          <w:sz w:val="24"/>
          <w:szCs w:val="24"/>
          <w:highlight w:val="none"/>
          <w:lang w:val="en-US" w:eastAsia="zh-CN"/>
          <w14:textFill>
            <w14:solidFill>
              <w14:schemeClr w14:val="tx1"/>
            </w14:solidFill>
          </w14:textFill>
        </w:rPr>
        <w:t>凝析油</w:t>
      </w:r>
      <w:r>
        <w:rPr>
          <w:color w:val="000000" w:themeColor="text1"/>
          <w:sz w:val="24"/>
          <w:szCs w:val="24"/>
          <w:highlight w:val="none"/>
          <w14:textFill>
            <w14:solidFill>
              <w14:schemeClr w14:val="tx1"/>
            </w14:solidFill>
          </w14:textFill>
        </w:rPr>
        <w:t>泄漏区形成局部土壤污染，根据前面土壤专题的分析，</w:t>
      </w:r>
      <w:r>
        <w:rPr>
          <w:rFonts w:hint="eastAsia"/>
          <w:color w:val="000000" w:themeColor="text1"/>
          <w:sz w:val="24"/>
          <w:szCs w:val="24"/>
          <w:highlight w:val="none"/>
          <w14:textFill>
            <w14:solidFill>
              <w14:schemeClr w14:val="tx1"/>
            </w14:solidFill>
          </w14:textFill>
        </w:rPr>
        <w:t>凝析油</w:t>
      </w:r>
      <w:r>
        <w:rPr>
          <w:color w:val="000000" w:themeColor="text1"/>
          <w:sz w:val="24"/>
          <w:szCs w:val="24"/>
          <w:highlight w:val="none"/>
          <w14:textFill>
            <w14:solidFill>
              <w14:schemeClr w14:val="tx1"/>
            </w14:solidFill>
          </w14:textFill>
        </w:rPr>
        <w:t>影响深度一般为0～20cm，同时油田区域气候干旱少雨，不存在大量降水的淋滤作用。因此，井喷事故中的泄漏</w:t>
      </w:r>
      <w:r>
        <w:rPr>
          <w:rFonts w:hint="eastAsia"/>
          <w:color w:val="000000" w:themeColor="text1"/>
          <w:sz w:val="24"/>
          <w:szCs w:val="24"/>
          <w:highlight w:val="none"/>
          <w14:textFill>
            <w14:solidFill>
              <w14:schemeClr w14:val="tx1"/>
            </w14:solidFill>
          </w14:textFill>
        </w:rPr>
        <w:t>凝析油</w:t>
      </w:r>
      <w:r>
        <w:rPr>
          <w:color w:val="000000" w:themeColor="text1"/>
          <w:sz w:val="24"/>
          <w:szCs w:val="24"/>
          <w:highlight w:val="none"/>
          <w14:textFill>
            <w14:solidFill>
              <w14:schemeClr w14:val="tx1"/>
            </w14:solidFill>
          </w14:textFill>
        </w:rPr>
        <w:t>不会进入地下含水层污染地下水。</w:t>
      </w:r>
    </w:p>
    <w:p w14:paraId="3D021FBD">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（3）对植被的影响</w:t>
      </w:r>
    </w:p>
    <w:p w14:paraId="42356D07">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井喷事故一旦发生，大量的油气喷出井口，散落于井场周围，大量油、水喷溅到植物上或散落到土壤中，就会影响植物的光合作用</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石油类将在植物体内富集，影响其品质，使其生产力下降，严重时会导致植物死亡。另外井喷时极易发生火灾，一旦发生火灾，一旦发生火灾应及时采取相应的措施，应立即阻断引火源，并组织灭火，减少对生态系统的影响。</w:t>
      </w:r>
    </w:p>
    <w:p w14:paraId="11F822FB">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189" w:name="OLE_LINK880"/>
      <w:bookmarkStart w:id="1190" w:name="_Toc13622"/>
      <w:bookmarkStart w:id="1191" w:name="_Toc23851"/>
      <w:bookmarkStart w:id="1192" w:name="_Toc173941955"/>
      <w:bookmarkStart w:id="1193" w:name="OLE_LINK1465"/>
      <w:bookmarkStart w:id="1194" w:name="OLE_LINK1466"/>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w:t>
      </w:r>
      <w:bookmarkEnd w:id="1189"/>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井漏事故影响分析</w:t>
      </w:r>
      <w:bookmarkEnd w:id="1190"/>
      <w:bookmarkEnd w:id="1191"/>
      <w:bookmarkEnd w:id="1192"/>
    </w:p>
    <w:bookmarkEnd w:id="1193"/>
    <w:p w14:paraId="7B1A8ACB">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本工</w:t>
      </w:r>
      <w:bookmarkEnd w:id="1194"/>
      <w:r>
        <w:rPr>
          <w:rFonts w:hint="eastAsia"/>
          <w:color w:val="000000" w:themeColor="text1"/>
          <w:sz w:val="24"/>
          <w:szCs w:val="24"/>
          <w:highlight w:val="none"/>
          <w14:textFill>
            <w14:solidFill>
              <w14:schemeClr w14:val="tx1"/>
            </w14:solidFill>
          </w14:textFill>
        </w:rPr>
        <w:t>程</w:t>
      </w:r>
      <w:r>
        <w:rPr>
          <w:color w:val="000000" w:themeColor="text1"/>
          <w:sz w:val="24"/>
          <w:szCs w:val="24"/>
          <w:highlight w:val="none"/>
          <w14:textFill>
            <w14:solidFill>
              <w14:schemeClr w14:val="tx1"/>
            </w14:solidFill>
          </w14:textFill>
        </w:rPr>
        <w:t>井漏事故</w:t>
      </w:r>
      <w:r>
        <w:rPr>
          <w:rFonts w:hint="eastAsia"/>
          <w:color w:val="000000" w:themeColor="text1"/>
          <w:sz w:val="24"/>
          <w:szCs w:val="24"/>
          <w:highlight w:val="none"/>
          <w14:textFill>
            <w14:solidFill>
              <w14:schemeClr w14:val="tx1"/>
            </w14:solidFill>
          </w14:textFill>
        </w:rPr>
        <w:t>主要是</w:t>
      </w:r>
      <w:r>
        <w:rPr>
          <w:color w:val="000000" w:themeColor="text1"/>
          <w:sz w:val="24"/>
          <w:szCs w:val="24"/>
          <w:highlight w:val="none"/>
          <w14:textFill>
            <w14:solidFill>
              <w14:schemeClr w14:val="tx1"/>
            </w14:solidFill>
          </w14:textFill>
        </w:rPr>
        <w:t>对地下水的污染是采出液漏失于地下水含水层中，采出液中含石油类，会造成地下含水层水质污染。</w:t>
      </w:r>
    </w:p>
    <w:p w14:paraId="2207B566">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本工程</w:t>
      </w:r>
      <w:r>
        <w:rPr>
          <w:rFonts w:hint="eastAsia"/>
          <w:color w:val="000000" w:themeColor="text1"/>
          <w:sz w:val="24"/>
          <w:szCs w:val="24"/>
          <w:highlight w:val="none"/>
          <w14:textFill>
            <w14:solidFill>
              <w14:schemeClr w14:val="tx1"/>
            </w14:solidFill>
          </w14:textFill>
        </w:rPr>
        <w:t>井场在钻井期</w:t>
      </w:r>
      <w:r>
        <w:rPr>
          <w:color w:val="000000" w:themeColor="text1"/>
          <w:sz w:val="24"/>
          <w:szCs w:val="24"/>
          <w:highlight w:val="none"/>
          <w14:textFill>
            <w14:solidFill>
              <w14:schemeClr w14:val="tx1"/>
            </w14:solidFill>
          </w14:textFill>
        </w:rPr>
        <w:t>采用多层套管，表层套管完全封闭各含水层，固井水泥均上返</w:t>
      </w:r>
      <w:r>
        <w:rPr>
          <w:rFonts w:hint="default" w:ascii="Times New Roman" w:hAnsi="Times New Roman" w:cs="Times New Roman"/>
          <w:color w:val="000000" w:themeColor="text1"/>
          <w:sz w:val="24"/>
          <w:szCs w:val="24"/>
          <w:highlight w:val="none"/>
          <w14:textFill>
            <w14:solidFill>
              <w14:schemeClr w14:val="tx1"/>
            </w14:solidFill>
          </w14:textFill>
        </w:rPr>
        <w:t>地面，这样，在各含水层与井筒间形成多层套管、水泥环的保护措施，将事故风险降低到最低。</w:t>
      </w:r>
    </w:p>
    <w:p w14:paraId="55B31094">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color w:val="000000" w:themeColor="text1"/>
          <w:sz w:val="24"/>
          <w:szCs w:val="24"/>
          <w:highlight w:val="none"/>
          <w14:textFill>
            <w14:solidFill>
              <w14:schemeClr w14:val="tx1"/>
            </w14:solidFill>
          </w14:textFill>
        </w:rPr>
      </w:pPr>
      <w:bookmarkStart w:id="1195" w:name="OLE_LINK1468"/>
      <w:r>
        <w:rPr>
          <w:rFonts w:hint="default" w:ascii="Times New Roman" w:hAnsi="Times New Roman" w:cs="Times New Roman"/>
          <w:color w:val="000000" w:themeColor="text1"/>
          <w:sz w:val="24"/>
          <w:szCs w:val="24"/>
          <w:highlight w:val="none"/>
          <w14:textFill>
            <w14:solidFill>
              <w14:schemeClr w14:val="tx1"/>
            </w14:solidFill>
          </w14:textFill>
        </w:rPr>
        <w:t>5.8.4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液体储罐</w:t>
      </w:r>
      <w:bookmarkStart w:id="1196" w:name="OLE_LINK1469"/>
      <w:r>
        <w:rPr>
          <w:rFonts w:hint="default" w:ascii="Times New Roman" w:hAnsi="Times New Roman" w:cs="Times New Roman"/>
          <w:color w:val="000000" w:themeColor="text1"/>
          <w:sz w:val="24"/>
          <w:szCs w:val="24"/>
          <w:highlight w:val="none"/>
          <w14:textFill>
            <w14:solidFill>
              <w14:schemeClr w14:val="tx1"/>
            </w14:solidFill>
          </w14:textFill>
        </w:rPr>
        <w:t>泄漏</w:t>
      </w:r>
      <w:bookmarkEnd w:id="1196"/>
      <w:r>
        <w:rPr>
          <w:rFonts w:hint="default" w:ascii="Times New Roman" w:hAnsi="Times New Roman" w:cs="Times New Roman"/>
          <w:color w:val="000000" w:themeColor="text1"/>
          <w:sz w:val="24"/>
          <w:szCs w:val="24"/>
          <w:highlight w:val="none"/>
          <w14:textFill>
            <w14:solidFill>
              <w14:schemeClr w14:val="tx1"/>
            </w14:solidFill>
          </w14:textFill>
        </w:rPr>
        <w:t>事故影响分析</w:t>
      </w:r>
    </w:p>
    <w:p w14:paraId="281836B2">
      <w:pPr>
        <w:pStyle w:val="7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天</w:t>
      </w:r>
      <w:bookmarkEnd w:id="1195"/>
      <w:r>
        <w:rPr>
          <w:rFonts w:hint="default" w:ascii="Times New Roman" w:hAnsi="Times New Roman" w:cs="Times New Roman"/>
          <w:color w:val="000000" w:themeColor="text1"/>
          <w:sz w:val="24"/>
          <w:szCs w:val="24"/>
          <w:highlight w:val="none"/>
          <w14:textFill>
            <w14:solidFill>
              <w14:schemeClr w14:val="tx1"/>
            </w14:solidFill>
          </w14:textFill>
        </w:rPr>
        <w:t>然气毒性较低，对人体健康的急性影响主要是吸入性头晕、呕吐，浓度较高时会引起窒息。但天然气属于甲A类火灾易燃易爆危险物质，在空气中爆炸极限为5</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15%（体积百分含量），当事故性释放的天然气浓度达到爆炸极限时，遇到明火便会引起火灾或爆炸。天然气泄漏引发火灾事故时，不完全燃烧产物CO、烟尘将</w:t>
      </w:r>
      <w:r>
        <w:rPr>
          <w:rFonts w:hint="eastAsia" w:cs="Times New Roman"/>
          <w:color w:val="000000" w:themeColor="text1"/>
          <w:sz w:val="24"/>
          <w:szCs w:val="24"/>
          <w:highlight w:val="none"/>
          <w:lang w:eastAsia="zh-CN"/>
          <w14:textFill>
            <w14:solidFill>
              <w14:schemeClr w14:val="tx1"/>
            </w14:solidFill>
          </w14:textFill>
        </w:rPr>
        <w:t>会对</w:t>
      </w:r>
      <w:r>
        <w:rPr>
          <w:rFonts w:hint="default" w:ascii="Times New Roman" w:hAnsi="Times New Roman" w:cs="Times New Roman"/>
          <w:color w:val="000000" w:themeColor="text1"/>
          <w:sz w:val="24"/>
          <w:szCs w:val="24"/>
          <w:highlight w:val="none"/>
          <w14:textFill>
            <w14:solidFill>
              <w14:schemeClr w14:val="tx1"/>
            </w14:solidFill>
          </w14:textFill>
        </w:rPr>
        <w:t>周边环境造成一定不利影响，使一定范围内污染物浓度超标。</w:t>
      </w:r>
    </w:p>
    <w:p w14:paraId="073CEF63">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储罐</w:t>
      </w:r>
      <w:bookmarkStart w:id="1197" w:name="OLE_LINK146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泄漏</w:t>
      </w:r>
      <w:bookmarkEnd w:id="1197"/>
      <w:r>
        <w:rPr>
          <w:rFonts w:hint="default" w:ascii="Times New Roman" w:hAnsi="Times New Roman" w:cs="Times New Roman"/>
          <w:color w:val="000000" w:themeColor="text1"/>
          <w:sz w:val="24"/>
          <w:szCs w:val="24"/>
          <w:highlight w:val="none"/>
          <w14:textFill>
            <w14:solidFill>
              <w14:schemeClr w14:val="tx1"/>
            </w14:solidFill>
          </w14:textFill>
        </w:rPr>
        <w:t>的石油类污染物进入土壤后，易与土壤成分结合，渗入到土壤空隙，使土壤透气性和呼吸作用减弱，从而使土壤质地和结构发生改变，</w:t>
      </w:r>
      <w:r>
        <w:rPr>
          <w:rFonts w:hint="eastAsia" w:cs="Times New Roman"/>
          <w:color w:val="000000" w:themeColor="text1"/>
          <w:sz w:val="24"/>
          <w:szCs w:val="24"/>
          <w:highlight w:val="none"/>
          <w:lang w:eastAsia="zh-CN"/>
          <w14:textFill>
            <w14:solidFill>
              <w14:schemeClr w14:val="tx1"/>
            </w14:solidFill>
          </w14:textFill>
        </w:rPr>
        <w:t>影响</w:t>
      </w:r>
      <w:r>
        <w:rPr>
          <w:rFonts w:hint="default" w:ascii="Times New Roman" w:hAnsi="Times New Roman" w:cs="Times New Roman"/>
          <w:color w:val="000000" w:themeColor="text1"/>
          <w:sz w:val="24"/>
          <w:szCs w:val="24"/>
          <w:highlight w:val="none"/>
          <w14:textFill>
            <w14:solidFill>
              <w14:schemeClr w14:val="tx1"/>
            </w14:solidFill>
          </w14:textFill>
        </w:rPr>
        <w:t>土地功能，进而影响植被的生长，影响局部的生态环境</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及时采取必要的处理措施，使造成的污染控制在局部环境而不会造成大面积的区域性污染</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59CE4D8D">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color w:val="000000" w:themeColor="text1"/>
          <w:sz w:val="24"/>
          <w:szCs w:val="24"/>
          <w:highlight w:val="none"/>
          <w14:textFill>
            <w14:solidFill>
              <w14:schemeClr w14:val="tx1"/>
            </w14:solidFill>
          </w14:textFill>
        </w:rPr>
      </w:pPr>
      <w:bookmarkStart w:id="1198" w:name="OLE_LINK1471"/>
      <w:r>
        <w:rPr>
          <w:rFonts w:hint="default" w:ascii="Times New Roman" w:hAnsi="Times New Roman" w:cs="Times New Roman"/>
          <w:color w:val="000000" w:themeColor="text1"/>
          <w:sz w:val="24"/>
          <w:szCs w:val="24"/>
          <w:highlight w:val="none"/>
          <w14:textFill>
            <w14:solidFill>
              <w14:schemeClr w14:val="tx1"/>
            </w14:solidFill>
          </w14:textFill>
        </w:rPr>
        <w:t>5.8.4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油气罐车运输风险事故分析</w:t>
      </w:r>
    </w:p>
    <w:p w14:paraId="0FAD7E81">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因</w:t>
      </w:r>
      <w:bookmarkEnd w:id="1198"/>
      <w:r>
        <w:rPr>
          <w:rFonts w:hint="default" w:ascii="Times New Roman" w:hAnsi="Times New Roman" w:cs="Times New Roman"/>
          <w:color w:val="000000" w:themeColor="text1"/>
          <w:sz w:val="24"/>
          <w:szCs w:val="24"/>
          <w:highlight w:val="none"/>
          <w14:textFill>
            <w14:solidFill>
              <w14:schemeClr w14:val="tx1"/>
            </w14:solidFill>
          </w14:textFill>
        </w:rPr>
        <w:t>车辆本身的设计、制造、操作、管理等各环节有存在缺陷的可能性，油气拉运过程有</w:t>
      </w:r>
      <w:bookmarkStart w:id="1199" w:name="OLE_LINK1470"/>
      <w:r>
        <w:rPr>
          <w:rFonts w:hint="default" w:ascii="Times New Roman" w:hAnsi="Times New Roman" w:cs="Times New Roman"/>
          <w:color w:val="000000" w:themeColor="text1"/>
          <w:sz w:val="24"/>
          <w:szCs w:val="24"/>
          <w:highlight w:val="none"/>
          <w14:textFill>
            <w14:solidFill>
              <w14:schemeClr w14:val="tx1"/>
            </w14:solidFill>
          </w14:textFill>
        </w:rPr>
        <w:t>泄漏</w:t>
      </w:r>
      <w:bookmarkEnd w:id="1199"/>
      <w:r>
        <w:rPr>
          <w:rFonts w:hint="default" w:ascii="Times New Roman" w:hAnsi="Times New Roman" w:cs="Times New Roman"/>
          <w:color w:val="000000" w:themeColor="text1"/>
          <w:sz w:val="24"/>
          <w:szCs w:val="24"/>
          <w:highlight w:val="none"/>
          <w14:textFill>
            <w14:solidFill>
              <w14:schemeClr w14:val="tx1"/>
            </w14:solidFill>
          </w14:textFill>
        </w:rPr>
        <w:t>事故发生的风险。事故发生时罐车内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凝析</w:t>
      </w:r>
      <w:r>
        <w:rPr>
          <w:rFonts w:hint="default" w:ascii="Times New Roman" w:hAnsi="Times New Roman" w:cs="Times New Roman"/>
          <w:color w:val="000000" w:themeColor="text1"/>
          <w:sz w:val="24"/>
          <w:szCs w:val="24"/>
          <w:highlight w:val="none"/>
          <w14:textFill>
            <w14:solidFill>
              <w14:schemeClr w14:val="tx1"/>
            </w14:solidFill>
          </w14:textFill>
        </w:rPr>
        <w:t>油溢出，对周围环境造成直接污染，泄漏的油气如遇到明火还可</w:t>
      </w:r>
      <w:r>
        <w:rPr>
          <w:rFonts w:hint="eastAsia" w:cs="Times New Roman"/>
          <w:color w:val="000000" w:themeColor="text1"/>
          <w:sz w:val="24"/>
          <w:szCs w:val="24"/>
          <w:highlight w:val="none"/>
          <w:lang w:eastAsia="zh-CN"/>
          <w14:textFill>
            <w14:solidFill>
              <w14:schemeClr w14:val="tx1"/>
            </w14:solidFill>
          </w14:textFill>
        </w:rPr>
        <w:t>能发</w:t>
      </w:r>
      <w:r>
        <w:rPr>
          <w:rFonts w:hint="default" w:ascii="Times New Roman" w:hAnsi="Times New Roman" w:cs="Times New Roman"/>
          <w:color w:val="000000" w:themeColor="text1"/>
          <w:sz w:val="24"/>
          <w:szCs w:val="24"/>
          <w:highlight w:val="none"/>
          <w14:textFill>
            <w14:solidFill>
              <w14:schemeClr w14:val="tx1"/>
            </w14:solidFill>
          </w14:textFill>
        </w:rPr>
        <w:t>生火灾、爆炸事故</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0872F1E4">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5.8.4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危险废物运输风险事故分析</w:t>
      </w:r>
    </w:p>
    <w:p w14:paraId="6D972AC9">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钻井期的危险废物有</w:t>
      </w:r>
      <w:r>
        <w:rPr>
          <w:rFonts w:hint="eastAsia" w:cs="Times New Roman"/>
          <w:color w:val="000000" w:themeColor="text1"/>
          <w:sz w:val="24"/>
          <w:szCs w:val="24"/>
          <w:highlight w:val="none"/>
          <w:lang w:val="en-US" w:eastAsia="zh-CN"/>
          <w14:textFill>
            <w14:solidFill>
              <w14:schemeClr w14:val="tx1"/>
            </w14:solidFill>
          </w14:textFill>
        </w:rPr>
        <w:t>落地油、废烧碱包装材料、废润滑油和废弃</w:t>
      </w:r>
      <w:r>
        <w:rPr>
          <w:rFonts w:hint="default" w:ascii="Times New Roman" w:hAnsi="Times New Roman" w:eastAsia="宋体" w:cs="Times New Roman"/>
          <w:color w:val="000000" w:themeColor="text1"/>
          <w:sz w:val="24"/>
          <w:szCs w:val="24"/>
          <w:highlight w:val="none"/>
          <w14:textFill>
            <w14:solidFill>
              <w14:schemeClr w14:val="tx1"/>
            </w14:solidFill>
          </w14:textFill>
        </w:rPr>
        <w:t>油基岩屑。运营期的危险废物有</w:t>
      </w:r>
      <w:r>
        <w:rPr>
          <w:rFonts w:hint="eastAsia" w:cs="Times New Roman"/>
          <w:color w:val="000000" w:themeColor="text1"/>
          <w:sz w:val="24"/>
          <w:szCs w:val="24"/>
          <w:highlight w:val="none"/>
          <w:lang w:val="en-US" w:eastAsia="zh-CN"/>
          <w14:textFill>
            <w14:solidFill>
              <w14:schemeClr w14:val="tx1"/>
            </w14:solidFill>
          </w14:textFill>
        </w:rPr>
        <w:t>落地油、废防渗材料、清罐底泥、废润滑油和废弃</w:t>
      </w:r>
      <w:r>
        <w:rPr>
          <w:rFonts w:hint="default" w:ascii="Times New Roman" w:hAnsi="Times New Roman" w:eastAsia="宋体" w:cs="Times New Roman"/>
          <w:color w:val="000000" w:themeColor="text1"/>
          <w:sz w:val="24"/>
          <w:szCs w:val="24"/>
          <w:highlight w:val="none"/>
          <w14:textFill>
            <w14:solidFill>
              <w14:schemeClr w14:val="tx1"/>
            </w14:solidFill>
          </w14:textFill>
        </w:rPr>
        <w:t>油基岩屑。危险废物运输的事故隐患主要是从</w:t>
      </w:r>
      <w:bookmarkStart w:id="1200" w:name="OLE_LINK1472"/>
      <w:r>
        <w:rPr>
          <w:rFonts w:hint="default" w:ascii="Times New Roman" w:hAnsi="Times New Roman" w:eastAsia="宋体" w:cs="Times New Roman"/>
          <w:color w:val="000000" w:themeColor="text1"/>
          <w:sz w:val="24"/>
          <w:szCs w:val="24"/>
          <w:highlight w:val="none"/>
          <w14:textFill>
            <w14:solidFill>
              <w14:schemeClr w14:val="tx1"/>
            </w14:solidFill>
          </w14:textFill>
        </w:rPr>
        <w:t>泄漏</w:t>
      </w:r>
      <w:bookmarkEnd w:id="1200"/>
      <w:r>
        <w:rPr>
          <w:rFonts w:hint="default" w:ascii="Times New Roman" w:hAnsi="Times New Roman" w:eastAsia="宋体" w:cs="Times New Roman"/>
          <w:color w:val="000000" w:themeColor="text1"/>
          <w:sz w:val="24"/>
          <w:szCs w:val="24"/>
          <w:highlight w:val="none"/>
          <w14:textFill>
            <w14:solidFill>
              <w14:schemeClr w14:val="tx1"/>
            </w14:solidFill>
          </w14:textFill>
        </w:rPr>
        <w:t>开始的，泄漏的危险废物，会对周围环境空气、水体、土壤和植被造成一定的不利影响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F32B1B0">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01" w:name="OLE_LINK881"/>
      <w:bookmarkStart w:id="1202" w:name="_Toc173941956"/>
      <w:bookmarkStart w:id="1203" w:name="_Toc27437"/>
      <w:bookmarkStart w:id="1204" w:name="_Toc17497"/>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w:t>
      </w:r>
      <w:bookmarkEnd w:id="1201"/>
      <w:r>
        <w:rPr>
          <w:rFonts w:hint="eastAsia"/>
          <w:color w:val="000000" w:themeColor="text1"/>
          <w:sz w:val="24"/>
          <w:szCs w:val="24"/>
          <w:highlight w:val="none"/>
          <w:lang w:val="en-US" w:eastAsia="zh-CN"/>
          <w14:textFill>
            <w14:solidFill>
              <w14:schemeClr w14:val="tx1"/>
            </w14:solidFill>
          </w14:textFill>
        </w:rPr>
        <w:t>6</w:t>
      </w:r>
      <w:r>
        <w:rPr>
          <w:color w:val="000000" w:themeColor="text1"/>
          <w:sz w:val="24"/>
          <w:szCs w:val="24"/>
          <w:highlight w:val="none"/>
          <w14:textFill>
            <w14:solidFill>
              <w14:schemeClr w14:val="tx1"/>
            </w14:solidFill>
          </w14:textFill>
        </w:rPr>
        <w:t>对大气环境的影响分析</w:t>
      </w:r>
      <w:bookmarkEnd w:id="1202"/>
      <w:bookmarkEnd w:id="1203"/>
      <w:bookmarkEnd w:id="1204"/>
    </w:p>
    <w:p w14:paraId="4C1A175E">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snapToGrid w:val="0"/>
          <w:color w:val="000000" w:themeColor="text1"/>
          <w:sz w:val="24"/>
          <w:szCs w:val="24"/>
          <w:highlight w:val="none"/>
          <w14:textFill>
            <w14:solidFill>
              <w14:schemeClr w14:val="tx1"/>
            </w14:solidFill>
          </w14:textFill>
        </w:rPr>
      </w:pPr>
      <w:r>
        <w:rPr>
          <w:rFonts w:hint="eastAsia"/>
          <w:snapToGrid w:val="0"/>
          <w:color w:val="000000" w:themeColor="text1"/>
          <w:sz w:val="24"/>
          <w:szCs w:val="24"/>
          <w:highlight w:val="none"/>
          <w14:textFill>
            <w14:solidFill>
              <w14:schemeClr w14:val="tx1"/>
            </w14:solidFill>
          </w14:textFill>
        </w:rPr>
        <w:t>（1）井场储罐、混烃罐</w:t>
      </w:r>
      <w:r>
        <w:rPr>
          <w:rFonts w:hint="eastAsia"/>
          <w:snapToGrid w:val="0"/>
          <w:color w:val="000000" w:themeColor="text1"/>
          <w:sz w:val="24"/>
          <w:szCs w:val="24"/>
          <w:highlight w:val="none"/>
          <w:lang w:eastAsia="zh-CN"/>
          <w14:textFill>
            <w14:solidFill>
              <w14:schemeClr w14:val="tx1"/>
            </w14:solidFill>
          </w14:textFill>
        </w:rPr>
        <w:t>泄漏</w:t>
      </w:r>
      <w:r>
        <w:rPr>
          <w:rFonts w:hint="eastAsia"/>
          <w:snapToGrid w:val="0"/>
          <w:color w:val="000000" w:themeColor="text1"/>
          <w:sz w:val="24"/>
          <w:szCs w:val="24"/>
          <w:highlight w:val="none"/>
          <w14:textFill>
            <w14:solidFill>
              <w14:schemeClr w14:val="tx1"/>
            </w14:solidFill>
          </w14:textFill>
        </w:rPr>
        <w:t>对大气环境的影响</w:t>
      </w:r>
    </w:p>
    <w:p w14:paraId="09F0E07C">
      <w:pPr>
        <w:pStyle w:val="6"/>
        <w:pageBreakBefore w:val="0"/>
        <w:kinsoku/>
        <w:wordWrap/>
        <w:overflowPunct/>
        <w:topLinePunct w:val="0"/>
        <w:autoSpaceDE/>
        <w:autoSpaceDN/>
        <w:bidi w:val="0"/>
        <w:adjustRightInd w:val="0"/>
        <w:snapToGrid w:val="0"/>
        <w:spacing w:line="360" w:lineRule="auto"/>
        <w:ind w:firstLine="480"/>
        <w:textAlignment w:val="auto"/>
        <w:rPr>
          <w:color w:val="000000" w:themeColor="text1"/>
          <w:sz w:val="24"/>
          <w:szCs w:val="24"/>
          <w:highlight w:val="none"/>
          <w14:textFill>
            <w14:solidFill>
              <w14:schemeClr w14:val="tx1"/>
            </w14:solidFill>
          </w14:textFill>
        </w:rPr>
      </w:pPr>
      <w:r>
        <w:rPr>
          <w:rFonts w:hint="eastAsia"/>
          <w:snapToGrid w:val="0"/>
          <w:color w:val="000000" w:themeColor="text1"/>
          <w:sz w:val="24"/>
          <w:szCs w:val="24"/>
          <w:highlight w:val="none"/>
          <w14:textFill>
            <w14:solidFill>
              <w14:schemeClr w14:val="tx1"/>
            </w14:solidFill>
          </w14:textFill>
        </w:rPr>
        <w:t>本工程</w:t>
      </w:r>
      <w:r>
        <w:rPr>
          <w:rFonts w:hint="eastAsia"/>
          <w:color w:val="000000" w:themeColor="text1"/>
          <w:sz w:val="24"/>
          <w:szCs w:val="24"/>
          <w:highlight w:val="none"/>
          <w14:textFill>
            <w14:solidFill>
              <w14:schemeClr w14:val="tx1"/>
            </w14:solidFill>
          </w14:textFill>
        </w:rPr>
        <w:t>井场设置</w:t>
      </w:r>
      <w:bookmarkStart w:id="1205" w:name="OLE_LINK883"/>
      <w:r>
        <w:rPr>
          <w:rFonts w:hint="eastAsia"/>
          <w:color w:val="000000" w:themeColor="text1"/>
          <w:sz w:val="24"/>
          <w:szCs w:val="24"/>
          <w:highlight w:val="none"/>
          <w:lang w:val="en-US" w:eastAsia="zh-CN"/>
          <w14:textFill>
            <w14:solidFill>
              <w14:schemeClr w14:val="tx1"/>
            </w14:solidFill>
          </w14:textFill>
        </w:rPr>
        <w:t>6</w:t>
      </w:r>
      <w:r>
        <w:rPr>
          <w:color w:val="000000" w:themeColor="text1"/>
          <w:sz w:val="24"/>
          <w:szCs w:val="24"/>
          <w:highlight w:val="none"/>
          <w14:textFill>
            <w14:solidFill>
              <w14:schemeClr w14:val="tx1"/>
            </w14:solidFill>
          </w14:textFill>
        </w:rPr>
        <w:t>0</w:t>
      </w:r>
      <w:r>
        <w:rPr>
          <w:rFonts w:hint="eastAsia"/>
          <w:color w:val="000000" w:themeColor="text1"/>
          <w:sz w:val="24"/>
          <w:szCs w:val="24"/>
          <w:highlight w:val="none"/>
          <w14:textFill>
            <w14:solidFill>
              <w14:schemeClr w14:val="tx1"/>
            </w14:solidFill>
          </w14:textFill>
        </w:rPr>
        <w:t>m</w:t>
      </w:r>
      <w:r>
        <w:rPr>
          <w:color w:val="000000" w:themeColor="text1"/>
          <w:sz w:val="24"/>
          <w:szCs w:val="24"/>
          <w:highlight w:val="none"/>
          <w:vertAlign w:val="superscript"/>
          <w14:textFill>
            <w14:solidFill>
              <w14:schemeClr w14:val="tx1"/>
            </w14:solidFill>
          </w14:textFill>
        </w:rPr>
        <w:t>3</w:t>
      </w:r>
      <w:bookmarkEnd w:id="1205"/>
      <w:bookmarkStart w:id="1206" w:name="OLE_LINK884"/>
      <w:r>
        <w:rPr>
          <w:rFonts w:hint="eastAsia"/>
          <w:color w:val="000000" w:themeColor="text1"/>
          <w:sz w:val="24"/>
          <w:szCs w:val="24"/>
          <w:highlight w:val="none"/>
          <w14:textFill>
            <w14:solidFill>
              <w14:schemeClr w14:val="tx1"/>
            </w14:solidFill>
          </w14:textFill>
        </w:rPr>
        <w:t>多功能储集器</w:t>
      </w:r>
      <w:bookmarkEnd w:id="1206"/>
      <w:r>
        <w:rPr>
          <w:rFonts w:hint="eastAsia"/>
          <w:color w:val="000000" w:themeColor="text1"/>
          <w:sz w:val="24"/>
          <w:szCs w:val="24"/>
          <w:highlight w:val="none"/>
          <w14:textFill>
            <w14:solidFill>
              <w14:schemeClr w14:val="tx1"/>
            </w14:solidFill>
          </w14:textFill>
        </w:rPr>
        <w:t>，多功能储集器</w:t>
      </w:r>
      <w:r>
        <w:rPr>
          <w:rFonts w:hint="eastAsia"/>
          <w:snapToGrid w:val="0"/>
          <w:color w:val="000000" w:themeColor="text1"/>
          <w:sz w:val="24"/>
          <w:szCs w:val="24"/>
          <w:highlight w:val="none"/>
          <w14:textFill>
            <w14:solidFill>
              <w14:schemeClr w14:val="tx1"/>
            </w14:solidFill>
          </w14:textFill>
        </w:rPr>
        <w:t>发生泄漏后，若得不到及时处理，所泄漏的</w:t>
      </w:r>
      <w:r>
        <w:rPr>
          <w:rFonts w:hint="eastAsia"/>
          <w:snapToGrid w:val="0"/>
          <w:color w:val="000000" w:themeColor="text1"/>
          <w:sz w:val="24"/>
          <w:szCs w:val="24"/>
          <w:highlight w:val="none"/>
          <w:lang w:val="en-US" w:eastAsia="zh-CN"/>
          <w14:textFill>
            <w14:solidFill>
              <w14:schemeClr w14:val="tx1"/>
            </w14:solidFill>
          </w14:textFill>
        </w:rPr>
        <w:t>凝析油</w:t>
      </w:r>
      <w:r>
        <w:rPr>
          <w:rFonts w:hint="eastAsia"/>
          <w:snapToGrid w:val="0"/>
          <w:color w:val="000000" w:themeColor="text1"/>
          <w:sz w:val="24"/>
          <w:szCs w:val="24"/>
          <w:highlight w:val="none"/>
          <w14:textFill>
            <w14:solidFill>
              <w14:schemeClr w14:val="tx1"/>
            </w14:solidFill>
          </w14:textFill>
        </w:rPr>
        <w:t>/混烃会挥发轻烃组分，</w:t>
      </w:r>
      <w:r>
        <w:rPr>
          <w:color w:val="000000" w:themeColor="text1"/>
          <w:sz w:val="24"/>
          <w:szCs w:val="24"/>
          <w:highlight w:val="none"/>
          <w14:textFill>
            <w14:solidFill>
              <w14:schemeClr w14:val="tx1"/>
            </w14:solidFill>
          </w14:textFill>
        </w:rPr>
        <w:t>使局部大气环境中的轻烃含量增加</w:t>
      </w:r>
      <w:r>
        <w:rPr>
          <w:rFonts w:hint="eastAsia"/>
          <w:color w:val="000000" w:themeColor="text1"/>
          <w:sz w:val="24"/>
          <w:szCs w:val="24"/>
          <w:highlight w:val="none"/>
          <w:lang w:eastAsia="zh-CN"/>
          <w14:textFill>
            <w14:solidFill>
              <w14:schemeClr w14:val="tx1"/>
            </w14:solidFill>
          </w14:textFill>
        </w:rPr>
        <w:t>。</w:t>
      </w:r>
      <w:r>
        <w:rPr>
          <w:rFonts w:hint="eastAsia"/>
          <w:snapToGrid w:val="0"/>
          <w:color w:val="000000" w:themeColor="text1"/>
          <w:sz w:val="24"/>
          <w:szCs w:val="24"/>
          <w:highlight w:val="none"/>
          <w14:textFill>
            <w14:solidFill>
              <w14:schemeClr w14:val="tx1"/>
            </w14:solidFill>
          </w14:textFill>
        </w:rPr>
        <w:t>若遇明火，引发的火灾事故可在短时间内产生大量不完全燃烧烟气。本工程</w:t>
      </w:r>
      <w:r>
        <w:rPr>
          <w:rFonts w:hint="eastAsia"/>
          <w:color w:val="000000" w:themeColor="text1"/>
          <w:sz w:val="24"/>
          <w:szCs w:val="24"/>
          <w:highlight w:val="none"/>
          <w14:textFill>
            <w14:solidFill>
              <w14:schemeClr w14:val="tx1"/>
            </w14:solidFill>
          </w14:textFill>
        </w:rPr>
        <w:t>油类物质在井场内的</w:t>
      </w:r>
      <w:r>
        <w:rPr>
          <w:rFonts w:hint="eastAsia"/>
          <w:snapToGrid w:val="0"/>
          <w:color w:val="000000" w:themeColor="text1"/>
          <w:sz w:val="24"/>
          <w:szCs w:val="24"/>
          <w:highlight w:val="none"/>
          <w14:textFill>
            <w14:solidFill>
              <w14:schemeClr w14:val="tx1"/>
            </w14:solidFill>
          </w14:textFill>
        </w:rPr>
        <w:t>储量较小，火灾或爆炸产生的</w:t>
      </w:r>
      <w:r>
        <w:rPr>
          <w:snapToGrid w:val="0"/>
          <w:color w:val="000000" w:themeColor="text1"/>
          <w:sz w:val="24"/>
          <w:szCs w:val="24"/>
          <w:highlight w:val="none"/>
          <w14:textFill>
            <w14:solidFill>
              <w14:schemeClr w14:val="tx1"/>
            </w14:solidFill>
          </w14:textFill>
        </w:rPr>
        <w:t xml:space="preserve">CO </w:t>
      </w:r>
      <w:r>
        <w:rPr>
          <w:rFonts w:hint="eastAsia"/>
          <w:snapToGrid w:val="0"/>
          <w:color w:val="000000" w:themeColor="text1"/>
          <w:sz w:val="24"/>
          <w:szCs w:val="24"/>
          <w:highlight w:val="none"/>
          <w14:textFill>
            <w14:solidFill>
              <w14:schemeClr w14:val="tx1"/>
            </w14:solidFill>
          </w14:textFill>
        </w:rPr>
        <w:t>浓度较低，工程</w:t>
      </w:r>
      <w:r>
        <w:rPr>
          <w:color w:val="000000" w:themeColor="text1"/>
          <w:sz w:val="24"/>
          <w:szCs w:val="24"/>
          <w:highlight w:val="none"/>
          <w14:textFill>
            <w14:solidFill>
              <w14:schemeClr w14:val="tx1"/>
            </w14:solidFill>
          </w14:textFill>
        </w:rPr>
        <w:t>区周围</w:t>
      </w:r>
      <w:r>
        <w:rPr>
          <w:rFonts w:hint="eastAsia"/>
          <w:color w:val="000000" w:themeColor="text1"/>
          <w:sz w:val="24"/>
          <w:szCs w:val="24"/>
          <w:highlight w:val="none"/>
          <w:lang w:val="en-US" w:eastAsia="zh-CN"/>
          <w14:textFill>
            <w14:solidFill>
              <w14:schemeClr w14:val="tx1"/>
            </w14:solidFill>
          </w14:textFill>
        </w:rPr>
        <w:t>有部分村庄分布</w:t>
      </w:r>
      <w:r>
        <w:rPr>
          <w:color w:val="000000" w:themeColor="text1"/>
          <w:sz w:val="24"/>
          <w:szCs w:val="24"/>
          <w:highlight w:val="none"/>
          <w14:textFill>
            <w14:solidFill>
              <w14:schemeClr w14:val="tx1"/>
            </w14:solidFill>
          </w14:textFill>
        </w:rPr>
        <w:t>，发生事故后，及时采取相应的措施，不会对周围环境空气产生明显影响。</w:t>
      </w:r>
    </w:p>
    <w:p w14:paraId="5D7FE04B">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snapToGrid w:val="0"/>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天然气</w:t>
      </w:r>
      <w:r>
        <w:rPr>
          <w:rFonts w:hint="eastAsia"/>
          <w:color w:val="000000" w:themeColor="text1"/>
          <w:sz w:val="24"/>
          <w:szCs w:val="24"/>
          <w:highlight w:val="none"/>
          <w:lang w:eastAsia="zh-CN"/>
          <w14:textFill>
            <w14:solidFill>
              <w14:schemeClr w14:val="tx1"/>
            </w14:solidFill>
          </w14:textFill>
        </w:rPr>
        <w:t>泄漏</w:t>
      </w:r>
      <w:r>
        <w:rPr>
          <w:rFonts w:hint="eastAsia"/>
          <w:color w:val="000000" w:themeColor="text1"/>
          <w:sz w:val="24"/>
          <w:szCs w:val="24"/>
          <w:highlight w:val="none"/>
          <w14:textFill>
            <w14:solidFill>
              <w14:schemeClr w14:val="tx1"/>
            </w14:solidFill>
          </w14:textFill>
        </w:rPr>
        <w:t>及火灾事故影响分析</w:t>
      </w:r>
    </w:p>
    <w:p w14:paraId="1D287A31">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生产设施发生泄漏事故时，会造成泄漏源附近甲烷浓度的显著增加，并在一定范围内形成甲烷聚集区，在不利气象条件下会造成爆炸危险区域，如果遇到明火发生燃爆会造成区域内人员死亡。由于甲烷对人基本无毒，且甲烷密度比空气轻，泄漏后会快速扩散，因此在设施发生大量泄漏时，主要的产生的安全隐患是在空气中短时间内大量聚集，当达到爆炸极限时遇明火会发生爆炸的危险。</w:t>
      </w:r>
      <w:r>
        <w:rPr>
          <w:rFonts w:hint="eastAsia"/>
          <w:color w:val="000000" w:themeColor="text1"/>
          <w:sz w:val="24"/>
          <w:szCs w:val="24"/>
          <w:highlight w:val="none"/>
          <w:lang w:val="en-US" w:eastAsia="zh-CN"/>
          <w14:textFill>
            <w14:solidFill>
              <w14:schemeClr w14:val="tx1"/>
            </w14:solidFill>
          </w14:textFill>
        </w:rPr>
        <w:t>本工程所在区域</w:t>
      </w:r>
      <w:r>
        <w:rPr>
          <w:color w:val="000000" w:themeColor="text1"/>
          <w:sz w:val="24"/>
          <w:szCs w:val="24"/>
          <w:highlight w:val="none"/>
          <w14:textFill>
            <w14:solidFill>
              <w14:schemeClr w14:val="tx1"/>
            </w14:solidFill>
          </w14:textFill>
        </w:rPr>
        <w:t>气藏的天然气中甲烷含量很高，在发生天然气泄漏的安全事故时，散逸到环境空气中的天然气（主要为甲烷成分）在特定气象条件下，会在泄漏点附近的环境空气中形成很高浓度，但其造成的结果是形成可能发生火灾爆炸的区域，这种结果更多的属于安全风险事故</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由于甲烷对人体基本无毒，因此在</w:t>
      </w:r>
      <w:r>
        <w:rPr>
          <w:rFonts w:hint="eastAsia"/>
          <w:color w:val="000000" w:themeColor="text1"/>
          <w:sz w:val="24"/>
          <w:szCs w:val="24"/>
          <w:highlight w:val="none"/>
          <w:lang w:eastAsia="zh-CN"/>
          <w14:textFill>
            <w14:solidFill>
              <w14:schemeClr w14:val="tx1"/>
            </w14:solidFill>
          </w14:textFill>
        </w:rPr>
        <w:t>泄漏</w:t>
      </w:r>
      <w:r>
        <w:rPr>
          <w:color w:val="000000" w:themeColor="text1"/>
          <w:sz w:val="24"/>
          <w:szCs w:val="24"/>
          <w:highlight w:val="none"/>
          <w14:textFill>
            <w14:solidFill>
              <w14:schemeClr w14:val="tx1"/>
            </w14:solidFill>
          </w14:textFill>
        </w:rPr>
        <w:t>事故发生后不会造成严重的环境污染灾害事故。</w:t>
      </w:r>
    </w:p>
    <w:p w14:paraId="41C69510">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发生火灾事故的主要原因是明火造成的，当天然气或混烃发生泄漏遇明火或空气中积聚到一定浓度后发生着火会放出一定的热量，根据《危险评价方法及其应用》点源模型分析可知，火焰辐射出的能量为燃烧热的一部分，热辐射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CO、烟尘、NOx等，产生大量的消防废水</w:t>
      </w:r>
      <w:r>
        <w:rPr>
          <w:rFonts w:hint="eastAsia"/>
          <w:color w:val="000000" w:themeColor="text1"/>
          <w:sz w:val="24"/>
          <w:szCs w:val="24"/>
          <w:highlight w:val="none"/>
          <w14:textFill>
            <w14:solidFill>
              <w14:schemeClr w14:val="tx1"/>
            </w14:solidFill>
          </w14:textFill>
        </w:rPr>
        <w:t>。</w:t>
      </w:r>
    </w:p>
    <w:p w14:paraId="7405EAD4">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07" w:name="_Toc18220"/>
      <w:bookmarkStart w:id="1208" w:name="_Toc30760"/>
      <w:bookmarkStart w:id="1209" w:name="_Toc173941957"/>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.7</w:t>
      </w:r>
      <w:r>
        <w:rPr>
          <w:color w:val="000000" w:themeColor="text1"/>
          <w:sz w:val="24"/>
          <w:szCs w:val="24"/>
          <w:highlight w:val="none"/>
          <w14:textFill>
            <w14:solidFill>
              <w14:schemeClr w14:val="tx1"/>
            </w14:solidFill>
          </w14:textFill>
        </w:rPr>
        <w:t>对地下水的环境影响分析</w:t>
      </w:r>
      <w:bookmarkEnd w:id="1207"/>
      <w:bookmarkEnd w:id="1208"/>
      <w:bookmarkEnd w:id="1209"/>
    </w:p>
    <w:p w14:paraId="307E0843">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snapToGrid w:val="0"/>
          <w:color w:val="000000" w:themeColor="text1"/>
          <w:sz w:val="24"/>
          <w:szCs w:val="24"/>
          <w:highlight w:val="none"/>
          <w14:textFill>
            <w14:solidFill>
              <w14:schemeClr w14:val="tx1"/>
            </w14:solidFill>
          </w14:textFill>
        </w:rPr>
      </w:pPr>
      <w:r>
        <w:rPr>
          <w:rFonts w:hint="eastAsia"/>
          <w:snapToGrid w:val="0"/>
          <w:color w:val="000000" w:themeColor="text1"/>
          <w:sz w:val="24"/>
          <w:szCs w:val="24"/>
          <w:highlight w:val="none"/>
          <w14:textFill>
            <w14:solidFill>
              <w14:schemeClr w14:val="tx1"/>
            </w14:solidFill>
          </w14:textFill>
        </w:rPr>
        <w:t>井场</w:t>
      </w:r>
      <w:bookmarkStart w:id="1210" w:name="OLE_LINK885"/>
      <w:r>
        <w:rPr>
          <w:rFonts w:hint="eastAsia"/>
          <w:color w:val="000000" w:themeColor="text1"/>
          <w:sz w:val="24"/>
          <w:szCs w:val="24"/>
          <w:highlight w:val="none"/>
          <w14:textFill>
            <w14:solidFill>
              <w14:schemeClr w14:val="tx1"/>
            </w14:solidFill>
          </w14:textFill>
        </w:rPr>
        <w:t>多功能储集器</w:t>
      </w:r>
      <w:r>
        <w:rPr>
          <w:rFonts w:hint="eastAsia"/>
          <w:snapToGrid w:val="0"/>
          <w:color w:val="000000" w:themeColor="text1"/>
          <w:sz w:val="24"/>
          <w:szCs w:val="24"/>
          <w:highlight w:val="none"/>
          <w14:textFill>
            <w14:solidFill>
              <w14:schemeClr w14:val="tx1"/>
            </w14:solidFill>
          </w14:textFill>
        </w:rPr>
        <w:t>及混烃</w:t>
      </w:r>
      <w:r>
        <w:rPr>
          <w:rFonts w:hint="eastAsia"/>
          <w:snapToGrid w:val="0"/>
          <w:color w:val="000000" w:themeColor="text1"/>
          <w:sz w:val="24"/>
          <w:szCs w:val="24"/>
          <w:highlight w:val="none"/>
          <w:lang w:val="en-US" w:eastAsia="zh-CN"/>
          <w14:textFill>
            <w14:solidFill>
              <w14:schemeClr w14:val="tx1"/>
            </w14:solidFill>
          </w14:textFill>
        </w:rPr>
        <w:t>储罐</w:t>
      </w:r>
      <w:bookmarkEnd w:id="1210"/>
      <w:r>
        <w:rPr>
          <w:rFonts w:hint="eastAsia"/>
          <w:snapToGrid w:val="0"/>
          <w:color w:val="000000" w:themeColor="text1"/>
          <w:sz w:val="24"/>
          <w:szCs w:val="24"/>
          <w:highlight w:val="none"/>
          <w14:textFill>
            <w14:solidFill>
              <w14:schemeClr w14:val="tx1"/>
            </w14:solidFill>
          </w14:textFill>
        </w:rPr>
        <w:t>发生泄漏，</w:t>
      </w:r>
      <w:r>
        <w:rPr>
          <w:rFonts w:hint="eastAsia"/>
          <w:snapToGrid w:val="0"/>
          <w:color w:val="000000" w:themeColor="text1"/>
          <w:sz w:val="24"/>
          <w:szCs w:val="24"/>
          <w:highlight w:val="none"/>
          <w:lang w:eastAsia="zh-CN"/>
          <w14:textFill>
            <w14:solidFill>
              <w14:schemeClr w14:val="tx1"/>
            </w14:solidFill>
          </w14:textFill>
        </w:rPr>
        <w:t>泄漏</w:t>
      </w:r>
      <w:r>
        <w:rPr>
          <w:rFonts w:hint="eastAsia"/>
          <w:snapToGrid w:val="0"/>
          <w:color w:val="000000" w:themeColor="text1"/>
          <w:sz w:val="24"/>
          <w:szCs w:val="24"/>
          <w:highlight w:val="none"/>
          <w14:textFill>
            <w14:solidFill>
              <w14:schemeClr w14:val="tx1"/>
            </w14:solidFill>
          </w14:textFill>
        </w:rPr>
        <w:t>的油品通过土壤渗透影响浅层地下水，在地下水位埋深较浅的区域可能通过土壤渗透到地下水环境。在油田开发过程中，应做好井场内的防渗措施，防止泄漏事故发生。</w:t>
      </w:r>
    </w:p>
    <w:p w14:paraId="469FF1DC">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11" w:name="_Toc173941958"/>
      <w:bookmarkStart w:id="1212" w:name="_Toc5035"/>
      <w:bookmarkStart w:id="1213" w:name="_Toc19365"/>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.8</w:t>
      </w:r>
      <w:r>
        <w:rPr>
          <w:color w:val="000000" w:themeColor="text1"/>
          <w:sz w:val="24"/>
          <w:szCs w:val="24"/>
          <w:highlight w:val="none"/>
          <w14:textFill>
            <w14:solidFill>
              <w14:schemeClr w14:val="tx1"/>
            </w14:solidFill>
          </w14:textFill>
        </w:rPr>
        <w:t>对土壤环境的影响分析</w:t>
      </w:r>
      <w:bookmarkEnd w:id="1211"/>
      <w:bookmarkEnd w:id="1212"/>
      <w:bookmarkEnd w:id="1213"/>
    </w:p>
    <w:p w14:paraId="716A7A69">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snapToGrid w:val="0"/>
          <w:color w:val="000000" w:themeColor="text1"/>
          <w:sz w:val="24"/>
          <w:szCs w:val="24"/>
          <w:highlight w:val="none"/>
          <w14:textFill>
            <w14:solidFill>
              <w14:schemeClr w14:val="tx1"/>
            </w14:solidFill>
          </w14:textFill>
        </w:rPr>
      </w:pPr>
      <w:r>
        <w:rPr>
          <w:rFonts w:hint="eastAsia"/>
          <w:snapToGrid w:val="0"/>
          <w:color w:val="000000" w:themeColor="text1"/>
          <w:sz w:val="24"/>
          <w:szCs w:val="24"/>
          <w:highlight w:val="none"/>
          <w14:textFill>
            <w14:solidFill>
              <w14:schemeClr w14:val="tx1"/>
            </w14:solidFill>
          </w14:textFill>
        </w:rPr>
        <w:t>本工程井场</w:t>
      </w:r>
      <w:r>
        <w:rPr>
          <w:rFonts w:hint="eastAsia"/>
          <w:color w:val="000000" w:themeColor="text1"/>
          <w:sz w:val="24"/>
          <w:szCs w:val="24"/>
          <w:highlight w:val="none"/>
          <w14:textFill>
            <w14:solidFill>
              <w14:schemeClr w14:val="tx1"/>
            </w14:solidFill>
          </w14:textFill>
        </w:rPr>
        <w:t>多功能</w:t>
      </w:r>
      <w:bookmarkStart w:id="1214" w:name="OLE_LINK895"/>
      <w:r>
        <w:rPr>
          <w:rFonts w:hint="eastAsia"/>
          <w:color w:val="000000" w:themeColor="text1"/>
          <w:sz w:val="24"/>
          <w:szCs w:val="24"/>
          <w:highlight w:val="none"/>
          <w14:textFill>
            <w14:solidFill>
              <w14:schemeClr w14:val="tx1"/>
            </w14:solidFill>
          </w14:textFill>
        </w:rPr>
        <w:t>储集器</w:t>
      </w:r>
      <w:bookmarkEnd w:id="1214"/>
      <w:r>
        <w:rPr>
          <w:rFonts w:hint="eastAsia"/>
          <w:snapToGrid w:val="0"/>
          <w:color w:val="000000" w:themeColor="text1"/>
          <w:sz w:val="24"/>
          <w:szCs w:val="24"/>
          <w:highlight w:val="none"/>
          <w14:textFill>
            <w14:solidFill>
              <w14:schemeClr w14:val="tx1"/>
            </w14:solidFill>
          </w14:textFill>
        </w:rPr>
        <w:t>发生泄漏，</w:t>
      </w:r>
      <w:r>
        <w:rPr>
          <w:rFonts w:hint="eastAsia"/>
          <w:snapToGrid w:val="0"/>
          <w:color w:val="000000" w:themeColor="text1"/>
          <w:sz w:val="24"/>
          <w:szCs w:val="24"/>
          <w:highlight w:val="none"/>
          <w:lang w:eastAsia="zh-CN"/>
          <w14:textFill>
            <w14:solidFill>
              <w14:schemeClr w14:val="tx1"/>
            </w14:solidFill>
          </w14:textFill>
        </w:rPr>
        <w:t>泄漏</w:t>
      </w:r>
      <w:r>
        <w:rPr>
          <w:rFonts w:hint="eastAsia"/>
          <w:snapToGrid w:val="0"/>
          <w:color w:val="000000" w:themeColor="text1"/>
          <w:sz w:val="24"/>
          <w:szCs w:val="24"/>
          <w:highlight w:val="none"/>
          <w14:textFill>
            <w14:solidFill>
              <w14:schemeClr w14:val="tx1"/>
            </w14:solidFill>
          </w14:textFill>
        </w:rPr>
        <w:t>的油品进入土壤可使土壤肥力下降从而抑制植物的生长，并有可能危害人体健康。在油田开发过程中，应做好井场内的防渗措施，防止泄漏事故发生。</w:t>
      </w:r>
    </w:p>
    <w:p w14:paraId="17360CE8">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综上所述，本工程发生油类物质</w:t>
      </w:r>
      <w:r>
        <w:rPr>
          <w:rFonts w:hint="eastAsia"/>
          <w:color w:val="000000" w:themeColor="text1"/>
          <w:sz w:val="24"/>
          <w:szCs w:val="24"/>
          <w:highlight w:val="none"/>
          <w:lang w:eastAsia="zh-CN"/>
          <w14:textFill>
            <w14:solidFill>
              <w14:schemeClr w14:val="tx1"/>
            </w14:solidFill>
          </w14:textFill>
        </w:rPr>
        <w:t>泄漏</w:t>
      </w:r>
      <w:r>
        <w:rPr>
          <w:rFonts w:hint="eastAsia"/>
          <w:color w:val="000000" w:themeColor="text1"/>
          <w:sz w:val="24"/>
          <w:szCs w:val="24"/>
          <w:highlight w:val="none"/>
          <w14:textFill>
            <w14:solidFill>
              <w14:schemeClr w14:val="tx1"/>
            </w14:solidFill>
          </w14:textFill>
        </w:rPr>
        <w:t>事故后，及时采取相应的措施，不会对周围土壤环境产生明显影响</w:t>
      </w:r>
      <w:r>
        <w:rPr>
          <w:color w:val="000000" w:themeColor="text1"/>
          <w:sz w:val="24"/>
          <w:szCs w:val="24"/>
          <w:highlight w:val="none"/>
          <w14:textFill>
            <w14:solidFill>
              <w14:schemeClr w14:val="tx1"/>
            </w14:solidFill>
          </w14:textFill>
        </w:rPr>
        <w:t>。</w:t>
      </w:r>
    </w:p>
    <w:p w14:paraId="6DB4DC26">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5.8.4</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对</w:t>
      </w:r>
      <w:r>
        <w:rPr>
          <w:rFonts w:hint="eastAsia"/>
          <w:color w:val="000000" w:themeColor="text1"/>
          <w:sz w:val="24"/>
          <w:szCs w:val="24"/>
          <w:highlight w:val="none"/>
          <w:lang w:val="en-US" w:eastAsia="zh-CN"/>
          <w14:textFill>
            <w14:solidFill>
              <w14:schemeClr w14:val="tx1"/>
            </w14:solidFill>
          </w14:textFill>
        </w:rPr>
        <w:t>永久基本农田</w:t>
      </w:r>
      <w:r>
        <w:rPr>
          <w:rFonts w:hint="eastAsia"/>
          <w:color w:val="000000" w:themeColor="text1"/>
          <w:sz w:val="24"/>
          <w:szCs w:val="24"/>
          <w:highlight w:val="none"/>
          <w14:textFill>
            <w14:solidFill>
              <w14:schemeClr w14:val="tx1"/>
            </w14:solidFill>
          </w14:textFill>
        </w:rPr>
        <w:t>的影响</w:t>
      </w:r>
    </w:p>
    <w:p w14:paraId="36A3AFF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钻井井场的环境风险主要包括钻井液泄漏、含油废水溢出、化学品泄漏、噪声污染等，近距离下易对基本农田造成污染，需针对性防控。</w:t>
      </w:r>
    </w:p>
    <w:p w14:paraId="00A8B8F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（1）钻井液（泥浆）泄漏风险</w:t>
      </w:r>
    </w:p>
    <w:p w14:paraId="62EDFB2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钻井液含有黏土、加重剂（如重晶石，含钡）、处理剂（如聚丙烯酰胺、烧碱、润滑剂等），若因储液罐破损、管道破裂或作业失误导致泄漏，会流入农田：高黏度钻井液覆盖土壤表面，阻断土壤透气和渗水，导致作物根系缺氧死亡；处理剂中的化学物质（如强碱）会改变土壤pH值，破坏土壤酸碱平衡；重晶石中的钡离子若超标，会在土壤中累积，通过作物吸收进入食物链。</w:t>
      </w:r>
    </w:p>
    <w:p w14:paraId="517B5D0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（二）生产废水风险</w:t>
      </w:r>
    </w:p>
    <w:p w14:paraId="0D8935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井场生产废水若泄漏，其中的石油类物质会污染土壤，抑制土壤微生物活性，导致土壤板结。</w:t>
      </w:r>
    </w:p>
    <w:p w14:paraId="115CB7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（三）化学品泄漏风险</w:t>
      </w:r>
    </w:p>
    <w:p w14:paraId="27367A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井场使用的钻井液原辅料若泄漏，会导致土壤酸化或碱化，杀死土壤中的有益微生物，破坏土壤生态。</w:t>
      </w:r>
    </w:p>
    <w:p w14:paraId="38B4EABA">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_Toc19824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5.8.5环境风险分析</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p>
    <w:p w14:paraId="72FAE49E">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rFonts w:hint="eastAsia" w:ascii="Times New Roman" w:hAnsi="Times New Roman" w:eastAsia="宋体" w:cs="Times New Roman"/>
          <w:color w:val="000000" w:themeColor="text1"/>
          <w:sz w:val="24"/>
          <w:szCs w:val="24"/>
          <w:highlight w:val="none"/>
          <w14:textFill>
            <w14:solidFill>
              <w14:schemeClr w14:val="tx1"/>
            </w14:solidFill>
          </w14:textFill>
        </w:rPr>
      </w:pPr>
      <w:bookmarkStart w:id="1215" w:name="OLE_LINK886"/>
      <w:bookmarkStart w:id="1216" w:name="_Toc12283"/>
      <w:bookmarkStart w:id="1217" w:name="_Toc173941961"/>
      <w:bookmarkStart w:id="1218" w:name="_Toc21672"/>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5.8.5.1</w:t>
      </w:r>
      <w:bookmarkEnd w:id="1215"/>
      <w:r>
        <w:rPr>
          <w:rFonts w:hint="eastAsia" w:ascii="Times New Roman" w:hAnsi="Times New Roman" w:eastAsia="宋体" w:cs="Times New Roman"/>
          <w:color w:val="000000" w:themeColor="text1"/>
          <w:sz w:val="24"/>
          <w:szCs w:val="24"/>
          <w:highlight w:val="none"/>
          <w14:textFill>
            <w14:solidFill>
              <w14:schemeClr w14:val="tx1"/>
            </w14:solidFill>
          </w14:textFill>
        </w:rPr>
        <w:t>井喷事故风险预防措施</w:t>
      </w:r>
      <w:bookmarkEnd w:id="1216"/>
      <w:bookmarkEnd w:id="1217"/>
      <w:bookmarkEnd w:id="1218"/>
    </w:p>
    <w:p w14:paraId="1C2A06F5">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（1）严格按照设计规范</w:t>
      </w:r>
      <w:r>
        <w:rPr>
          <w:color w:val="000000" w:themeColor="text1"/>
          <w:sz w:val="24"/>
          <w:szCs w:val="24"/>
          <w:highlight w:val="none"/>
          <w14:textFill>
            <w14:solidFill>
              <w14:schemeClr w14:val="tx1"/>
            </w14:solidFill>
          </w14:textFill>
        </w:rPr>
        <w:t>安装防喷器和井控装置，以最大限度地降低井喷事故的发生。</w:t>
      </w:r>
    </w:p>
    <w:p w14:paraId="22FCC1E8">
      <w:pPr>
        <w:pageBreakBefore w:val="0"/>
        <w:kinsoku/>
        <w:wordWrap/>
        <w:overflowPunct/>
        <w:topLinePunct w:val="0"/>
        <w:autoSpaceDE/>
        <w:autoSpaceDN/>
        <w:bidi w:val="0"/>
        <w:adjustRightInd w:val="0"/>
        <w:snapToGrid w:val="0"/>
        <w:spacing w:line="360" w:lineRule="auto"/>
        <w:ind w:firstLine="48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加强自动控制系统的管理和控制，严格控制</w:t>
      </w:r>
      <w:r>
        <w:rPr>
          <w:rFonts w:hint="eastAsia"/>
          <w:color w:val="000000" w:themeColor="text1"/>
          <w:sz w:val="24"/>
          <w:szCs w:val="24"/>
          <w:highlight w:val="none"/>
          <w14:textFill>
            <w14:solidFill>
              <w14:schemeClr w14:val="tx1"/>
            </w14:solidFill>
          </w14:textFill>
        </w:rPr>
        <w:t>井筒和地层的</w:t>
      </w:r>
      <w:r>
        <w:rPr>
          <w:color w:val="000000" w:themeColor="text1"/>
          <w:sz w:val="24"/>
          <w:szCs w:val="24"/>
          <w:highlight w:val="none"/>
          <w14:textFill>
            <w14:solidFill>
              <w14:schemeClr w14:val="tx1"/>
            </w14:solidFill>
          </w14:textFill>
        </w:rPr>
        <w:t>压力平衡。</w:t>
      </w:r>
    </w:p>
    <w:p w14:paraId="3AF70872">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按规定进行</w:t>
      </w:r>
      <w:r>
        <w:rPr>
          <w:rFonts w:hint="eastAsia"/>
          <w:color w:val="000000" w:themeColor="text1"/>
          <w:sz w:val="24"/>
          <w:szCs w:val="24"/>
          <w:highlight w:val="none"/>
          <w14:textFill>
            <w14:solidFill>
              <w14:schemeClr w14:val="tx1"/>
            </w14:solidFill>
          </w14:textFill>
        </w:rPr>
        <w:t>井场</w:t>
      </w:r>
      <w:r>
        <w:rPr>
          <w:color w:val="000000" w:themeColor="text1"/>
          <w:sz w:val="24"/>
          <w:szCs w:val="24"/>
          <w:highlight w:val="none"/>
          <w14:textFill>
            <w14:solidFill>
              <w14:schemeClr w14:val="tx1"/>
            </w14:solidFill>
          </w14:textFill>
        </w:rPr>
        <w:t>设备维修、保养，及时更换易损及老化部件，防止油气泄漏事故的发生。</w:t>
      </w:r>
    </w:p>
    <w:p w14:paraId="0FDE5260">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井下作业之前，在井场周围划分高压区和低压区，高压泵、高压汇管、井口装置等高压设备均布置于高压区内，施工过程中，高压区无关人员全部撤离，并设置安全警戒岗。每一次井下作业施工前，必须对高压汇管进行试压，试压压力大于施工压力，施工后必须探伤，更换不符合要求的汇管。</w:t>
      </w:r>
    </w:p>
    <w:p w14:paraId="736EB932">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19" w:name="_Toc20603"/>
      <w:bookmarkStart w:id="1220" w:name="_Toc1156"/>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5.8.5.2</w:t>
      </w:r>
      <w:r>
        <w:rPr>
          <w:rFonts w:hint="eastAsia"/>
          <w:color w:val="000000" w:themeColor="text1"/>
          <w:sz w:val="24"/>
          <w:szCs w:val="24"/>
          <w:highlight w:val="none"/>
          <w14:textFill>
            <w14:solidFill>
              <w14:schemeClr w14:val="tx1"/>
            </w14:solidFill>
          </w14:textFill>
        </w:rPr>
        <w:t>井漏事故风险防范措施</w:t>
      </w:r>
      <w:bookmarkEnd w:id="1219"/>
      <w:bookmarkEnd w:id="1220"/>
    </w:p>
    <w:p w14:paraId="10279628">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（1）采用双层套管，表层套管完全封闭各含水层，固井水泥均上返地面，这样，在各含水层与井筒间形成双层套管、单层水泥环的保护措施，将事故风险降低到最低。</w:t>
      </w:r>
    </w:p>
    <w:p w14:paraId="4E969279">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设置地下水监测井，</w:t>
      </w:r>
      <w:r>
        <w:rPr>
          <w:color w:val="000000" w:themeColor="text1"/>
          <w:sz w:val="24"/>
          <w:szCs w:val="24"/>
          <w:highlight w:val="none"/>
          <w14:textFill>
            <w14:solidFill>
              <w14:schemeClr w14:val="tx1"/>
            </w14:solidFill>
          </w14:textFill>
        </w:rPr>
        <w:t>定期对</w:t>
      </w:r>
      <w:r>
        <w:rPr>
          <w:rFonts w:hint="eastAsia"/>
          <w:color w:val="000000" w:themeColor="text1"/>
          <w:sz w:val="24"/>
          <w:szCs w:val="24"/>
          <w:highlight w:val="none"/>
          <w14:textFill>
            <w14:solidFill>
              <w14:schemeClr w14:val="tx1"/>
            </w14:solidFill>
          </w14:textFill>
        </w:rPr>
        <w:t>工程区</w:t>
      </w:r>
      <w:r>
        <w:rPr>
          <w:color w:val="000000" w:themeColor="text1"/>
          <w:sz w:val="24"/>
          <w:szCs w:val="24"/>
          <w:highlight w:val="none"/>
          <w14:textFill>
            <w14:solidFill>
              <w14:schemeClr w14:val="tx1"/>
            </w14:solidFill>
          </w14:textFill>
        </w:rPr>
        <w:t>各地下水层监测井采样分析，一个季度采样一次，分析项目为COD、石油类、挥发酚等石油特征指标，根据监测指标的变化趋势，对可能产生的隐蔽污染，做到及时发现，尽早处理。</w:t>
      </w:r>
    </w:p>
    <w:p w14:paraId="01FF9778">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（3）及时展开隐蔽污染源调查，查明隐蔽污染源之所在，采取果断措施，截断隐蔽污染源的扩散途径。</w:t>
      </w:r>
    </w:p>
    <w:p w14:paraId="00B8D7BB">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21" w:name="_Toc173941965"/>
      <w:bookmarkStart w:id="1222" w:name="_Toc22592"/>
      <w:bookmarkStart w:id="1223" w:name="_Toc23857"/>
      <w:bookmarkStart w:id="1224" w:name="OLE_LINK1473"/>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5.8.5.3</w:t>
      </w:r>
      <w:r>
        <w:rPr>
          <w:rFonts w:hint="eastAsia"/>
          <w:color w:val="000000" w:themeColor="text1"/>
          <w:sz w:val="24"/>
          <w:szCs w:val="24"/>
          <w:highlight w:val="none"/>
          <w14:textFill>
            <w14:solidFill>
              <w14:schemeClr w14:val="tx1"/>
            </w14:solidFill>
          </w14:textFill>
        </w:rPr>
        <w:t>井场风险防范措施</w:t>
      </w:r>
      <w:bookmarkEnd w:id="1221"/>
      <w:bookmarkEnd w:id="1222"/>
      <w:bookmarkEnd w:id="1223"/>
    </w:p>
    <w:p w14:paraId="12FA2A72">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w:t>
      </w:r>
      <w:bookmarkEnd w:id="1224"/>
      <w:r>
        <w:rPr>
          <w:color w:val="000000" w:themeColor="text1"/>
          <w:sz w:val="24"/>
          <w:szCs w:val="24"/>
          <w:highlight w:val="none"/>
          <w14:textFill>
            <w14:solidFill>
              <w14:schemeClr w14:val="tx1"/>
            </w14:solidFill>
          </w14:textFill>
        </w:rPr>
        <w:t>平面布置中尽量将火灾危险性相近的设施集中布置，并保持规定的防火距离；将全场内的明火点控制到</w:t>
      </w:r>
      <w:r>
        <w:rPr>
          <w:rFonts w:hint="eastAsia"/>
          <w:color w:val="000000" w:themeColor="text1"/>
          <w:sz w:val="24"/>
          <w:szCs w:val="24"/>
          <w:highlight w:val="none"/>
          <w:lang w:eastAsia="zh-CN"/>
          <w14:textFill>
            <w14:solidFill>
              <w14:schemeClr w14:val="tx1"/>
            </w14:solidFill>
          </w14:textFill>
        </w:rPr>
        <w:t>最小</w:t>
      </w:r>
      <w:r>
        <w:rPr>
          <w:color w:val="000000" w:themeColor="text1"/>
          <w:sz w:val="24"/>
          <w:szCs w:val="24"/>
          <w:highlight w:val="none"/>
          <w14:textFill>
            <w14:solidFill>
              <w14:schemeClr w14:val="tx1"/>
            </w14:solidFill>
          </w14:textFill>
        </w:rPr>
        <w:t>，并布置在生产区场地边缘部位；有油气散发的场所布置在有明火或散发火花地点的当地全年最小频率风向的上风侧。</w:t>
      </w:r>
    </w:p>
    <w:p w14:paraId="06F8E295">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（2）在建、构筑物区域内设置接地装置，必要时可加装消雷器。工艺设备、塔、架等设置防静电接地装置；变压器等采用避雷器作为防雷保护。</w:t>
      </w:r>
    </w:p>
    <w:p w14:paraId="0354C500">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（3）按规定配置齐全各类消防设施，并定期进行检查，保持完好可用。</w:t>
      </w:r>
    </w:p>
    <w:p w14:paraId="41F8ED7F">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井场</w:t>
      </w:r>
      <w:r>
        <w:rPr>
          <w:color w:val="000000" w:themeColor="text1"/>
          <w:sz w:val="24"/>
          <w:szCs w:val="24"/>
          <w:highlight w:val="none"/>
          <w14:textFill>
            <w14:solidFill>
              <w14:schemeClr w14:val="tx1"/>
            </w14:solidFill>
          </w14:textFill>
        </w:rPr>
        <w:t>内的装置区等均为爆炸火灾危险区域，区域内的配电设备均应采用防爆型；根据各建筑物的不同防爆等级采取相应的防爆措施。</w:t>
      </w:r>
    </w:p>
    <w:p w14:paraId="167B93E8">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b/>
          <w:bCs/>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（5）在可能产生易燃易爆介质泄漏的地方，设置可燃气体检测报警器，以便及时发现事故隐患。</w:t>
      </w:r>
    </w:p>
    <w:p w14:paraId="6775EAE2">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（6）井场应</w:t>
      </w:r>
      <w:r>
        <w:rPr>
          <w:color w:val="000000" w:themeColor="text1"/>
          <w:sz w:val="24"/>
          <w:szCs w:val="24"/>
          <w:highlight w:val="none"/>
          <w14:textFill>
            <w14:solidFill>
              <w14:schemeClr w14:val="tx1"/>
            </w14:solidFill>
          </w14:textFill>
        </w:rPr>
        <w:t>采取多种防井喷控制措施、防漏措施和固井措施，防止发生井喷等事故；按规范设置安全防火距离，配置相应消防设施。</w:t>
      </w:r>
      <w:r>
        <w:rPr>
          <w:rFonts w:hint="eastAsia"/>
          <w:color w:val="000000" w:themeColor="text1"/>
          <w:sz w:val="24"/>
          <w:szCs w:val="24"/>
          <w:highlight w:val="none"/>
          <w14:textFill>
            <w14:solidFill>
              <w14:schemeClr w14:val="tx1"/>
            </w14:solidFill>
          </w14:textFill>
        </w:rPr>
        <w:t>加强工作人员和车辆管理，必须在规定的路线和范围内活动，严禁乱压乱碾，加强防火措施，</w:t>
      </w:r>
      <w:r>
        <w:rPr>
          <w:color w:val="000000" w:themeColor="text1"/>
          <w:sz w:val="24"/>
          <w:szCs w:val="24"/>
          <w:highlight w:val="none"/>
          <w14:textFill>
            <w14:solidFill>
              <w14:schemeClr w14:val="tx1"/>
            </w14:solidFill>
          </w14:textFill>
        </w:rPr>
        <w:t>防止火灾</w:t>
      </w:r>
      <w:r>
        <w:rPr>
          <w:rFonts w:hint="eastAsia"/>
          <w:color w:val="000000" w:themeColor="text1"/>
          <w:sz w:val="24"/>
          <w:szCs w:val="24"/>
          <w:highlight w:val="none"/>
          <w14:textFill>
            <w14:solidFill>
              <w14:schemeClr w14:val="tx1"/>
            </w14:solidFill>
          </w14:textFill>
        </w:rPr>
        <w:t>发生</w:t>
      </w:r>
      <w:r>
        <w:rPr>
          <w:color w:val="000000" w:themeColor="text1"/>
          <w:sz w:val="24"/>
          <w:szCs w:val="24"/>
          <w:highlight w:val="none"/>
          <w14:textFill>
            <w14:solidFill>
              <w14:schemeClr w14:val="tx1"/>
            </w14:solidFill>
          </w14:textFill>
        </w:rPr>
        <w:t>。</w:t>
      </w:r>
    </w:p>
    <w:p w14:paraId="4F15F8C0">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w:t>
      </w:r>
      <w:r>
        <w:rPr>
          <w:color w:val="000000" w:themeColor="text1"/>
          <w:sz w:val="24"/>
          <w:szCs w:val="24"/>
          <w:highlight w:val="none"/>
          <w14:textFill>
            <w14:solidFill>
              <w14:schemeClr w14:val="tx1"/>
            </w14:solidFill>
          </w14:textFill>
        </w:rPr>
        <w:t>事故时所有排放气体均密闭放空至火炬系统燃烧后排放，不允许就地排入大气；储罐区</w:t>
      </w:r>
      <w:r>
        <w:rPr>
          <w:rFonts w:hint="eastAsia"/>
          <w:color w:val="000000" w:themeColor="text1"/>
          <w:sz w:val="24"/>
          <w:szCs w:val="24"/>
          <w:highlight w:val="none"/>
          <w14:textFill>
            <w14:solidFill>
              <w14:schemeClr w14:val="tx1"/>
            </w14:solidFill>
          </w14:textFill>
        </w:rPr>
        <w:t>周围设置防火堤。</w:t>
      </w:r>
    </w:p>
    <w:p w14:paraId="285D53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14:textFill>
            <w14:solidFill>
              <w14:schemeClr w14:val="tx1"/>
            </w14:solidFill>
          </w14:textFill>
        </w:rPr>
        <w:t>）建设单位应在施工期严把质量关，严格按照环评提出的分区防渗要求进行防渗体系建设；运营期应严格按照地下水污染防治管理要求规范生产活动，编制企业环境风险应急预案并建立相关配套环保制度，定期检查防渗层及罐体的破损情况，定期开展地下水环境监测，将地下水污染事故的发生概率</w:t>
      </w:r>
      <w:r>
        <w:rPr>
          <w:rFonts w:hint="eastAsia"/>
          <w:color w:val="000000" w:themeColor="text1"/>
          <w:sz w:val="24"/>
          <w:szCs w:val="24"/>
          <w:highlight w:val="none"/>
          <w:lang w:eastAsia="zh-CN"/>
          <w14:textFill>
            <w14:solidFill>
              <w14:schemeClr w14:val="tx1"/>
            </w14:solidFill>
          </w14:textFill>
        </w:rPr>
        <w:t>降</w:t>
      </w:r>
      <w:r>
        <w:rPr>
          <w:rFonts w:hint="eastAsia"/>
          <w:color w:val="000000" w:themeColor="text1"/>
          <w:sz w:val="24"/>
          <w:szCs w:val="24"/>
          <w:highlight w:val="none"/>
          <w14:textFill>
            <w14:solidFill>
              <w14:schemeClr w14:val="tx1"/>
            </w14:solidFill>
          </w14:textFill>
        </w:rPr>
        <w:t>至最低。</w:t>
      </w:r>
    </w:p>
    <w:p w14:paraId="05101284">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5.8.5.4</w:t>
      </w:r>
      <w:r>
        <w:rPr>
          <w:rFonts w:hint="eastAsia"/>
          <w:color w:val="000000" w:themeColor="text1"/>
          <w:sz w:val="24"/>
          <w:szCs w:val="24"/>
          <w:highlight w:val="none"/>
          <w14:textFill>
            <w14:solidFill>
              <w14:schemeClr w14:val="tx1"/>
            </w14:solidFill>
          </w14:textFill>
        </w:rPr>
        <w:t>液体储罐的风险防范措施</w:t>
      </w:r>
    </w:p>
    <w:p w14:paraId="3ACD35EC">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bookmarkStart w:id="1225" w:name="OLE_LINK1474"/>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（1）</w:t>
      </w:r>
      <w:bookmarkEnd w:id="1225"/>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按生产工艺合理划分和安全布局，各生产设施间满足规定的防火间距。</w:t>
      </w:r>
    </w:p>
    <w:p w14:paraId="53865C8C">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（2）本工程自动化程度高，由控制中心进行统一监控和管理，遇有紧急情况或事故发生，可实现紧急控制和切断，提高系统的可靠性和安全性。</w:t>
      </w:r>
    </w:p>
    <w:p w14:paraId="46CC14CF">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（3）在油气可能泄漏和积聚的场所设置可燃气体浓度检测报警装置。爆炸危险区域内的所有电气设备全部选用防爆型，并满足相应的防爆等级和组别。</w:t>
      </w:r>
    </w:p>
    <w:p w14:paraId="2DAC034E">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（4）运营期井场使用火炬，泄放燃烧超压天然气。</w:t>
      </w:r>
    </w:p>
    <w:p w14:paraId="4E81CB0A">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（5）运营期井场的储罐区外围设0.5m高围堰，C20混凝土修筑。储罐区下方按一般防渗要求防渗。</w:t>
      </w:r>
    </w:p>
    <w:p w14:paraId="24B7250F">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（6）加强日常生产监督管理和安全运行检查工作，对各种设备、油罐、阀门定期进行检查，防止跑、冒、滴、漏，及时巡查，消除事故隐患。</w:t>
      </w:r>
    </w:p>
    <w:p w14:paraId="2E933A80">
      <w:pPr>
        <w:pageBreakBefore w:val="0"/>
        <w:kinsoku/>
        <w:wordWrap/>
        <w:overflowPunct/>
        <w:topLinePunct w:val="0"/>
        <w:autoSpaceDE/>
        <w:autoSpaceDN/>
        <w:bidi w:val="0"/>
        <w:adjustRightInd w:val="0"/>
        <w:snapToGrid w:val="0"/>
        <w:spacing w:beforeLines="0" w:after="0" w:line="360" w:lineRule="auto"/>
        <w:ind w:firstLine="480" w:firstLineChars="200"/>
        <w:textAlignment w:val="auto"/>
        <w:outlineLvl w:val="9"/>
        <w:rPr>
          <w:rFonts w:hint="default"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宋体"/>
          <w:b w:val="0"/>
          <w:snapToGrid/>
          <w:color w:val="000000" w:themeColor="text1"/>
          <w:kern w:val="0"/>
          <w:sz w:val="24"/>
          <w:szCs w:val="24"/>
          <w:highlight w:val="none"/>
          <w:lang w:val="en-US" w:eastAsia="zh-CN" w:bidi="ar-SA"/>
          <w14:textFill>
            <w14:solidFill>
              <w14:schemeClr w14:val="tx1"/>
            </w14:solidFill>
          </w14:textFill>
        </w:rPr>
        <w:t>（7）加强职工安全意识教育和安全生产技术培训，制定安全生产操作规程。</w:t>
      </w:r>
    </w:p>
    <w:p w14:paraId="07641721">
      <w:pPr>
        <w:pStyle w:val="59"/>
        <w:pageBreakBefore w:val="0"/>
        <w:kinsoku/>
        <w:wordWrap/>
        <w:overflowPunct/>
        <w:topLinePunct w:val="0"/>
        <w:autoSpaceDE/>
        <w:autoSpaceDN/>
        <w:bidi w:val="0"/>
        <w:adjustRightInd w:val="0"/>
        <w:snapToGrid w:val="0"/>
        <w:spacing w:before="0" w:beforeLines="0" w:after="0" w:afterLines="0" w:line="360" w:lineRule="auto"/>
        <w:textAlignment w:val="auto"/>
        <w:outlineLvl w:val="3"/>
        <w:rPr>
          <w:color w:val="000000" w:themeColor="text1"/>
          <w:sz w:val="24"/>
          <w:szCs w:val="24"/>
          <w:highlight w:val="none"/>
          <w14:textFill>
            <w14:solidFill>
              <w14:schemeClr w14:val="tx1"/>
            </w14:solidFill>
          </w14:textFill>
        </w:rPr>
      </w:pPr>
      <w:bookmarkStart w:id="1226" w:name="_Toc4100"/>
      <w:bookmarkStart w:id="1227" w:name="_Toc28172"/>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5.8.5.</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宋体" w:hAnsi="宋体"/>
          <w:color w:val="000000" w:themeColor="text1"/>
          <w:sz w:val="24"/>
          <w:szCs w:val="24"/>
          <w:highlight w:val="none"/>
          <w14:textFill>
            <w14:solidFill>
              <w14:schemeClr w14:val="tx1"/>
            </w14:solidFill>
          </w14:textFill>
        </w:rPr>
        <w:t>天然气</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凝析油</w:t>
      </w:r>
      <w:r>
        <w:rPr>
          <w:rFonts w:ascii="宋体" w:hAnsi="宋体"/>
          <w:color w:val="000000" w:themeColor="text1"/>
          <w:sz w:val="24"/>
          <w:szCs w:val="24"/>
          <w:highlight w:val="none"/>
          <w14:textFill>
            <w14:solidFill>
              <w14:schemeClr w14:val="tx1"/>
            </w14:solidFill>
          </w14:textFill>
        </w:rPr>
        <w:t>运输风险</w:t>
      </w:r>
      <w:r>
        <w:rPr>
          <w:rFonts w:hint="eastAsia" w:ascii="宋体" w:hAnsi="宋体"/>
          <w:color w:val="000000" w:themeColor="text1"/>
          <w:sz w:val="24"/>
          <w:szCs w:val="24"/>
          <w:highlight w:val="none"/>
          <w14:textFill>
            <w14:solidFill>
              <w14:schemeClr w14:val="tx1"/>
            </w14:solidFill>
          </w14:textFill>
        </w:rPr>
        <w:t>措施</w:t>
      </w:r>
      <w:bookmarkEnd w:id="1226"/>
      <w:bookmarkEnd w:id="1227"/>
    </w:p>
    <w:p w14:paraId="627D0BD7">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（1）罐车是</w:t>
      </w:r>
      <w:r>
        <w:rPr>
          <w:rFonts w:hint="eastAsia" w:ascii="宋体" w:hAnsi="宋体"/>
          <w:color w:val="000000" w:themeColor="text1"/>
          <w:sz w:val="24"/>
          <w:szCs w:val="24"/>
          <w:highlight w:val="none"/>
          <w14:textFill>
            <w14:solidFill>
              <w14:schemeClr w14:val="tx1"/>
            </w14:solidFill>
          </w14:textFill>
        </w:rPr>
        <w:t>天然气</w:t>
      </w:r>
      <w:r>
        <w:rPr>
          <w:rFonts w:hint="eastAsia" w:ascii="宋体" w:hAnsi="宋体"/>
          <w:color w:val="000000" w:themeColor="text1"/>
          <w:sz w:val="24"/>
          <w:szCs w:val="24"/>
          <w:highlight w:val="none"/>
          <w:lang w:val="en-US" w:eastAsia="zh-CN"/>
          <w14:textFill>
            <w14:solidFill>
              <w14:schemeClr w14:val="tx1"/>
            </w14:solidFill>
          </w14:textFill>
        </w:rPr>
        <w:t>和凝析油</w:t>
      </w:r>
      <w:r>
        <w:rPr>
          <w:color w:val="000000" w:themeColor="text1"/>
          <w:sz w:val="24"/>
          <w:szCs w:val="24"/>
          <w:highlight w:val="none"/>
          <w14:textFill>
            <w14:solidFill>
              <w14:schemeClr w14:val="tx1"/>
            </w14:solidFill>
          </w14:textFill>
        </w:rPr>
        <w:t>的运输工具，必须认真执行《压力容器安全技术监察规程》及原劳动部颁发的《液化气体汽车罐车安全监察规程》</w:t>
      </w:r>
      <w:r>
        <w:rPr>
          <w:rFonts w:hint="eastAsia"/>
          <w:color w:val="000000" w:themeColor="text1"/>
          <w:sz w:val="24"/>
          <w:szCs w:val="24"/>
          <w:highlight w:val="none"/>
          <w14:textFill>
            <w14:solidFill>
              <w14:schemeClr w14:val="tx1"/>
            </w14:solidFill>
          </w14:textFill>
        </w:rPr>
        <w:t>以及相关运行安全规范</w:t>
      </w:r>
      <w:r>
        <w:rPr>
          <w:color w:val="000000" w:themeColor="text1"/>
          <w:sz w:val="24"/>
          <w:szCs w:val="24"/>
          <w:highlight w:val="none"/>
          <w14:textFill>
            <w14:solidFill>
              <w14:schemeClr w14:val="tx1"/>
            </w14:solidFill>
          </w14:textFill>
        </w:rPr>
        <w:t>的有关条款。</w:t>
      </w:r>
    </w:p>
    <w:p w14:paraId="76C1C639">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（2）罐车必须有材质分析、探伤检查、热处理、水压试验和气密试验等技术资料，并有合格证书，旧罐车应按期检查。</w:t>
      </w:r>
    </w:p>
    <w:p w14:paraId="6252E98D">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（3）安全阀、压力表、液位计、进出口阀、手动放空阀、压力表经过校验并有铅封。</w:t>
      </w:r>
    </w:p>
    <w:p w14:paraId="189C2970">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（4）色别、标志必须清楚。</w:t>
      </w:r>
    </w:p>
    <w:p w14:paraId="2E6CFC03">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（5）罐车必须定期检验。检验间隔是：每6年进行1次全面检验，每年进行1次年度检验。</w:t>
      </w:r>
    </w:p>
    <w:p w14:paraId="20406C07">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（6）使用过程中，在任何情况下，必须留有不少于最大充装重量0.5%或100kg的余量，且余压不低于0.1MPa。</w:t>
      </w:r>
    </w:p>
    <w:p w14:paraId="79193E7C">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（7）罐车检修必须严格执行有关安全检修制度、安全动火制度以及防火防爆安全技术规程的规定。</w:t>
      </w:r>
    </w:p>
    <w:p w14:paraId="65D0C243">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（8）罐车每次充装，都应按规定的表格认真填写充装记录。</w:t>
      </w:r>
    </w:p>
    <w:p w14:paraId="55C1895A">
      <w:pPr>
        <w:pStyle w:val="129"/>
        <w:pageBreakBefore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5.8.5.</w:t>
      </w:r>
      <w:r>
        <w:rPr>
          <w:rFonts w:hint="eastAsia" w:cs="Times New Roman"/>
          <w:b/>
          <w:snapToGrid w:val="0"/>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危险废物运输风险防范措施</w:t>
      </w:r>
    </w:p>
    <w:p w14:paraId="3B71534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运输时应当采取密闭、遮盖措施防止渗漏。</w:t>
      </w:r>
    </w:p>
    <w:p w14:paraId="12BC9E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对运输危险废物的设施和设备应当加强管理和维护，保证其正常运行和使用。</w:t>
      </w:r>
    </w:p>
    <w:p w14:paraId="477A5B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不能混合运输性质不相容而又未经安全性处置的危险废物。</w:t>
      </w:r>
    </w:p>
    <w:p w14:paraId="35F53B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转移危险废物时，必须按照规定填危险废物转移联单，并向危险废物移出地和</w:t>
      </w:r>
      <w:r>
        <w:rPr>
          <w:rFonts w:hint="eastAsia" w:cs="Times New Roman"/>
          <w:color w:val="000000" w:themeColor="text1"/>
          <w:highlight w:val="none"/>
          <w:lang w:eastAsia="zh-CN"/>
          <w14:textFill>
            <w14:solidFill>
              <w14:schemeClr w14:val="tx1"/>
            </w14:solidFill>
          </w14:textFill>
        </w:rPr>
        <w:t>接收</w:t>
      </w:r>
      <w:r>
        <w:rPr>
          <w:rFonts w:hint="default" w:ascii="Times New Roman" w:hAnsi="Times New Roman" w:cs="Times New Roman"/>
          <w:color w:val="000000" w:themeColor="text1"/>
          <w:highlight w:val="none"/>
          <w14:textFill>
            <w14:solidFill>
              <w14:schemeClr w14:val="tx1"/>
            </w14:solidFill>
          </w14:textFill>
        </w:rPr>
        <w:t>地的县级以上地方人民政府生态环境行政主管部门报告。</w:t>
      </w:r>
    </w:p>
    <w:p w14:paraId="34FE1A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禁止将危险废物与旅客在同一运输工具上载运</w:t>
      </w:r>
      <w:r>
        <w:rPr>
          <w:rFonts w:hint="eastAsia" w:ascii="Times New Roman" w:hAnsi="Times New Roman" w:cs="Times New Roman"/>
          <w:color w:val="000000" w:themeColor="text1"/>
          <w:highlight w:val="none"/>
          <w:lang w:eastAsia="zh-CN"/>
          <w14:textFill>
            <w14:solidFill>
              <w14:schemeClr w14:val="tx1"/>
            </w14:solidFill>
          </w14:textFill>
        </w:rPr>
        <w:t>。</w:t>
      </w:r>
    </w:p>
    <w:p w14:paraId="69794D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运输危险废物的设施和设备在转作他用时，必须经过消除污染的处理，方可使用。</w:t>
      </w:r>
    </w:p>
    <w:p w14:paraId="1F099E8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运输危险废物的人员，应当接受专业培训；经考核合格后，方可从事运输危险废物的工作。</w:t>
      </w:r>
    </w:p>
    <w:p w14:paraId="024169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运输危险废物的单位应当制定在发生意外事故时采取的应急措施和防范措施。</w:t>
      </w:r>
    </w:p>
    <w:p w14:paraId="4FCBA8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9</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运输时，发生突发性事故必须立即采取措施消除或者减轻对环境的污染危害，及时通报给附近的单位和居民，并向事故发生地县级以上人民政府环境保护行政主管部门和有关部门报告，接受调查处理。</w:t>
      </w:r>
    </w:p>
    <w:p w14:paraId="6FA0CBD0">
      <w:pPr>
        <w:pStyle w:val="129"/>
        <w:pageBreakBefore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5.8.5.</w:t>
      </w:r>
      <w:r>
        <w:rPr>
          <w:rFonts w:hint="eastAsia" w:cs="Times New Roman"/>
          <w:b/>
          <w:snapToGrid w:val="0"/>
          <w:color w:val="000000" w:themeColor="text1"/>
          <w:kern w:val="0"/>
          <w:sz w:val="24"/>
          <w:szCs w:val="24"/>
          <w:highlight w:val="none"/>
          <w:lang w:val="en-US" w:eastAsia="zh-CN" w:bidi="ar-SA"/>
          <w14:textFill>
            <w14:solidFill>
              <w14:schemeClr w14:val="tx1"/>
            </w14:solidFill>
          </w14:textFill>
        </w:rPr>
        <w:t>7对基本农田</w:t>
      </w:r>
      <w:r>
        <w:rPr>
          <w:rFonts w:hint="default"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风险防范措施</w:t>
      </w:r>
    </w:p>
    <w:p w14:paraId="32CF756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废水不外排，输送管道采用耐腐蚀材质，定期巡检，避免暗管泄漏难以发现，定期压力测试，接头处加装防漏垫片。配备便携式应急物资，一旦发生泄漏，立即切断泄漏源，用沙袋围堵防止扩散，泄漏物用防渗毯覆盖后收集至专用废液罐，交由有资质单位处理。</w:t>
      </w:r>
    </w:p>
    <w:p w14:paraId="569E18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化学品储存区设置独立封闭库房，地面做防腐防渗处理，配备泄漏收集槽和应急吸附材料；药剂分装时使用防滴漏工具，作业人员佩戴防护装备。建立化学品台账，严格执行 “双人双锁” 管理制度，使用时按需领取，剩余药剂及时退回库房；定期检查包装完整性，过期或废弃化学品交由危废处理单位处置，严禁随意丢弃。</w:t>
      </w:r>
    </w:p>
    <w:p w14:paraId="460695B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加强管理，按要求组织环境风险应急演练（如钻井液泄漏、化学品泄漏），确保快速响应，减少对农田的污染扩散。施工期若因井场作业导致农田作物减产或土壤污染，应按相关规定向农户支付生态补偿费用，并负责土壤修复至达标。</w:t>
      </w:r>
    </w:p>
    <w:p w14:paraId="21A435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通过上述措施，可有效控制钻井井场环境风险，将对20米外基本农田的影响降至最低，保障耕地质量和农业生产安全。</w:t>
      </w:r>
    </w:p>
    <w:p w14:paraId="0723FD33">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_Toc3605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5.8.6环境</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lang w:val="en-US" w:eastAsia="zh-CN"/>
          <w14:textFill>
            <w14:solidFill>
              <w14:schemeClr w14:val="tx1"/>
            </w14:solidFill>
          </w14:textFill>
        </w:rPr>
        <w:t>风险管理</w:t>
      </w:r>
    </w:p>
    <w:p w14:paraId="5E4ED13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环境风险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人员管理</w:t>
      </w:r>
    </w:p>
    <w:p w14:paraId="0E7DF04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除采取上述安全预防措施外，还应通过提高人员素质，加强责任心教育，完善有关操作条例等方法来防止人为因素引发的事故。</w:t>
      </w:r>
    </w:p>
    <w:p w14:paraId="403E138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①对生产操作的工人必须培训经考核后上岗，使其了解工艺过程，熟悉操作规程，对各种情况能进行正确判断。</w:t>
      </w:r>
    </w:p>
    <w:p w14:paraId="48130EE5">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②加强干部、职工的风险意识和环境意识教育，增强安全、环保意识。建立健全各种规章制度、规程，使制度</w:t>
      </w:r>
      <w:r>
        <w:rPr>
          <w:rFonts w:hint="eastAsia" w:cs="Times New Roman"/>
          <w:color w:val="000000" w:themeColor="text1"/>
          <w:highlight w:val="none"/>
          <w:lang w:eastAsia="zh-CN"/>
          <w14:textFill>
            <w14:solidFill>
              <w14:schemeClr w14:val="tx1"/>
            </w14:solidFill>
          </w14:textFill>
        </w:rPr>
        <w:t>落到实处</w:t>
      </w:r>
      <w:r>
        <w:rPr>
          <w:rFonts w:hint="default" w:ascii="Times New Roman" w:hAnsi="Times New Roman" w:cs="Times New Roman"/>
          <w:color w:val="000000" w:themeColor="text1"/>
          <w:highlight w:val="none"/>
          <w14:textFill>
            <w14:solidFill>
              <w14:schemeClr w14:val="tx1"/>
            </w14:solidFill>
          </w14:textFill>
        </w:rPr>
        <w:t>，严格遵守，杜绝违章作业。</w:t>
      </w:r>
    </w:p>
    <w:p w14:paraId="53E0C7D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③经</w:t>
      </w:r>
      <w:r>
        <w:rPr>
          <w:rFonts w:hint="default" w:ascii="Times New Roman" w:hAnsi="Times New Roman" w:eastAsia="宋体" w:cs="Times New Roman"/>
          <w:color w:val="000000" w:themeColor="text1"/>
          <w:highlight w:val="none"/>
          <w14:textFill>
            <w14:solidFill>
              <w14:schemeClr w14:val="tx1"/>
            </w14:solidFill>
          </w14:textFill>
        </w:rPr>
        <w:t>常对职工进行爱岗教育，使职工安心本职工作，遵守劳动纪律，避免因责任心不强、操作中疏忽大意、擅离职守等原因造成的事故。</w:t>
      </w:r>
    </w:p>
    <w:p w14:paraId="67E9B81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bookmarkStart w:id="1228" w:name="OLE_LINK887"/>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环境风险应急预案</w:t>
      </w:r>
    </w:p>
    <w:bookmarkEnd w:id="1228"/>
    <w:p w14:paraId="56445E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由</w:t>
      </w:r>
      <w:bookmarkStart w:id="1229" w:name="OLE_LINK889"/>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bookmarkEnd w:id="1229"/>
      <w:r>
        <w:rPr>
          <w:rFonts w:hint="default" w:ascii="Times New Roman" w:hAnsi="Times New Roman" w:cs="Times New Roman"/>
          <w:color w:val="000000" w:themeColor="text1"/>
          <w:highlight w:val="none"/>
          <w:lang w:val="en-US" w:eastAsia="zh-CN"/>
          <w14:textFill>
            <w14:solidFill>
              <w14:schemeClr w14:val="tx1"/>
            </w14:solidFill>
          </w14:textFill>
        </w:rPr>
        <w:t>管理。</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14:textFill>
            <w14:solidFill>
              <w14:schemeClr w14:val="tx1"/>
            </w14:solidFill>
          </w14:textFill>
        </w:rPr>
        <w:t>于20</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日</w:t>
      </w:r>
      <w:r>
        <w:rPr>
          <w:rFonts w:hint="default" w:ascii="Times New Roman" w:hAnsi="Times New Roman" w:cs="Times New Roman"/>
          <w:color w:val="000000" w:themeColor="text1"/>
          <w:highlight w:val="none"/>
          <w14:textFill>
            <w14:solidFill>
              <w14:schemeClr w14:val="tx1"/>
            </w14:solidFill>
          </w14:textFill>
        </w:rPr>
        <w:t>取得</w:t>
      </w:r>
      <w:r>
        <w:rPr>
          <w:rFonts w:hint="default" w:ascii="Times New Roman" w:hAnsi="Times New Roman" w:cs="Times New Roman"/>
          <w:color w:val="000000" w:themeColor="text1"/>
          <w:highlight w:val="none"/>
          <w:lang w:eastAsia="zh-CN"/>
          <w14:textFill>
            <w14:solidFill>
              <w14:schemeClr w14:val="tx1"/>
            </w14:solidFill>
          </w14:textFill>
        </w:rPr>
        <w:t>《</w:t>
      </w:r>
      <w:bookmarkStart w:id="1230" w:name="OLE_LINK896"/>
      <w:r>
        <w:rPr>
          <w:rFonts w:hint="default" w:ascii="Times New Roman" w:hAnsi="Times New Roman" w:cs="Times New Roman"/>
          <w:color w:val="000000" w:themeColor="text1"/>
          <w:highlight w:val="none"/>
          <w14:textFill>
            <w14:solidFill>
              <w14:schemeClr w14:val="tx1"/>
            </w14:solidFill>
          </w14:textFill>
        </w:rPr>
        <w:t>中国石油化工股份有限公司西北油田分公司</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14:textFill>
            <w14:solidFill>
              <w14:schemeClr w14:val="tx1"/>
            </w14:solidFill>
          </w14:textFill>
        </w:rPr>
        <w:t>突发环境事件应急预案</w:t>
      </w:r>
      <w:bookmarkEnd w:id="1230"/>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的备案证明，备案编号为</w:t>
      </w:r>
      <w:bookmarkStart w:id="1231" w:name="OLE_LINK898"/>
      <w:r>
        <w:rPr>
          <w:rFonts w:hint="default" w:ascii="Times New Roman" w:hAnsi="Times New Roman" w:cs="Times New Roman"/>
          <w:color w:val="000000" w:themeColor="text1"/>
          <w:highlight w:val="none"/>
          <w14:textFill>
            <w14:solidFill>
              <w14:schemeClr w14:val="tx1"/>
            </w14:solidFill>
          </w14:textFill>
        </w:rPr>
        <w:t>65</w:t>
      </w:r>
      <w:r>
        <w:rPr>
          <w:rFonts w:hint="default" w:ascii="Times New Roman" w:hAnsi="Times New Roman" w:cs="Times New Roman"/>
          <w:color w:val="000000" w:themeColor="text1"/>
          <w:highlight w:val="none"/>
          <w:lang w:val="en-US" w:eastAsia="zh-CN"/>
          <w14:textFill>
            <w14:solidFill>
              <w14:schemeClr w14:val="tx1"/>
            </w14:solidFill>
          </w14:textFill>
        </w:rPr>
        <w:t>292</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-20</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L</w:t>
      </w:r>
      <w:bookmarkEnd w:id="1231"/>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本评价建议将本次建设内容突发环境事件应急预案纳入西北油田分公司</w:t>
      </w:r>
      <w:bookmarkStart w:id="1232" w:name="OLE_LINK888"/>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bookmarkEnd w:id="1232"/>
      <w:r>
        <w:rPr>
          <w:rFonts w:hint="default" w:ascii="Times New Roman" w:hAnsi="Times New Roman" w:eastAsia="宋体" w:cs="Times New Roman"/>
          <w:color w:val="000000" w:themeColor="text1"/>
          <w:highlight w:val="none"/>
          <w14:textFill>
            <w14:solidFill>
              <w14:schemeClr w14:val="tx1"/>
            </w14:solidFill>
          </w14:textFill>
        </w:rPr>
        <w:t>现有突发环境事件应急预案中，对现有突发环境事件应急预案进行必要的完善和补充。</w:t>
      </w:r>
    </w:p>
    <w:p w14:paraId="63B182A1">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HYPERLINK \l _Toc31633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5.8.7 环境风险分析结论</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p>
    <w:p w14:paraId="1E9EE7B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所涉及的危险物质包括</w:t>
      </w:r>
      <w:r>
        <w:rPr>
          <w:rFonts w:hint="eastAsia" w:cs="Times New Roman"/>
          <w:color w:val="000000" w:themeColor="text1"/>
          <w:highlight w:val="none"/>
          <w:lang w:val="en-US" w:eastAsia="zh-CN"/>
          <w14:textFill>
            <w14:solidFill>
              <w14:schemeClr w14:val="tx1"/>
            </w14:solidFill>
          </w14:textFill>
        </w:rPr>
        <w:t>天然气和凝析油</w:t>
      </w:r>
      <w:r>
        <w:rPr>
          <w:rFonts w:hint="default" w:ascii="Times New Roman" w:hAnsi="Times New Roman" w:cs="Times New Roman"/>
          <w:color w:val="000000" w:themeColor="text1"/>
          <w:highlight w:val="none"/>
          <w14:textFill>
            <w14:solidFill>
              <w14:schemeClr w14:val="tx1"/>
            </w14:solidFill>
          </w14:textFill>
        </w:rPr>
        <w:t>，</w:t>
      </w:r>
      <w:bookmarkStart w:id="1233" w:name="OLE_LINK903"/>
      <w:r>
        <w:rPr>
          <w:rFonts w:hint="default" w:ascii="Times New Roman" w:hAnsi="Times New Roman" w:cs="Times New Roman"/>
          <w:color w:val="000000" w:themeColor="text1"/>
          <w:highlight w:val="none"/>
          <w14:textFill>
            <w14:solidFill>
              <w14:schemeClr w14:val="tx1"/>
            </w14:solidFill>
          </w14:textFill>
        </w:rPr>
        <w:t>分布于</w:t>
      </w:r>
      <w:bookmarkStart w:id="1234" w:name="OLE_LINK901"/>
      <w:r>
        <w:rPr>
          <w:rFonts w:hint="default" w:ascii="Times New Roman" w:hAnsi="Times New Roman" w:cs="Times New Roman"/>
          <w:snapToGrid w:val="0"/>
          <w:color w:val="000000" w:themeColor="text1"/>
          <w:highlight w:val="none"/>
          <w14:textFill>
            <w14:solidFill>
              <w14:schemeClr w14:val="tx1"/>
            </w14:solidFill>
          </w14:textFill>
        </w:rPr>
        <w:t>储罐</w:t>
      </w:r>
      <w:r>
        <w:rPr>
          <w:rFonts w:hint="eastAsia" w:cs="Times New Roman"/>
          <w:snapToGrid w:val="0"/>
          <w:color w:val="000000" w:themeColor="text1"/>
          <w:highlight w:val="none"/>
          <w:lang w:val="en-US" w:eastAsia="zh-CN"/>
          <w14:textFill>
            <w14:solidFill>
              <w14:schemeClr w14:val="tx1"/>
            </w14:solidFill>
          </w14:textFill>
        </w:rPr>
        <w:t>和工艺装置</w:t>
      </w:r>
      <w:r>
        <w:rPr>
          <w:rFonts w:hint="default" w:ascii="Times New Roman" w:hAnsi="Times New Roman" w:cs="Times New Roman"/>
          <w:snapToGrid w:val="0"/>
          <w:color w:val="000000" w:themeColor="text1"/>
          <w:highlight w:val="none"/>
          <w14:textFill>
            <w14:solidFill>
              <w14:schemeClr w14:val="tx1"/>
            </w14:solidFill>
          </w14:textFill>
        </w:rPr>
        <w:t>内</w:t>
      </w:r>
      <w:bookmarkEnd w:id="1234"/>
      <w:r>
        <w:rPr>
          <w:rFonts w:hint="default" w:ascii="Times New Roman" w:hAnsi="Times New Roman" w:cs="Times New Roman"/>
          <w:snapToGrid w:val="0"/>
          <w:color w:val="000000" w:themeColor="text1"/>
          <w:highlight w:val="none"/>
          <w14:textFill>
            <w14:solidFill>
              <w14:schemeClr w14:val="tx1"/>
            </w14:solidFill>
          </w14:textFill>
        </w:rPr>
        <w:t>，</w:t>
      </w:r>
      <w:bookmarkStart w:id="1235" w:name="OLE_LINK902"/>
      <w:r>
        <w:rPr>
          <w:rFonts w:hint="default" w:ascii="Times New Roman" w:hAnsi="Times New Roman" w:cs="Times New Roman"/>
          <w:snapToGrid w:val="0"/>
          <w:color w:val="000000" w:themeColor="text1"/>
          <w:highlight w:val="none"/>
          <w14:textFill>
            <w14:solidFill>
              <w14:schemeClr w14:val="tx1"/>
            </w14:solidFill>
          </w14:textFill>
        </w:rPr>
        <w:t>可能发生的风险事故包括</w:t>
      </w:r>
      <w:r>
        <w:rPr>
          <w:rFonts w:hint="eastAsia" w:cs="Times New Roman"/>
          <w:snapToGrid w:val="0"/>
          <w:color w:val="000000" w:themeColor="text1"/>
          <w:highlight w:val="none"/>
          <w:lang w:val="en-US" w:eastAsia="zh-CN"/>
          <w14:textFill>
            <w14:solidFill>
              <w14:schemeClr w14:val="tx1"/>
            </w14:solidFill>
          </w14:textFill>
        </w:rPr>
        <w:t>井喷、</w:t>
      </w:r>
      <w:r>
        <w:rPr>
          <w:rFonts w:hint="default" w:ascii="Times New Roman" w:hAnsi="Times New Roman" w:cs="Times New Roman"/>
          <w:snapToGrid w:val="0"/>
          <w:color w:val="000000" w:themeColor="text1"/>
          <w:highlight w:val="none"/>
          <w14:textFill>
            <w14:solidFill>
              <w14:schemeClr w14:val="tx1"/>
            </w14:solidFill>
          </w14:textFill>
        </w:rPr>
        <w:t>井漏、</w:t>
      </w:r>
      <w:r>
        <w:rPr>
          <w:rFonts w:hint="eastAsia" w:cs="Times New Roman"/>
          <w:snapToGrid w:val="0"/>
          <w:color w:val="000000" w:themeColor="text1"/>
          <w:highlight w:val="none"/>
          <w:lang w:val="en-US" w:eastAsia="zh-CN"/>
          <w14:textFill>
            <w14:solidFill>
              <w14:schemeClr w14:val="tx1"/>
            </w14:solidFill>
          </w14:textFill>
        </w:rPr>
        <w:t>储罐</w:t>
      </w:r>
      <w:r>
        <w:rPr>
          <w:rFonts w:hint="default" w:ascii="Times New Roman" w:hAnsi="Times New Roman" w:cs="Times New Roman"/>
          <w:snapToGrid w:val="0"/>
          <w:color w:val="000000" w:themeColor="text1"/>
          <w:highlight w:val="none"/>
          <w:lang w:eastAsia="zh-CN"/>
          <w14:textFill>
            <w14:solidFill>
              <w14:schemeClr w14:val="tx1"/>
            </w14:solidFill>
          </w14:textFill>
        </w:rPr>
        <w:t>泄漏</w:t>
      </w:r>
      <w:r>
        <w:rPr>
          <w:rFonts w:hint="eastAsia" w:ascii="Times New Roman" w:hAnsi="Times New Roman" w:cs="Times New Roman"/>
          <w:snapToGrid w:val="0"/>
          <w:color w:val="000000" w:themeColor="text1"/>
          <w:highlight w:val="none"/>
          <w:lang w:eastAsia="zh-CN"/>
          <w14:textFill>
            <w14:solidFill>
              <w14:schemeClr w14:val="tx1"/>
            </w14:solidFill>
          </w14:textFill>
        </w:rPr>
        <w:t>、火灾、爆炸等引发的伴生/次生污染物排放</w:t>
      </w:r>
      <w:bookmarkEnd w:id="1233"/>
      <w:bookmarkEnd w:id="1235"/>
      <w:r>
        <w:rPr>
          <w:rFonts w:hint="default" w:ascii="Times New Roman" w:hAnsi="Times New Roman" w:cs="Times New Roman"/>
          <w:snapToGrid w:val="0"/>
          <w:color w:val="000000" w:themeColor="text1"/>
          <w:highlight w:val="none"/>
          <w14:textFill>
            <w14:solidFill>
              <w14:schemeClr w14:val="tx1"/>
            </w14:solidFill>
          </w14:textFill>
        </w:rPr>
        <w:t>。</w:t>
      </w:r>
    </w:p>
    <w:p w14:paraId="4277F61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000000" w:themeColor="text1"/>
          <w:highlight w:val="none"/>
          <w:lang w:bidi="ar"/>
          <w14:textFill>
            <w14:solidFill>
              <w14:schemeClr w14:val="tx1"/>
            </w14:solidFill>
          </w14:textFill>
        </w:rPr>
      </w:pPr>
      <w:bookmarkStart w:id="1236" w:name="OLE_LINK900"/>
      <w:r>
        <w:rPr>
          <w:rFonts w:hint="default" w:ascii="Times New Roman" w:hAnsi="Times New Roman" w:cs="Times New Roman"/>
          <w:snapToGrid w:val="0"/>
          <w:color w:val="000000" w:themeColor="text1"/>
          <w:highlight w:val="none"/>
          <w14:textFill>
            <w14:solidFill>
              <w14:schemeClr w14:val="tx1"/>
            </w14:solidFill>
          </w14:textFill>
        </w:rPr>
        <w:t>井喷会</w:t>
      </w:r>
      <w:bookmarkStart w:id="1237" w:name="OLE_LINK891"/>
      <w:r>
        <w:rPr>
          <w:rFonts w:hint="default" w:ascii="Times New Roman" w:hAnsi="Times New Roman" w:cs="Times New Roman"/>
          <w:snapToGrid w:val="0"/>
          <w:color w:val="000000" w:themeColor="text1"/>
          <w:highlight w:val="none"/>
          <w14:textFill>
            <w14:solidFill>
              <w14:schemeClr w14:val="tx1"/>
            </w14:solidFill>
          </w14:textFill>
        </w:rPr>
        <w:t>对大气、土壤、地下水</w:t>
      </w:r>
      <w:bookmarkEnd w:id="1237"/>
      <w:r>
        <w:rPr>
          <w:rFonts w:hint="default" w:ascii="Times New Roman" w:hAnsi="Times New Roman" w:cs="Times New Roman"/>
          <w:snapToGrid w:val="0"/>
          <w:color w:val="000000" w:themeColor="text1"/>
          <w:highlight w:val="none"/>
          <w14:textFill>
            <w14:solidFill>
              <w14:schemeClr w14:val="tx1"/>
            </w14:solidFill>
          </w14:textFill>
        </w:rPr>
        <w:t>产生的直接影响以及火灾、爆炸等引发的伴生/次生污染物排放</w:t>
      </w:r>
      <w:r>
        <w:rPr>
          <w:rFonts w:hint="eastAsia" w:cs="Times New Roman"/>
          <w:snapToGrid w:val="0"/>
          <w:color w:val="000000" w:themeColor="text1"/>
          <w:highlight w:val="none"/>
          <w:lang w:eastAsia="zh-CN"/>
          <w14:textFill>
            <w14:solidFill>
              <w14:schemeClr w14:val="tx1"/>
            </w14:solidFill>
          </w14:textFill>
        </w:rPr>
        <w:t>；</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井漏</w:t>
      </w:r>
      <w:r>
        <w:rPr>
          <w:rFonts w:hint="default" w:ascii="Times New Roman" w:hAnsi="Times New Roman" w:cs="Times New Roman"/>
          <w:snapToGrid w:val="0"/>
          <w:color w:val="000000" w:themeColor="text1"/>
          <w:highlight w:val="none"/>
          <w14:textFill>
            <w14:solidFill>
              <w14:schemeClr w14:val="tx1"/>
            </w14:solidFill>
          </w14:textFill>
        </w:rPr>
        <w:t>对地下水</w:t>
      </w:r>
      <w:bookmarkStart w:id="1238" w:name="OLE_LINK892"/>
      <w:r>
        <w:rPr>
          <w:rFonts w:hint="default" w:ascii="Times New Roman" w:hAnsi="Times New Roman" w:cs="Times New Roman"/>
          <w:snapToGrid w:val="0"/>
          <w:color w:val="000000" w:themeColor="text1"/>
          <w:highlight w:val="none"/>
          <w14:textFill>
            <w14:solidFill>
              <w14:schemeClr w14:val="tx1"/>
            </w14:solidFill>
          </w14:textFill>
        </w:rPr>
        <w:t>造成影响</w:t>
      </w:r>
      <w:bookmarkEnd w:id="1238"/>
      <w:r>
        <w:rPr>
          <w:rFonts w:hint="eastAsia" w:cs="Times New Roman"/>
          <w:snapToGrid w:val="0"/>
          <w:color w:val="000000" w:themeColor="text1"/>
          <w:highlight w:val="none"/>
          <w:lang w:eastAsia="zh-CN"/>
          <w14:textFill>
            <w14:solidFill>
              <w14:schemeClr w14:val="tx1"/>
            </w14:solidFill>
          </w14:textFill>
        </w:rPr>
        <w:t>；</w:t>
      </w:r>
      <w:bookmarkStart w:id="1239" w:name="OLE_LINK894"/>
      <w:r>
        <w:rPr>
          <w:rFonts w:hint="eastAsia" w:cs="Times New Roman"/>
          <w:snapToGrid w:val="0"/>
          <w:color w:val="000000" w:themeColor="text1"/>
          <w:highlight w:val="none"/>
          <w:lang w:val="en-US" w:eastAsia="zh-CN"/>
          <w14:textFill>
            <w14:solidFill>
              <w14:schemeClr w14:val="tx1"/>
            </w14:solidFill>
          </w14:textFill>
        </w:rPr>
        <w:t>多功能</w:t>
      </w:r>
      <w:bookmarkEnd w:id="1239"/>
      <w:r>
        <w:rPr>
          <w:rFonts w:hint="eastAsia" w:cs="Times New Roman"/>
          <w:snapToGrid w:val="0"/>
          <w:color w:val="000000" w:themeColor="text1"/>
          <w:highlight w:val="none"/>
          <w:lang w:val="en-US" w:eastAsia="zh-CN"/>
          <w14:textFill>
            <w14:solidFill>
              <w14:schemeClr w14:val="tx1"/>
            </w14:solidFill>
          </w14:textFill>
        </w:rPr>
        <w:t>储集器和</w:t>
      </w:r>
      <w:r>
        <w:rPr>
          <w:rFonts w:hint="default" w:ascii="Times New Roman" w:hAnsi="Times New Roman" w:cs="Times New Roman"/>
          <w:snapToGrid w:val="0"/>
          <w:color w:val="000000" w:themeColor="text1"/>
          <w:highlight w:val="none"/>
          <w14:textFill>
            <w14:solidFill>
              <w14:schemeClr w14:val="tx1"/>
            </w14:solidFill>
          </w14:textFill>
        </w:rPr>
        <w:t>混烃</w:t>
      </w:r>
      <w:r>
        <w:rPr>
          <w:rFonts w:hint="eastAsia" w:cs="Times New Roman"/>
          <w:snapToGrid w:val="0"/>
          <w:color w:val="000000" w:themeColor="text1"/>
          <w:highlight w:val="none"/>
          <w:lang w:val="en-US" w:eastAsia="zh-CN"/>
          <w14:textFill>
            <w14:solidFill>
              <w14:schemeClr w14:val="tx1"/>
            </w14:solidFill>
          </w14:textFill>
        </w:rPr>
        <w:t>储</w:t>
      </w:r>
      <w:r>
        <w:rPr>
          <w:rFonts w:hint="default" w:ascii="Times New Roman" w:hAnsi="Times New Roman" w:cs="Times New Roman"/>
          <w:snapToGrid w:val="0"/>
          <w:color w:val="000000" w:themeColor="text1"/>
          <w:highlight w:val="none"/>
          <w14:textFill>
            <w14:solidFill>
              <w14:schemeClr w14:val="tx1"/>
            </w14:solidFill>
          </w14:textFill>
        </w:rPr>
        <w:t>罐</w:t>
      </w:r>
      <w:r>
        <w:rPr>
          <w:rFonts w:hint="eastAsia" w:cs="Times New Roman"/>
          <w:snapToGrid w:val="0"/>
          <w:color w:val="000000" w:themeColor="text1"/>
          <w:highlight w:val="none"/>
          <w:lang w:eastAsia="zh-CN"/>
          <w14:textFill>
            <w14:solidFill>
              <w14:schemeClr w14:val="tx1"/>
            </w14:solidFill>
          </w14:textFill>
        </w:rPr>
        <w:t>泄漏</w:t>
      </w:r>
      <w:r>
        <w:rPr>
          <w:rFonts w:hint="default" w:ascii="Times New Roman" w:hAnsi="Times New Roman" w:cs="Times New Roman"/>
          <w:snapToGrid w:val="0"/>
          <w:color w:val="000000" w:themeColor="text1"/>
          <w:highlight w:val="none"/>
          <w14:textFill>
            <w14:solidFill>
              <w14:schemeClr w14:val="tx1"/>
            </w14:solidFill>
          </w14:textFill>
        </w:rPr>
        <w:t>对大气、土壤、地下水造成影响</w:t>
      </w:r>
      <w:r>
        <w:rPr>
          <w:rFonts w:hint="eastAsia" w:ascii="Times New Roman" w:hAnsi="Times New Roman" w:cs="Times New Roman"/>
          <w:snapToGrid w:val="0"/>
          <w:color w:val="000000" w:themeColor="text1"/>
          <w:highlight w:val="none"/>
          <w:lang w:eastAsia="zh-CN"/>
          <w14:textFill>
            <w14:solidFill>
              <w14:schemeClr w14:val="tx1"/>
            </w14:solidFill>
          </w14:textFill>
        </w:rPr>
        <w:t>。</w:t>
      </w:r>
      <w:bookmarkEnd w:id="1236"/>
      <w:r>
        <w:rPr>
          <w:rFonts w:hint="default" w:ascii="Times New Roman" w:hAnsi="Times New Roman" w:cs="Times New Roman"/>
          <w:snapToGrid w:val="0"/>
          <w:color w:val="000000" w:themeColor="text1"/>
          <w:highlight w:val="none"/>
          <w:lang w:eastAsia="zh-CN" w:bidi="ar"/>
          <w14:textFill>
            <w14:solidFill>
              <w14:schemeClr w14:val="tx1"/>
            </w14:solidFill>
          </w14:textFill>
        </w:rPr>
        <w:t>本</w:t>
      </w:r>
      <w:r>
        <w:rPr>
          <w:rFonts w:hint="eastAsia" w:ascii="Times New Roman" w:hAnsi="Times New Roman" w:cs="Times New Roman"/>
          <w:snapToGrid w:val="0"/>
          <w:color w:val="000000" w:themeColor="text1"/>
          <w:highlight w:val="none"/>
          <w:lang w:val="en-US" w:eastAsia="zh-CN" w:bidi="ar"/>
          <w14:textFill>
            <w14:solidFill>
              <w14:schemeClr w14:val="tx1"/>
            </w14:solidFill>
          </w14:textFill>
        </w:rPr>
        <w:t>工程</w:t>
      </w:r>
      <w:r>
        <w:rPr>
          <w:rFonts w:hint="default" w:ascii="Times New Roman" w:hAnsi="Times New Roman" w:cs="Times New Roman"/>
          <w:snapToGrid w:val="0"/>
          <w:color w:val="000000" w:themeColor="text1"/>
          <w:highlight w:val="none"/>
          <w:lang w:bidi="ar"/>
          <w14:textFill>
            <w14:solidFill>
              <w14:schemeClr w14:val="tx1"/>
            </w14:solidFill>
          </w14:textFill>
        </w:rPr>
        <w:t>在井下作业时应落实各项井场制度，降低井漏发生概率，</w:t>
      </w:r>
      <w:r>
        <w:rPr>
          <w:rFonts w:hint="eastAsia" w:ascii="Times New Roman" w:hAnsi="Times New Roman" w:cs="Times New Roman"/>
          <w:snapToGrid w:val="0"/>
          <w:color w:val="000000" w:themeColor="text1"/>
          <w:highlight w:val="none"/>
          <w:lang w:val="en-US" w:eastAsia="zh-CN" w:bidi="ar"/>
          <w14:textFill>
            <w14:solidFill>
              <w14:schemeClr w14:val="tx1"/>
            </w14:solidFill>
          </w14:textFill>
        </w:rPr>
        <w:t>本工程</w:t>
      </w:r>
      <w:r>
        <w:rPr>
          <w:rFonts w:hint="default" w:ascii="Times New Roman" w:hAnsi="Times New Roman" w:cs="Times New Roman"/>
          <w:snapToGrid w:val="0"/>
          <w:color w:val="000000" w:themeColor="text1"/>
          <w:highlight w:val="none"/>
          <w:lang w:bidi="ar"/>
          <w14:textFill>
            <w14:solidFill>
              <w14:schemeClr w14:val="tx1"/>
            </w14:solidFill>
          </w14:textFill>
        </w:rPr>
        <w:t>所在区域人烟稀少，地域空旷，大气扩散条件较好，发生事故后，及时采取相应的措施，不会对周围环境空气产生明显影响</w:t>
      </w:r>
      <w:r>
        <w:rPr>
          <w:rFonts w:hint="eastAsia" w:ascii="Times New Roman" w:hAnsi="Times New Roman" w:cs="Times New Roman"/>
          <w:snapToGrid w:val="0"/>
          <w:color w:val="000000" w:themeColor="text1"/>
          <w:highlight w:val="none"/>
          <w:lang w:eastAsia="zh-CN" w:bidi="ar"/>
          <w14:textFill>
            <w14:solidFill>
              <w14:schemeClr w14:val="tx1"/>
            </w14:solidFill>
          </w14:textFill>
        </w:rPr>
        <w:t>。</w:t>
      </w:r>
      <w:r>
        <w:rPr>
          <w:rFonts w:hint="default" w:ascii="Times New Roman" w:hAnsi="Times New Roman" w:cs="Times New Roman"/>
          <w:snapToGrid w:val="0"/>
          <w:color w:val="000000" w:themeColor="text1"/>
          <w:highlight w:val="none"/>
          <w14:textFill>
            <w14:solidFill>
              <w14:schemeClr w14:val="tx1"/>
            </w14:solidFill>
          </w14:textFill>
        </w:rPr>
        <w:t>当泄漏事故发生时，及时采取措施、彻底清除泄漏油品、被污染的土壤，污染物不会进入地下水中，对地下水水质没有不良影响。因此，发生事故后，在严格落实</w:t>
      </w:r>
      <w:r>
        <w:rPr>
          <w:rFonts w:hint="default" w:ascii="Times New Roman" w:hAnsi="Times New Roman" w:cs="Times New Roman"/>
          <w:snapToGrid w:val="0"/>
          <w:color w:val="000000" w:themeColor="text1"/>
          <w:highlight w:val="none"/>
          <w:lang w:eastAsia="zh-CN"/>
          <w14:textFill>
            <w14:solidFill>
              <w14:schemeClr w14:val="tx1"/>
            </w14:solidFill>
          </w14:textFill>
        </w:rPr>
        <w:t>本</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highlight w:val="none"/>
          <w14:textFill>
            <w14:solidFill>
              <w14:schemeClr w14:val="tx1"/>
            </w14:solidFill>
          </w14:textFill>
        </w:rPr>
        <w:t>提出的风险防范措施的前提下，不会对周围环境产生明显影响</w:t>
      </w:r>
      <w:r>
        <w:rPr>
          <w:rFonts w:hint="eastAsia" w:ascii="Times New Roman" w:hAnsi="Times New Roman" w:cs="Times New Roman"/>
          <w:snapToGrid w:val="0"/>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已制定了环境风险应急预案，发生事故时按照环境风险应急预案采取措施</w:t>
      </w:r>
      <w:r>
        <w:rPr>
          <w:rFonts w:hint="default" w:ascii="Times New Roman" w:hAnsi="Times New Roman" w:cs="Times New Roman"/>
          <w:snapToGrid w:val="0"/>
          <w:color w:val="000000" w:themeColor="text1"/>
          <w:highlight w:val="none"/>
          <w:lang w:bidi="ar"/>
          <w14:textFill>
            <w14:solidFill>
              <w14:schemeClr w14:val="tx1"/>
            </w14:solidFill>
          </w14:textFill>
        </w:rPr>
        <w:t>。</w:t>
      </w:r>
    </w:p>
    <w:p w14:paraId="411FF968">
      <w:pPr>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环境风险简单分析内容表见表5.8-1</w:t>
      </w:r>
      <w:r>
        <w:rPr>
          <w:rFonts w:hint="eastAsia"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w:t>
      </w:r>
    </w:p>
    <w:p w14:paraId="5FEF5105">
      <w:pPr>
        <w:pStyle w:val="52"/>
        <w:bidi w:val="0"/>
        <w:outlineLvl w:val="9"/>
        <w:rPr>
          <w:rFonts w:hint="default" w:ascii="Times New Roman" w:hAnsi="Times New Roman" w:eastAsia="宋体" w:cs="Times New Roman"/>
          <w:b/>
          <w:bCs/>
          <w:color w:val="000000" w:themeColor="text1"/>
          <w:highlight w:val="none"/>
          <w14:textFill>
            <w14:solidFill>
              <w14:schemeClr w14:val="tx1"/>
            </w14:solidFill>
          </w14:textFill>
        </w:rPr>
      </w:pPr>
      <w:bookmarkStart w:id="1240" w:name="_Hlk48605093"/>
      <w:r>
        <w:rPr>
          <w:rFonts w:hint="default" w:ascii="Times New Roman" w:hAnsi="Times New Roman" w:eastAsia="宋体" w:cs="Times New Roman"/>
          <w:b/>
          <w:bCs/>
          <w:color w:val="000000" w:themeColor="text1"/>
          <w:highlight w:val="none"/>
          <w14:textFill>
            <w14:solidFill>
              <w14:schemeClr w14:val="tx1"/>
            </w14:solidFill>
          </w14:textFill>
        </w:rPr>
        <w:t>表</w:t>
      </w:r>
      <w:bookmarkStart w:id="1241" w:name="OLE_LINK904"/>
      <w:r>
        <w:rPr>
          <w:rFonts w:hint="default" w:ascii="Times New Roman" w:hAnsi="Times New Roman" w:eastAsia="宋体" w:cs="Times New Roman"/>
          <w:b/>
          <w:bCs/>
          <w:color w:val="000000" w:themeColor="text1"/>
          <w:highlight w:val="none"/>
          <w14:textFill>
            <w14:solidFill>
              <w14:schemeClr w14:val="tx1"/>
            </w14:solidFill>
          </w14:textFill>
        </w:rPr>
        <w:t>5.8-1</w:t>
      </w:r>
      <w:bookmarkEnd w:id="1241"/>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0   </w:t>
      </w:r>
      <w:r>
        <w:rPr>
          <w:rFonts w:hint="default" w:ascii="Times New Roman" w:hAnsi="Times New Roman" w:eastAsia="宋体" w:cs="Times New Roman"/>
          <w:b/>
          <w:bCs/>
          <w:color w:val="000000" w:themeColor="text1"/>
          <w:highlight w:val="none"/>
          <w14:textFill>
            <w14:solidFill>
              <w14:schemeClr w14:val="tx1"/>
            </w14:solidFill>
          </w14:textFill>
        </w:rPr>
        <w:t>环境风险简单分析内容表</w:t>
      </w:r>
    </w:p>
    <w:bookmarkEnd w:id="1240"/>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518"/>
        <w:gridCol w:w="2119"/>
        <w:gridCol w:w="1115"/>
        <w:gridCol w:w="2276"/>
      </w:tblGrid>
      <w:tr w14:paraId="67D1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1DAFA1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建设项目名称</w:t>
            </w:r>
          </w:p>
        </w:tc>
        <w:tc>
          <w:tcPr>
            <w:tcW w:w="7028" w:type="dxa"/>
            <w:gridSpan w:val="4"/>
            <w:noWrap w:val="0"/>
            <w:vAlign w:val="center"/>
          </w:tcPr>
          <w:p w14:paraId="200D072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星火7井区2025年产能建设项目</w:t>
            </w:r>
          </w:p>
        </w:tc>
      </w:tr>
      <w:tr w14:paraId="7A9F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6A6B391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建设地点</w:t>
            </w:r>
          </w:p>
        </w:tc>
        <w:tc>
          <w:tcPr>
            <w:tcW w:w="7028" w:type="dxa"/>
            <w:gridSpan w:val="4"/>
            <w:noWrap w:val="0"/>
            <w:vAlign w:val="center"/>
          </w:tcPr>
          <w:p w14:paraId="2985D41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新疆维吾尔自治区阿克苏地区</w:t>
            </w:r>
            <w:r>
              <w:rPr>
                <w:rFonts w:hint="eastAsia" w:cs="Times New Roman"/>
                <w:color w:val="000000" w:themeColor="text1"/>
                <w:kern w:val="0"/>
                <w:sz w:val="21"/>
                <w:szCs w:val="21"/>
                <w:highlight w:val="none"/>
                <w:lang w:val="en-US" w:eastAsia="zh-CN"/>
                <w14:textFill>
                  <w14:solidFill>
                    <w14:schemeClr w14:val="tx1"/>
                  </w14:solidFill>
                </w14:textFill>
              </w:rPr>
              <w:t>新和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县</w:t>
            </w:r>
          </w:p>
        </w:tc>
      </w:tr>
      <w:tr w14:paraId="673C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7E8D292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地理坐标</w:t>
            </w:r>
          </w:p>
        </w:tc>
        <w:tc>
          <w:tcPr>
            <w:tcW w:w="1518" w:type="dxa"/>
            <w:noWrap w:val="0"/>
            <w:vAlign w:val="center"/>
          </w:tcPr>
          <w:p w14:paraId="35E28B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经度</w:t>
            </w:r>
          </w:p>
        </w:tc>
        <w:tc>
          <w:tcPr>
            <w:tcW w:w="2119" w:type="dxa"/>
            <w:noWrap w:val="0"/>
            <w:vAlign w:val="center"/>
          </w:tcPr>
          <w:p w14:paraId="679950D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15" w:type="dxa"/>
            <w:noWrap w:val="0"/>
            <w:vAlign w:val="center"/>
          </w:tcPr>
          <w:p w14:paraId="67DD229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纬度</w:t>
            </w:r>
          </w:p>
        </w:tc>
        <w:tc>
          <w:tcPr>
            <w:tcW w:w="2276" w:type="dxa"/>
            <w:noWrap w:val="0"/>
            <w:vAlign w:val="center"/>
          </w:tcPr>
          <w:p w14:paraId="1202D5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022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358285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主要危险物质及分布</w:t>
            </w:r>
          </w:p>
        </w:tc>
        <w:tc>
          <w:tcPr>
            <w:tcW w:w="7028" w:type="dxa"/>
            <w:gridSpan w:val="4"/>
            <w:noWrap w:val="0"/>
            <w:vAlign w:val="center"/>
          </w:tcPr>
          <w:p w14:paraId="6D6867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主要危险物质：</w:t>
            </w:r>
            <w:r>
              <w:rPr>
                <w:rFonts w:hint="eastAsia" w:cs="Times New Roman"/>
                <w:color w:val="000000" w:themeColor="text1"/>
                <w:kern w:val="0"/>
                <w:sz w:val="21"/>
                <w:szCs w:val="21"/>
                <w:highlight w:val="none"/>
                <w:lang w:val="en-US" w:eastAsia="zh-CN"/>
                <w14:textFill>
                  <w14:solidFill>
                    <w14:schemeClr w14:val="tx1"/>
                  </w14:solidFill>
                </w14:textFill>
              </w:rPr>
              <w:t>天然气、凝析油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，储罐和工艺装置内</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1AB5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4566B4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环境影响途径及危害后果（大气、地表水、地下水等）</w:t>
            </w:r>
          </w:p>
        </w:tc>
        <w:tc>
          <w:tcPr>
            <w:tcW w:w="7028" w:type="dxa"/>
            <w:gridSpan w:val="4"/>
            <w:noWrap w:val="0"/>
            <w:vAlign w:val="center"/>
          </w:tcPr>
          <w:p w14:paraId="4A188CB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可能发生的风险事故包括井喷、井漏、储罐泄漏、火灾、爆炸等引发的伴生/次生污染物排放。井喷会对大气、土壤、地下水产生的直接影响以及火灾、爆炸等引发的伴生/次生污染物排放；井漏对地下水造成影响；多功能储集器和混烃储罐</w:t>
            </w:r>
            <w:r>
              <w:rPr>
                <w:rFonts w:hint="eastAsia" w:cs="Times New Roman"/>
                <w:color w:val="000000" w:themeColor="text1"/>
                <w:kern w:val="0"/>
                <w:sz w:val="21"/>
                <w:szCs w:val="21"/>
                <w:highlight w:val="none"/>
                <w:lang w:eastAsia="zh-CN"/>
                <w14:textFill>
                  <w14:solidFill>
                    <w14:schemeClr w14:val="tx1"/>
                  </w14:solidFill>
                </w14:textFill>
              </w:rPr>
              <w:t>泄漏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对大气、土壤、地下水造成影响。</w:t>
            </w:r>
          </w:p>
        </w:tc>
      </w:tr>
      <w:tr w14:paraId="557F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4" w:type="dxa"/>
            <w:noWrap w:val="0"/>
            <w:vAlign w:val="center"/>
          </w:tcPr>
          <w:p w14:paraId="31E009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风险防范措施要求</w:t>
            </w:r>
          </w:p>
        </w:tc>
        <w:tc>
          <w:tcPr>
            <w:tcW w:w="7028" w:type="dxa"/>
            <w:gridSpan w:val="4"/>
            <w:noWrap w:val="0"/>
            <w:vAlign w:val="center"/>
          </w:tcPr>
          <w:p w14:paraId="0340C1A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①</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设置可燃气体检测报警仪等防范设施。</w:t>
            </w:r>
          </w:p>
          <w:p w14:paraId="62C9748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制定安全生产方针、政策、计划和各种规范，完善安全管理制度和安全操作规程，建立健全环境管理体系和监测体系，完善各种规章制度标准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4FB2E43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③</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制定环境风险应急预案，定期演练。</w:t>
            </w:r>
          </w:p>
        </w:tc>
      </w:tr>
      <w:tr w14:paraId="4A56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22" w:type="dxa"/>
            <w:gridSpan w:val="5"/>
            <w:noWrap w:val="0"/>
            <w:vAlign w:val="center"/>
          </w:tcPr>
          <w:p w14:paraId="2E910E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结论：</w:t>
            </w:r>
            <w:bookmarkStart w:id="1242" w:name="OLE_LINK906"/>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所涉及的危险物质包括</w:t>
            </w:r>
            <w:r>
              <w:rPr>
                <w:rFonts w:hint="eastAsia" w:cs="Times New Roman"/>
                <w:color w:val="000000" w:themeColor="text1"/>
                <w:kern w:val="0"/>
                <w:sz w:val="21"/>
                <w:szCs w:val="21"/>
                <w:highlight w:val="none"/>
                <w:lang w:val="en-US" w:eastAsia="zh-CN"/>
                <w14:textFill>
                  <w14:solidFill>
                    <w14:schemeClr w14:val="tx1"/>
                  </w14:solidFill>
                </w14:textFill>
              </w:rPr>
              <w:t>天然气和凝析油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布于储罐和工艺装置内，可能发生的风险事故包括井喷、井漏、储罐泄漏、火灾、爆炸等引发的伴生/次生污染物排放。井喷会对大气、土壤、地下水产生的直接影响以及火灾、爆炸等引发的伴生/次生污染物排放；井漏对地下水造成影响；多功能储集器</w:t>
            </w:r>
            <w:r>
              <w:rPr>
                <w:rFonts w:hint="eastAsia" w:cs="Times New Roman"/>
                <w:color w:val="000000" w:themeColor="text1"/>
                <w:kern w:val="0"/>
                <w:sz w:val="21"/>
                <w:szCs w:val="21"/>
                <w:highlight w:val="none"/>
                <w:lang w:eastAsia="zh-CN"/>
                <w14:textFill>
                  <w14:solidFill>
                    <w14:schemeClr w14:val="tx1"/>
                  </w14:solidFill>
                </w14:textFill>
              </w:rPr>
              <w:t>泄漏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对大气、土壤、地下水造成影响。本工程在井下作业时应落实各项井场制度，降低井漏发生概率，本工程所在区域人烟稀少，地域空旷，大气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本工程提出的风险防范措施的前提下，不会对周围环境产生明显影响。雅克拉采气厂已制定了环境风险应急预案，将事故发生概率减少到最低，</w:t>
            </w:r>
            <w:r>
              <w:rPr>
                <w:rFonts w:hint="eastAsia" w:cs="Times New Roman"/>
                <w:color w:val="000000" w:themeColor="text1"/>
                <w:kern w:val="0"/>
                <w:sz w:val="21"/>
                <w:szCs w:val="21"/>
                <w:highlight w:val="none"/>
                <w:lang w:eastAsia="zh-CN"/>
                <w14:textFill>
                  <w14:solidFill>
                    <w14:schemeClr w14:val="tx1"/>
                  </w14:solidFill>
                </w14:textFill>
              </w:rPr>
              <w:t>减少</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事故造成的损失，在可接受范围之内</w:t>
            </w:r>
            <w:bookmarkEnd w:id="1242"/>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r>
    </w:tbl>
    <w:p w14:paraId="293C15A5">
      <w:pPr>
        <w:keepNext w:val="0"/>
        <w:keepLines w:val="0"/>
        <w:pageBreakBefore w:val="0"/>
        <w:widowControl/>
        <w:kinsoku/>
        <w:wordWrap/>
        <w:overflowPunct/>
        <w:topLinePunct w:val="0"/>
        <w:autoSpaceDE/>
        <w:autoSpaceDN/>
        <w:bidi w:val="0"/>
        <w:adjustRightInd w:val="0"/>
        <w:snapToGrid w:val="0"/>
        <w:spacing w:before="122"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t>表5.8-1</w:t>
      </w:r>
      <w:r>
        <w:rPr>
          <w:rFonts w:hint="eastAsia" w:eastAsia="黑体" w:cs="Times New Roman"/>
          <w:color w:val="000000" w:themeColor="text1"/>
          <w:sz w:val="21"/>
          <w:szCs w:val="21"/>
          <w:highlight w:val="none"/>
          <w:lang w:val="en-US" w:eastAsia="zh-CN" w:bidi="ar-SA"/>
          <w14:textFill>
            <w14:solidFill>
              <w14:schemeClr w14:val="tx1"/>
            </w14:solidFill>
          </w14:textFill>
        </w:rPr>
        <w:t>1</w:t>
      </w:r>
      <w:r>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t xml:space="preserve">   环境风险评价自查表</w:t>
      </w:r>
    </w:p>
    <w:tbl>
      <w:tblPr>
        <w:tblStyle w:val="68"/>
        <w:tblW w:w="86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
        <w:gridCol w:w="1203"/>
        <w:gridCol w:w="1100"/>
        <w:gridCol w:w="398"/>
        <w:gridCol w:w="346"/>
        <w:gridCol w:w="744"/>
        <w:gridCol w:w="484"/>
        <w:gridCol w:w="260"/>
        <w:gridCol w:w="157"/>
        <w:gridCol w:w="587"/>
        <w:gridCol w:w="110"/>
        <w:gridCol w:w="213"/>
        <w:gridCol w:w="421"/>
        <w:gridCol w:w="242"/>
        <w:gridCol w:w="6"/>
        <w:gridCol w:w="496"/>
        <w:gridCol w:w="162"/>
        <w:gridCol w:w="582"/>
        <w:gridCol w:w="745"/>
      </w:tblGrid>
      <w:tr w14:paraId="108A6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658" w:type="dxa"/>
            <w:gridSpan w:val="3"/>
            <w:noWrap w:val="0"/>
            <w:vAlign w:val="center"/>
          </w:tcPr>
          <w:p w14:paraId="345506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工作内容</w:t>
            </w:r>
          </w:p>
        </w:tc>
        <w:tc>
          <w:tcPr>
            <w:tcW w:w="5953" w:type="dxa"/>
            <w:gridSpan w:val="16"/>
            <w:noWrap w:val="0"/>
            <w:vAlign w:val="center"/>
          </w:tcPr>
          <w:p w14:paraId="5CE9FDA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完成情况</w:t>
            </w:r>
          </w:p>
        </w:tc>
      </w:tr>
      <w:tr w14:paraId="1C61F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55" w:type="dxa"/>
            <w:vMerge w:val="restart"/>
            <w:tcBorders>
              <w:bottom w:val="nil"/>
            </w:tcBorders>
            <w:noWrap w:val="0"/>
            <w:textDirection w:val="tbRlV"/>
            <w:vAlign w:val="center"/>
          </w:tcPr>
          <w:p w14:paraId="2A869B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风 险 调 查</w:t>
            </w:r>
          </w:p>
        </w:tc>
        <w:tc>
          <w:tcPr>
            <w:tcW w:w="1203" w:type="dxa"/>
            <w:vMerge w:val="restart"/>
            <w:tcBorders>
              <w:bottom w:val="nil"/>
            </w:tcBorders>
            <w:noWrap w:val="0"/>
            <w:vAlign w:val="center"/>
          </w:tcPr>
          <w:p w14:paraId="5262B8C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危险物质</w:t>
            </w:r>
          </w:p>
        </w:tc>
        <w:tc>
          <w:tcPr>
            <w:tcW w:w="1100" w:type="dxa"/>
            <w:noWrap w:val="0"/>
            <w:vAlign w:val="center"/>
          </w:tcPr>
          <w:p w14:paraId="2AEB99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名称</w:t>
            </w:r>
          </w:p>
        </w:tc>
        <w:tc>
          <w:tcPr>
            <w:tcW w:w="744" w:type="dxa"/>
            <w:gridSpan w:val="2"/>
            <w:noWrap w:val="0"/>
            <w:vAlign w:val="center"/>
          </w:tcPr>
          <w:p w14:paraId="5A88A36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天然气</w:t>
            </w:r>
          </w:p>
        </w:tc>
        <w:tc>
          <w:tcPr>
            <w:tcW w:w="744" w:type="dxa"/>
            <w:noWrap w:val="0"/>
            <w:vAlign w:val="center"/>
          </w:tcPr>
          <w:p w14:paraId="670DAA3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凝析油</w:t>
            </w:r>
          </w:p>
        </w:tc>
        <w:tc>
          <w:tcPr>
            <w:tcW w:w="744" w:type="dxa"/>
            <w:gridSpan w:val="2"/>
            <w:noWrap w:val="0"/>
            <w:vAlign w:val="center"/>
          </w:tcPr>
          <w:p w14:paraId="12ECBB3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2"/>
            <w:noWrap w:val="0"/>
            <w:vAlign w:val="center"/>
          </w:tcPr>
          <w:p w14:paraId="3C58231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3"/>
            <w:noWrap w:val="0"/>
            <w:vAlign w:val="center"/>
          </w:tcPr>
          <w:p w14:paraId="56C7BAC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3"/>
            <w:noWrap w:val="0"/>
            <w:vAlign w:val="center"/>
          </w:tcPr>
          <w:p w14:paraId="081FDA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2"/>
            <w:noWrap w:val="0"/>
            <w:vAlign w:val="center"/>
          </w:tcPr>
          <w:p w14:paraId="00428E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5" w:type="dxa"/>
            <w:noWrap w:val="0"/>
            <w:vAlign w:val="center"/>
          </w:tcPr>
          <w:p w14:paraId="7ED63C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2AAAC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19995BF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tcBorders>
            <w:noWrap w:val="0"/>
            <w:vAlign w:val="center"/>
          </w:tcPr>
          <w:p w14:paraId="67B779B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noWrap w:val="0"/>
            <w:vAlign w:val="center"/>
          </w:tcPr>
          <w:p w14:paraId="072D8D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存在总量/t</w:t>
            </w:r>
          </w:p>
        </w:tc>
        <w:tc>
          <w:tcPr>
            <w:tcW w:w="744" w:type="dxa"/>
            <w:gridSpan w:val="2"/>
            <w:noWrap w:val="0"/>
            <w:vAlign w:val="center"/>
          </w:tcPr>
          <w:p w14:paraId="6B5354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0.129</w:t>
            </w:r>
          </w:p>
        </w:tc>
        <w:tc>
          <w:tcPr>
            <w:tcW w:w="744" w:type="dxa"/>
            <w:noWrap w:val="0"/>
            <w:vAlign w:val="center"/>
          </w:tcPr>
          <w:p w14:paraId="3CDA0EE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193.84</w:t>
            </w:r>
          </w:p>
        </w:tc>
        <w:tc>
          <w:tcPr>
            <w:tcW w:w="744" w:type="dxa"/>
            <w:gridSpan w:val="2"/>
            <w:noWrap w:val="0"/>
            <w:vAlign w:val="center"/>
          </w:tcPr>
          <w:p w14:paraId="47F3991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2"/>
            <w:noWrap w:val="0"/>
            <w:vAlign w:val="center"/>
          </w:tcPr>
          <w:p w14:paraId="2D42E01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3"/>
            <w:noWrap w:val="0"/>
            <w:vAlign w:val="center"/>
          </w:tcPr>
          <w:p w14:paraId="64A3A9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3"/>
            <w:noWrap w:val="0"/>
            <w:vAlign w:val="center"/>
          </w:tcPr>
          <w:p w14:paraId="55BC43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4" w:type="dxa"/>
            <w:gridSpan w:val="2"/>
            <w:noWrap w:val="0"/>
            <w:vAlign w:val="center"/>
          </w:tcPr>
          <w:p w14:paraId="174F83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45" w:type="dxa"/>
            <w:noWrap w:val="0"/>
            <w:vAlign w:val="center"/>
          </w:tcPr>
          <w:p w14:paraId="7BAECC2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0217A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5B3847B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restart"/>
            <w:tcBorders>
              <w:bottom w:val="nil"/>
            </w:tcBorders>
            <w:noWrap w:val="0"/>
            <w:vAlign w:val="center"/>
          </w:tcPr>
          <w:p w14:paraId="1EB483B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环境敏感性</w:t>
            </w:r>
          </w:p>
        </w:tc>
        <w:tc>
          <w:tcPr>
            <w:tcW w:w="1100" w:type="dxa"/>
            <w:vMerge w:val="restart"/>
            <w:tcBorders>
              <w:bottom w:val="nil"/>
            </w:tcBorders>
            <w:noWrap w:val="0"/>
            <w:vAlign w:val="center"/>
          </w:tcPr>
          <w:p w14:paraId="0C58BE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w:t>
            </w:r>
          </w:p>
        </w:tc>
        <w:tc>
          <w:tcPr>
            <w:tcW w:w="3086" w:type="dxa"/>
            <w:gridSpan w:val="8"/>
            <w:noWrap w:val="0"/>
            <w:vAlign w:val="center"/>
          </w:tcPr>
          <w:p w14:paraId="52AF515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500m范围内人口数        人</w:t>
            </w:r>
          </w:p>
        </w:tc>
        <w:tc>
          <w:tcPr>
            <w:tcW w:w="2867" w:type="dxa"/>
            <w:gridSpan w:val="8"/>
            <w:noWrap w:val="0"/>
            <w:vAlign w:val="center"/>
          </w:tcPr>
          <w:p w14:paraId="5C0EFA3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5km范围内人口数        人</w:t>
            </w:r>
          </w:p>
        </w:tc>
      </w:tr>
      <w:tr w14:paraId="73C5B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26B086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bottom w:val="nil"/>
            </w:tcBorders>
            <w:noWrap w:val="0"/>
            <w:vAlign w:val="center"/>
          </w:tcPr>
          <w:p w14:paraId="6B6788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continue"/>
            <w:tcBorders>
              <w:top w:val="nil"/>
            </w:tcBorders>
            <w:noWrap w:val="0"/>
            <w:vAlign w:val="center"/>
          </w:tcPr>
          <w:p w14:paraId="7FEA37D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626" w:type="dxa"/>
            <w:gridSpan w:val="14"/>
            <w:noWrap w:val="0"/>
            <w:vAlign w:val="center"/>
          </w:tcPr>
          <w:p w14:paraId="6BD5C0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每公里管段周边200m范围内人口数（最大）</w:t>
            </w:r>
          </w:p>
        </w:tc>
        <w:tc>
          <w:tcPr>
            <w:tcW w:w="1327" w:type="dxa"/>
            <w:gridSpan w:val="2"/>
            <w:noWrap w:val="0"/>
            <w:vAlign w:val="center"/>
          </w:tcPr>
          <w:p w14:paraId="756604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 xml:space="preserve">      人</w:t>
            </w:r>
          </w:p>
        </w:tc>
      </w:tr>
      <w:tr w14:paraId="08F2D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355" w:type="dxa"/>
            <w:vMerge w:val="continue"/>
            <w:tcBorders>
              <w:top w:val="nil"/>
              <w:bottom w:val="nil"/>
            </w:tcBorders>
            <w:noWrap w:val="0"/>
            <w:textDirection w:val="tbRlV"/>
            <w:vAlign w:val="center"/>
          </w:tcPr>
          <w:p w14:paraId="6FCB3BE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bottom w:val="nil"/>
            </w:tcBorders>
            <w:noWrap w:val="0"/>
            <w:vAlign w:val="center"/>
          </w:tcPr>
          <w:p w14:paraId="132C473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restart"/>
            <w:tcBorders>
              <w:bottom w:val="nil"/>
            </w:tcBorders>
            <w:noWrap w:val="0"/>
            <w:vAlign w:val="center"/>
          </w:tcPr>
          <w:p w14:paraId="3C12BE1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p>
        </w:tc>
        <w:tc>
          <w:tcPr>
            <w:tcW w:w="1972" w:type="dxa"/>
            <w:gridSpan w:val="4"/>
            <w:noWrap w:val="0"/>
            <w:vAlign w:val="center"/>
          </w:tcPr>
          <w:p w14:paraId="2B5DC3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地表水功能敏感性</w:t>
            </w:r>
          </w:p>
        </w:tc>
        <w:tc>
          <w:tcPr>
            <w:tcW w:w="1327" w:type="dxa"/>
            <w:gridSpan w:val="5"/>
            <w:noWrap w:val="0"/>
            <w:vAlign w:val="center"/>
          </w:tcPr>
          <w:p w14:paraId="255941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F1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5A5280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F2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3443A81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F3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6DD24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55" w:type="dxa"/>
            <w:vMerge w:val="continue"/>
            <w:tcBorders>
              <w:top w:val="nil"/>
              <w:bottom w:val="nil"/>
            </w:tcBorders>
            <w:noWrap w:val="0"/>
            <w:textDirection w:val="tbRlV"/>
            <w:vAlign w:val="center"/>
          </w:tcPr>
          <w:p w14:paraId="3CDBD3E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bottom w:val="nil"/>
            </w:tcBorders>
            <w:noWrap w:val="0"/>
            <w:vAlign w:val="center"/>
          </w:tcPr>
          <w:p w14:paraId="1C2F3D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continue"/>
            <w:tcBorders>
              <w:top w:val="nil"/>
            </w:tcBorders>
            <w:noWrap w:val="0"/>
            <w:vAlign w:val="center"/>
          </w:tcPr>
          <w:p w14:paraId="1AAC0F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972" w:type="dxa"/>
            <w:gridSpan w:val="4"/>
            <w:noWrap w:val="0"/>
            <w:vAlign w:val="center"/>
          </w:tcPr>
          <w:p w14:paraId="2C65EB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环境敏感目标分级</w:t>
            </w:r>
          </w:p>
        </w:tc>
        <w:tc>
          <w:tcPr>
            <w:tcW w:w="1327" w:type="dxa"/>
            <w:gridSpan w:val="5"/>
            <w:noWrap w:val="0"/>
            <w:vAlign w:val="center"/>
          </w:tcPr>
          <w:p w14:paraId="3DED154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43F40CD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142610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396D5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55" w:type="dxa"/>
            <w:vMerge w:val="continue"/>
            <w:tcBorders>
              <w:top w:val="nil"/>
              <w:bottom w:val="nil"/>
            </w:tcBorders>
            <w:noWrap w:val="0"/>
            <w:textDirection w:val="tbRlV"/>
            <w:vAlign w:val="center"/>
          </w:tcPr>
          <w:p w14:paraId="563245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bottom w:val="nil"/>
            </w:tcBorders>
            <w:noWrap w:val="0"/>
            <w:vAlign w:val="center"/>
          </w:tcPr>
          <w:p w14:paraId="783590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restart"/>
            <w:tcBorders>
              <w:bottom w:val="nil"/>
            </w:tcBorders>
            <w:noWrap w:val="0"/>
            <w:vAlign w:val="center"/>
          </w:tcPr>
          <w:p w14:paraId="21F898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c>
          <w:tcPr>
            <w:tcW w:w="1972" w:type="dxa"/>
            <w:gridSpan w:val="4"/>
            <w:noWrap w:val="0"/>
            <w:vAlign w:val="center"/>
          </w:tcPr>
          <w:p w14:paraId="7EC118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地下水功能敏感性</w:t>
            </w:r>
          </w:p>
        </w:tc>
        <w:tc>
          <w:tcPr>
            <w:tcW w:w="1327" w:type="dxa"/>
            <w:gridSpan w:val="5"/>
            <w:noWrap w:val="0"/>
            <w:vAlign w:val="center"/>
          </w:tcPr>
          <w:p w14:paraId="6C0166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27B4F14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7AB3F6A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78FE8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355" w:type="dxa"/>
            <w:vMerge w:val="continue"/>
            <w:tcBorders>
              <w:top w:val="nil"/>
            </w:tcBorders>
            <w:noWrap w:val="0"/>
            <w:textDirection w:val="tbRlV"/>
            <w:vAlign w:val="center"/>
          </w:tcPr>
          <w:p w14:paraId="2DE31D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tcBorders>
            <w:noWrap w:val="0"/>
            <w:vAlign w:val="center"/>
          </w:tcPr>
          <w:p w14:paraId="4D00F5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continue"/>
            <w:tcBorders>
              <w:top w:val="nil"/>
            </w:tcBorders>
            <w:noWrap w:val="0"/>
            <w:vAlign w:val="center"/>
          </w:tcPr>
          <w:p w14:paraId="101B86B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972" w:type="dxa"/>
            <w:gridSpan w:val="4"/>
            <w:noWrap w:val="0"/>
            <w:vAlign w:val="center"/>
          </w:tcPr>
          <w:p w14:paraId="337D30C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包气带防污性能</w:t>
            </w:r>
          </w:p>
        </w:tc>
        <w:tc>
          <w:tcPr>
            <w:tcW w:w="1327" w:type="dxa"/>
            <w:gridSpan w:val="5"/>
            <w:noWrap w:val="0"/>
            <w:vAlign w:val="center"/>
          </w:tcPr>
          <w:p w14:paraId="06B3511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72D514A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236ABF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11E57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restart"/>
            <w:tcBorders>
              <w:bottom w:val="nil"/>
            </w:tcBorders>
            <w:noWrap w:val="0"/>
            <w:vAlign w:val="center"/>
          </w:tcPr>
          <w:p w14:paraId="6768357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物质及工艺 系统危险性</w:t>
            </w:r>
          </w:p>
        </w:tc>
        <w:tc>
          <w:tcPr>
            <w:tcW w:w="1100" w:type="dxa"/>
            <w:noWrap w:val="0"/>
            <w:vAlign w:val="center"/>
          </w:tcPr>
          <w:p w14:paraId="6F6386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Q值</w:t>
            </w:r>
          </w:p>
        </w:tc>
        <w:tc>
          <w:tcPr>
            <w:tcW w:w="1972" w:type="dxa"/>
            <w:gridSpan w:val="4"/>
            <w:noWrap w:val="0"/>
            <w:vAlign w:val="center"/>
          </w:tcPr>
          <w:p w14:paraId="6301BA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Q&lt;1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538683C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1≤Q&lt;10</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3FA745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10≤Q&lt;100</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19B1AF5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Q&gt;100</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2678F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continue"/>
            <w:tcBorders>
              <w:top w:val="nil"/>
              <w:bottom w:val="nil"/>
            </w:tcBorders>
            <w:noWrap w:val="0"/>
            <w:vAlign w:val="center"/>
          </w:tcPr>
          <w:p w14:paraId="3C366D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noWrap w:val="0"/>
            <w:vAlign w:val="center"/>
          </w:tcPr>
          <w:p w14:paraId="4BA8CBA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M值</w:t>
            </w:r>
          </w:p>
        </w:tc>
        <w:tc>
          <w:tcPr>
            <w:tcW w:w="1972" w:type="dxa"/>
            <w:gridSpan w:val="4"/>
            <w:noWrap w:val="0"/>
            <w:vAlign w:val="center"/>
          </w:tcPr>
          <w:p w14:paraId="1E713B3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6126DB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71F5A7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00A353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M4</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5A458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continue"/>
            <w:tcBorders>
              <w:top w:val="nil"/>
            </w:tcBorders>
            <w:noWrap w:val="0"/>
            <w:vAlign w:val="center"/>
          </w:tcPr>
          <w:p w14:paraId="3912796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noWrap w:val="0"/>
            <w:vAlign w:val="center"/>
          </w:tcPr>
          <w:p w14:paraId="19B5BF5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P值</w:t>
            </w:r>
          </w:p>
        </w:tc>
        <w:tc>
          <w:tcPr>
            <w:tcW w:w="1972" w:type="dxa"/>
            <w:gridSpan w:val="4"/>
            <w:noWrap w:val="0"/>
            <w:vAlign w:val="center"/>
          </w:tcPr>
          <w:p w14:paraId="06B5499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6AAC75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6B9B56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208C624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P4</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590CE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restart"/>
            <w:tcBorders>
              <w:bottom w:val="nil"/>
            </w:tcBorders>
            <w:noWrap w:val="0"/>
            <w:vAlign w:val="center"/>
          </w:tcPr>
          <w:p w14:paraId="2320849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环境敏感</w:t>
            </w:r>
          </w:p>
          <w:p w14:paraId="29879F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程度</w:t>
            </w:r>
          </w:p>
        </w:tc>
        <w:tc>
          <w:tcPr>
            <w:tcW w:w="1100" w:type="dxa"/>
            <w:noWrap w:val="0"/>
            <w:vAlign w:val="center"/>
          </w:tcPr>
          <w:p w14:paraId="08EBA76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w:t>
            </w:r>
          </w:p>
        </w:tc>
        <w:tc>
          <w:tcPr>
            <w:tcW w:w="1972" w:type="dxa"/>
            <w:gridSpan w:val="4"/>
            <w:noWrap w:val="0"/>
            <w:vAlign w:val="center"/>
          </w:tcPr>
          <w:p w14:paraId="50F67AC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6" w:type="dxa"/>
            <w:gridSpan w:val="8"/>
            <w:noWrap w:val="0"/>
            <w:vAlign w:val="center"/>
          </w:tcPr>
          <w:p w14:paraId="352A70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85" w:type="dxa"/>
            <w:gridSpan w:val="4"/>
            <w:noWrap w:val="0"/>
            <w:vAlign w:val="center"/>
          </w:tcPr>
          <w:p w14:paraId="0FF03DD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66B75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continue"/>
            <w:tcBorders>
              <w:top w:val="nil"/>
              <w:bottom w:val="nil"/>
            </w:tcBorders>
            <w:noWrap w:val="0"/>
            <w:vAlign w:val="center"/>
          </w:tcPr>
          <w:p w14:paraId="015988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noWrap w:val="0"/>
            <w:vAlign w:val="center"/>
          </w:tcPr>
          <w:p w14:paraId="3D8695E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p>
        </w:tc>
        <w:tc>
          <w:tcPr>
            <w:tcW w:w="1972" w:type="dxa"/>
            <w:gridSpan w:val="4"/>
            <w:noWrap w:val="0"/>
            <w:vAlign w:val="center"/>
          </w:tcPr>
          <w:p w14:paraId="7DEBFD6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6" w:type="dxa"/>
            <w:gridSpan w:val="8"/>
            <w:noWrap w:val="0"/>
            <w:vAlign w:val="center"/>
          </w:tcPr>
          <w:p w14:paraId="3472B5F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85" w:type="dxa"/>
            <w:gridSpan w:val="4"/>
            <w:noWrap w:val="0"/>
            <w:vAlign w:val="center"/>
          </w:tcPr>
          <w:p w14:paraId="588B668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273D4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vMerge w:val="continue"/>
            <w:tcBorders>
              <w:top w:val="nil"/>
            </w:tcBorders>
            <w:noWrap w:val="0"/>
            <w:vAlign w:val="center"/>
          </w:tcPr>
          <w:p w14:paraId="10A5FF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noWrap w:val="0"/>
            <w:vAlign w:val="center"/>
          </w:tcPr>
          <w:p w14:paraId="17D85D3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c>
          <w:tcPr>
            <w:tcW w:w="1972" w:type="dxa"/>
            <w:gridSpan w:val="4"/>
            <w:noWrap w:val="0"/>
            <w:vAlign w:val="center"/>
          </w:tcPr>
          <w:p w14:paraId="2AA797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E1</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6" w:type="dxa"/>
            <w:gridSpan w:val="8"/>
            <w:noWrap w:val="0"/>
            <w:vAlign w:val="center"/>
          </w:tcPr>
          <w:p w14:paraId="6B68EF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85" w:type="dxa"/>
            <w:gridSpan w:val="4"/>
            <w:noWrap w:val="0"/>
            <w:vAlign w:val="center"/>
          </w:tcPr>
          <w:p w14:paraId="35D17D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E3</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66DFE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jc w:val="center"/>
        </w:trPr>
        <w:tc>
          <w:tcPr>
            <w:tcW w:w="1558" w:type="dxa"/>
            <w:gridSpan w:val="2"/>
            <w:noWrap w:val="0"/>
            <w:vAlign w:val="center"/>
          </w:tcPr>
          <w:p w14:paraId="0E04C40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环境风险</w:t>
            </w:r>
          </w:p>
          <w:p w14:paraId="7C78453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潜势</w:t>
            </w:r>
          </w:p>
        </w:tc>
        <w:tc>
          <w:tcPr>
            <w:tcW w:w="1498" w:type="dxa"/>
            <w:gridSpan w:val="2"/>
            <w:noWrap w:val="0"/>
            <w:vAlign w:val="center"/>
          </w:tcPr>
          <w:p w14:paraId="6B6FC7D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Ⅳ+</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574" w:type="dxa"/>
            <w:gridSpan w:val="3"/>
            <w:noWrap w:val="0"/>
            <w:vAlign w:val="center"/>
          </w:tcPr>
          <w:p w14:paraId="2CA2F5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Ⅳ</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706355B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Ⅲ</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659880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Ⅱ</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31D32B0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Ⅰ</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2D802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558" w:type="dxa"/>
            <w:gridSpan w:val="2"/>
            <w:noWrap w:val="0"/>
            <w:vAlign w:val="center"/>
          </w:tcPr>
          <w:p w14:paraId="0EBBDF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评价等级</w:t>
            </w:r>
          </w:p>
        </w:tc>
        <w:tc>
          <w:tcPr>
            <w:tcW w:w="3072" w:type="dxa"/>
            <w:gridSpan w:val="5"/>
            <w:noWrap w:val="0"/>
            <w:vAlign w:val="center"/>
          </w:tcPr>
          <w:p w14:paraId="649F24B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00C7B0F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二级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5"/>
            <w:noWrap w:val="0"/>
            <w:vAlign w:val="center"/>
          </w:tcPr>
          <w:p w14:paraId="660724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三级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27" w:type="dxa"/>
            <w:gridSpan w:val="2"/>
            <w:noWrap w:val="0"/>
            <w:vAlign w:val="center"/>
          </w:tcPr>
          <w:p w14:paraId="302379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简单分析</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1C86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55" w:type="dxa"/>
            <w:vMerge w:val="restart"/>
            <w:tcBorders>
              <w:bottom w:val="nil"/>
            </w:tcBorders>
            <w:noWrap w:val="0"/>
            <w:vAlign w:val="center"/>
          </w:tcPr>
          <w:p w14:paraId="30F319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风险识别</w:t>
            </w:r>
          </w:p>
        </w:tc>
        <w:tc>
          <w:tcPr>
            <w:tcW w:w="1203" w:type="dxa"/>
            <w:noWrap w:val="0"/>
            <w:vAlign w:val="center"/>
          </w:tcPr>
          <w:p w14:paraId="6E29B72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物质危险性</w:t>
            </w:r>
          </w:p>
        </w:tc>
        <w:tc>
          <w:tcPr>
            <w:tcW w:w="3489" w:type="dxa"/>
            <w:gridSpan w:val="7"/>
            <w:noWrap w:val="0"/>
            <w:vAlign w:val="center"/>
          </w:tcPr>
          <w:p w14:paraId="225F412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有毒有害☑</w:t>
            </w:r>
          </w:p>
        </w:tc>
        <w:tc>
          <w:tcPr>
            <w:tcW w:w="3564" w:type="dxa"/>
            <w:gridSpan w:val="10"/>
            <w:noWrap w:val="0"/>
            <w:vAlign w:val="center"/>
          </w:tcPr>
          <w:p w14:paraId="6C87E53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易燃易爆☑</w:t>
            </w:r>
          </w:p>
        </w:tc>
      </w:tr>
      <w:tr w14:paraId="54EC2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55" w:type="dxa"/>
            <w:vMerge w:val="continue"/>
            <w:tcBorders>
              <w:top w:val="nil"/>
              <w:bottom w:val="nil"/>
            </w:tcBorders>
            <w:noWrap w:val="0"/>
            <w:textDirection w:val="tbRlV"/>
            <w:vAlign w:val="center"/>
          </w:tcPr>
          <w:p w14:paraId="570BF5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noWrap w:val="0"/>
            <w:vAlign w:val="center"/>
          </w:tcPr>
          <w:p w14:paraId="2A67E66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环境风险</w:t>
            </w:r>
          </w:p>
          <w:p w14:paraId="1421C6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类型</w:t>
            </w:r>
          </w:p>
        </w:tc>
        <w:tc>
          <w:tcPr>
            <w:tcW w:w="3072" w:type="dxa"/>
            <w:gridSpan w:val="5"/>
            <w:noWrap w:val="0"/>
            <w:vAlign w:val="center"/>
          </w:tcPr>
          <w:p w14:paraId="39E010F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泄漏☑</w:t>
            </w:r>
          </w:p>
        </w:tc>
        <w:tc>
          <w:tcPr>
            <w:tcW w:w="3981" w:type="dxa"/>
            <w:gridSpan w:val="12"/>
            <w:noWrap w:val="0"/>
            <w:vAlign w:val="center"/>
          </w:tcPr>
          <w:p w14:paraId="6EBFA87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火灾、爆炸引发伴生/次生污染物排放☑</w:t>
            </w:r>
          </w:p>
        </w:tc>
      </w:tr>
      <w:tr w14:paraId="5314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55" w:type="dxa"/>
            <w:vMerge w:val="continue"/>
            <w:tcBorders>
              <w:top w:val="nil"/>
            </w:tcBorders>
            <w:noWrap w:val="0"/>
            <w:textDirection w:val="tbRlV"/>
            <w:vAlign w:val="center"/>
          </w:tcPr>
          <w:p w14:paraId="344926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noWrap w:val="0"/>
            <w:vAlign w:val="center"/>
          </w:tcPr>
          <w:p w14:paraId="0268AE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影响途径</w:t>
            </w:r>
          </w:p>
        </w:tc>
        <w:tc>
          <w:tcPr>
            <w:tcW w:w="3072" w:type="dxa"/>
            <w:gridSpan w:val="5"/>
            <w:noWrap w:val="0"/>
            <w:vAlign w:val="center"/>
          </w:tcPr>
          <w:p w14:paraId="4C9912E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w:t>
            </w:r>
          </w:p>
        </w:tc>
        <w:tc>
          <w:tcPr>
            <w:tcW w:w="1990" w:type="dxa"/>
            <w:gridSpan w:val="7"/>
            <w:noWrap w:val="0"/>
            <w:vAlign w:val="center"/>
          </w:tcPr>
          <w:p w14:paraId="3608500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1" w:type="dxa"/>
            <w:gridSpan w:val="5"/>
            <w:noWrap w:val="0"/>
            <w:vAlign w:val="center"/>
          </w:tcPr>
          <w:p w14:paraId="6FA060D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r>
      <w:tr w14:paraId="1963D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1558" w:type="dxa"/>
            <w:gridSpan w:val="2"/>
            <w:noWrap w:val="0"/>
            <w:vAlign w:val="center"/>
          </w:tcPr>
          <w:p w14:paraId="2635B1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事故情形</w:t>
            </w:r>
          </w:p>
          <w:p w14:paraId="542DAB4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分析</w:t>
            </w:r>
          </w:p>
        </w:tc>
        <w:tc>
          <w:tcPr>
            <w:tcW w:w="1100" w:type="dxa"/>
            <w:noWrap w:val="0"/>
            <w:vAlign w:val="center"/>
          </w:tcPr>
          <w:p w14:paraId="669C70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源强设定 方法</w:t>
            </w:r>
          </w:p>
        </w:tc>
        <w:tc>
          <w:tcPr>
            <w:tcW w:w="1972" w:type="dxa"/>
            <w:gridSpan w:val="4"/>
            <w:noWrap w:val="0"/>
            <w:vAlign w:val="center"/>
          </w:tcPr>
          <w:p w14:paraId="142863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计算法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0" w:type="dxa"/>
            <w:gridSpan w:val="7"/>
            <w:noWrap w:val="0"/>
            <w:vAlign w:val="center"/>
          </w:tcPr>
          <w:p w14:paraId="646F69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经验估算法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1" w:type="dxa"/>
            <w:gridSpan w:val="5"/>
            <w:noWrap w:val="0"/>
            <w:vAlign w:val="center"/>
          </w:tcPr>
          <w:p w14:paraId="2F9B28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其他估算法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3B968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restart"/>
            <w:tcBorders>
              <w:bottom w:val="nil"/>
            </w:tcBorders>
            <w:noWrap w:val="0"/>
            <w:vAlign w:val="center"/>
          </w:tcPr>
          <w:p w14:paraId="7BC2F79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风险预测与评价</w:t>
            </w:r>
          </w:p>
        </w:tc>
        <w:tc>
          <w:tcPr>
            <w:tcW w:w="1203" w:type="dxa"/>
            <w:vMerge w:val="restart"/>
            <w:tcBorders>
              <w:bottom w:val="nil"/>
            </w:tcBorders>
            <w:noWrap w:val="0"/>
            <w:vAlign w:val="center"/>
          </w:tcPr>
          <w:p w14:paraId="0A1533B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w:t>
            </w:r>
          </w:p>
        </w:tc>
        <w:tc>
          <w:tcPr>
            <w:tcW w:w="1100" w:type="dxa"/>
            <w:noWrap w:val="0"/>
            <w:vAlign w:val="center"/>
          </w:tcPr>
          <w:p w14:paraId="00B9368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预测模型</w:t>
            </w:r>
          </w:p>
        </w:tc>
        <w:tc>
          <w:tcPr>
            <w:tcW w:w="1972" w:type="dxa"/>
            <w:gridSpan w:val="4"/>
            <w:noWrap w:val="0"/>
            <w:vAlign w:val="center"/>
          </w:tcPr>
          <w:p w14:paraId="6168147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SLAB</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0" w:type="dxa"/>
            <w:gridSpan w:val="7"/>
            <w:noWrap w:val="0"/>
            <w:vAlign w:val="center"/>
          </w:tcPr>
          <w:p w14:paraId="33703E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AFTOX</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991" w:type="dxa"/>
            <w:gridSpan w:val="5"/>
            <w:noWrap w:val="0"/>
            <w:vAlign w:val="center"/>
          </w:tcPr>
          <w:p w14:paraId="7F3901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2F89A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3DF5E5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bottom w:val="nil"/>
            </w:tcBorders>
            <w:noWrap w:val="0"/>
            <w:vAlign w:val="center"/>
          </w:tcPr>
          <w:p w14:paraId="46780B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restart"/>
            <w:tcBorders>
              <w:bottom w:val="nil"/>
            </w:tcBorders>
            <w:noWrap w:val="0"/>
            <w:vAlign w:val="center"/>
          </w:tcPr>
          <w:p w14:paraId="544BB1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预测结果</w:t>
            </w:r>
          </w:p>
        </w:tc>
        <w:tc>
          <w:tcPr>
            <w:tcW w:w="5953" w:type="dxa"/>
            <w:gridSpan w:val="16"/>
            <w:noWrap w:val="0"/>
            <w:vAlign w:val="center"/>
          </w:tcPr>
          <w:p w14:paraId="1BC1939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大气毒性终点浓度- 1  最大影响范围      m</w:t>
            </w:r>
          </w:p>
        </w:tc>
      </w:tr>
      <w:tr w14:paraId="7A6ED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1CC2A94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tcBorders>
            <w:noWrap w:val="0"/>
            <w:vAlign w:val="center"/>
          </w:tcPr>
          <w:p w14:paraId="1B2405A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0" w:type="dxa"/>
            <w:vMerge w:val="continue"/>
            <w:tcBorders>
              <w:top w:val="nil"/>
            </w:tcBorders>
            <w:noWrap w:val="0"/>
            <w:vAlign w:val="center"/>
          </w:tcPr>
          <w:p w14:paraId="7B5549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953" w:type="dxa"/>
            <w:gridSpan w:val="16"/>
            <w:noWrap w:val="0"/>
            <w:vAlign w:val="center"/>
          </w:tcPr>
          <w:p w14:paraId="071BEA7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大气毒性终点浓度-2  最大影响范围      m</w:t>
            </w:r>
          </w:p>
        </w:tc>
      </w:tr>
      <w:tr w14:paraId="2E005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23D53A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noWrap w:val="0"/>
            <w:vAlign w:val="center"/>
          </w:tcPr>
          <w:p w14:paraId="694815F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p>
        </w:tc>
        <w:tc>
          <w:tcPr>
            <w:tcW w:w="7053" w:type="dxa"/>
            <w:gridSpan w:val="17"/>
            <w:noWrap w:val="0"/>
            <w:vAlign w:val="center"/>
          </w:tcPr>
          <w:p w14:paraId="1B7539A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最近环境敏感目标              ，到达时间        h</w:t>
            </w:r>
          </w:p>
        </w:tc>
      </w:tr>
      <w:tr w14:paraId="2C7A6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bottom w:val="nil"/>
            </w:tcBorders>
            <w:noWrap w:val="0"/>
            <w:textDirection w:val="tbRlV"/>
            <w:vAlign w:val="center"/>
          </w:tcPr>
          <w:p w14:paraId="6D0121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restart"/>
            <w:tcBorders>
              <w:bottom w:val="nil"/>
            </w:tcBorders>
            <w:noWrap w:val="0"/>
            <w:vAlign w:val="center"/>
          </w:tcPr>
          <w:p w14:paraId="56B08E6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c>
          <w:tcPr>
            <w:tcW w:w="7053" w:type="dxa"/>
            <w:gridSpan w:val="17"/>
            <w:noWrap w:val="0"/>
            <w:vAlign w:val="center"/>
          </w:tcPr>
          <w:p w14:paraId="17E957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下游厂区边界到达时间          d</w:t>
            </w:r>
          </w:p>
        </w:tc>
      </w:tr>
      <w:tr w14:paraId="639B7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55" w:type="dxa"/>
            <w:vMerge w:val="continue"/>
            <w:tcBorders>
              <w:top w:val="nil"/>
            </w:tcBorders>
            <w:noWrap w:val="0"/>
            <w:textDirection w:val="tbRlV"/>
            <w:vAlign w:val="center"/>
          </w:tcPr>
          <w:p w14:paraId="0A625DE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203" w:type="dxa"/>
            <w:vMerge w:val="continue"/>
            <w:tcBorders>
              <w:top w:val="nil"/>
            </w:tcBorders>
            <w:noWrap w:val="0"/>
            <w:vAlign w:val="center"/>
          </w:tcPr>
          <w:p w14:paraId="3B2DA1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053" w:type="dxa"/>
            <w:gridSpan w:val="17"/>
            <w:noWrap w:val="0"/>
            <w:vAlign w:val="center"/>
          </w:tcPr>
          <w:p w14:paraId="3DE54F7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最近环境敏感目标               ，到达时间         d</w:t>
            </w:r>
          </w:p>
        </w:tc>
      </w:tr>
      <w:tr w14:paraId="0D5AB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1558" w:type="dxa"/>
            <w:gridSpan w:val="2"/>
            <w:noWrap w:val="0"/>
            <w:vAlign w:val="center"/>
          </w:tcPr>
          <w:p w14:paraId="1CF4BA0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重点风险防范措施</w:t>
            </w:r>
          </w:p>
        </w:tc>
        <w:tc>
          <w:tcPr>
            <w:tcW w:w="7053" w:type="dxa"/>
            <w:gridSpan w:val="17"/>
            <w:noWrap w:val="0"/>
            <w:vAlign w:val="center"/>
          </w:tcPr>
          <w:p w14:paraId="301059E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①制定安全生产方针、政策、计划和各种规范，完善安全管理制度和安全操作规程，建立健全环境管理体系和监测体系，完善各种规章制度标准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②井下作业时要求带罐操作，最大限度避免落地油产生。按消防规定配备消防器材。③本工程环境风险应急预案依托雅克拉采气厂编制的《</w:t>
            </w:r>
            <w:bookmarkStart w:id="1243" w:name="OLE_LINK897"/>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中国石油化工股份有限公司西北油田分公司雅克拉采气厂突发环境事件应急预案</w:t>
            </w:r>
            <w:bookmarkEnd w:id="1243"/>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》（备案编号：</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652925-2024-30-L</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），定期演练。</w:t>
            </w:r>
          </w:p>
        </w:tc>
      </w:tr>
      <w:tr w14:paraId="05ED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jc w:val="center"/>
        </w:trPr>
        <w:tc>
          <w:tcPr>
            <w:tcW w:w="1558" w:type="dxa"/>
            <w:gridSpan w:val="2"/>
            <w:noWrap w:val="0"/>
            <w:vAlign w:val="center"/>
          </w:tcPr>
          <w:p w14:paraId="032445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评价结论与建议</w:t>
            </w:r>
          </w:p>
        </w:tc>
        <w:tc>
          <w:tcPr>
            <w:tcW w:w="7053" w:type="dxa"/>
            <w:gridSpan w:val="17"/>
            <w:noWrap w:val="0"/>
            <w:vAlign w:val="center"/>
          </w:tcPr>
          <w:p w14:paraId="6A8C87E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所涉及的危险物质包括</w:t>
            </w:r>
            <w:r>
              <w:rPr>
                <w:rFonts w:hint="eastAsia" w:cs="Times New Roman"/>
                <w:color w:val="000000" w:themeColor="text1"/>
                <w:kern w:val="0"/>
                <w:sz w:val="21"/>
                <w:szCs w:val="21"/>
                <w:highlight w:val="none"/>
                <w:lang w:val="en-US" w:eastAsia="zh-CN"/>
                <w14:textFill>
                  <w14:solidFill>
                    <w14:schemeClr w14:val="tx1"/>
                  </w14:solidFill>
                </w14:textFill>
              </w:rPr>
              <w:t>天然气和凝析油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布于储罐和工艺装置内，可能发生的风险事故包括井喷、井漏、储罐泄漏、火灾、爆炸等引发的伴生/次生污染物排放。发生事故后，在严格落实本工程提出的风险防范措施的前提下，可使风险发生概率降低，不会对周围环境产生明显影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使事故发生对环境的影响控制在可接受水平。雅克拉采气厂已制定了环境风险应急预案，将事故发生概率减少到最低，</w:t>
            </w:r>
            <w:r>
              <w:rPr>
                <w:rFonts w:hint="eastAsia" w:cs="Times New Roman"/>
                <w:color w:val="000000" w:themeColor="text1"/>
                <w:kern w:val="0"/>
                <w:sz w:val="21"/>
                <w:szCs w:val="21"/>
                <w:highlight w:val="none"/>
                <w:lang w:eastAsia="zh-CN"/>
                <w14:textFill>
                  <w14:solidFill>
                    <w14:schemeClr w14:val="tx1"/>
                  </w14:solidFill>
                </w14:textFill>
              </w:rPr>
              <w:t>减少</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事故造成的损失，在可接受范围之内</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综上所述，本</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环境风险程度属于可以防控的。</w:t>
            </w:r>
          </w:p>
        </w:tc>
      </w:tr>
      <w:tr w14:paraId="735A7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611" w:type="dxa"/>
            <w:gridSpan w:val="19"/>
            <w:noWrap w:val="0"/>
            <w:vAlign w:val="center"/>
          </w:tcPr>
          <w:p w14:paraId="6A4FB40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为勾选项，</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为填写项。</w:t>
            </w:r>
          </w:p>
        </w:tc>
      </w:tr>
    </w:tbl>
    <w:p w14:paraId="5E87F5D9">
      <w:pPr>
        <w:rPr>
          <w:color w:val="000000" w:themeColor="text1"/>
          <w:highlight w:val="none"/>
          <w14:textFill>
            <w14:solidFill>
              <w14:schemeClr w14:val="tx1"/>
            </w14:solidFill>
          </w14:textFill>
        </w:rPr>
      </w:pPr>
    </w:p>
    <w:p w14:paraId="3FD32A27">
      <w:pPr>
        <w:rPr>
          <w:color w:val="000000" w:themeColor="text1"/>
          <w:highlight w:val="none"/>
          <w14:textFill>
            <w14:solidFill>
              <w14:schemeClr w14:val="tx1"/>
            </w14:solidFill>
          </w14:textFill>
        </w:rPr>
      </w:pPr>
    </w:p>
    <w:p w14:paraId="394AC889">
      <w:pPr>
        <w:rPr>
          <w:color w:val="000000" w:themeColor="text1"/>
          <w:highlight w:val="none"/>
          <w14:textFill>
            <w14:solidFill>
              <w14:schemeClr w14:val="tx1"/>
            </w14:solidFill>
          </w14:textFill>
        </w:rPr>
        <w:sectPr>
          <w:pgSz w:w="11906" w:h="16838"/>
          <w:pgMar w:top="1440" w:right="1800" w:bottom="1440" w:left="1800" w:header="851" w:footer="1134" w:gutter="0"/>
          <w:pgBorders>
            <w:top w:val="none" w:sz="0" w:space="0"/>
            <w:left w:val="none" w:sz="0" w:space="0"/>
            <w:bottom w:val="none" w:sz="0" w:space="0"/>
            <w:right w:val="none" w:sz="0" w:space="0"/>
          </w:pgBorders>
          <w:pgNumType w:fmt="decimal"/>
          <w:cols w:space="720" w:num="1"/>
          <w:docGrid w:type="lines" w:linePitch="326" w:charSpace="0"/>
        </w:sectPr>
      </w:pPr>
    </w:p>
    <w:p w14:paraId="632D6826">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0"/>
        <w:rPr>
          <w:rFonts w:hint="eastAsia" w:ascii="Times New Roman" w:hAnsi="Times New Roman" w:eastAsia="宋体" w:cs="Times New Roman"/>
          <w:b/>
          <w:bCs/>
          <w:color w:val="000000" w:themeColor="text1"/>
          <w:sz w:val="36"/>
          <w:szCs w:val="36"/>
          <w:highlight w:val="none"/>
          <w:lang w:eastAsia="zh-CN"/>
          <w14:textFill>
            <w14:solidFill>
              <w14:schemeClr w14:val="tx1"/>
            </w14:solidFill>
          </w14:textFill>
        </w:rPr>
      </w:pPr>
      <w:bookmarkStart w:id="1244" w:name="_Toc21552"/>
      <w:r>
        <w:rPr>
          <w:rFonts w:hint="default" w:ascii="Times New Roman" w:hAnsi="Times New Roman" w:eastAsia="宋体" w:cs="Times New Roman"/>
          <w:b/>
          <w:bCs/>
          <w:color w:val="000000" w:themeColor="text1"/>
          <w:sz w:val="36"/>
          <w:szCs w:val="36"/>
          <w:highlight w:val="none"/>
          <w:lang w:eastAsia="zh-CN"/>
          <w14:textFill>
            <w14:solidFill>
              <w14:schemeClr w14:val="tx1"/>
            </w14:solidFill>
          </w14:textFill>
        </w:rPr>
        <w:t>6环境保护措施可行性论证</w:t>
      </w:r>
      <w:bookmarkEnd w:id="1244"/>
      <w:r>
        <w:rPr>
          <w:rFonts w:hint="eastAsia" w:ascii="Times New Roman" w:hAnsi="Times New Roman" w:eastAsia="宋体" w:cs="Times New Roman"/>
          <w:b/>
          <w:bCs/>
          <w:color w:val="000000" w:themeColor="text1"/>
          <w:sz w:val="36"/>
          <w:szCs w:val="36"/>
          <w:highlight w:val="none"/>
          <w:lang w:eastAsia="zh-CN"/>
          <w14:textFill>
            <w14:solidFill>
              <w14:schemeClr w14:val="tx1"/>
            </w14:solidFill>
          </w14:textFill>
        </w:rPr>
        <w:tab/>
      </w:r>
    </w:p>
    <w:p w14:paraId="09E32120">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1245" w:name="_Toc27444"/>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_Toc6182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1</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 xml:space="preserve"> 生态保护措施可行性论证</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bookmarkEnd w:id="1245"/>
    </w:p>
    <w:p w14:paraId="144F34D3">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_Toc18542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1</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.1施工期生态保护措施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533EC3A9">
      <w:pPr>
        <w:keepNext/>
        <w:keepLines/>
        <w:pageBreakBefore w:val="0"/>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6.1.1.1井场</w:t>
      </w:r>
    </w:p>
    <w:p w14:paraId="3B89D4E4">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（1）井场区域主要占地类型为</w:t>
      </w:r>
      <w:r>
        <w:rPr>
          <w:rFonts w:hint="eastAsia" w:cs="Times New Roman"/>
          <w:color w:val="000000" w:themeColor="text1"/>
          <w:sz w:val="24"/>
          <w:szCs w:val="21"/>
          <w:highlight w:val="none"/>
          <w:lang w:val="en-US" w:eastAsia="zh-CN" w:bidi="ar-SA"/>
          <w14:textFill>
            <w14:solidFill>
              <w14:schemeClr w14:val="tx1"/>
            </w14:solidFill>
          </w14:textFill>
        </w:rPr>
        <w:t>果园</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，施工过程中须严格</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控制井场占地面积，减少扰动面积，减少</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对荒漠植被影响</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60C40CD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bookmarkStart w:id="1246" w:name="_Hlk68084578"/>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（2）钻井过程中严格执行钻井</w:t>
      </w:r>
      <w:r>
        <w:rPr>
          <w:rFonts w:hint="eastAsia" w:cs="Times New Roman"/>
          <w:color w:val="000000" w:themeColor="text1"/>
          <w:sz w:val="24"/>
          <w:szCs w:val="21"/>
          <w:highlight w:val="none"/>
          <w:lang w:val="en-US" w:eastAsia="zh-CN" w:bidi="ar-SA"/>
          <w14:textFill>
            <w14:solidFill>
              <w14:schemeClr w14:val="tx1"/>
            </w14:solidFill>
          </w14:textFill>
        </w:rPr>
        <w:t>生态环境保护</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管理规定，岩屑、废弃泥浆处置应符合《</w:t>
      </w:r>
      <w:bookmarkStart w:id="1247" w:name="OLE_LINK1495"/>
      <w:r>
        <w:rPr>
          <w:rFonts w:hint="eastAsia" w:cs="Times New Roman"/>
          <w:color w:val="000000" w:themeColor="text1"/>
          <w:sz w:val="24"/>
          <w:szCs w:val="21"/>
          <w:highlight w:val="none"/>
          <w:lang w:val="en-US" w:eastAsia="zh-CN" w:bidi="ar-SA"/>
          <w14:textFill>
            <w14:solidFill>
              <w14:schemeClr w14:val="tx1"/>
            </w14:solidFill>
          </w14:textFill>
        </w:rPr>
        <w:t>油气田含油污泥及钻井固体废物处理处置技术规范</w:t>
      </w:r>
      <w:bookmarkEnd w:id="1247"/>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》（DB65/T3999-2017）要求。</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钻井泥浆、岩屑一同进入井队固控系统进行分离处理，分离后的液体统一转运至阿克苏塔河环保工程有限公司绿色环保工作站处置。岩屑进入随钻不落地处理技术进行就地无害化处理，经处置检测合格并按规定进行留样，满足《油气田钻井固体废物综合利用污染控制要求》（DB65/T3997-2017）中综合利用污染物限值要求后用于铺垫油区内的井场、道路等。</w:t>
      </w:r>
      <w:r>
        <w:rPr>
          <w:rFonts w:hint="eastAsia" w:cs="Times New Roman"/>
          <w:color w:val="000000" w:themeColor="text1"/>
          <w:sz w:val="24"/>
          <w:szCs w:val="24"/>
          <w:highlight w:val="none"/>
          <w:lang w:val="en-US" w:eastAsia="zh-CN"/>
          <w14:textFill>
            <w14:solidFill>
              <w14:schemeClr w14:val="tx1"/>
            </w14:solidFill>
          </w14:textFill>
        </w:rPr>
        <w:t>废弃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油基泥浆</w:t>
      </w:r>
      <w:r>
        <w:rPr>
          <w:rFonts w:hint="eastAsia" w:cs="Times New Roman"/>
          <w:color w:val="000000" w:themeColor="text1"/>
          <w:sz w:val="24"/>
          <w:szCs w:val="24"/>
          <w:highlight w:val="none"/>
          <w:lang w:val="en-US" w:eastAsia="zh-CN"/>
          <w14:textFill>
            <w14:solidFill>
              <w14:schemeClr w14:val="tx1"/>
            </w14:solidFill>
          </w14:textFill>
        </w:rPr>
        <w:t>委托有资质单位拉运处置</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bookmarkEnd w:id="1246"/>
    <w:p w14:paraId="7FBC253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（3）加强井区的野生动物保护，对施工人员进行野生动物保护法的宣传教育，严禁施工人员猎杀野生动物。</w:t>
      </w:r>
    </w:p>
    <w:p w14:paraId="14FEE6D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（4）尽量减少因施工对植被的破坏，施工前对施工人员进行环保培训，要求施工人员能识别保护植物，禁止采伐项目占地外</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荒漠</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植物。施工中大量建筑材料的调运及人员的流动，会增加作业区内的拥挤度，施工区设置明显的作业区域标志，加强管理，把施工作业严格控制在作业区内。本环评要求，井场在施工过程中，减少对</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荒漠植被</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的碾压破坏，要严格控制扰动面积，施工过程中严格按照施工场地界线范围内施工，并安排专人监察。</w:t>
      </w:r>
    </w:p>
    <w:p w14:paraId="2E99979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（5）施工在开挖地表、平整土地时，临时堆土必须进行拦挡，施工完毕，应尽快整理施工现场，防护工程平面图见6.1-</w:t>
      </w:r>
      <w:r>
        <w:rPr>
          <w:rFonts w:hint="eastAsia" w:cs="Times New Roman"/>
          <w:color w:val="000000" w:themeColor="text1"/>
          <w:sz w:val="24"/>
          <w:szCs w:val="21"/>
          <w:highlight w:val="none"/>
          <w:lang w:val="en-US" w:eastAsia="zh-CN" w:bidi="ar-SA"/>
          <w14:textFill>
            <w14:solidFill>
              <w14:schemeClr w14:val="tx1"/>
            </w14:solidFill>
          </w14:textFill>
        </w:rPr>
        <w:t>1</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p>
    <w:p w14:paraId="3C0A349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（6）对井场地表进行砾石压盖，防止由于地表扰动造成的水土流失。</w:t>
      </w:r>
    </w:p>
    <w:p w14:paraId="3EC99D4B">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5245100" cy="2277110"/>
            <wp:effectExtent l="0" t="0" r="12700" b="8890"/>
            <wp:docPr id="186" name="图片 7" descr="大北典型设计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descr="大北典型设计 Model (3)"/>
                    <pic:cNvPicPr>
                      <a:picLocks noChangeAspect="1"/>
                    </pic:cNvPicPr>
                  </pic:nvPicPr>
                  <pic:blipFill>
                    <a:blip r:embed="rId88"/>
                    <a:stretch>
                      <a:fillRect/>
                    </a:stretch>
                  </pic:blipFill>
                  <pic:spPr>
                    <a:xfrm>
                      <a:off x="0" y="0"/>
                      <a:ext cx="5254383" cy="2281404"/>
                    </a:xfrm>
                    <a:prstGeom prst="rect">
                      <a:avLst/>
                    </a:prstGeom>
                    <a:noFill/>
                    <a:ln>
                      <a:noFill/>
                    </a:ln>
                  </pic:spPr>
                </pic:pic>
              </a:graphicData>
            </a:graphic>
          </wp:inline>
        </w:drawing>
      </w:r>
    </w:p>
    <w:p w14:paraId="506E04EC">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黑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图6.1-1   施工期生态保护措施示意图</w:t>
      </w:r>
    </w:p>
    <w:p w14:paraId="754FFEE1">
      <w:pPr>
        <w:adjustRightInd w:val="0"/>
        <w:snapToGrid w:val="0"/>
        <w:spacing w:line="0" w:lineRule="atLeas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5276850" cy="1163955"/>
            <wp:effectExtent l="0" t="0" r="0" b="17145"/>
            <wp:docPr id="187" name="图片 6" descr="大北典型设计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 descr="大北典型设计 Model (2)"/>
                    <pic:cNvPicPr>
                      <a:picLocks noChangeAspect="1"/>
                    </pic:cNvPicPr>
                  </pic:nvPicPr>
                  <pic:blipFill>
                    <a:blip r:embed="rId89"/>
                    <a:stretch>
                      <a:fillRect/>
                    </a:stretch>
                  </pic:blipFill>
                  <pic:spPr>
                    <a:xfrm>
                      <a:off x="0" y="0"/>
                      <a:ext cx="5315249" cy="1173040"/>
                    </a:xfrm>
                    <a:prstGeom prst="rect">
                      <a:avLst/>
                    </a:prstGeom>
                    <a:noFill/>
                    <a:ln>
                      <a:noFill/>
                    </a:ln>
                  </pic:spPr>
                </pic:pic>
              </a:graphicData>
            </a:graphic>
          </wp:inline>
        </w:drawing>
      </w:r>
    </w:p>
    <w:p w14:paraId="4132989A">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图6.1-2   井场砾石压盖措施典型设计图</w:t>
      </w:r>
    </w:p>
    <w:p w14:paraId="2B5594C6">
      <w:pPr>
        <w:keepNext/>
        <w:keepLines/>
        <w:pageBreakBefore w:val="0"/>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bookmarkStart w:id="1248" w:name="_Hlk95844547"/>
      <w:bookmarkStart w:id="1249" w:name="_Hlk69390513"/>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6.1.1.</w:t>
      </w:r>
      <w:r>
        <w:rPr>
          <w:rFonts w:hint="eastAsia" w:cs="Times New Roman"/>
          <w:b/>
          <w:bCs/>
          <w:color w:val="000000" w:themeColor="text1"/>
          <w:sz w:val="24"/>
          <w:szCs w:val="28"/>
          <w:highlight w:val="none"/>
          <w:lang w:val="en-US" w:eastAsia="zh-CN" w:bidi="ar-SA"/>
          <w14:textFill>
            <w14:solidFill>
              <w14:schemeClr w14:val="tx1"/>
            </w14:solidFill>
          </w14:textFill>
        </w:rPr>
        <w:t>2永久基本农田</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的生态保护措施</w:t>
      </w:r>
    </w:p>
    <w:bookmarkEnd w:id="1248"/>
    <w:bookmarkEnd w:id="1249"/>
    <w:p w14:paraId="58DAFDCF">
      <w:pPr>
        <w:pageBreakBefore w:val="0"/>
        <w:kinsoku/>
        <w:wordWrap/>
        <w:overflowPunct/>
        <w:topLinePunct w:val="0"/>
        <w:autoSpaceDE/>
        <w:autoSpaceDN/>
        <w:bidi w:val="0"/>
        <w:adjustRightInd w:val="0"/>
        <w:snapToGrid w:val="0"/>
        <w:spacing w:line="360" w:lineRule="auto"/>
        <w:ind w:firstLine="464"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bookmarkStart w:id="1250" w:name="_Hlk95845296"/>
      <w:r>
        <w:rPr>
          <w:rFonts w:hint="eastAsia" w:cs="Times New Roman"/>
          <w:color w:val="000000" w:themeColor="text1"/>
          <w:spacing w:val="-4"/>
          <w:sz w:val="24"/>
          <w:szCs w:val="24"/>
          <w:highlight w:val="none"/>
          <w:lang w:val="en-US" w:eastAsia="zh-CN"/>
          <w14:textFill>
            <w14:solidFill>
              <w14:schemeClr w14:val="tx1"/>
            </w14:solidFill>
          </w14:textFill>
        </w:rPr>
        <w:t>本工程</w:t>
      </w:r>
      <w:r>
        <w:rPr>
          <w:rFonts w:hint="eastAsia" w:cs="Times New Roman"/>
          <w:color w:val="000000" w:themeColor="text1"/>
          <w:highlight w:val="none"/>
          <w:lang w:val="en-US" w:eastAsia="zh-CN"/>
          <w14:textFill>
            <w14:solidFill>
              <w14:schemeClr w14:val="tx1"/>
            </w14:solidFill>
          </w14:textFill>
        </w:rPr>
        <w:t>不占用永久基本农田，</w:t>
      </w:r>
      <w:r>
        <w:rPr>
          <w:rFonts w:hint="eastAsia" w:cs="Times New Roman"/>
          <w:color w:val="000000" w:themeColor="text1"/>
          <w:spacing w:val="-4"/>
          <w:sz w:val="24"/>
          <w:szCs w:val="24"/>
          <w:highlight w:val="none"/>
          <w:lang w:val="en-US" w:eastAsia="zh-CN"/>
          <w14:textFill>
            <w14:solidFill>
              <w14:schemeClr w14:val="tx1"/>
            </w14:solidFill>
          </w14:textFill>
        </w:rPr>
        <w:t>评价范围涉及永久基本农田</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，工程施工时应采取的保护措施如下：</w:t>
      </w:r>
    </w:p>
    <w:p w14:paraId="66E5E2C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在工程的总体规划中必须考虑施工对农业生产的影响，将农业损失纳入工程预算中。尽量缩小施工影响范围，提高施工效率，缩短施工时间，因地制宜地选择施工季节，尽量避开农作物的生长和收获期，减少农业当季损失</w:t>
      </w:r>
      <w:r>
        <w:rPr>
          <w:rFonts w:hint="eastAsia" w:cs="Times New Roman"/>
          <w:color w:val="000000" w:themeColor="text1"/>
          <w:sz w:val="24"/>
          <w:szCs w:val="21"/>
          <w:highlight w:val="none"/>
          <w:lang w:val="en-US" w:eastAsia="zh-CN" w:bidi="ar-SA"/>
          <w14:textFill>
            <w14:solidFill>
              <w14:schemeClr w14:val="tx1"/>
            </w14:solidFill>
          </w14:textFill>
        </w:rPr>
        <w:t>。</w:t>
      </w:r>
    </w:p>
    <w:p w14:paraId="75AD07E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w:t>
      </w:r>
      <w:r>
        <w:rPr>
          <w:rFonts w:hint="eastAsia" w:cs="Times New Roman"/>
          <w:color w:val="000000" w:themeColor="text1"/>
          <w:sz w:val="24"/>
          <w:szCs w:val="21"/>
          <w:highlight w:val="none"/>
          <w:lang w:val="en-US" w:eastAsia="zh-CN" w:bidi="ar-SA"/>
          <w14:textFill>
            <w14:solidFill>
              <w14:schemeClr w14:val="tx1"/>
            </w14:solidFill>
          </w14:textFill>
        </w:rPr>
        <w:t>井场平整</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分层回填前应清理留在土壤中的固体废物，回填时，还应留足适宜的堆积层，防止因降水、径流造成地表下陷和水土流失。</w:t>
      </w:r>
    </w:p>
    <w:p w14:paraId="7E9D751A">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（3）在施工中应尽量减少对农田防护树木的砍伐，完工后根据不同的地区特点采取植被恢复措施，种植速生树木和耐贫瘠的先锋灌木草本植物，在农地可种植绿肥作物，加速农业土壤肥力的恢复</w:t>
      </w:r>
      <w:r>
        <w:rPr>
          <w:rFonts w:hint="eastAsia" w:cs="Times New Roman"/>
          <w:color w:val="000000" w:themeColor="text1"/>
          <w:sz w:val="24"/>
          <w:szCs w:val="21"/>
          <w:highlight w:val="none"/>
          <w:lang w:val="en-US" w:eastAsia="zh-CN" w:bidi="ar-SA"/>
          <w14:textFill>
            <w14:solidFill>
              <w14:schemeClr w14:val="tx1"/>
            </w14:solidFill>
          </w14:textFill>
        </w:rPr>
        <w:t>。</w:t>
      </w:r>
    </w:p>
    <w:p w14:paraId="7D62011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（4）施工完成后做好现场清理及恢复工作，包括弃渣妥善处置等，尽可能降低施工对农田生态系统带来的不利影响。</w:t>
      </w:r>
    </w:p>
    <w:bookmarkEnd w:id="1250"/>
    <w:p w14:paraId="61CD1B8B">
      <w:pPr>
        <w:keepNext/>
        <w:keepLines w:val="0"/>
        <w:pageBreakBefore w:val="0"/>
        <w:widowControl w:val="0"/>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6.1.1.</w:t>
      </w:r>
      <w:r>
        <w:rPr>
          <w:rFonts w:hint="eastAsia" w:cs="Times New Roman"/>
          <w:b/>
          <w:bCs/>
          <w:color w:val="000000" w:themeColor="text1"/>
          <w:sz w:val="24"/>
          <w:szCs w:val="28"/>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水土流失防治</w:t>
      </w: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措施</w:t>
      </w:r>
    </w:p>
    <w:p w14:paraId="2B6FE5BC">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（1）工程措施</w:t>
      </w:r>
    </w:p>
    <w:p w14:paraId="5C1AF2C6">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井场工程区开挖及回填时应保证地面相对平整，压实度较高的采用推土机的松土器进行耙松。精细平整过程中不仅要保证土体再塑，而且要稳坡固表，防治水土流失。</w:t>
      </w:r>
    </w:p>
    <w:p w14:paraId="1AFA9FDC">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（2）场地平整</w:t>
      </w:r>
    </w:p>
    <w:p w14:paraId="02D0F3A3">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工程区场地平整：针对井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14:paraId="6CB532FB">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（3）限行彩条旗</w:t>
      </w:r>
    </w:p>
    <w:p w14:paraId="79BC50A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严格控制和管理施工期间车辆行驶的范围，减轻对周边区域的扰动，在施工作业区两侧拉彩条旗以示明车辆行驶的边界，以避免增加对地表的扰动和破坏。</w:t>
      </w:r>
    </w:p>
    <w:p w14:paraId="1A703FE0">
      <w:pPr>
        <w:keepNext/>
        <w:keepLines/>
        <w:pageBreakBefore w:val="0"/>
        <w:kinsoku/>
        <w:wordWrap/>
        <w:overflowPunct/>
        <w:topLinePunct w:val="0"/>
        <w:autoSpaceDE/>
        <w:autoSpaceDN/>
        <w:bidi w:val="0"/>
        <w:adjustRightInd w:val="0"/>
        <w:snapToGrid w:val="0"/>
        <w:spacing w:before="10" w:after="10" w:line="360" w:lineRule="auto"/>
        <w:jc w:val="both"/>
        <w:textAlignment w:val="auto"/>
        <w:outlineLvl w:val="3"/>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6.1.1.</w:t>
      </w:r>
      <w:r>
        <w:rPr>
          <w:rFonts w:hint="eastAsia" w:cs="Times New Roman"/>
          <w:b/>
          <w:bCs/>
          <w:color w:val="000000" w:themeColor="text1"/>
          <w:sz w:val="24"/>
          <w:szCs w:val="28"/>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对野生动植物的生态保护措施</w:t>
      </w:r>
    </w:p>
    <w:p w14:paraId="429E868E">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）施工机械和车辆应严格按规定在设计场地及便道上作业和行驶，防止扩大对土壤和植被的破坏范围。在保证顺利施工的前提下，减少临时占地影响，将施工期对环境不利影响降到最低限度。</w:t>
      </w:r>
    </w:p>
    <w:p w14:paraId="3D08D6F8">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）在施工区域设置“保护生态环境、保护野生动植物”等警示牌，并从管理上对施工作业人员加强宣传教育，切实提高保护生态环境的意识。车辆行驶过程中不得鸣笛惊吓野生动物。</w:t>
      </w:r>
    </w:p>
    <w:p w14:paraId="747EC68F">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）注意施工后的地表修复应注意尽量恢复原有紧实度，或留足适宜的堆积层，防止因降水造成地表下陷形成积水洼地。</w:t>
      </w:r>
    </w:p>
    <w:p w14:paraId="1B289C93">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w:t>
      </w:r>
      <w:r>
        <w:rPr>
          <w:rFonts w:hint="eastAsia" w:cs="Times New Roman"/>
          <w:color w:val="000000" w:themeColor="text1"/>
          <w:sz w:val="24"/>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）建设选址尽量</w:t>
      </w:r>
      <w:r>
        <w:rPr>
          <w:rFonts w:hint="eastAsia" w:cs="Times New Roman"/>
          <w:color w:val="000000" w:themeColor="text1"/>
          <w:sz w:val="24"/>
          <w:szCs w:val="21"/>
          <w:highlight w:val="none"/>
          <w:lang w:val="en-US" w:eastAsia="zh-CN" w:bidi="ar-SA"/>
          <w14:textFill>
            <w14:solidFill>
              <w14:schemeClr w14:val="tx1"/>
            </w14:solidFill>
          </w14:textFill>
        </w:rPr>
        <w:t>避免</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砍伐野生植物</w:t>
      </w:r>
      <w:r>
        <w:rPr>
          <w:rFonts w:hint="eastAsia" w:cs="Times New Roman"/>
          <w:color w:val="000000" w:themeColor="text1"/>
          <w:sz w:val="24"/>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尤其不得铲除保护植物。若无法进行避让，需对保护植物进行移植保护。同时，严格控制占地面积，以减少占地和保护野生动、植物。</w:t>
      </w:r>
    </w:p>
    <w:p w14:paraId="58F6C5CC">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_Toc15354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1</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 运营期生态保护措施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1E3598B0">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（1）监督和管理措施</w:t>
      </w:r>
    </w:p>
    <w:p w14:paraId="1F0D050D">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①针对本工程的建设，西北油田分公司安全环保部负责工程建设及运营期间对</w:t>
      </w:r>
      <w:r>
        <w:rPr>
          <w:rFonts w:hint="eastAsia" w:cs="Times New Roman"/>
          <w:color w:val="000000" w:themeColor="text1"/>
          <w:sz w:val="24"/>
          <w:szCs w:val="21"/>
          <w:highlight w:val="none"/>
          <w:lang w:val="en-US" w:eastAsia="zh-CN" w:bidi="ar-SA"/>
          <w14:textFill>
            <w14:solidFill>
              <w14:schemeClr w14:val="tx1"/>
            </w14:solidFill>
          </w14:textFill>
        </w:rPr>
        <w:t>生态环境保护</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工作，落实本工程环保措施的实施并与各施工单位签订详细的环境保护协议，明确各方的责任以及奖惩规定。</w:t>
      </w:r>
    </w:p>
    <w:p w14:paraId="4F126AE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②选择信誉良好、素质较高的施工队伍，保证工程建设的质量，避免因质量问题对环境带来不利影响；同时，通过培训和发放宣传手册强化施工人员的环境保护意识，明确施工人员的行为和奖惩制度。</w:t>
      </w:r>
    </w:p>
    <w:p w14:paraId="1B840821">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③针对已经发生的破坏生态环境的问题必须认真、及时地解决，并对正在和即将建设的工程提出具体、可行的整改和防治措施。</w:t>
      </w:r>
    </w:p>
    <w:p w14:paraId="13456AA7">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④针对本工程所在区域遗留的生态环境问题需按要求整改完成，原井场遗留有弃渣没有及时清运、老井临时占地内的水泥块未清理或综合利用等，需尽快组织工作人员按期将井场遗留固废清运或综合利用，并纳入本工程环保投资。</w:t>
      </w:r>
    </w:p>
    <w:p w14:paraId="1AB58360">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（2）运营期生态保护措施</w:t>
      </w:r>
    </w:p>
    <w:p w14:paraId="79541F40">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①加强管理，确保各项环保措施落实。对施工迹地表面覆以砾石，以减少风蚀量。</w:t>
      </w:r>
    </w:p>
    <w:p w14:paraId="12F95275">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②在道路边、油田区，设置“保护生态环境、保护野生动植物”等警示牌，并从管理上对作业人员加强宣传教育，切实增强保护生态环境的意识。</w:t>
      </w:r>
    </w:p>
    <w:p w14:paraId="6F7DF5A6">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③对泄漏的落地油应及时清理，彻底回收，防止污染扩大蔓延。</w:t>
      </w:r>
    </w:p>
    <w:p w14:paraId="119BA959">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④本工程事故状态下对生态环境影响较大，因此必须对事故风险严加防范和控制。加强日常生产监督管理和安全运行检查工作，制定安全生产操作规程，加</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强职工安全意识教育和安全生产技术培训。一旦发现事故，及时采取相应补救措施，尽量减少影响和损失。</w:t>
      </w:r>
    </w:p>
    <w:p w14:paraId="55FA4ED6">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（3）生态修复方案</w:t>
      </w:r>
    </w:p>
    <w:p w14:paraId="0FE59CE8">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油田运营期开展生态修复目标为油田污染得到安全处置，生态环境质量明显改善；植被破坏区域覆盖率稳步增长，环境风险发生率得到有效控制，杜绝跑冒滴漏危害；油田区生态功能基本稳定；生物多样性呈上升趋势；公众生态环保意识得到提高；油田区生态环境监测范围达到100%，建立生态安全应急系统。</w:t>
      </w:r>
    </w:p>
    <w:p w14:paraId="0F0B527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井场施工完毕后</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须</w:t>
      </w:r>
      <w:r>
        <w:rPr>
          <w:rFonts w:hint="eastAsia" w:cs="Times New Roman"/>
          <w:color w:val="000000" w:themeColor="text1"/>
          <w:sz w:val="24"/>
          <w:szCs w:val="21"/>
          <w:highlight w:val="none"/>
          <w:lang w:val="en-US" w:eastAsia="zh-CN" w:bidi="ar-SA"/>
          <w14:textFill>
            <w14:solidFill>
              <w14:schemeClr w14:val="tx1"/>
            </w14:solidFill>
          </w14:textFill>
        </w:rPr>
        <w:t>对临时占地</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进行植被恢复，植被恢复以自然恢复为主</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，同时建设单位须积极配合林草部门落实“占补平衡”，维持区域林地、草地的生态功能不降低。</w:t>
      </w:r>
    </w:p>
    <w:p w14:paraId="27854209">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en-US"/>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综上，</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采取的生态环境保护措施可行。</w:t>
      </w:r>
    </w:p>
    <w:p w14:paraId="71F4F0ED">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_Toc26185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1</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 退役期生态保护措施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0D71630C">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随着</w:t>
      </w:r>
      <w:r>
        <w:rPr>
          <w:rFonts w:hint="eastAsia" w:cs="Times New Roman"/>
          <w:color w:val="000000" w:themeColor="text1"/>
          <w:sz w:val="24"/>
          <w:szCs w:val="21"/>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井开采时间的延长，其储量将逐年降低，最终进入退役期。当开发接近尾声时，各种机械设备将停止使用，站场</w:t>
      </w:r>
      <w:r>
        <w:rPr>
          <w:rFonts w:hint="eastAsia" w:cs="Times New Roman"/>
          <w:color w:val="000000" w:themeColor="text1"/>
          <w:sz w:val="24"/>
          <w:szCs w:val="21"/>
          <w:highlight w:val="none"/>
          <w:lang w:val="en-US" w:eastAsia="zh-CN" w:bidi="ar-SA"/>
          <w14:textFill>
            <w14:solidFill>
              <w14:schemeClr w14:val="tx1"/>
            </w14:solidFill>
          </w14:textFill>
        </w:rPr>
        <w:t>内</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设备设施陆续被拆卸、转移，原有的大气污染物、噪声及固体废物等对环境的影响将会逐渐减弱甚至消失。</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拆除地面设施、清理井场等，拆除的报废设备和建筑废料等由施工单位运至指定位置进行处理；及时清理作业现场，做到“工完、料尽、场地清”，恢复原有地貌；按规范要求对废弃井采取固井、封井措施。</w:t>
      </w:r>
    </w:p>
    <w:p w14:paraId="3F45D1B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井场经过清理后，永久性占地范围内的水泥平台或砂砾石铺垫应进行清理，然后根据周边区域的自然现状对其进行恢复，使井场恢复到相对自然的一种状态。</w:t>
      </w:r>
    </w:p>
    <w:p w14:paraId="567E5ED2">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通过宣传教育的形式，使施工工作人员</w:t>
      </w:r>
      <w:r>
        <w:rPr>
          <w:rFonts w:hint="eastAsia" w:cs="Times New Roman"/>
          <w:color w:val="000000" w:themeColor="text1"/>
          <w:sz w:val="24"/>
          <w:szCs w:val="21"/>
          <w:highlight w:val="none"/>
          <w:lang w:val="en-US" w:eastAsia="zh-CN" w:bidi="ar-SA"/>
          <w14:textFill>
            <w14:solidFill>
              <w14:schemeClr w14:val="tx1"/>
            </w14:solidFill>
          </w14:textFill>
        </w:rPr>
        <w:t>对</w:t>
      </w: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14:paraId="3C467333">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66DC951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1"/>
          <w:highlight w:val="none"/>
          <w:lang w:val="en-US" w:eastAsia="en-US" w:bidi="ar-SA"/>
          <w14:textFill>
            <w14:solidFill>
              <w14:schemeClr w14:val="tx1"/>
            </w14:solidFill>
          </w14:textFill>
        </w:rPr>
      </w:pPr>
      <w:r>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t>通过采取以上生态保护措施，对于减少植被破坏、减缓水土流失、抵制荒漠化发展起到了一定的积极作用，可有效保护脆弱的荒漠生态环境。</w:t>
      </w:r>
    </w:p>
    <w:p w14:paraId="4F92420A">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1251" w:name="_Toc9059"/>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_Toc26803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 xml:space="preserve">6.2 </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地下水环境保护</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措施可行性论证</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bookmarkEnd w:id="1251"/>
    </w:p>
    <w:p w14:paraId="103AF73D">
      <w:pPr>
        <w:pStyle w:val="142"/>
        <w:keepNext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下水保护与污染防治按照“源头控制、分区防治、污染监控、应急响应”的原则。运营期要建立健全地下水保护与污染防治的措施与方法；必须采取必要监测制度，一旦发现地下水遭受污染，就应及时采取措施，防微杜渐；尽量减少污染物进入地下含水层的机会和数量。</w:t>
      </w:r>
    </w:p>
    <w:p w14:paraId="58C6DBA1">
      <w:pPr>
        <w:pStyle w:val="143"/>
        <w:keepNext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针对</w:t>
      </w:r>
      <w:r>
        <w:rPr>
          <w:rFonts w:hint="eastAsia" w:ascii="Times New Roman" w:hAnsi="Times New Roman"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可能发生的地下水污染，地下水污染防治措施按照“源头控制、分区防治、污染监控、应急响应”相结合的原则，从污染物的产生、入渗、扩散、应急响应全阶段进行控制。</w:t>
      </w:r>
    </w:p>
    <w:p w14:paraId="7F8028C1">
      <w:pPr>
        <w:pStyle w:val="143"/>
        <w:keepNext w:val="0"/>
        <w:pageBreakBefore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源头控制：主要包括在工艺、管道、设备、污水产生及储存构筑物采取相应措施，防止和降低污染物跑、冒、滴、漏，将污染物泄漏的环境风险事故降到最低程度</w:t>
      </w:r>
      <w:r>
        <w:rPr>
          <w:rFonts w:hint="eastAsia" w:ascii="Times New Roman" w:hAnsi="Times New Roman" w:cs="Times New Roman"/>
          <w:color w:val="000000" w:themeColor="text1"/>
          <w:highlight w:val="none"/>
          <w:lang w:eastAsia="zh-CN"/>
          <w14:textFill>
            <w14:solidFill>
              <w14:schemeClr w14:val="tx1"/>
            </w14:solidFill>
          </w14:textFill>
        </w:rPr>
        <w:t>。</w:t>
      </w:r>
    </w:p>
    <w:p w14:paraId="5746A67C">
      <w:pPr>
        <w:pStyle w:val="143"/>
        <w:keepNext w:val="0"/>
        <w:pageBreakBefore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分区防治：结合建设场区生产设备、管道、污染物储存等布局，实行重点污染防治区、一般污染防治区和非污染区防渗措施有区别的防渗原则。主要包括生产区地面和设备的防渗措施和泄漏、渗漏污染物收集措施</w:t>
      </w:r>
      <w:r>
        <w:rPr>
          <w:rFonts w:hint="eastAsia" w:ascii="Times New Roman" w:hAnsi="Times New Roman" w:cs="Times New Roman"/>
          <w:color w:val="000000" w:themeColor="text1"/>
          <w:highlight w:val="none"/>
          <w:lang w:eastAsia="zh-CN"/>
          <w14:textFill>
            <w14:solidFill>
              <w14:schemeClr w14:val="tx1"/>
            </w14:solidFill>
          </w14:textFill>
        </w:rPr>
        <w:t>。</w:t>
      </w:r>
    </w:p>
    <w:p w14:paraId="290DF95A">
      <w:pPr>
        <w:pStyle w:val="143"/>
        <w:keepNext w:val="0"/>
        <w:pageBreakBefore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污染监控体系：实施覆盖生产区的地下水污染监控系统，包括建立完善的监测制度、配备先进的检测仪器和设备、科学、合理设置地下水污染监控井，及时发现污染、及时控制</w:t>
      </w:r>
      <w:r>
        <w:rPr>
          <w:rFonts w:hint="eastAsia" w:ascii="Times New Roman" w:hAnsi="Times New Roman" w:cs="Times New Roman"/>
          <w:color w:val="000000" w:themeColor="text1"/>
          <w:highlight w:val="none"/>
          <w:lang w:eastAsia="zh-CN"/>
          <w14:textFill>
            <w14:solidFill>
              <w14:schemeClr w14:val="tx1"/>
            </w14:solidFill>
          </w14:textFill>
        </w:rPr>
        <w:t>。</w:t>
      </w:r>
    </w:p>
    <w:p w14:paraId="2D5DD29E">
      <w:pPr>
        <w:pStyle w:val="143"/>
        <w:keepNext w:val="0"/>
        <w:pageBreakBefore w:val="0"/>
        <w:kinsoku/>
        <w:wordWrap/>
        <w:overflowPunct/>
        <w:topLinePunct w:val="0"/>
        <w:autoSpaceDE/>
        <w:autoSpaceDN/>
        <w:bidi w:val="0"/>
        <w:adjustRightInd w:val="0"/>
        <w:snapToGrid w:val="0"/>
        <w:spacing w:line="360" w:lineRule="auto"/>
        <w:ind w:firstLine="480"/>
        <w:textAlignment w:val="auto"/>
        <w:rPr>
          <w:rFonts w:hint="default"/>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应急响应：包括一旦发现地下水污染事故，立即启动应急预案、采取应急措施控制地下水污染，并使污染得到治理。</w:t>
      </w:r>
    </w:p>
    <w:p w14:paraId="2EA6D912">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_Toc13693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6.2.1施工期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地下</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水环境保护措施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51B7F6D4">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val="en-US" w:eastAsia="zh-CN"/>
          <w14:textFill>
            <w14:solidFill>
              <w14:schemeClr w14:val="tx1"/>
            </w14:solidFill>
          </w14:textFill>
        </w:rPr>
        <w:t>6.2.1.1源头控制措施</w:t>
      </w:r>
    </w:p>
    <w:p w14:paraId="193C655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1）禁止使用列入淘汰落后的、耗水量高的工艺、设备和产品名录的设备，或列入限期禁止采用的严重污染水环境的工艺名录和限期禁止生产、销售、进口、使用的严重污染水环境的设备。采取节水措施，提高水的重复利用率：以钻井队为单位，在保证正常作业的情况下，确定各类施工作业条件下的合理用水量，以控制清水用量。动力设备、水刹车等冷却水要循环使用，要安装泥浆泵冷却水循环系统；振动筛的污水循环系统，以减少用清水直接冲洗设备，尽量采用擦洗的方法清洗设备。</w:t>
      </w:r>
    </w:p>
    <w:p w14:paraId="43EFC95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（2）污染物防控措施</w:t>
      </w:r>
    </w:p>
    <w:p w14:paraId="46F2BC1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①施工场地应设置临时沉砂池，混凝土搅拌机等冲洗废水经沉淀后回用到施工作业中，不外排。禁止沿途倾倒、排放废水。含有害物质的建筑材料如沥青、水泥等，并应设</w:t>
      </w:r>
      <w:r>
        <w:rPr>
          <w:rFonts w:hint="eastAsia" w:cs="Times New Roman"/>
          <w:color w:val="000000" w:themeColor="text1"/>
          <w:kern w:val="2"/>
          <w:sz w:val="24"/>
          <w:szCs w:val="21"/>
          <w:highlight w:val="none"/>
          <w:lang w:val="en-US" w:eastAsia="zh-CN" w:bidi="ar-SA"/>
          <w14:textFill>
            <w14:solidFill>
              <w14:schemeClr w14:val="tx1"/>
            </w14:solidFill>
          </w14:textFill>
        </w:rPr>
        <w:t>篷盖</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和围栏，防止雨水冲刷进入外环境。井场四周设置井界沟，防止井场内污水随地面径流进入外环境。</w:t>
      </w:r>
    </w:p>
    <w:p w14:paraId="2E7C1E6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②</w:t>
      </w:r>
      <w:r>
        <w:rPr>
          <w:rFonts w:hint="eastAsia" w:cs="Times New Roman"/>
          <w:color w:val="000000" w:themeColor="text1"/>
          <w:kern w:val="2"/>
          <w:sz w:val="24"/>
          <w:szCs w:val="21"/>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采用</w:t>
      </w:r>
      <w:bookmarkStart w:id="1252" w:name="OLE_LINK1497"/>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水基钻井液</w:t>
      </w:r>
      <w:bookmarkEnd w:id="1252"/>
      <w:r>
        <w:rPr>
          <w:rFonts w:hint="eastAsia" w:cs="Times New Roman"/>
          <w:color w:val="000000" w:themeColor="text1"/>
          <w:kern w:val="2"/>
          <w:sz w:val="24"/>
          <w:szCs w:val="21"/>
          <w:highlight w:val="none"/>
          <w:lang w:val="en-US" w:eastAsia="zh-CN" w:bidi="ar-SA"/>
          <w14:textFill>
            <w14:solidFill>
              <w14:schemeClr w14:val="tx1"/>
            </w14:solidFill>
          </w14:textFill>
        </w:rPr>
        <w:t>和油</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基钻井液，并采用泥浆不落地工艺，钻井废水随钻井固废一同委托专业单位综合处置，不直接外排</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p>
    <w:p w14:paraId="7C48A99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③泥浆不落地工艺无须设置泥浆池，最大限度地降低了泥浆泄漏的可能性和泄漏量，使项目区污染物对土壤的影响降至最低。</w:t>
      </w:r>
    </w:p>
    <w:p w14:paraId="43117BD9">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④设计、施工时对泥浆储存、收集、处理、排放设备等应采用优质、稳定、成熟的产品，做好质量检查、验收工作，防止设备破损和“跑、冒、滴、漏”现象。</w:t>
      </w:r>
    </w:p>
    <w:p w14:paraId="333EC61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⑤</w:t>
      </w:r>
      <w:r>
        <w:rPr>
          <w:rFonts w:hint="eastAsia" w:cs="Times New Roman"/>
          <w:color w:val="000000" w:themeColor="text1"/>
          <w:kern w:val="2"/>
          <w:sz w:val="24"/>
          <w:szCs w:val="21"/>
          <w:highlight w:val="none"/>
          <w:lang w:val="en-US" w:eastAsia="zh-CN" w:bidi="ar-SA"/>
          <w14:textFill>
            <w14:solidFill>
              <w14:schemeClr w14:val="tx1"/>
            </w14:solidFill>
          </w14:textFill>
        </w:rPr>
        <w:t>站内</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管线采用无缝钢管，采取防腐+保温措施，具有较强的耐化学腐蚀性能、耐温耐压性能好，粘结力强并具有良好的韧性等性质，有效地减小了管线腐蚀穿孔造成地下水污染的情况。</w:t>
      </w:r>
    </w:p>
    <w:p w14:paraId="0B7A3D2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⑥定期对泥浆罐等隐蔽设施的渗漏性进行检查，观察是否有渗水、漏水现象，发现问题及时解决。</w:t>
      </w:r>
    </w:p>
    <w:p w14:paraId="50F7DA8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⑦对现有工程防渗设施进行排查，杜绝设备老化，防渗不达标。</w:t>
      </w:r>
    </w:p>
    <w:p w14:paraId="419347A6">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⑧钻井过程中贯彻清洁生产要求，选用无毒无害钻井泥浆。钻井泥浆循环利用，钻井完毕后，废弃泥浆和一般岩屑采用“泥浆不落地”工艺处理。</w:t>
      </w:r>
    </w:p>
    <w:p w14:paraId="44139EA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（3）其他</w:t>
      </w:r>
    </w:p>
    <w:p w14:paraId="2C57D69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①标准化建设，具备监控系统，管理区工作人员在调度中心能根据计算机演算结果、压力数据变化等，确定管道是否泄漏，当风险发生时，立即停输，使泄漏量降低到</w:t>
      </w:r>
      <w:r>
        <w:rPr>
          <w:rFonts w:hint="eastAsia" w:cs="Times New Roman"/>
          <w:color w:val="000000" w:themeColor="text1"/>
          <w:kern w:val="2"/>
          <w:sz w:val="24"/>
          <w:szCs w:val="21"/>
          <w:highlight w:val="none"/>
          <w:lang w:val="en-US" w:eastAsia="zh-CN" w:bidi="ar-SA"/>
          <w14:textFill>
            <w14:solidFill>
              <w14:schemeClr w14:val="tx1"/>
            </w14:solidFill>
          </w14:textFill>
        </w:rPr>
        <w:t>最小</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w:t>
      </w:r>
    </w:p>
    <w:p w14:paraId="5BF57CF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②表层套管的固井水泥必须</w:t>
      </w:r>
      <w:r>
        <w:rPr>
          <w:rFonts w:hint="eastAsia" w:cs="Times New Roman"/>
          <w:color w:val="000000" w:themeColor="text1"/>
          <w:kern w:val="2"/>
          <w:sz w:val="24"/>
          <w:szCs w:val="21"/>
          <w:highlight w:val="none"/>
          <w:lang w:val="en-US" w:eastAsia="zh-CN" w:bidi="ar-SA"/>
          <w14:textFill>
            <w14:solidFill>
              <w14:schemeClr w14:val="tx1"/>
            </w14:solidFill>
          </w14:textFill>
        </w:rPr>
        <w:t>抬高</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至地面，防止浅层含水层受到钻井泥浆污染。完井后固井水泥必须返高至地面，确保安全封闭此深度内的潜水层和承压水层。</w:t>
      </w:r>
    </w:p>
    <w:p w14:paraId="3847153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③施工期间，施工单位应严格</w:t>
      </w:r>
      <w:r>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t>执行《</w:t>
      </w:r>
      <w:bookmarkStart w:id="1253" w:name="OLE_LINK1498"/>
      <w:r>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t>建设工程施工场地文明施工及环境管理暂行规定</w:t>
      </w:r>
      <w:bookmarkEnd w:id="1253"/>
      <w:r>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t>》，对污水加强管理，严禁乱排污染环境，施工机械检修期间，地面应铺设塑料布，及时回收废机油，防止废油落地，污染土壤和地下水。加强施工机械维护，防止施工机械漏油。施工期固体废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禁止利用渗井、渗坑、裂隙以及私设暗管等逃避监管的方式排放水污染物。</w:t>
      </w:r>
    </w:p>
    <w:p w14:paraId="35BE9CA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t>④选择有经验的单位进行施工，加强施工过程监理，确保施工质量。做好阀门和管线的安装、试运行工作，杜绝水的跑、冒、滴、漏。</w:t>
      </w:r>
    </w:p>
    <w:p w14:paraId="2F5158B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u w:val="none"/>
          <w:lang w:val="en-US" w:eastAsia="zh-CN" w:bidi="ar-SA"/>
          <w14:textFill>
            <w14:solidFill>
              <w14:schemeClr w14:val="tx1"/>
            </w14:solidFill>
          </w14:textFill>
        </w:rPr>
        <w:t>⑤井的设计、建造应按照</w:t>
      </w:r>
      <w:bookmarkStart w:id="1254" w:name="OLE_LINK1499"/>
      <w:r>
        <w:rPr>
          <w:rFonts w:hint="eastAsia" w:cs="Times New Roman"/>
          <w:color w:val="000000" w:themeColor="text1"/>
          <w:kern w:val="2"/>
          <w:sz w:val="24"/>
          <w:szCs w:val="21"/>
          <w:highlight w:val="none"/>
          <w:lang w:val="en-US" w:eastAsia="zh-CN" w:bidi="ar-SA"/>
          <w14:textFill>
            <w14:solidFill>
              <w14:schemeClr w14:val="tx1"/>
            </w14:solidFill>
          </w14:textFill>
        </w:rPr>
        <w:t>《气田水注入技术要求》（</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SY/T 6596</w:t>
      </w:r>
      <w:r>
        <w:rPr>
          <w:rFonts w:hint="eastAsia" w:cs="Times New Roman"/>
          <w:color w:val="000000" w:themeColor="text1"/>
          <w:kern w:val="2"/>
          <w:sz w:val="24"/>
          <w:szCs w:val="21"/>
          <w:highlight w:val="none"/>
          <w:lang w:val="en-US" w:eastAsia="zh-CN" w:bidi="ar-SA"/>
          <w14:textFill>
            <w14:solidFill>
              <w14:schemeClr w14:val="tx1"/>
            </w14:solidFill>
          </w14:textFill>
        </w:rPr>
        <w:t>-2016）</w:t>
      </w:r>
      <w:bookmarkEnd w:id="1254"/>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的要求保证其完整性。钻井过程中严格按照钻井施工工艺，施工规范进行操作，防止钻井过程中，由于施工不当，导致井喷、凝析油</w:t>
      </w:r>
      <w:r>
        <w:rPr>
          <w:rFonts w:hint="eastAsia" w:cs="Times New Roman"/>
          <w:color w:val="000000" w:themeColor="text1"/>
          <w:kern w:val="2"/>
          <w:sz w:val="24"/>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以及油水地层窜层等事故污染地下水。钻井过程中产生的钻井废水，废弃泥浆、岩屑等按照规范统一集中处理。保证固井质量，确保安全封闭此深度内的潜水层和承压水层。</w:t>
      </w:r>
    </w:p>
    <w:p w14:paraId="7BD6CAD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针对以上措施的实施，实际施工期井队对机械设备做检修保养记录，并制定环境保护管理制度，设环保专员负责检查井场内废水、固废等处置情况，保证废物得到有效处理，从而达到减少对周围地下水环境污染的预期效果。</w:t>
      </w:r>
    </w:p>
    <w:p w14:paraId="71259F4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综上所述，通过采取以上各种废水处理及防治措施，</w:t>
      </w:r>
      <w:r>
        <w:rPr>
          <w:rFonts w:hint="eastAsia"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施工期产生的各类废水均可以得到有效处置，施工期的废水污染防治措施合理可行。</w:t>
      </w:r>
    </w:p>
    <w:p w14:paraId="357AF1B3">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val="en-US" w:eastAsia="zh-CN"/>
          <w14:textFill>
            <w14:solidFill>
              <w14:schemeClr w14:val="tx1"/>
            </w14:solidFill>
          </w14:textFill>
        </w:rPr>
        <w:t>6.2.1.2过程防控措施</w:t>
      </w:r>
    </w:p>
    <w:p w14:paraId="3C300332">
      <w:pPr>
        <w:keepNext w:val="0"/>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防渗措施</w:t>
      </w:r>
    </w:p>
    <w:p w14:paraId="014A5663">
      <w:pPr>
        <w:keepNext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建设单位须做好场区分区防渗措施。按重点防渗区、一般防渗区分别采取不同等级的防渗措施，防渗层尽量在地表铺设，防渗材料可根据具体防渗区域拟选取HDPE或其他防渗材料，按照污染防治分区采取不同的设计方案。</w:t>
      </w:r>
    </w:p>
    <w:p w14:paraId="106EDE2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为防止对地下水污染，针对井场施工期间工程特点，</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《环境影响评价技术导则 地下水环境》</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HJ610-2016</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《环境影响评价技术导则 陆地石油天然气开发建设项目》（HJ349-2023），将钻井期井场进行分区防渗，其中钻井工程基础区域、放喷池、应急池、油罐区、危险废物</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暂存间</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等划分为重点</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防渗</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区，油罐区</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为一般防渗区，</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采取相应的防渗措施可有效避免发生渗漏事故。分区防渗方案见表6.</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w:t>
      </w:r>
    </w:p>
    <w:p w14:paraId="4AE43F75">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表6.</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-1</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分区防渗方案</w:t>
      </w:r>
    </w:p>
    <w:tbl>
      <w:tblPr>
        <w:tblStyle w:val="37"/>
        <w:tblW w:w="499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3151"/>
        <w:gridCol w:w="895"/>
        <w:gridCol w:w="4273"/>
      </w:tblGrid>
      <w:tr w14:paraId="55D3BA9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93" w:type="pct"/>
            <w:tcBorders>
              <w:tl2br w:val="nil"/>
              <w:tr2bl w:val="nil"/>
            </w:tcBorders>
            <w:noWrap w:val="0"/>
            <w:vAlign w:val="top"/>
          </w:tcPr>
          <w:p w14:paraId="4C4807C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污染源名称</w:t>
            </w:r>
          </w:p>
        </w:tc>
        <w:tc>
          <w:tcPr>
            <w:tcW w:w="538" w:type="pct"/>
            <w:tcBorders>
              <w:tl2br w:val="nil"/>
              <w:tr2bl w:val="nil"/>
            </w:tcBorders>
            <w:noWrap w:val="0"/>
            <w:vAlign w:val="top"/>
          </w:tcPr>
          <w:p w14:paraId="40494FA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防治分区</w:t>
            </w:r>
          </w:p>
        </w:tc>
        <w:tc>
          <w:tcPr>
            <w:tcW w:w="2567" w:type="pct"/>
            <w:tcBorders>
              <w:tl2br w:val="nil"/>
              <w:tr2bl w:val="nil"/>
            </w:tcBorders>
            <w:noWrap w:val="0"/>
            <w:vAlign w:val="top"/>
          </w:tcPr>
          <w:p w14:paraId="73BD619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防渗技术要求</w:t>
            </w:r>
          </w:p>
        </w:tc>
      </w:tr>
      <w:tr w14:paraId="282769B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93" w:type="pct"/>
            <w:tcBorders>
              <w:tl2br w:val="nil"/>
              <w:tr2bl w:val="nil"/>
            </w:tcBorders>
            <w:noWrap w:val="0"/>
            <w:vAlign w:val="center"/>
          </w:tcPr>
          <w:p w14:paraId="116E74AA">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钻井工程基础区域、钻井液循环系统、清洁生产操作平台、废水池</w:t>
            </w:r>
          </w:p>
        </w:tc>
        <w:tc>
          <w:tcPr>
            <w:tcW w:w="538" w:type="pct"/>
            <w:tcBorders>
              <w:tl2br w:val="nil"/>
              <w:tr2bl w:val="nil"/>
            </w:tcBorders>
            <w:noWrap w:val="0"/>
            <w:vAlign w:val="center"/>
          </w:tcPr>
          <w:p w14:paraId="1B147C5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重点防渗</w:t>
            </w:r>
          </w:p>
        </w:tc>
        <w:tc>
          <w:tcPr>
            <w:tcW w:w="2567" w:type="pct"/>
            <w:tcBorders>
              <w:tl2br w:val="nil"/>
              <w:tr2bl w:val="nil"/>
            </w:tcBorders>
            <w:noWrap w:val="0"/>
            <w:vAlign w:val="center"/>
          </w:tcPr>
          <w:p w14:paraId="1E3F1A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等效黏土防渗层Mb≥6.0m，K≤1×10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cm/s；或参照GB18598执行</w:t>
            </w:r>
          </w:p>
        </w:tc>
      </w:tr>
      <w:tr w14:paraId="024E38A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93" w:type="pct"/>
            <w:tcBorders>
              <w:tl2br w:val="nil"/>
              <w:tr2bl w:val="nil"/>
            </w:tcBorders>
            <w:noWrap w:val="0"/>
            <w:vAlign w:val="center"/>
          </w:tcPr>
          <w:p w14:paraId="5E2D70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油罐区</w:t>
            </w:r>
          </w:p>
        </w:tc>
        <w:tc>
          <w:tcPr>
            <w:tcW w:w="538" w:type="pct"/>
            <w:tcBorders>
              <w:tl2br w:val="nil"/>
              <w:tr2bl w:val="nil"/>
            </w:tcBorders>
            <w:noWrap w:val="0"/>
            <w:vAlign w:val="center"/>
          </w:tcPr>
          <w:p w14:paraId="14037AF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一般防渗</w:t>
            </w:r>
          </w:p>
        </w:tc>
        <w:tc>
          <w:tcPr>
            <w:tcW w:w="2567" w:type="pct"/>
            <w:tcBorders>
              <w:tl2br w:val="nil"/>
              <w:tr2bl w:val="nil"/>
            </w:tcBorders>
            <w:noWrap w:val="0"/>
            <w:vAlign w:val="center"/>
          </w:tcPr>
          <w:p w14:paraId="0A3324D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等效黏土防渗层Mb≥1.5m，K≤1×10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cm/s，或参照GB16889执行</w:t>
            </w:r>
          </w:p>
        </w:tc>
      </w:tr>
    </w:tbl>
    <w:p w14:paraId="39D7222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（2）严格按照操作规程施工，提高固井质量，避免因发生固井质量问题造成含油污水泄漏而引起地下水污染。加强施工管理，发现问题及时解决。</w:t>
      </w:r>
    </w:p>
    <w:p w14:paraId="4FAEE16B">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（3）钻井架底座表面应有导流槽，保证钻井废水全</w:t>
      </w:r>
      <w:r>
        <w:rPr>
          <w:rFonts w:hint="eastAsia" w:cs="Times New Roman"/>
          <w:color w:val="000000" w:themeColor="text1"/>
          <w:kern w:val="2"/>
          <w:sz w:val="24"/>
          <w:szCs w:val="21"/>
          <w:highlight w:val="none"/>
          <w:lang w:val="en-US" w:eastAsia="zh-CN" w:bidi="ar-SA"/>
          <w14:textFill>
            <w14:solidFill>
              <w14:schemeClr w14:val="tx1"/>
            </w14:solidFill>
          </w14:textFill>
        </w:rPr>
        <w:t>部投</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入泥浆不落地装置中，无随意漫流现象，杜绝钻井泥浆流失。</w:t>
      </w:r>
    </w:p>
    <w:p w14:paraId="74F93988">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（4）建议在泥浆循环罐周围设置约50cm～60cm防渗污水收集渠或事故截污沟，阻止暴雨时或其他事故情况下池水满溢外排。</w:t>
      </w:r>
    </w:p>
    <w:p w14:paraId="692076AE">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_Toc13150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6.2.2运营期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地下</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水环境保护措施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0B452D44">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eastAsia="zh-CN"/>
          <w14:textFill>
            <w14:solidFill>
              <w14:schemeClr w14:val="tx1"/>
            </w14:solidFill>
          </w14:textFill>
        </w:rPr>
        <w:t>6.2.2</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.1源头控制措施</w:t>
      </w:r>
    </w:p>
    <w:p w14:paraId="7BD1CC0D">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选择先进、成熟、可靠的工艺技术，对产生的废物进行合理的回用和治理，尽可能从源头上减少污染物排放；严格按照国家相关规范要求，对井场、站场、管道的装置等采取相应措施，以防止和降低污染物的跑、冒、滴、漏，降低风险事故，尽量减少地下水污染。</w:t>
      </w:r>
    </w:p>
    <w:p w14:paraId="737891A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①</w:t>
      </w:r>
      <w:r>
        <w:rPr>
          <w:rFonts w:hint="eastAsia"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少量</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采出水依托</w:t>
      </w:r>
      <w:r>
        <w:rPr>
          <w:rFonts w:hint="eastAsia"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阿克苏塔河环保工程有限公司绿色环保工作站</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水处理系统处理，经处理满足《碎屑岩油藏注水水质指标技术要求及分析方法》（SY/T5329-2022）标准中指标后回注</w:t>
      </w:r>
      <w:r>
        <w:rPr>
          <w:rFonts w:hint="default"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地下</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，不外排。</w:t>
      </w:r>
    </w:p>
    <w:p w14:paraId="49F2570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②定期对井场</w:t>
      </w:r>
      <w:r>
        <w:rPr>
          <w:rFonts w:hint="default" w:ascii="Times New Roman" w:hAnsi="Times New Roman" w:eastAsia="宋体" w:cs="Times New Roman"/>
          <w:color w:val="000000" w:themeColor="text1"/>
          <w:spacing w:val="0"/>
          <w:kern w:val="2"/>
          <w:sz w:val="24"/>
          <w:szCs w:val="20"/>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储罐</w:t>
      </w:r>
      <w:r>
        <w:rPr>
          <w:rFonts w:hint="default"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、管线</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的设备、阀门等进行检查，一旦发现异常，及时采取措施，防止凝析油“跑、冒、滴、漏”的发生。</w:t>
      </w:r>
    </w:p>
    <w:p w14:paraId="26D93888">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③定期对</w:t>
      </w:r>
      <w:r>
        <w:rPr>
          <w:rFonts w:hint="eastAsia" w:cs="Times New Roman"/>
          <w:color w:val="000000" w:themeColor="text1"/>
          <w:spacing w:val="0"/>
          <w:kern w:val="2"/>
          <w:sz w:val="24"/>
          <w:szCs w:val="20"/>
          <w:highlight w:val="none"/>
          <w:lang w:val="en-US" w:eastAsia="zh-CN" w:bidi="ar"/>
          <w14:textFill>
            <w14:solidFill>
              <w14:schemeClr w14:val="tx1"/>
            </w14:solidFill>
          </w14:textFill>
        </w:rPr>
        <w:t>站内</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管道进行检查，一旦发现异常，及时更换，尽量杜绝“跑、冒、滴、漏”的发生，并随时做好抢修准备，加强抢修队伍的训练和工作演练。</w:t>
      </w:r>
    </w:p>
    <w:p w14:paraId="2D17F88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④</w:t>
      </w:r>
      <w:r>
        <w:rPr>
          <w:rFonts w:hint="default" w:ascii="Times New Roman" w:hAnsi="Times New Roman" w:eastAsia="宋体" w:cs="Times New Roman"/>
          <w:color w:val="000000" w:themeColor="text1"/>
          <w:spacing w:val="0"/>
          <w:kern w:val="2"/>
          <w:sz w:val="24"/>
          <w:szCs w:val="20"/>
          <w:highlight w:val="none"/>
          <w:lang w:val="en-US" w:eastAsia="zh-CN" w:bidi="ar"/>
          <w14:textFill>
            <w14:solidFill>
              <w14:schemeClr w14:val="tx1"/>
            </w14:solidFill>
          </w14:textFill>
        </w:rPr>
        <w:t>生产</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井运行期间应参照《石油天然气工业套管和油管的维护与使用》（GB/T 17745-2011）要求进行井筒完整性管理，定期开展井筒完整性检查。定期对</w:t>
      </w:r>
      <w:r>
        <w:rPr>
          <w:rFonts w:hint="eastAsia" w:ascii="Times New Roman" w:hAnsi="Times New Roman" w:eastAsia="宋体" w:cs="Times New Roman"/>
          <w:color w:val="000000" w:themeColor="text1"/>
          <w:spacing w:val="0"/>
          <w:kern w:val="2"/>
          <w:sz w:val="24"/>
          <w:szCs w:val="20"/>
          <w:highlight w:val="none"/>
          <w:lang w:eastAsia="zh-CN" w:bidi="ar"/>
          <w14:textFill>
            <w14:solidFill>
              <w14:schemeClr w14:val="tx1"/>
            </w14:solidFill>
          </w14:textFill>
        </w:rPr>
        <w:t>采气</w:t>
      </w: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井的固井质量进行检查，若发现固井质量不合格，先查明固井质量不合格的原因，并及时采取一系列的修整措施，保证固井质量合格，防止发生油水窜层等事故；发现异常情况及时处理，防止污染地下水。</w:t>
      </w:r>
    </w:p>
    <w:p w14:paraId="0DF0DA9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⑤修井作业时，要严格加强防污染措施。起油管前要打开泄油器，管内油水进入废液罐，蒸汽吹扫油管、油杆的污油、污水等全部回收至废液罐回收，严禁流入井场。</w:t>
      </w:r>
    </w:p>
    <w:p w14:paraId="06A97201">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eastAsia="zh-CN"/>
          <w14:textFill>
            <w14:solidFill>
              <w14:schemeClr w14:val="tx1"/>
            </w14:solidFill>
          </w14:textFill>
        </w:rPr>
        <w:t>6.2.2</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.2分区防治措施</w:t>
      </w:r>
    </w:p>
    <w:p w14:paraId="63BF422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对井场可能泄漏污染物的污染区地面进行防渗处理，并及时将泄漏/渗漏的污染物收集起来进行处理，可有效防止洒落地面的污染物渗入地下。根据《环境影响评价技术导则 地下水环境》（HJ610-2016），分区防控措施应满足以下要求：</w:t>
      </w:r>
    </w:p>
    <w:p w14:paraId="2FBA24E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①已颁布污染控制国家标准或防渗技术规范的行业，水平防渗技术要求按照相应标准或规范执行，如GB16889、GB18597、GB18598、GB18599、GB/T50934等。</w:t>
      </w:r>
    </w:p>
    <w:p w14:paraId="03A8391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t>②未颁布相关标准的行业，根据预测结果和场地包气带特征及其防污性能，提出防渗技术要求或根据建设项目场地天然包气带防污性能、污染控制难易程度和污染物特性，提出防渗技术要求。</w:t>
      </w:r>
    </w:p>
    <w:p w14:paraId="0AC93F9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本工程不属于已颁布污染控制国家标准或防渗技术规范的行业，分区防控措施应根据《环境影响评价技术导则</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地下水环境》（HJ 610-2016）中污染控制难易程度分级参照表、天然包气带防污性能分级参照表、地下水污染防渗分区参照表，提出防渗技术要求。</w:t>
      </w:r>
    </w:p>
    <w:p w14:paraId="5814BB27">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6.2</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污染控制难易程度分级参照表</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0"/>
        <w:gridCol w:w="6570"/>
      </w:tblGrid>
      <w:tr w14:paraId="590CD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4" w:type="pct"/>
            <w:noWrap w:val="0"/>
            <w:vAlign w:val="center"/>
          </w:tcPr>
          <w:p w14:paraId="0050604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污染控制难易程度</w:t>
            </w:r>
          </w:p>
        </w:tc>
        <w:tc>
          <w:tcPr>
            <w:tcW w:w="3855" w:type="pct"/>
            <w:noWrap w:val="0"/>
            <w:vAlign w:val="center"/>
          </w:tcPr>
          <w:p w14:paraId="423B8C4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主要特征</w:t>
            </w:r>
          </w:p>
        </w:tc>
      </w:tr>
      <w:tr w14:paraId="385B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4" w:type="pct"/>
            <w:noWrap w:val="0"/>
            <w:vAlign w:val="center"/>
          </w:tcPr>
          <w:p w14:paraId="108CD9E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难</w:t>
            </w:r>
          </w:p>
        </w:tc>
        <w:tc>
          <w:tcPr>
            <w:tcW w:w="3855" w:type="pct"/>
            <w:noWrap w:val="0"/>
            <w:vAlign w:val="center"/>
          </w:tcPr>
          <w:p w14:paraId="0DBDA18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对地下水环境有污染的物料或污染物</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后，不能及时发现和处理</w:t>
            </w:r>
          </w:p>
        </w:tc>
      </w:tr>
      <w:tr w14:paraId="09D6A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4" w:type="pct"/>
            <w:shd w:val="clear" w:color="auto" w:fill="EEECE1"/>
            <w:noWrap w:val="0"/>
            <w:vAlign w:val="center"/>
          </w:tcPr>
          <w:p w14:paraId="14BA470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w:t>
            </w:r>
          </w:p>
        </w:tc>
        <w:tc>
          <w:tcPr>
            <w:tcW w:w="3855" w:type="pct"/>
            <w:shd w:val="clear" w:color="auto" w:fill="EEECE1"/>
            <w:noWrap w:val="0"/>
            <w:vAlign w:val="center"/>
          </w:tcPr>
          <w:p w14:paraId="191DCC1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对地下水环境有污染的物料或污染物</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后，可及时发现和处理</w:t>
            </w:r>
          </w:p>
        </w:tc>
      </w:tr>
    </w:tbl>
    <w:p w14:paraId="5C269562">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表6.2-</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天然包气带防污性能分级参照表</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7833"/>
      </w:tblGrid>
      <w:tr w14:paraId="3F197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3" w:type="pct"/>
            <w:noWrap w:val="0"/>
            <w:vAlign w:val="center"/>
          </w:tcPr>
          <w:p w14:paraId="136A524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分级</w:t>
            </w:r>
          </w:p>
        </w:tc>
        <w:tc>
          <w:tcPr>
            <w:tcW w:w="4596" w:type="pct"/>
            <w:noWrap w:val="0"/>
            <w:vAlign w:val="center"/>
          </w:tcPr>
          <w:p w14:paraId="1F838B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包气带岩土的防污性能</w:t>
            </w:r>
          </w:p>
        </w:tc>
      </w:tr>
      <w:tr w14:paraId="15F93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3" w:type="pct"/>
            <w:noWrap w:val="0"/>
            <w:vAlign w:val="center"/>
          </w:tcPr>
          <w:p w14:paraId="22796B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强</w:t>
            </w:r>
          </w:p>
        </w:tc>
        <w:tc>
          <w:tcPr>
            <w:tcW w:w="4596" w:type="pct"/>
            <w:noWrap w:val="0"/>
            <w:vAlign w:val="center"/>
          </w:tcPr>
          <w:p w14:paraId="6C47BD9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岩（土）层单层厚度Mb≧1.0m，渗透系数K≦1×10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cm/s，且分布连续、稳定</w:t>
            </w:r>
          </w:p>
        </w:tc>
      </w:tr>
      <w:tr w14:paraId="1AB53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3" w:type="pct"/>
            <w:noWrap w:val="0"/>
            <w:vAlign w:val="center"/>
          </w:tcPr>
          <w:p w14:paraId="4DFECD2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中</w:t>
            </w:r>
          </w:p>
        </w:tc>
        <w:tc>
          <w:tcPr>
            <w:tcW w:w="4596" w:type="pct"/>
            <w:noWrap w:val="0"/>
            <w:vAlign w:val="center"/>
          </w:tcPr>
          <w:p w14:paraId="4352A4B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岩（土）层单层厚度0.5m≦Mb&lt;1.0m，渗透系数K≦1×10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cm/s，且分布连续、稳定；</w:t>
            </w:r>
          </w:p>
          <w:p w14:paraId="687A0CB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岩（土）层单层厚度Mb≧1.0m，渗透系数1×10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cm/s&lt;K≦1×10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cm/s，且分布连续、稳定；</w:t>
            </w:r>
          </w:p>
        </w:tc>
      </w:tr>
      <w:tr w14:paraId="5BCE4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03" w:type="pct"/>
            <w:shd w:val="clear" w:color="auto" w:fill="EEECE1"/>
            <w:noWrap w:val="0"/>
            <w:vAlign w:val="center"/>
          </w:tcPr>
          <w:p w14:paraId="5F0E264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弱</w:t>
            </w:r>
          </w:p>
        </w:tc>
        <w:tc>
          <w:tcPr>
            <w:tcW w:w="4596" w:type="pct"/>
            <w:shd w:val="clear" w:color="auto" w:fill="EEECE1"/>
            <w:noWrap w:val="0"/>
            <w:vAlign w:val="center"/>
          </w:tcPr>
          <w:p w14:paraId="024747D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岩（土）层不满足上述“强”和“中”条件</w:t>
            </w:r>
          </w:p>
        </w:tc>
      </w:tr>
    </w:tbl>
    <w:p w14:paraId="114092DA">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表6.2-</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4   </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地下水污染防渗分区参照表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430"/>
        <w:gridCol w:w="1367"/>
        <w:gridCol w:w="1759"/>
        <w:gridCol w:w="2654"/>
      </w:tblGrid>
      <w:tr w14:paraId="0DB25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noWrap w:val="0"/>
            <w:vAlign w:val="center"/>
          </w:tcPr>
          <w:p w14:paraId="412A910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防渗分区</w:t>
            </w:r>
          </w:p>
        </w:tc>
        <w:tc>
          <w:tcPr>
            <w:tcW w:w="839" w:type="pct"/>
            <w:noWrap w:val="0"/>
            <w:vAlign w:val="center"/>
          </w:tcPr>
          <w:p w14:paraId="09613FE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天然包气带防污性能</w:t>
            </w:r>
          </w:p>
        </w:tc>
        <w:tc>
          <w:tcPr>
            <w:tcW w:w="802" w:type="pct"/>
            <w:noWrap w:val="0"/>
            <w:vAlign w:val="center"/>
          </w:tcPr>
          <w:p w14:paraId="69AD461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污染控制难易程度</w:t>
            </w:r>
          </w:p>
        </w:tc>
        <w:tc>
          <w:tcPr>
            <w:tcW w:w="1032" w:type="pct"/>
            <w:noWrap w:val="0"/>
            <w:vAlign w:val="center"/>
          </w:tcPr>
          <w:p w14:paraId="260F6F8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污染物类型</w:t>
            </w:r>
          </w:p>
        </w:tc>
        <w:tc>
          <w:tcPr>
            <w:tcW w:w="1557" w:type="pct"/>
            <w:noWrap w:val="0"/>
            <w:vAlign w:val="center"/>
          </w:tcPr>
          <w:p w14:paraId="43C6E07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防渗技术要求</w:t>
            </w:r>
          </w:p>
        </w:tc>
      </w:tr>
      <w:tr w14:paraId="52C57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noWrap w:val="0"/>
            <w:vAlign w:val="center"/>
          </w:tcPr>
          <w:p w14:paraId="0B519DB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重点防渗区</w:t>
            </w:r>
          </w:p>
        </w:tc>
        <w:tc>
          <w:tcPr>
            <w:tcW w:w="839" w:type="pct"/>
            <w:noWrap w:val="0"/>
            <w:vAlign w:val="center"/>
          </w:tcPr>
          <w:p w14:paraId="478410A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弱</w:t>
            </w:r>
          </w:p>
        </w:tc>
        <w:tc>
          <w:tcPr>
            <w:tcW w:w="802" w:type="pct"/>
            <w:noWrap w:val="0"/>
            <w:vAlign w:val="center"/>
          </w:tcPr>
          <w:p w14:paraId="3974D71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难</w:t>
            </w:r>
          </w:p>
        </w:tc>
        <w:tc>
          <w:tcPr>
            <w:tcW w:w="1032" w:type="pct"/>
            <w:vMerge w:val="restart"/>
            <w:noWrap w:val="0"/>
            <w:vAlign w:val="center"/>
          </w:tcPr>
          <w:p w14:paraId="1A308D7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重金属、持久性有机污染物</w:t>
            </w:r>
          </w:p>
        </w:tc>
        <w:tc>
          <w:tcPr>
            <w:tcW w:w="1557" w:type="pct"/>
            <w:vMerge w:val="restart"/>
            <w:noWrap w:val="0"/>
            <w:vAlign w:val="center"/>
          </w:tcPr>
          <w:p w14:paraId="78F3F4A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等效黏土防渗层Mb≥6.0m，K≤1×10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cm/s；或参照GB18598执行</w:t>
            </w:r>
          </w:p>
        </w:tc>
      </w:tr>
      <w:tr w14:paraId="6121E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noWrap w:val="0"/>
            <w:vAlign w:val="center"/>
          </w:tcPr>
          <w:p w14:paraId="7A37945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839" w:type="pct"/>
            <w:noWrap w:val="0"/>
            <w:vAlign w:val="center"/>
          </w:tcPr>
          <w:p w14:paraId="5376E2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中-强</w:t>
            </w:r>
          </w:p>
        </w:tc>
        <w:tc>
          <w:tcPr>
            <w:tcW w:w="802" w:type="pct"/>
            <w:noWrap w:val="0"/>
            <w:vAlign w:val="center"/>
          </w:tcPr>
          <w:p w14:paraId="7199F4D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难</w:t>
            </w:r>
          </w:p>
        </w:tc>
        <w:tc>
          <w:tcPr>
            <w:tcW w:w="1032" w:type="pct"/>
            <w:vMerge w:val="continue"/>
            <w:noWrap w:val="0"/>
            <w:vAlign w:val="center"/>
          </w:tcPr>
          <w:p w14:paraId="58EA88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557" w:type="pct"/>
            <w:vMerge w:val="continue"/>
            <w:noWrap w:val="0"/>
            <w:vAlign w:val="center"/>
          </w:tcPr>
          <w:p w14:paraId="7C0DA6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r>
      <w:tr w14:paraId="36982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768" w:type="pct"/>
            <w:vMerge w:val="continue"/>
            <w:noWrap w:val="0"/>
            <w:vAlign w:val="center"/>
          </w:tcPr>
          <w:p w14:paraId="7C5BDE0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839" w:type="pct"/>
            <w:noWrap w:val="0"/>
            <w:vAlign w:val="center"/>
          </w:tcPr>
          <w:p w14:paraId="3888960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弱</w:t>
            </w:r>
          </w:p>
        </w:tc>
        <w:tc>
          <w:tcPr>
            <w:tcW w:w="802" w:type="pct"/>
            <w:noWrap w:val="0"/>
            <w:vAlign w:val="center"/>
          </w:tcPr>
          <w:p w14:paraId="6D991F3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w:t>
            </w:r>
          </w:p>
        </w:tc>
        <w:tc>
          <w:tcPr>
            <w:tcW w:w="1032" w:type="pct"/>
            <w:vMerge w:val="continue"/>
            <w:noWrap w:val="0"/>
            <w:vAlign w:val="center"/>
          </w:tcPr>
          <w:p w14:paraId="2A7D030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557" w:type="pct"/>
            <w:vMerge w:val="continue"/>
            <w:noWrap w:val="0"/>
            <w:vAlign w:val="center"/>
          </w:tcPr>
          <w:p w14:paraId="67F6F0B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r>
      <w:tr w14:paraId="41AA6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shd w:val="clear" w:color="auto" w:fill="EEECE1"/>
            <w:noWrap w:val="0"/>
            <w:vAlign w:val="center"/>
          </w:tcPr>
          <w:p w14:paraId="611AA17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一般防渗区</w:t>
            </w:r>
          </w:p>
        </w:tc>
        <w:tc>
          <w:tcPr>
            <w:tcW w:w="839" w:type="pct"/>
            <w:shd w:val="clear" w:color="auto" w:fill="EEECE1"/>
            <w:noWrap w:val="0"/>
            <w:vAlign w:val="center"/>
          </w:tcPr>
          <w:p w14:paraId="260F699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弱</w:t>
            </w:r>
          </w:p>
        </w:tc>
        <w:tc>
          <w:tcPr>
            <w:tcW w:w="802" w:type="pct"/>
            <w:shd w:val="clear" w:color="auto" w:fill="EEECE1"/>
            <w:noWrap w:val="0"/>
            <w:vAlign w:val="center"/>
          </w:tcPr>
          <w:p w14:paraId="6BEE84F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易-难</w:t>
            </w:r>
          </w:p>
        </w:tc>
        <w:tc>
          <w:tcPr>
            <w:tcW w:w="1032" w:type="pct"/>
            <w:vMerge w:val="restart"/>
            <w:shd w:val="clear" w:color="auto" w:fill="EEECE1"/>
            <w:noWrap w:val="0"/>
            <w:vAlign w:val="center"/>
          </w:tcPr>
          <w:p w14:paraId="1188EFB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其他</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类型</w:t>
            </w:r>
          </w:p>
        </w:tc>
        <w:tc>
          <w:tcPr>
            <w:tcW w:w="1557" w:type="pct"/>
            <w:vMerge w:val="restart"/>
            <w:shd w:val="clear" w:color="auto" w:fill="EEECE1"/>
            <w:noWrap w:val="0"/>
            <w:vAlign w:val="center"/>
          </w:tcPr>
          <w:p w14:paraId="334CDE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等效黏土防渗层Mb≥1.5m，K≤1×10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cm/s，或参照GB16889执行</w:t>
            </w:r>
          </w:p>
        </w:tc>
      </w:tr>
      <w:tr w14:paraId="2C335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EEECE1"/>
            <w:noWrap w:val="0"/>
            <w:vAlign w:val="center"/>
          </w:tcPr>
          <w:p w14:paraId="476F60D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839" w:type="pct"/>
            <w:shd w:val="clear" w:color="auto" w:fill="auto"/>
            <w:noWrap w:val="0"/>
            <w:vAlign w:val="center"/>
          </w:tcPr>
          <w:p w14:paraId="3F9EED7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中-强</w:t>
            </w:r>
          </w:p>
        </w:tc>
        <w:tc>
          <w:tcPr>
            <w:tcW w:w="802" w:type="pct"/>
            <w:shd w:val="clear" w:color="auto" w:fill="auto"/>
            <w:noWrap w:val="0"/>
            <w:vAlign w:val="center"/>
          </w:tcPr>
          <w:p w14:paraId="3A4A321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难</w:t>
            </w:r>
          </w:p>
        </w:tc>
        <w:tc>
          <w:tcPr>
            <w:tcW w:w="1032" w:type="pct"/>
            <w:vMerge w:val="continue"/>
            <w:shd w:val="clear" w:color="auto" w:fill="B8CCE4"/>
            <w:noWrap w:val="0"/>
            <w:vAlign w:val="center"/>
          </w:tcPr>
          <w:p w14:paraId="4A1ADC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557" w:type="pct"/>
            <w:vMerge w:val="continue"/>
            <w:shd w:val="clear" w:color="auto" w:fill="EEECE1"/>
            <w:noWrap w:val="0"/>
            <w:vAlign w:val="center"/>
          </w:tcPr>
          <w:p w14:paraId="75CDC2F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r>
      <w:tr w14:paraId="5FA35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EEECE1"/>
            <w:noWrap w:val="0"/>
            <w:vAlign w:val="center"/>
          </w:tcPr>
          <w:p w14:paraId="220CB31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839" w:type="pct"/>
            <w:shd w:val="clear" w:color="auto" w:fill="auto"/>
            <w:noWrap w:val="0"/>
            <w:vAlign w:val="center"/>
          </w:tcPr>
          <w:p w14:paraId="6645D1F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中</w:t>
            </w:r>
          </w:p>
        </w:tc>
        <w:tc>
          <w:tcPr>
            <w:tcW w:w="802" w:type="pct"/>
            <w:shd w:val="clear" w:color="auto" w:fill="auto"/>
            <w:noWrap w:val="0"/>
            <w:vAlign w:val="center"/>
          </w:tcPr>
          <w:p w14:paraId="1657983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w:t>
            </w:r>
          </w:p>
        </w:tc>
        <w:tc>
          <w:tcPr>
            <w:tcW w:w="1032" w:type="pct"/>
            <w:vMerge w:val="restart"/>
            <w:shd w:val="clear" w:color="auto" w:fill="auto"/>
            <w:noWrap w:val="0"/>
            <w:vAlign w:val="center"/>
          </w:tcPr>
          <w:p w14:paraId="708F1CA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重金属、持久性有机污染物</w:t>
            </w:r>
          </w:p>
        </w:tc>
        <w:tc>
          <w:tcPr>
            <w:tcW w:w="1557" w:type="pct"/>
            <w:vMerge w:val="continue"/>
            <w:shd w:val="clear" w:color="auto" w:fill="EEECE1"/>
            <w:noWrap w:val="0"/>
            <w:vAlign w:val="center"/>
          </w:tcPr>
          <w:p w14:paraId="4436458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r>
      <w:tr w14:paraId="0563A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shd w:val="clear" w:color="auto" w:fill="EEECE1"/>
            <w:noWrap w:val="0"/>
            <w:vAlign w:val="center"/>
          </w:tcPr>
          <w:p w14:paraId="17DBEE5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839" w:type="pct"/>
            <w:shd w:val="clear" w:color="auto" w:fill="auto"/>
            <w:noWrap w:val="0"/>
            <w:vAlign w:val="center"/>
          </w:tcPr>
          <w:p w14:paraId="294C4B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强</w:t>
            </w:r>
          </w:p>
        </w:tc>
        <w:tc>
          <w:tcPr>
            <w:tcW w:w="802" w:type="pct"/>
            <w:shd w:val="clear" w:color="auto" w:fill="auto"/>
            <w:noWrap w:val="0"/>
            <w:vAlign w:val="center"/>
          </w:tcPr>
          <w:p w14:paraId="7F8F93C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w:t>
            </w:r>
          </w:p>
        </w:tc>
        <w:tc>
          <w:tcPr>
            <w:tcW w:w="1032" w:type="pct"/>
            <w:vMerge w:val="continue"/>
            <w:shd w:val="clear" w:color="auto" w:fill="auto"/>
            <w:noWrap w:val="0"/>
            <w:vAlign w:val="center"/>
          </w:tcPr>
          <w:p w14:paraId="4509EF6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557" w:type="pct"/>
            <w:vMerge w:val="continue"/>
            <w:shd w:val="clear" w:color="auto" w:fill="EEECE1"/>
            <w:noWrap w:val="0"/>
            <w:vAlign w:val="center"/>
          </w:tcPr>
          <w:p w14:paraId="5FE5EBE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r>
      <w:tr w14:paraId="7840F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noWrap w:val="0"/>
            <w:vAlign w:val="center"/>
          </w:tcPr>
          <w:p w14:paraId="2ABBE08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简单防渗区</w:t>
            </w:r>
          </w:p>
        </w:tc>
        <w:tc>
          <w:tcPr>
            <w:tcW w:w="839" w:type="pct"/>
            <w:noWrap w:val="0"/>
            <w:vAlign w:val="center"/>
          </w:tcPr>
          <w:p w14:paraId="3F51425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中-强</w:t>
            </w:r>
          </w:p>
        </w:tc>
        <w:tc>
          <w:tcPr>
            <w:tcW w:w="802" w:type="pct"/>
            <w:noWrap w:val="0"/>
            <w:vAlign w:val="center"/>
          </w:tcPr>
          <w:p w14:paraId="6F39ABE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易</w:t>
            </w:r>
          </w:p>
        </w:tc>
        <w:tc>
          <w:tcPr>
            <w:tcW w:w="1032" w:type="pct"/>
            <w:noWrap w:val="0"/>
            <w:vAlign w:val="center"/>
          </w:tcPr>
          <w:p w14:paraId="746A0E1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其他</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类型</w:t>
            </w:r>
          </w:p>
        </w:tc>
        <w:tc>
          <w:tcPr>
            <w:tcW w:w="1557" w:type="pct"/>
            <w:noWrap w:val="0"/>
            <w:vAlign w:val="center"/>
          </w:tcPr>
          <w:p w14:paraId="4868CB3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一般地面硬化</w:t>
            </w:r>
          </w:p>
        </w:tc>
      </w:tr>
    </w:tbl>
    <w:p w14:paraId="2330A6B3">
      <w:pPr>
        <w:widowControl w:val="0"/>
        <w:adjustRightInd/>
        <w:snapToGrid/>
        <w:spacing w:line="360" w:lineRule="auto"/>
        <w:ind w:firstLine="480" w:firstLineChars="200"/>
        <w:jc w:val="both"/>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根据《环境影响评价技术导则</w:t>
      </w:r>
      <w:r>
        <w:rPr>
          <w:rFonts w:hint="eastAsia" w:cs="Times New Roman"/>
          <w:color w:val="000000" w:themeColor="text1"/>
          <w:spacing w:val="0"/>
          <w:kern w:val="2"/>
          <w:sz w:val="24"/>
          <w:szCs w:val="20"/>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地下水环境》（HJ610-2016）中表6及前文分析，项目区内包气带防污性能为“弱”，</w:t>
      </w:r>
      <w:r>
        <w:rPr>
          <w:rFonts w:hint="eastAsia" w:cs="Times New Roman"/>
          <w:color w:val="000000" w:themeColor="text1"/>
          <w:spacing w:val="0"/>
          <w:kern w:val="2"/>
          <w:sz w:val="24"/>
          <w:szCs w:val="20"/>
          <w:highlight w:val="none"/>
          <w:lang w:val="en-US" w:eastAsia="zh-CN"/>
          <w14:textFill>
            <w14:solidFill>
              <w14:schemeClr w14:val="tx1"/>
            </w14:solidFill>
          </w14:textFill>
        </w:rPr>
        <w:t>运营期油气处理过程中</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主要污染物为石油类及COD</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氨氮</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等，不属于重金属和持久性有机物类，为“其他类型”</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故运营期将工程区域整体划分为一般防渗区</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具体划分方案如下：</w:t>
      </w:r>
    </w:p>
    <w:p w14:paraId="5973A06A">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表6.2-</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5   </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项目污染防渗区划分</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8"/>
        <w:gridCol w:w="2877"/>
        <w:gridCol w:w="4377"/>
      </w:tblGrid>
      <w:tr w14:paraId="4CE30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8" w:type="dxa"/>
            <w:noWrap w:val="0"/>
            <w:vAlign w:val="center"/>
          </w:tcPr>
          <w:p w14:paraId="00B109F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类别</w:t>
            </w:r>
          </w:p>
        </w:tc>
        <w:tc>
          <w:tcPr>
            <w:tcW w:w="2877" w:type="dxa"/>
            <w:noWrap w:val="0"/>
            <w:vAlign w:val="center"/>
          </w:tcPr>
          <w:p w14:paraId="3C955E1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项目涉及区域</w:t>
            </w:r>
          </w:p>
        </w:tc>
        <w:tc>
          <w:tcPr>
            <w:tcW w:w="4377" w:type="dxa"/>
            <w:noWrap w:val="0"/>
            <w:vAlign w:val="center"/>
          </w:tcPr>
          <w:p w14:paraId="4E988B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防渗要求</w:t>
            </w:r>
          </w:p>
        </w:tc>
      </w:tr>
      <w:tr w14:paraId="513BA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8" w:type="dxa"/>
            <w:noWrap w:val="0"/>
            <w:vAlign w:val="center"/>
          </w:tcPr>
          <w:p w14:paraId="79C43B8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一般防渗区</w:t>
            </w:r>
          </w:p>
        </w:tc>
        <w:tc>
          <w:tcPr>
            <w:tcW w:w="2877" w:type="dxa"/>
            <w:noWrap w:val="0"/>
            <w:vAlign w:val="center"/>
          </w:tcPr>
          <w:p w14:paraId="0C1B17A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井口</w:t>
            </w:r>
            <w: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装置区、设备区底部</w:t>
            </w:r>
          </w:p>
        </w:tc>
        <w:tc>
          <w:tcPr>
            <w:tcW w:w="4377" w:type="dxa"/>
            <w:noWrap w:val="0"/>
            <w:vAlign w:val="center"/>
          </w:tcPr>
          <w:p w14:paraId="2E21FF4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等效防渗性能不应低于1.5m厚渗透系数为1.0×10</w:t>
            </w:r>
            <w:r>
              <w:rPr>
                <w:rFonts w:hint="default" w:ascii="Times New Roman" w:hAnsi="Times New Roman" w:eastAsia="宋体" w:cs="Times New Roman"/>
                <w:color w:val="000000" w:themeColor="text1"/>
                <w:spacing w:val="0"/>
                <w:kern w:val="0"/>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cm/s的黏土层的防渗性能</w:t>
            </w:r>
          </w:p>
        </w:tc>
      </w:tr>
    </w:tbl>
    <w:p w14:paraId="299D47F0">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eastAsia="zh-CN"/>
          <w14:textFill>
            <w14:solidFill>
              <w14:schemeClr w14:val="tx1"/>
            </w14:solidFill>
          </w14:textFill>
        </w:rPr>
        <w:t>6.2.2</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.3管道刺漏防范措施</w:t>
      </w:r>
    </w:p>
    <w:p w14:paraId="18A9A61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）在管道上方设置标志，以防附近的各类施工活动对管道的破坏。减轻管道的内外腐蚀，定期检测管道的内外腐蚀情况，并配备适当的管道抢修、灭火及人员抢救设备。</w:t>
      </w:r>
    </w:p>
    <w:p w14:paraId="0910E8EB">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）定期对管线进行检查，对壁厚低于规定要求的管段应及时更换，消除爆管的隐患；按规定进行设备维修、保养，及时更换易损及老化部件，防止油气泄漏事故的发生，定期对管线进行巡视，应加强管线和</w:t>
      </w:r>
      <w:r>
        <w:rPr>
          <w:rFonts w:hint="eastAsia" w:cs="Times New Roman"/>
          <w:color w:val="000000" w:themeColor="text1"/>
          <w:spacing w:val="0"/>
          <w:kern w:val="2"/>
          <w:sz w:val="24"/>
          <w:szCs w:val="20"/>
          <w:highlight w:val="none"/>
          <w:lang w:eastAsia="zh-CN"/>
          <w14:textFill>
            <w14:solidFill>
              <w14:schemeClr w14:val="tx1"/>
            </w14:solidFill>
          </w14:textFill>
        </w:rPr>
        <w:t>警示标志</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的管理工作，提高巡线的有效性，发现对管道安全有影响的行为，应及时制止、采取相应措施并向上级报告。利用管道的压力、流量监控系统，发现异常立即排查，</w:t>
      </w:r>
      <w:r>
        <w:rPr>
          <w:rFonts w:hint="eastAsia" w:cs="Times New Roman"/>
          <w:color w:val="000000" w:themeColor="text1"/>
          <w:spacing w:val="0"/>
          <w:kern w:val="2"/>
          <w:sz w:val="24"/>
          <w:szCs w:val="20"/>
          <w:highlight w:val="none"/>
          <w:lang w:eastAsia="zh-CN"/>
          <w14:textFill>
            <w14:solidFill>
              <w14:schemeClr w14:val="tx1"/>
            </w14:solidFill>
          </w14:textFill>
        </w:rPr>
        <w:t>若</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出现问题，立即派人现场核查，如有</w:t>
      </w:r>
      <w:r>
        <w:rPr>
          <w:rFonts w:hint="eastAsia" w:cs="Times New Roman"/>
          <w:color w:val="000000" w:themeColor="text1"/>
          <w:spacing w:val="0"/>
          <w:kern w:val="2"/>
          <w:sz w:val="24"/>
          <w:szCs w:val="20"/>
          <w:highlight w:val="none"/>
          <w:lang w:eastAsia="zh-CN"/>
          <w14:textFill>
            <w14:solidFill>
              <w14:schemeClr w14:val="tx1"/>
            </w14:solidFill>
          </w14:textFill>
        </w:rPr>
        <w:t>突发事件</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启动应急预案。</w:t>
      </w:r>
    </w:p>
    <w:p w14:paraId="7AA67DFD">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）一旦管道发生泄漏事故，井场内设置有流量控制仪及压力变送器，当检测到压力降速率超过设定值时，自动关闭阀门。</w:t>
      </w:r>
    </w:p>
    <w:p w14:paraId="1683E1C6">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eastAsia="zh-CN"/>
          <w14:textFill>
            <w14:solidFill>
              <w14:schemeClr w14:val="tx1"/>
            </w14:solidFill>
          </w14:textFill>
        </w:rPr>
        <w:t>6.2.2</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.4地下水环境监测与管理</w:t>
      </w:r>
    </w:p>
    <w:p w14:paraId="736D7D8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根据本工程特点建立和完善区域地下水环境监测制度和环境管理体系，制定完善的监测计划，环境监测工作可委托当地有资质的环境监测机构承担。根据《环境影响评价技术导则 地下水环境》（HJ610-2016）、《环境影响评价技术导则 陆地石油天然气开发建设项目》</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HJ349-2023</w:t>
      </w:r>
      <w:r>
        <w:rPr>
          <w:rFonts w:hint="eastAsia" w:cs="Times New Roman"/>
          <w:color w:val="000000" w:themeColor="text1"/>
          <w:spacing w:val="0"/>
          <w:kern w:val="2"/>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，结合工程区所在区域的水文地质条件，需在建设项目下游设置1个跟踪监测点</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p>
    <w:p w14:paraId="3DE881D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根据区域水文地质条件，</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结合</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《环境影响评价技术导则 地下水环境》（HJ610-2016）</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《排污单位自行监测技术指南 陆上石油天然气开采工业》（HJ 1248—2022），</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本工程跟踪监测点应明确与建设项目的位置关系，给出点位、坐标、井深、井结构、监测层位、监测因子及监测频率</w:t>
      </w:r>
      <w:r>
        <w:rPr>
          <w:rFonts w:hint="eastAsia" w:cs="Times New Roman"/>
          <w:color w:val="000000" w:themeColor="text1"/>
          <w:spacing w:val="0"/>
          <w:kern w:val="2"/>
          <w:sz w:val="24"/>
          <w:szCs w:val="20"/>
          <w:highlight w:val="none"/>
          <w:lang w:val="en-US" w:eastAsia="zh-CN"/>
          <w14:textFill>
            <w14:solidFill>
              <w14:schemeClr w14:val="tx1"/>
            </w14:solidFill>
          </w14:textFill>
        </w:rPr>
        <w:t>等</w:t>
      </w:r>
      <w:r>
        <w:rPr>
          <w:rFonts w:hint="default" w:ascii="Times New Roman" w:hAnsi="Times New Roman" w:eastAsia="宋体" w:cs="Times New Roman"/>
          <w:snapToGrid w:val="0"/>
          <w:color w:val="000000" w:themeColor="text1"/>
          <w:spacing w:val="0"/>
          <w:kern w:val="2"/>
          <w:sz w:val="24"/>
          <w:szCs w:val="20"/>
          <w:highlight w:val="none"/>
          <w14:textFill>
            <w14:solidFill>
              <w14:schemeClr w14:val="tx1"/>
            </w14:solidFill>
          </w14:textFill>
        </w:rPr>
        <w:t>详见表6.2-</w:t>
      </w:r>
      <w:r>
        <w:rPr>
          <w:rFonts w:hint="eastAsia" w:cs="Times New Roman"/>
          <w:snapToGrid w:val="0"/>
          <w:color w:val="000000" w:themeColor="text1"/>
          <w:spacing w:val="0"/>
          <w:kern w:val="2"/>
          <w:sz w:val="24"/>
          <w:szCs w:val="20"/>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w:t>
      </w:r>
    </w:p>
    <w:p w14:paraId="248EB52C">
      <w:pPr>
        <w:keepNext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6.2</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 xml:space="preserve">  地下水</w:t>
      </w:r>
      <w:r>
        <w:rPr>
          <w:rFonts w:hint="eastAsia" w:cs="Times New Roman"/>
          <w:b/>
          <w:bCs/>
          <w:color w:val="000000" w:themeColor="text1"/>
          <w:sz w:val="21"/>
          <w:szCs w:val="21"/>
          <w:highlight w:val="none"/>
          <w:lang w:val="en-US" w:eastAsia="zh-CN" w:bidi="ar-SA"/>
          <w14:textFill>
            <w14:solidFill>
              <w14:schemeClr w14:val="tx1"/>
            </w14:solidFill>
          </w14:textFill>
        </w:rPr>
        <w:t>跟踪</w:t>
      </w:r>
      <w:r>
        <w:rPr>
          <w:rFonts w:hint="default" w:ascii="Times New Roman" w:hAnsi="Times New Roman" w:eastAsia="宋体" w:cs="Times New Roman"/>
          <w:b/>
          <w:bCs/>
          <w:color w:val="000000" w:themeColor="text1"/>
          <w:sz w:val="21"/>
          <w:szCs w:val="21"/>
          <w:highlight w:val="none"/>
          <w:lang w:val="zh-CN" w:eastAsia="zh-CN" w:bidi="ar-SA"/>
          <w14:textFill>
            <w14:solidFill>
              <w14:schemeClr w14:val="tx1"/>
            </w14:solidFill>
          </w14:textFill>
        </w:rPr>
        <w:t>监测点布控一览表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356"/>
        <w:gridCol w:w="788"/>
        <w:gridCol w:w="752"/>
        <w:gridCol w:w="936"/>
        <w:gridCol w:w="1159"/>
        <w:gridCol w:w="2575"/>
      </w:tblGrid>
      <w:tr w14:paraId="77D31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58" w:type="pct"/>
            <w:noWrap w:val="0"/>
            <w:vAlign w:val="center"/>
          </w:tcPr>
          <w:p w14:paraId="59D4CD0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与项目位置关系</w:t>
            </w:r>
          </w:p>
        </w:tc>
        <w:tc>
          <w:tcPr>
            <w:tcW w:w="796" w:type="pct"/>
            <w:noWrap w:val="0"/>
            <w:vAlign w:val="center"/>
          </w:tcPr>
          <w:p w14:paraId="2AACE52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点位坐标</w:t>
            </w:r>
          </w:p>
        </w:tc>
        <w:tc>
          <w:tcPr>
            <w:tcW w:w="462" w:type="pct"/>
            <w:noWrap w:val="0"/>
            <w:vAlign w:val="center"/>
          </w:tcPr>
          <w:p w14:paraId="57496C0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井深</w:t>
            </w:r>
          </w:p>
        </w:tc>
        <w:tc>
          <w:tcPr>
            <w:tcW w:w="441" w:type="pct"/>
            <w:noWrap w:val="0"/>
            <w:vAlign w:val="center"/>
          </w:tcPr>
          <w:p w14:paraId="427D135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监测层位</w:t>
            </w:r>
          </w:p>
        </w:tc>
        <w:tc>
          <w:tcPr>
            <w:tcW w:w="549" w:type="pct"/>
            <w:noWrap w:val="0"/>
            <w:vAlign w:val="center"/>
          </w:tcPr>
          <w:p w14:paraId="6E078A1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功能</w:t>
            </w:r>
          </w:p>
        </w:tc>
        <w:tc>
          <w:tcPr>
            <w:tcW w:w="680" w:type="pct"/>
            <w:noWrap w:val="0"/>
            <w:vAlign w:val="center"/>
          </w:tcPr>
          <w:p w14:paraId="764718D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监测频率</w:t>
            </w:r>
          </w:p>
        </w:tc>
        <w:tc>
          <w:tcPr>
            <w:tcW w:w="1511" w:type="pct"/>
            <w:noWrap w:val="0"/>
            <w:vAlign w:val="center"/>
          </w:tcPr>
          <w:p w14:paraId="61F878B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主要监测项目</w:t>
            </w:r>
          </w:p>
        </w:tc>
      </w:tr>
      <w:tr w14:paraId="36021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58" w:type="pct"/>
            <w:noWrap w:val="0"/>
            <w:vAlign w:val="center"/>
          </w:tcPr>
          <w:p w14:paraId="4B23CE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项目区下游</w:t>
            </w:r>
          </w:p>
        </w:tc>
        <w:tc>
          <w:tcPr>
            <w:tcW w:w="796" w:type="pct"/>
            <w:noWrap w:val="0"/>
            <w:vAlign w:val="center"/>
          </w:tcPr>
          <w:p w14:paraId="247AF50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462" w:type="pct"/>
            <w:noWrap w:val="0"/>
            <w:vAlign w:val="center"/>
          </w:tcPr>
          <w:p w14:paraId="500CEFC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u w:val="none"/>
                <w:lang w:val="en-US" w:eastAsia="zh-CN" w:bidi="en-US"/>
                <w14:textFill>
                  <w14:solidFill>
                    <w14:schemeClr w14:val="tx1"/>
                  </w14:solidFill>
                </w14:textFill>
              </w:rPr>
              <w:t>90.3m</w:t>
            </w:r>
          </w:p>
        </w:tc>
        <w:tc>
          <w:tcPr>
            <w:tcW w:w="441" w:type="pct"/>
            <w:noWrap w:val="0"/>
            <w:vAlign w:val="center"/>
          </w:tcPr>
          <w:p w14:paraId="64D7421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孔隙潜水</w:t>
            </w:r>
          </w:p>
        </w:tc>
        <w:tc>
          <w:tcPr>
            <w:tcW w:w="549" w:type="pct"/>
            <w:noWrap w:val="0"/>
            <w:vAlign w:val="center"/>
          </w:tcPr>
          <w:p w14:paraId="4F719C6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地下水环境影响跟踪监测井</w:t>
            </w:r>
          </w:p>
        </w:tc>
        <w:tc>
          <w:tcPr>
            <w:tcW w:w="680" w:type="pct"/>
            <w:noWrap w:val="0"/>
            <w:vAlign w:val="center"/>
          </w:tcPr>
          <w:p w14:paraId="225CF3C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每年采样2次。发生事故时加大取样频率。</w:t>
            </w:r>
          </w:p>
        </w:tc>
        <w:tc>
          <w:tcPr>
            <w:tcW w:w="1511" w:type="pct"/>
            <w:noWrap w:val="0"/>
            <w:vAlign w:val="center"/>
          </w:tcPr>
          <w:p w14:paraId="0B25E5B5">
            <w:pPr>
              <w:widowControl/>
              <w:adjustRightInd w:val="0"/>
              <w:snapToGrid w:val="0"/>
              <w:spacing w:line="240" w:lineRule="auto"/>
              <w:jc w:val="center"/>
              <w:rPr>
                <w:rFonts w:hint="default" w:ascii="Times New Roman" w:hAnsi="Times New Roman" w:eastAsia="宋体" w:cs="Times New Roman"/>
                <w:snapToGrid w:val="0"/>
                <w:color w:val="000000" w:themeColor="text1"/>
                <w:spacing w:val="1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石油类、石油烃</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C6~Cg</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、石油烃</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Cio~Cuo</w:t>
            </w:r>
            <w:r>
              <w:rPr>
                <w:rFonts w:hint="eastAsia" w:cs="Times New Roman"/>
                <w:color w:val="000000" w:themeColor="text1"/>
                <w:spacing w:val="0"/>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、汞、砷、六价铬</w:t>
            </w:r>
          </w:p>
        </w:tc>
      </w:tr>
    </w:tbl>
    <w:p w14:paraId="17F6E0A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上述监测结果应按项目有关规定及时建立档案，并定期向</w:t>
      </w:r>
      <w:r>
        <w:rPr>
          <w:rFonts w:hint="eastAsia"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气田</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管理区安全环保部门汇报，对于常规监测数据应该进行公开。如发现异常或发生事故，加密监测频次，改为每周监测一次，并分析污染原因，确定泄漏污染源，及时采取应急措施。</w:t>
      </w:r>
    </w:p>
    <w:p w14:paraId="4EEEA48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另外，井场设置现场检测仪表，并由RTU箱中的控制系统实现井场内的生产运行管理和控制，上传井场的重要生产运行数据，接收上位系统的控制指令，设置现场监控系统，随时通过监控系统观察井场内生产情况。</w:t>
      </w:r>
    </w:p>
    <w:p w14:paraId="632110D1">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为保证地下水监测工作</w:t>
      </w:r>
      <w:r>
        <w:rPr>
          <w:rFonts w:hint="eastAsia" w:cs="Times New Roman"/>
          <w:color w:val="000000" w:themeColor="text1"/>
          <w:spacing w:val="0"/>
          <w:kern w:val="2"/>
          <w:sz w:val="24"/>
          <w:szCs w:val="20"/>
          <w:highlight w:val="none"/>
          <w:lang w:eastAsia="zh-CN"/>
          <w14:textFill>
            <w14:solidFill>
              <w14:schemeClr w14:val="tx1"/>
            </w14:solidFill>
          </w14:textFill>
        </w:rPr>
        <w:t>高效</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有序运行，须明确职责、制定相关规定进行管理；具体管理措施和技术措施如下：</w:t>
      </w:r>
    </w:p>
    <w:p w14:paraId="3B6BEC00">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①管理措施</w:t>
      </w:r>
    </w:p>
    <w:p w14:paraId="68B412D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1）预防地下水污染的管理工作是生态环境管理部门的职责之一，油田公司环境保护管理部门应指派专人负责预防地下水污染的管理工作；</w:t>
      </w:r>
    </w:p>
    <w:p w14:paraId="00DDAF4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2）建设单位应委托具有监测资质的单位按时、按质、按量完成地下水监测工作，并按要求分析整理原始资料、编写监测报告；</w:t>
      </w:r>
    </w:p>
    <w:p w14:paraId="28E297EC">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3）建立与工程区环境管理系统相联系的地下水监测信息管理系统；</w:t>
      </w:r>
    </w:p>
    <w:p w14:paraId="6EEEDA41">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4）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2937EEE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②技术措施</w:t>
      </w:r>
    </w:p>
    <w:p w14:paraId="176FFEF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1）定期对法兰、阀门、管道等进行检查。</w:t>
      </w:r>
    </w:p>
    <w:p w14:paraId="476728E3">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在日常例行监测中，一旦发现地下水水质监测数据异常，应尽快核查数据，确保数据的正确性，并将核查过的监测数据通告相关部门，由专人负责对数据进行分析、核实，并密切关注生产设施的运行情况。具体内容如下：了解全井场、站场生产是否出现异常情况，出现异常情况的装置、原因；加大监测密度，如监测频率由每年1次临时加密为每天一次或更多，连续多天，分析变化动向。</w:t>
      </w:r>
    </w:p>
    <w:p w14:paraId="4FBC19A3">
      <w:pPr>
        <w:keepNext w:val="0"/>
        <w:keepLines/>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szCs w:val="24"/>
          <w:highlight w:val="none"/>
          <w:lang w:eastAsia="zh-CN"/>
          <w14:textFill>
            <w14:solidFill>
              <w14:schemeClr w14:val="tx1"/>
            </w14:solidFill>
          </w14:textFill>
        </w:rPr>
        <w:t>6.2.2</w:t>
      </w:r>
      <w:r>
        <w:rPr>
          <w:rFonts w:hint="default" w:ascii="Times New Roman" w:hAnsi="Times New Roman" w:eastAsia="宋体" w:cs="Times New Roman"/>
          <w:b/>
          <w:color w:val="000000" w:themeColor="text1"/>
          <w:spacing w:val="0"/>
          <w:kern w:val="0"/>
          <w:sz w:val="24"/>
          <w:szCs w:val="24"/>
          <w:highlight w:val="none"/>
          <w14:textFill>
            <w14:solidFill>
              <w14:schemeClr w14:val="tx1"/>
            </w14:solidFill>
          </w14:textFill>
        </w:rPr>
        <w:t>.5地下水污染应急预案及处理</w:t>
      </w:r>
    </w:p>
    <w:p w14:paraId="5C32010A">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（1）应急预案内容</w:t>
      </w:r>
    </w:p>
    <w:p w14:paraId="4A51F6D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地下水应急预案的具体内容如下：</w:t>
      </w:r>
    </w:p>
    <w:p w14:paraId="484DBA2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①应急预案的日常协调和指挥机构；</w:t>
      </w:r>
    </w:p>
    <w:p w14:paraId="391ED901">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②各部门在应急预案中的职责和分工；</w:t>
      </w:r>
    </w:p>
    <w:p w14:paraId="18CB5671">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③确定地下水环境保护目标和对目标采取的紧急处置措施，评估潜在污染可能性；</w:t>
      </w:r>
    </w:p>
    <w:p w14:paraId="67DE51C8">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④特大事故应急救援组织状况、人员和装备情况，平常的训练和演习。</w:t>
      </w:r>
    </w:p>
    <w:p w14:paraId="32A0D940">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（2）污染事故处理</w:t>
      </w:r>
    </w:p>
    <w:p w14:paraId="7BF969A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在发现异常或者事故状态下，建议采取如下污染治理措施。</w:t>
      </w:r>
    </w:p>
    <w:p w14:paraId="2429FA59">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①如发现异常或发生事故，加密监测频次，改为每周监测一次，并分析污染原因，确定泄漏污染源，及时采取应急措施。</w:t>
      </w:r>
    </w:p>
    <w:p w14:paraId="0BF3997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②一旦发生地下水污染事故，应立即启动应急预案。</w:t>
      </w:r>
    </w:p>
    <w:p w14:paraId="74547DC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③查明并切断污染源。</w:t>
      </w:r>
    </w:p>
    <w:p w14:paraId="7F5B71D9">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④探明地下水污染深度、范围和污染程度。</w:t>
      </w:r>
    </w:p>
    <w:p w14:paraId="44B6948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⑤依据探明的地下水污染情况，合理布置浅井，并进行试抽工作。</w:t>
      </w:r>
    </w:p>
    <w:p w14:paraId="735B0FAA">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⑥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14:paraId="3D1D29A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⑦将抽取的地下水进行集中收集处理，并送实验室进行化验分析。</w:t>
      </w:r>
    </w:p>
    <w:p w14:paraId="4772D85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⑧当地下水中的特征污染物浓度满足地下水功能区划的标准后，逐步停止抽水，并进行土壤修复治理工作。</w:t>
      </w:r>
    </w:p>
    <w:p w14:paraId="2A59358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⑨对事故后果进行评估，并制定防止类似事件发生的措施。</w:t>
      </w:r>
    </w:p>
    <w:p w14:paraId="617F6766">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综上，本工程采取的地下水污染防治措施可行。</w:t>
      </w:r>
    </w:p>
    <w:p w14:paraId="59DFCA86">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_Toc13523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6.2.3退役期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地下</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水环境保护措施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430B3AC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项目退役期拆除设备、清理站场时，施工时间较短，施工人员产生的生活污水量较少，依托施工区域周边生活设施处理，不外排，</w:t>
      </w:r>
      <w:r>
        <w:rPr>
          <w:rFonts w:hint="eastAsia"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采气</w:t>
      </w:r>
      <w:r>
        <w:rPr>
          <w:rFonts w:hint="default" w:ascii="Times New Roman" w:hAnsi="Times New Roman" w:eastAsia="宋体" w:cs="Times New Roman"/>
          <w:color w:val="000000" w:themeColor="text1"/>
          <w:spacing w:val="0"/>
          <w:kern w:val="2"/>
          <w:sz w:val="24"/>
          <w:szCs w:val="20"/>
          <w:highlight w:val="none"/>
          <w14:textFill>
            <w14:solidFill>
              <w14:schemeClr w14:val="tx1"/>
            </w14:solidFill>
          </w14:textFill>
        </w:rPr>
        <w:t>设备拆除区域地面铺设HDPE防渗膜</w:t>
      </w:r>
      <w:r>
        <w:rPr>
          <w:rFonts w:hint="default" w:ascii="Times New Roman" w:hAnsi="Times New Roman" w:eastAsia="宋体" w:cs="Times New Roman"/>
          <w:color w:val="000000" w:themeColor="text1"/>
          <w:spacing w:val="0"/>
          <w:kern w:val="2"/>
          <w:sz w:val="24"/>
          <w:szCs w:val="20"/>
          <w:highlight w:val="none"/>
          <w:lang w:eastAsia="zh-CN"/>
          <w14:textFill>
            <w14:solidFill>
              <w14:schemeClr w14:val="tx1"/>
            </w14:solidFill>
          </w14:textFill>
        </w:rPr>
        <w:t>，</w:t>
      </w:r>
      <w:r>
        <w:rPr>
          <w:rFonts w:hint="eastAsia" w:cs="Times New Roman"/>
          <w:color w:val="000000" w:themeColor="text1"/>
          <w:spacing w:val="0"/>
          <w:kern w:val="2"/>
          <w:sz w:val="24"/>
          <w:szCs w:val="20"/>
          <w:highlight w:val="none"/>
          <w:lang w:eastAsia="zh-CN"/>
          <w14:textFill>
            <w14:solidFill>
              <w14:schemeClr w14:val="tx1"/>
            </w14:solidFill>
          </w14:textFill>
        </w:rPr>
        <w:t>防止</w:t>
      </w:r>
      <w:r>
        <w:rPr>
          <w:rFonts w:hint="default" w:ascii="Times New Roman" w:hAnsi="Times New Roman" w:eastAsia="宋体" w:cs="Times New Roman"/>
          <w:color w:val="000000" w:themeColor="text1"/>
          <w:spacing w:val="0"/>
          <w:kern w:val="2"/>
          <w:sz w:val="24"/>
          <w:szCs w:val="20"/>
          <w:highlight w:val="none"/>
          <w:lang w:val="en-US" w:eastAsia="zh-CN"/>
          <w14:textFill>
            <w14:solidFill>
              <w14:schemeClr w14:val="tx1"/>
            </w14:solidFill>
          </w14:textFill>
        </w:rPr>
        <w:t>污油进入外环境，</w:t>
      </w: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对周围水环境影响较小。</w:t>
      </w:r>
    </w:p>
    <w:p w14:paraId="34FC7A44">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油气井报废或退役后，按照《废弃井封井回填技术指南（试行）》（环办土壤函〔2020〕72号）、《废弃井封井处置规范》</w:t>
      </w:r>
      <w:r>
        <w:rPr>
          <w:rFonts w:hint="eastAsia" w:cs="Times New Roman"/>
          <w:color w:val="000000" w:themeColor="text1"/>
          <w:spacing w:val="0"/>
          <w:kern w:val="2"/>
          <w:sz w:val="24"/>
          <w:szCs w:val="20"/>
          <w:highlight w:val="none"/>
          <w:lang w:val="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Q/SH0653-2015</w:t>
      </w:r>
      <w:r>
        <w:rPr>
          <w:rFonts w:hint="eastAsia" w:cs="Times New Roman"/>
          <w:color w:val="000000" w:themeColor="text1"/>
          <w:spacing w:val="0"/>
          <w:kern w:val="2"/>
          <w:sz w:val="24"/>
          <w:szCs w:val="20"/>
          <w:highlight w:val="none"/>
          <w:lang w:val="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对完成</w:t>
      </w:r>
      <w:r>
        <w:rPr>
          <w:rFonts w:hint="eastAsia"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采气</w:t>
      </w:r>
      <w:r>
        <w:rPr>
          <w:rFonts w:hint="default" w:ascii="Times New Roman" w:hAnsi="Times New Roman" w:eastAsia="宋体" w:cs="Times New Roman"/>
          <w:color w:val="000000" w:themeColor="text1"/>
          <w:spacing w:val="0"/>
          <w:kern w:val="2"/>
          <w:sz w:val="24"/>
          <w:szCs w:val="20"/>
          <w:highlight w:val="none"/>
          <w:lang w:val="zh-CN"/>
          <w14:textFill>
            <w14:solidFill>
              <w14:schemeClr w14:val="tx1"/>
            </w14:solidFill>
          </w14:textFill>
        </w:rPr>
        <w:t>的废弃井封堵，保证对各类废弃井采取的固井、封井措施有效可行，防止发生油水窜层，污染地下水环境。</w:t>
      </w:r>
    </w:p>
    <w:p w14:paraId="363ECA42">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bookmarkStart w:id="1255" w:name="_Toc30803"/>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6.3地表水环境保护</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措施可行性论证</w:t>
      </w:r>
      <w:bookmarkEnd w:id="1255"/>
    </w:p>
    <w:p w14:paraId="48180FEF">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_Toc13693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 施工期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地表水</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03E1E00F">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施工期产生的废水主要是钻井废水、酸化压裂废水</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管线试压废水及生活污水。</w:t>
      </w:r>
    </w:p>
    <w:p w14:paraId="1EDF7D1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（1）钻井废水</w:t>
      </w:r>
    </w:p>
    <w:p w14:paraId="429F2842">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①钻井过程采用无毒无害的水基钻井液。</w:t>
      </w:r>
    </w:p>
    <w:p w14:paraId="778D0511">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②钻井废水在井场固液分离，去向分两部分，溢流上清液排入井场泥浆罐中用于配制泥浆，循环使用，不外排。</w:t>
      </w:r>
    </w:p>
    <w:p w14:paraId="71FD27F2">
      <w:pPr>
        <w:keepNext w:val="0"/>
        <w:pageBreakBefore w:val="0"/>
        <w:widowControl w:val="0"/>
        <w:kinsoku/>
        <w:wordWrap/>
        <w:overflowPunct/>
        <w:topLinePunct w:val="0"/>
        <w:autoSpaceDE/>
        <w:autoSpaceDN/>
        <w:bidi w:val="0"/>
        <w:adjustRightInd w:val="0"/>
        <w:snapToGrid w:val="0"/>
        <w:spacing w:line="360" w:lineRule="auto"/>
        <w:ind w:firstLine="482"/>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钻井过程中设备清洗、冷却等需消耗大量清水，采取有效节水措施，不仅节约了水资源，同时也减少了钻井废水的产生量，减少了废水存储设施的负担和后续处理的负荷，符合清洁生产的要求。因此，要在源头上节水降污，使钻井废水予以减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钻井液循环使用过程中应严格操作程序，提高泥浆循环利用率，减少钻井液的“跑、冒、滴、漏”，减少废钻井液产生量。</w:t>
      </w:r>
    </w:p>
    <w:p w14:paraId="760CE23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（2）试压废水</w:t>
      </w:r>
    </w:p>
    <w:p w14:paraId="6DB1F537">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道试压以测试管道的强度和密闭性，试压介质为清洁水，管道试压用水重复利用。管道试压过程会产生一定量的试压废水，清管试压废水主要污染物为悬浮物。试压水由管道排出由罐收集后，进入下一段管道循环使用，试压废水水质相对简单，以悬浮物为主，试压结束沉淀后用于施工区域洒水降尘，不外排。因此，</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管道试压废水可得到妥善处置，不外排，污染防治措施可行。</w:t>
      </w:r>
    </w:p>
    <w:p w14:paraId="325BFC73">
      <w:pPr>
        <w:keepNext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bookmarkStart w:id="1256" w:name="OLE_LINK1500"/>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（3）酸化压裂废水</w:t>
      </w:r>
    </w:p>
    <w:p w14:paraId="23114B0C">
      <w:pPr>
        <w:keepNext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w:t>
      </w:r>
      <w:r>
        <w:rPr>
          <w:rFonts w:hint="eastAsia" w:cs="Times New Roman"/>
          <w:bCs/>
          <w:color w:val="000000" w:themeColor="text1"/>
          <w:kern w:val="2"/>
          <w:sz w:val="24"/>
          <w:szCs w:val="24"/>
          <w:highlight w:val="none"/>
          <w:lang w:val="en-US" w:eastAsia="zh-CN" w:bidi="ar-SA"/>
          <w14:textFill>
            <w14:solidFill>
              <w14:schemeClr w14:val="tx1"/>
            </w14:solidFill>
          </w14:textFill>
        </w:rPr>
        <w:t>工程产生的酸化压裂废水</w:t>
      </w:r>
      <w:r>
        <w:rPr>
          <w:rFonts w:hAnsi="Times New Roman"/>
          <w:color w:val="000000" w:themeColor="text1"/>
          <w:highlight w:val="none"/>
          <w14:textFill>
            <w14:solidFill>
              <w14:schemeClr w14:val="tx1"/>
            </w14:solidFill>
          </w14:textFill>
        </w:rPr>
        <w:t>，采用专用废液收集罐收集后运至</w:t>
      </w:r>
      <w:r>
        <w:rPr>
          <w:rFonts w:hint="eastAsia" w:hAnsi="Times New Roman"/>
          <w:color w:val="000000" w:themeColor="text1"/>
          <w:highlight w:val="none"/>
          <w14:textFill>
            <w14:solidFill>
              <w14:schemeClr w14:val="tx1"/>
            </w14:solidFill>
          </w14:textFill>
        </w:rPr>
        <w:t>阿克苏塔河环保工程有限公司绿色环保工作站</w:t>
      </w:r>
      <w:r>
        <w:rPr>
          <w:rFonts w:hAnsi="Times New Roman"/>
          <w:color w:val="000000" w:themeColor="text1"/>
          <w:highlight w:val="none"/>
          <w14:textFill>
            <w14:solidFill>
              <w14:schemeClr w14:val="tx1"/>
            </w14:solidFill>
          </w14:textFill>
        </w:rPr>
        <w:t>处理。对于本工程产</w:t>
      </w:r>
      <w:r>
        <w:rPr>
          <w:rFonts w:hint="eastAsia" w:hAnsi="Times New Roman"/>
          <w:color w:val="000000" w:themeColor="text1"/>
          <w:highlight w:val="none"/>
          <w:lang w:eastAsia="zh-CN"/>
          <w14:textFill>
            <w14:solidFill>
              <w14:schemeClr w14:val="tx1"/>
            </w14:solidFill>
          </w14:textFill>
        </w:rPr>
        <w:t>生的</w:t>
      </w:r>
      <w:r>
        <w:rPr>
          <w:rFonts w:hAnsi="Times New Roman"/>
          <w:color w:val="000000" w:themeColor="text1"/>
          <w:highlight w:val="none"/>
          <w14:textFill>
            <w14:solidFill>
              <w14:schemeClr w14:val="tx1"/>
            </w14:solidFill>
          </w14:textFill>
        </w:rPr>
        <w:t>危险废物由专用运输车辆进行运输、转移，并严格按照《危险废物转移联单管理办法》，实施危险废物转移联单管理制度</w:t>
      </w:r>
      <w:r>
        <w:rPr>
          <w:rFonts w:hint="eastAsia"/>
          <w:color w:val="000000" w:themeColor="text1"/>
          <w:highlight w:val="none"/>
          <w:lang w:eastAsia="zh-CN"/>
          <w14:textFill>
            <w14:solidFill>
              <w14:schemeClr w14:val="tx1"/>
            </w14:solidFill>
          </w14:textFill>
        </w:rPr>
        <w:t>。</w:t>
      </w:r>
    </w:p>
    <w:p w14:paraId="1D9BC42B">
      <w:pPr>
        <w:keepNext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cs="Times New Roman"/>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）生活污水</w:t>
      </w:r>
    </w:p>
    <w:p w14:paraId="3E61621B">
      <w:pPr>
        <w:keepNext w:val="0"/>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本工</w:t>
      </w:r>
      <w:bookmarkEnd w:id="1256"/>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程</w:t>
      </w:r>
      <w:r>
        <w:rPr>
          <w:rFonts w:hint="default" w:ascii="Times New Roman" w:hAnsi="Times New Roman" w:cs="Times New Roman"/>
          <w:color w:val="000000" w:themeColor="text1"/>
          <w:sz w:val="24"/>
          <w:szCs w:val="24"/>
          <w:highlight w:val="none"/>
          <w14:textFill>
            <w14:solidFill>
              <w14:schemeClr w14:val="tx1"/>
            </w14:solidFill>
          </w14:textFill>
        </w:rPr>
        <w:t>生活污水经井场一体化污水处理装置处理后，水质达到《农村生活污水处理排放标准》（DB65 4275-2019）表二的B级标准、《农田灌溉水质标准》（GB 5084-2021）表一旱地作物标准后用于井场及道路降尘</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03216DDA">
      <w:pPr>
        <w:keepNext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en-US"/>
          <w14:textFill>
            <w14:solidFill>
              <w14:schemeClr w14:val="tx1"/>
            </w14:solidFill>
          </w14:textFill>
        </w:rPr>
      </w:pPr>
      <w:r>
        <w:rPr>
          <w:rFonts w:hint="eastAsia" w:ascii="Times New Roman" w:hAnsi="宋体" w:eastAsia="宋体" w:cs="宋体"/>
          <w:color w:val="000000" w:themeColor="text1"/>
          <w:kern w:val="2"/>
          <w:sz w:val="24"/>
          <w:szCs w:val="20"/>
          <w:highlight w:val="none"/>
          <w14:textFill>
            <w14:solidFill>
              <w14:schemeClr w14:val="tx1"/>
            </w14:solidFill>
          </w14:textFill>
        </w:rPr>
        <w:t>综上所述，通过采取以上各种废水处理及防治措施，</w:t>
      </w:r>
      <w:r>
        <w:rPr>
          <w:rFonts w:hint="eastAsia" w:ascii="Times New Roman" w:hAnsi="宋体" w:eastAsia="宋体" w:cs="宋体"/>
          <w:color w:val="000000" w:themeColor="text1"/>
          <w:kern w:val="2"/>
          <w:sz w:val="24"/>
          <w:szCs w:val="20"/>
          <w:highlight w:val="none"/>
          <w:lang w:eastAsia="zh-CN"/>
          <w14:textFill>
            <w14:solidFill>
              <w14:schemeClr w14:val="tx1"/>
            </w14:solidFill>
          </w14:textFill>
        </w:rPr>
        <w:t>本工程</w:t>
      </w:r>
      <w:r>
        <w:rPr>
          <w:rFonts w:hint="eastAsia" w:ascii="Times New Roman" w:hAnsi="宋体" w:eastAsia="宋体" w:cs="宋体"/>
          <w:color w:val="000000" w:themeColor="text1"/>
          <w:kern w:val="2"/>
          <w:sz w:val="24"/>
          <w:szCs w:val="20"/>
          <w:highlight w:val="none"/>
          <w14:textFill>
            <w14:solidFill>
              <w14:schemeClr w14:val="tx1"/>
            </w14:solidFill>
          </w14:textFill>
        </w:rPr>
        <w:t>施工期产生的各类废水均可以得到有效处置，施工期的废水污染防治措施合理可行。</w:t>
      </w:r>
    </w:p>
    <w:p w14:paraId="09A97D9A">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_Toc13150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.2运营期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地表水</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30B988F5">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根据工程分析，本工程建成后无新增定员，不新增生活污水，井场生产废水</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采出</w:t>
      </w:r>
      <w:r>
        <w:rPr>
          <w:rFonts w:hint="eastAsia" w:cs="Times New Roman"/>
          <w:color w:val="000000" w:themeColor="text1"/>
          <w:kern w:val="2"/>
          <w:sz w:val="24"/>
          <w:szCs w:val="24"/>
          <w:highlight w:val="none"/>
          <w:lang w:val="en-US" w:eastAsia="zh-CN" w:bidi="ar-SA"/>
          <w14:textFill>
            <w14:solidFill>
              <w14:schemeClr w14:val="tx1"/>
            </w14:solidFill>
          </w14:textFill>
        </w:rPr>
        <w:t>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、井下作业废水依托阿克苏塔河环保工程有限公司绿色环保工作站污水处理系统处理达标后综合利用。</w:t>
      </w:r>
    </w:p>
    <w:p w14:paraId="763FE92D">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在正常状况下，本工程在设计、施工和运行时，严把质量验收关，</w:t>
      </w:r>
      <w:r>
        <w:rPr>
          <w:rFonts w:hint="eastAsia" w:cs="Times New Roman"/>
          <w:color w:val="000000" w:themeColor="text1"/>
          <w:kern w:val="2"/>
          <w:sz w:val="24"/>
          <w:szCs w:val="24"/>
          <w:highlight w:val="none"/>
          <w:lang w:val="en-US" w:eastAsia="zh-CN" w:bidi="ar-SA"/>
          <w14:textFill>
            <w14:solidFill>
              <w14:schemeClr w14:val="tx1"/>
            </w14:solidFill>
          </w14:textFill>
        </w:rPr>
        <w:t>杜绝</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管道材质、制管、防腐涂层、焊接缺陷及运行失误而造成管线泄漏。在生产运行过程中，强化监控手段，定期检查检验，检漏控漏，杜绝长期事故性排放点源的存在；在非正常状况下，应及时采取水污染应急控制措施。</w:t>
      </w:r>
    </w:p>
    <w:p w14:paraId="23DA64AC">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_Toc13523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3</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.3退役期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地表水</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4702BEAA">
      <w:pPr>
        <w:pStyle w:val="132"/>
        <w:keepNext w:val="0"/>
        <w:keepLines w:val="0"/>
        <w:pageBreakBefore w:val="0"/>
        <w:widowControl/>
        <w:tabs>
          <w:tab w:val="right" w:leader="dot" w:pos="8959"/>
        </w:tabs>
        <w:kinsoku/>
        <w:wordWrap/>
        <w:overflowPunct/>
        <w:topLinePunct w:val="0"/>
        <w:autoSpaceDE/>
        <w:autoSpaceDN/>
        <w:bidi w:val="0"/>
        <w:adjustRightInd w:val="0"/>
        <w:snapToGrid w:val="0"/>
        <w:spacing w:line="360" w:lineRule="auto"/>
        <w:ind w:left="0" w:leftChars="0" w:firstLine="500" w:firstLineChars="200"/>
        <w:textAlignment w:val="auto"/>
        <w:rPr>
          <w:rFonts w:hint="default"/>
          <w:color w:val="000000" w:themeColor="text1"/>
          <w:highlight w:val="none"/>
          <w14:textFill>
            <w14:solidFill>
              <w14:schemeClr w14:val="tx1"/>
            </w14:solidFill>
          </w14:textFill>
        </w:rPr>
      </w:pPr>
      <w:r>
        <w:rPr>
          <w:rFonts w:hint="eastAsia" w:cs="Times New Roman"/>
          <w:color w:val="000000" w:themeColor="text1"/>
          <w:spacing w:val="5"/>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5"/>
          <w:kern w:val="2"/>
          <w:sz w:val="24"/>
          <w:szCs w:val="24"/>
          <w:highlight w:val="none"/>
          <w:lang w:val="zh-CN" w:eastAsia="zh-CN" w:bidi="ar-SA"/>
          <w14:textFill>
            <w14:solidFill>
              <w14:schemeClr w14:val="tx1"/>
            </w14:solidFill>
          </w14:textFill>
        </w:rPr>
        <w:t>退役期拆除设备、清理站场时，施工时间较短，施工人员产生的生活污水量较少，依托施工区域周边生活设施处理，不外排。</w:t>
      </w:r>
    </w:p>
    <w:p w14:paraId="2B6617D5">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bookmarkStart w:id="1257" w:name="_Toc24955"/>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6.4土壤环境保护措施可行性论证</w:t>
      </w:r>
      <w:bookmarkEnd w:id="1257"/>
    </w:p>
    <w:p w14:paraId="433B4FB4">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_Toc13693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4</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 施工期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土壤</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19FA5775">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（1）严格控制</w:t>
      </w:r>
      <w:r>
        <w:rPr>
          <w:rFonts w:hint="eastAsia" w:cs="Times New Roman"/>
          <w:b w:val="0"/>
          <w:bCs w:val="0"/>
          <w:color w:val="000000" w:themeColor="text1"/>
          <w:sz w:val="24"/>
          <w:szCs w:val="24"/>
          <w:highlight w:val="none"/>
          <w:lang w:eastAsia="zh-CN"/>
          <w14:textFill>
            <w14:solidFill>
              <w14:schemeClr w14:val="tx1"/>
            </w14:solidFill>
          </w14:textFill>
        </w:rPr>
        <w:t>施工区</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占地面积，按设计及规划的施工范围进行施工作业，减少土壤扰动。</w:t>
      </w:r>
    </w:p>
    <w:p w14:paraId="27535ED0">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（2）施工机械及运输车辆应按规定的道路行驶，减少对土壤的碾压，减少碾压造成的土壤紧实度增加及养分流失。</w:t>
      </w:r>
    </w:p>
    <w:p w14:paraId="0E0673CD">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（3）施工产生的建筑垃圾不得随意抛洒，应集中收集并及时清运，防止污染物进入土壤环境造成污染。</w:t>
      </w:r>
    </w:p>
    <w:p w14:paraId="40FFB53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olor w:val="000000" w:themeColor="text1"/>
          <w:kern w:val="2"/>
          <w:sz w:val="24"/>
          <w:highlight w:val="none"/>
          <w14:textFill>
            <w14:solidFill>
              <w14:schemeClr w14:val="tx1"/>
            </w14:solidFill>
          </w14:textFill>
        </w:rPr>
        <w:t>施工</w:t>
      </w:r>
      <w:r>
        <w:rPr>
          <w:rFonts w:hint="eastAsia"/>
          <w:color w:val="000000" w:themeColor="text1"/>
          <w:kern w:val="2"/>
          <w:sz w:val="24"/>
          <w:highlight w:val="none"/>
          <w:lang w:val="en-US" w:eastAsia="zh-CN"/>
          <w14:textFill>
            <w14:solidFill>
              <w14:schemeClr w14:val="tx1"/>
            </w14:solidFill>
          </w14:textFill>
        </w:rPr>
        <w:t>过程</w:t>
      </w:r>
      <w:r>
        <w:rPr>
          <w:rFonts w:hint="eastAsia"/>
          <w:color w:val="000000" w:themeColor="text1"/>
          <w:kern w:val="2"/>
          <w:sz w:val="24"/>
          <w:highlight w:val="none"/>
          <w14:textFill>
            <w14:solidFill>
              <w14:schemeClr w14:val="tx1"/>
            </w14:solidFill>
          </w14:textFill>
        </w:rPr>
        <w:t>中，</w:t>
      </w:r>
      <w:r>
        <w:rPr>
          <w:rFonts w:hint="eastAsia"/>
          <w:color w:val="000000" w:themeColor="text1"/>
          <w:kern w:val="2"/>
          <w:sz w:val="24"/>
          <w:highlight w:val="none"/>
          <w:lang w:val="en-US" w:eastAsia="zh-CN"/>
          <w14:textFill>
            <w14:solidFill>
              <w14:schemeClr w14:val="tx1"/>
            </w14:solidFill>
          </w14:textFill>
        </w:rPr>
        <w:t>严禁</w:t>
      </w:r>
      <w:r>
        <w:rPr>
          <w:rFonts w:hint="eastAsia"/>
          <w:color w:val="000000" w:themeColor="text1"/>
          <w:kern w:val="2"/>
          <w:sz w:val="24"/>
          <w:highlight w:val="none"/>
          <w14:textFill>
            <w14:solidFill>
              <w14:schemeClr w14:val="tx1"/>
            </w14:solidFill>
          </w14:textFill>
        </w:rPr>
        <w:t>对</w:t>
      </w:r>
      <w:r>
        <w:rPr>
          <w:rFonts w:hint="eastAsia"/>
          <w:color w:val="000000" w:themeColor="text1"/>
          <w:kern w:val="2"/>
          <w:sz w:val="24"/>
          <w:highlight w:val="none"/>
          <w:lang w:val="en-US" w:eastAsia="zh-CN"/>
          <w14:textFill>
            <w14:solidFill>
              <w14:schemeClr w14:val="tx1"/>
            </w14:solidFill>
          </w14:textFill>
        </w:rPr>
        <w:t>本工程周围分布的</w:t>
      </w:r>
      <w:r>
        <w:rPr>
          <w:rFonts w:hint="eastAsia" w:cs="Times New Roman"/>
          <w:color w:val="000000" w:themeColor="text1"/>
          <w:sz w:val="24"/>
          <w:szCs w:val="20"/>
          <w:highlight w:val="none"/>
          <w:lang w:val="en-US" w:eastAsia="zh-CN"/>
          <w14:textFill>
            <w14:solidFill>
              <w14:schemeClr w14:val="tx1"/>
            </w14:solidFill>
          </w14:textFill>
        </w:rPr>
        <w:t>永久基本农田</w:t>
      </w:r>
      <w:r>
        <w:rPr>
          <w:rFonts w:hint="eastAsia"/>
          <w:color w:val="000000" w:themeColor="text1"/>
          <w:kern w:val="2"/>
          <w:sz w:val="24"/>
          <w:highlight w:val="none"/>
          <w14:textFill>
            <w14:solidFill>
              <w14:schemeClr w14:val="tx1"/>
            </w14:solidFill>
          </w14:textFill>
        </w:rPr>
        <w:t>进行人为扰动</w:t>
      </w:r>
      <w:r>
        <w:rPr>
          <w:rFonts w:hint="eastAsia"/>
          <w:color w:val="000000" w:themeColor="text1"/>
          <w:kern w:val="2"/>
          <w:sz w:val="24"/>
          <w:highlight w:val="none"/>
          <w:lang w:eastAsia="zh-CN"/>
          <w14:textFill>
            <w14:solidFill>
              <w14:schemeClr w14:val="tx1"/>
            </w14:solidFill>
          </w14:textFill>
        </w:rPr>
        <w:t>。</w:t>
      </w:r>
    </w:p>
    <w:p w14:paraId="03C71394">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）工程区需要严格采取各项水土流失防治措施，施工完毕后通过对临时占地进行平整。</w:t>
      </w:r>
    </w:p>
    <w:p w14:paraId="177385AC">
      <w:pPr>
        <w:pStyle w:val="2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综上，本工程施工期采取的土壤污染防治措施可行</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39CA3C35">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_Toc13150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4</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.2运营期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土壤</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18847A7E">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（1）源头控制</w:t>
      </w:r>
    </w:p>
    <w:p w14:paraId="44B689F3">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从生产过程入手，在工艺、设备、拉油储罐等方面尽可能地采取泄漏控制措施，从源头最大限度降低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凝析油</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和</w:t>
      </w:r>
      <w:bookmarkStart w:id="1258" w:name="OLE_LINK674"/>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井下作业废水</w:t>
      </w:r>
      <w:bookmarkEnd w:id="1258"/>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泄漏的可能性和泄漏量，使</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本工程所在区域</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污染物对土壤的影响降至最低，一旦出现泄漏等即可由区域内的各种配套措施进行收集、处置</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699CD030">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井下作业废水经专用储液罐收集后拉运至阿克苏塔河环保工程有限公司绿色环保工作站处理。</w:t>
      </w:r>
    </w:p>
    <w:p w14:paraId="1651A03C">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instrText xml:space="preserve"> = 2 \* GB3 \* MERGEFORMAT </w:instrTex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加强日常巡检监管工作</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定期对井场的设备、阀门及拉油储罐进行检查，一旦发现异常，及时采取措施，防止凝析油“跑、冒、滴、漏”的发生。拉油储罐区下方地</w:t>
      </w:r>
      <w:r>
        <w:rPr>
          <w:rFonts w:hint="default" w:ascii="Times New Roman" w:hAnsi="Times New Roman" w:eastAsia="宋体" w:cs="Times New Roman"/>
          <w:color w:val="000000" w:themeColor="text1"/>
          <w:sz w:val="24"/>
          <w:szCs w:val="24"/>
          <w:highlight w:val="none"/>
          <w14:textFill>
            <w14:solidFill>
              <w14:schemeClr w14:val="tx1"/>
            </w14:solidFill>
          </w14:textFill>
        </w:rPr>
        <w:t>面防渗，防渗系数≤10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F0516B3">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instrText xml:space="preserve"> = 3 \* GB3 \* MERGEFORMAT </w:instrTex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③</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加强法兰、阀门连接处腐蚀情况记录管理，避免因老化、腐蚀导致泄漏情况发生。</w:t>
      </w:r>
    </w:p>
    <w:p w14:paraId="32842BEE">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④</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发生泄漏事故时应及时清理落地油，受污染的土壤应交由</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持有危险废物经营许可证的</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单位负责接收、转运和处置，降低对土壤环境质量的影响程度。</w:t>
      </w:r>
    </w:p>
    <w:p w14:paraId="734C93C6">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（2）过程防控措施</w:t>
      </w:r>
    </w:p>
    <w:p w14:paraId="7C3DD685">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巡检车辆严格按照油田巡检路线行驶，不得因乱碾乱压破坏土壤结构。严格执行地下水章节分区防控措施要求。防渗措施的设计，使用年限不应低于本</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主体工程的设计使用年限。</w:t>
      </w:r>
    </w:p>
    <w:p w14:paraId="24507325">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（3）跟踪监测</w:t>
      </w:r>
    </w:p>
    <w:p w14:paraId="21A20D8F">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w:t>
      </w:r>
      <w:bookmarkStart w:id="1259" w:name="OLE_LINK675"/>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环境影响评价技术导则</w:t>
      </w:r>
      <w:bookmarkEnd w:id="1259"/>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bookmarkStart w:id="1260" w:name="OLE_LINK676"/>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土壤环境</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试行</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bookmarkEnd w:id="1260"/>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HJ964-2018</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土壤</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级评价的跟踪监测要求，制定跟踪监测计划，本</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工程必要时开展跟踪监测工作</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，根据工程特点及土壤环境敏感目标情况。当发生事故</w:t>
      </w:r>
      <w:r>
        <w:rPr>
          <w:rFonts w:hint="eastAsia" w:cs="Times New Roman"/>
          <w:b w:val="0"/>
          <w:bCs w:val="0"/>
          <w:color w:val="000000" w:themeColor="text1"/>
          <w:sz w:val="24"/>
          <w:szCs w:val="24"/>
          <w:highlight w:val="none"/>
          <w:lang w:eastAsia="zh-CN"/>
          <w14:textFill>
            <w14:solidFill>
              <w14:schemeClr w14:val="tx1"/>
            </w14:solidFill>
          </w14:textFill>
        </w:rPr>
        <w:t>泄漏</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时应加强监测点位和监测频次。</w:t>
      </w:r>
    </w:p>
    <w:p w14:paraId="6A1CB5EE">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en-US"/>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综上所述，正常情况下，本</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不会污染土壤环境</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非正常情况下，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按照环境风险章节具体内容采取措施，</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采取有效措施后可减轻对土壤环境的影响。在做好源头控制、过程防控等措施的前提下，可避免工程实施对土壤环境产生污染影响。</w:t>
      </w:r>
    </w:p>
    <w:p w14:paraId="35EF1526">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_Toc13523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4</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.3退役期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土壤</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环境保护措施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30AD8C3E">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（1）地面设施拆除、井场清理等工作中会产生废弃建筑残渣，应集中清理收集。废弃建筑残渣外运至生态环境部门指定建筑垃圾填埋场填埋处理，不得遗留在场地内影响土壤环境质量。</w:t>
      </w:r>
    </w:p>
    <w:p w14:paraId="649AFD5A">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（2）参照《</w:t>
      </w:r>
      <w:bookmarkStart w:id="1261" w:name="OLE_LINK678"/>
      <w:bookmarkStart w:id="1262" w:name="OLE_LINK677"/>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废弃井封井回填技术指南</w:t>
      </w:r>
      <w:bookmarkEnd w:id="1261"/>
      <w:bookmarkEnd w:id="1262"/>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（试行）》（环办土壤函〔2020〕72号）对完成采油的废弃井封堵，拆除井口装置，最后清理场地，清除各种固体废弃物，不得遗留在场地内影响土壤环境质量。</w:t>
      </w:r>
    </w:p>
    <w:p w14:paraId="21FD53AE">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（3）运输过程中运输车辆均加盖篷布，以防止行驶过程中固体废物的散落，</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影响</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土壤环境</w:t>
      </w:r>
      <w:r>
        <w:rPr>
          <w:rFonts w:hint="eastAsia"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w:t>
      </w:r>
    </w:p>
    <w:p w14:paraId="55256B26">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bookmarkStart w:id="1263" w:name="_Toc3275"/>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6.5</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instrText xml:space="preserve"> HYPERLINK \l _Toc24745 </w:instrTex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大气环境保护措施可行性论证</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end"/>
      </w:r>
      <w:bookmarkEnd w:id="1263"/>
    </w:p>
    <w:p w14:paraId="614A8982">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_Toc27255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5</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.1施工期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大气环境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185E916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施工期废气主要包括井场、管线作业带等施工场地平整清理、管沟开挖、回填、建材运输、露天堆放、装卸等过程产生的扬尘，施工机械及运输车辆产生的燃油废气、放喷废气、采出液临时储罐废气、储层改造废气等。提出以下大气污染防治措施：</w:t>
      </w:r>
    </w:p>
    <w:p w14:paraId="51AB3165">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①避免在大风季节施工，尽可能缩短施工时间，提高施工效率，减少裸地暴露时间。</w:t>
      </w:r>
    </w:p>
    <w:p w14:paraId="0F78AFD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②施工单位必须加强施工区的规划管理。挖方堆放应定点定位，并采取防尘、抑尘措施（洒水、遮盖等措施）。</w:t>
      </w:r>
    </w:p>
    <w:p w14:paraId="0B8E9E67">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③合理规划、选择最短的运输路线，利用油气田现有公路网络，禁止随意开辟道路，运输车辆应以中、低速行驶，减少车辆行驶动力起尘。</w:t>
      </w:r>
    </w:p>
    <w:p w14:paraId="09A66C0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④合理规划临时占地，控制临时占地范围，对工作区域外的场地严禁机械及车辆进入、占用，避免破坏植被和造成土地松动。</w:t>
      </w:r>
    </w:p>
    <w:p w14:paraId="72AD8754">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⑤管沟开挖深度不宜过深，及时开挖，及时回填，遇大风天气应停止土方作业。</w:t>
      </w:r>
    </w:p>
    <w:p w14:paraId="0E03D746">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⑥加强对施工机械、车辆的维修保养，禁止以柴油为燃料的施工机械超负荷工作，减少烟尘和尾气的排放。</w:t>
      </w:r>
    </w:p>
    <w:p w14:paraId="72A8C695">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⑦加强施工工地环境管理，提倡文明施工，积极推进绿色施工，严防人为扬尘污染。</w:t>
      </w:r>
    </w:p>
    <w:p w14:paraId="6F725EF3">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⑧使用酸化液过程中，要求全部采用密闭罐存放，产生的废酸化液及时委托有资质单位接收处置，减少在现场存储时间。</w:t>
      </w:r>
    </w:p>
    <w:p w14:paraId="4E320DDE">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_Toc8090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5</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.2运营期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大气环境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59196425">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本工程运营期的废气排放源主要为井场无组织废气排放及温室气体排</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放等。无组织排放的污染物主要为站场、井口、管线接口、阀门等处产生的无组织挥发烃类和硫化氢；温室气体的污染物主要为井场开采过程中产生的甲烷逃逸。针对以上污染源，油田采取以下大气污染治理措施：</w:t>
      </w:r>
    </w:p>
    <w:p w14:paraId="61D92A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pPr>
      <w:bookmarkStart w:id="1264" w:name="_Hlk97158992"/>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w:t>
      </w:r>
      <w:r>
        <w:rPr>
          <w:rFonts w:hint="eastAsia" w:eastAsia="新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选用质量可靠的设备、仪表、阀门等；定期对井场的设备、阀门等检查、检修，以防止跑、冒、漏现象的发生</w:t>
      </w:r>
      <w:r>
        <w:rPr>
          <w:rFonts w:hint="default" w:ascii="Times New Roman" w:hAnsi="Times New Roman" w:eastAsia="新宋体" w:cs="Times New Roman"/>
          <w:bCs/>
          <w:color w:val="000000" w:themeColor="text1"/>
          <w:szCs w:val="24"/>
          <w:highlight w:val="none"/>
          <w14:textFill>
            <w14:solidFill>
              <w14:schemeClr w14:val="tx1"/>
            </w14:solidFill>
          </w14:textFill>
        </w:rPr>
        <w:t>。</w:t>
      </w:r>
    </w:p>
    <w:p w14:paraId="4CFFE7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w:t>
      </w:r>
      <w:r>
        <w:rPr>
          <w:rFonts w:hint="eastAsia" w:eastAsia="新宋体" w:cs="Times New Roman"/>
          <w:color w:val="000000" w:themeColor="text1"/>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）大气</w:t>
      </w:r>
      <w:r>
        <w:rPr>
          <w:rFonts w:hint="default" w:ascii="Times New Roman" w:hAnsi="Times New Roman" w:eastAsia="新宋体" w:cs="Times New Roman"/>
          <w:bCs/>
          <w:color w:val="000000" w:themeColor="text1"/>
          <w:szCs w:val="24"/>
          <w:highlight w:val="none"/>
          <w:lang w:val="en-US" w:eastAsia="zh-CN"/>
          <w14:textFill>
            <w14:solidFill>
              <w14:schemeClr w14:val="tx1"/>
            </w14:solidFill>
          </w14:textFill>
        </w:rPr>
        <w:t>敏感目标保护</w:t>
      </w:r>
      <w:r>
        <w:rPr>
          <w:rFonts w:hint="default" w:ascii="Times New Roman" w:hAnsi="Times New Roman" w:eastAsia="新宋体" w:cs="Times New Roman"/>
          <w:bCs/>
          <w:color w:val="000000" w:themeColor="text1"/>
          <w:szCs w:val="24"/>
          <w:highlight w:val="none"/>
          <w14:textFill>
            <w14:solidFill>
              <w14:schemeClr w14:val="tx1"/>
            </w14:solidFill>
          </w14:textFill>
        </w:rPr>
        <w:t>措施：</w:t>
      </w:r>
      <w:r>
        <w:rPr>
          <w:rFonts w:hint="default" w:ascii="Times New Roman" w:hAnsi="Times New Roman" w:eastAsia="新宋体" w:cs="Times New Roman"/>
          <w:bCs/>
          <w:color w:val="000000" w:themeColor="text1"/>
          <w:szCs w:val="24"/>
          <w:highlight w:val="none"/>
          <w:lang w:eastAsia="zh-CN"/>
          <w14:textFill>
            <w14:solidFill>
              <w14:schemeClr w14:val="tx1"/>
            </w14:solidFill>
          </w14:textFill>
        </w:rPr>
        <w:t>科学规划运输路线，尽量避开村庄等敏感区域，减少运输过程中的扬尘和尾气对敏感目标的影响；</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大风天暂停作业，减少</w:t>
      </w:r>
      <w:r>
        <w:rPr>
          <w:rFonts w:hint="default" w:ascii="Times New Roman" w:hAnsi="Times New Roman" w:eastAsia="新宋体" w:cs="Times New Roman"/>
          <w:bCs/>
          <w:color w:val="000000" w:themeColor="text1"/>
          <w:szCs w:val="24"/>
          <w:highlight w:val="none"/>
          <w:lang w:eastAsia="zh-CN"/>
          <w14:textFill>
            <w14:solidFill>
              <w14:schemeClr w14:val="tx1"/>
            </w14:solidFill>
          </w14:textFill>
        </w:rPr>
        <w:t>运输</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产生的扬尘和VOCs扩散对周围村庄等敏感目标的影响；尽量避开早晚高峰（7:00~10:00、18:00~21:00）进行拉油装车工作，避免逆温天气污染物积聚对周围村庄等敏感目标的影响</w:t>
      </w:r>
      <w:r>
        <w:rPr>
          <w:rFonts w:hint="default" w:ascii="Times New Roman" w:hAnsi="Times New Roman" w:eastAsia="新宋体" w:cs="Times New Roman"/>
          <w:bCs/>
          <w:color w:val="000000" w:themeColor="text1"/>
          <w:szCs w:val="24"/>
          <w:highlight w:val="none"/>
          <w:lang w:eastAsia="zh-CN"/>
          <w14:textFill>
            <w14:solidFill>
              <w14:schemeClr w14:val="tx1"/>
            </w14:solidFill>
          </w14:textFill>
        </w:rPr>
        <w:t>。</w:t>
      </w:r>
    </w:p>
    <w:p w14:paraId="24B13F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bCs/>
          <w:color w:val="000000" w:themeColor="text1"/>
          <w:szCs w:val="24"/>
          <w:highlight w:val="none"/>
          <w14:textFill>
            <w14:solidFill>
              <w14:schemeClr w14:val="tx1"/>
            </w14:solidFill>
          </w14:textFill>
        </w:rPr>
      </w:pPr>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w:t>
      </w:r>
      <w:r>
        <w:rPr>
          <w:rFonts w:hint="eastAsia" w:eastAsia="新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新宋体" w:cs="Times New Roman"/>
          <w:bCs/>
          <w:color w:val="000000" w:themeColor="text1"/>
          <w:szCs w:val="24"/>
          <w:highlight w:val="none"/>
          <w:lang w:val="en-US" w:eastAsia="zh-CN"/>
          <w14:textFill>
            <w14:solidFill>
              <w14:schemeClr w14:val="tx1"/>
            </w14:solidFill>
          </w14:textFill>
        </w:rPr>
        <w:t>凝析</w:t>
      </w:r>
      <w:r>
        <w:rPr>
          <w:rFonts w:hint="default" w:ascii="Times New Roman" w:hAnsi="Times New Roman" w:eastAsia="新宋体" w:cs="Times New Roman"/>
          <w:bCs/>
          <w:color w:val="000000" w:themeColor="text1"/>
          <w:szCs w:val="24"/>
          <w:highlight w:val="none"/>
          <w14:textFill>
            <w14:solidFill>
              <w14:schemeClr w14:val="tx1"/>
            </w14:solidFill>
          </w14:textFill>
        </w:rPr>
        <w:t>油装车挥发性有机物控制措施：</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凝析油装车采用</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密闭装车鹤管</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方式</w:t>
      </w:r>
      <w:bookmarkEnd w:id="1264"/>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新宋体" w:cs="Times New Roman"/>
          <w:bCs/>
          <w:color w:val="000000" w:themeColor="text1"/>
          <w:szCs w:val="24"/>
          <w:highlight w:val="none"/>
          <w14:textFill>
            <w14:solidFill>
              <w14:schemeClr w14:val="tx1"/>
            </w14:solidFill>
          </w14:textFill>
        </w:rPr>
        <w:t>按照</w:t>
      </w:r>
      <w:r>
        <w:rPr>
          <w:rFonts w:hint="default" w:ascii="Times New Roman" w:hAnsi="Times New Roman" w:eastAsia="新宋体" w:cs="Times New Roman"/>
          <w:bCs/>
          <w:color w:val="000000" w:themeColor="text1"/>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eastAsia="zh-CN"/>
          <w14:textFill>
            <w14:solidFill>
              <w14:schemeClr w14:val="tx1"/>
            </w14:solidFill>
          </w14:textFill>
        </w:rPr>
        <w:t>挥发性有机物无组织排放控制标准》（GB37822-2019）</w:t>
      </w:r>
      <w:r>
        <w:rPr>
          <w:rFonts w:hint="default" w:ascii="Times New Roman" w:hAnsi="Times New Roman" w:eastAsia="新宋体" w:cs="Times New Roman"/>
          <w:bCs/>
          <w:color w:val="000000" w:themeColor="text1"/>
          <w:szCs w:val="24"/>
          <w:highlight w:val="none"/>
          <w14:textFill>
            <w14:solidFill>
              <w14:schemeClr w14:val="tx1"/>
            </w14:solidFill>
          </w14:textFill>
        </w:rPr>
        <w:t>要求，装车</w:t>
      </w:r>
      <w:r>
        <w:rPr>
          <w:rFonts w:hint="default" w:ascii="Times New Roman" w:hAnsi="Times New Roman" w:eastAsia="新宋体" w:cs="Times New Roman"/>
          <w:bCs/>
          <w:color w:val="000000" w:themeColor="text1"/>
          <w:szCs w:val="24"/>
          <w:highlight w:val="none"/>
          <w:lang w:val="en-US" w:eastAsia="zh-CN"/>
          <w14:textFill>
            <w14:solidFill>
              <w14:schemeClr w14:val="tx1"/>
            </w14:solidFill>
          </w14:textFill>
        </w:rPr>
        <w:t>建议</w:t>
      </w:r>
      <w:r>
        <w:rPr>
          <w:rFonts w:hint="default" w:ascii="Times New Roman" w:hAnsi="Times New Roman" w:eastAsia="新宋体" w:cs="Times New Roman"/>
          <w:bCs/>
          <w:color w:val="000000" w:themeColor="text1"/>
          <w:szCs w:val="24"/>
          <w:highlight w:val="none"/>
          <w14:textFill>
            <w14:solidFill>
              <w14:schemeClr w14:val="tx1"/>
            </w14:solidFill>
          </w14:textFill>
        </w:rPr>
        <w:t>采用底部装载方式。</w:t>
      </w:r>
    </w:p>
    <w:p w14:paraId="5E92D2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eastAsia" w:eastAsia="新宋体" w:cs="Times New Roman"/>
          <w:color w:val="000000" w:themeColor="text1"/>
          <w:highlight w:val="none"/>
          <w:lang w:val="en-US" w:eastAsia="zh-CN"/>
          <w14:textFill>
            <w14:solidFill>
              <w14:schemeClr w14:val="tx1"/>
            </w14:solidFill>
          </w14:textFill>
        </w:rPr>
        <w:t>4</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储油罐挥发性有机物控制措施：井场储油罐为多功能储集器，单罐容积</w:t>
      </w:r>
      <w:r>
        <w:rPr>
          <w:rFonts w:hint="eastAsia"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0m</w:t>
      </w:r>
      <w:r>
        <w:rPr>
          <w:rFonts w:hint="default" w:ascii="Times New Roman" w:hAnsi="Times New Roman" w:eastAsia="新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新宋体" w:cs="Times New Roman"/>
          <w:b w:val="0"/>
          <w:color w:val="000000" w:themeColor="text1"/>
          <w:kern w:val="2"/>
          <w:sz w:val="24"/>
          <w:szCs w:val="24"/>
          <w:highlight w:val="none"/>
          <w:lang w:val="en-US" w:eastAsia="zh-CN" w:bidi="ar-SA"/>
          <w14:textFill>
            <w14:solidFill>
              <w14:schemeClr w14:val="tx1"/>
            </w14:solidFill>
          </w14:textFill>
        </w:rPr>
        <w:t>，采取储罐罐体保温，减少罐内温差的变化，从而大大地降低了气体的蒸发损耗，罐体外表使用浅色涂层，来控制和减少无组织挥发性有机物排放。罐体应保持完好，除计量、检查、维护等正常活动外，不应有孔洞及缝隙。</w:t>
      </w:r>
    </w:p>
    <w:p w14:paraId="5E27FB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color w:val="000000" w:themeColor="text1"/>
          <w:highlight w:val="none"/>
          <w:lang w:eastAsia="zh-CN"/>
          <w14:textFill>
            <w14:solidFill>
              <w14:schemeClr w14:val="tx1"/>
            </w14:solidFill>
          </w14:textFill>
        </w:rPr>
      </w:pP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eastAsia" w:eastAsia="新宋体" w:cs="Times New Roman"/>
          <w:color w:val="000000" w:themeColor="text1"/>
          <w:highlight w:val="none"/>
          <w:lang w:val="en-US" w:eastAsia="zh-CN"/>
          <w14:textFill>
            <w14:solidFill>
              <w14:schemeClr w14:val="tx1"/>
            </w14:solidFill>
          </w14:textFill>
        </w:rPr>
        <w:t>5</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bCs/>
          <w:color w:val="000000" w:themeColor="text1"/>
          <w:highlight w:val="none"/>
          <w14:textFill>
            <w14:solidFill>
              <w14:schemeClr w14:val="tx1"/>
            </w14:solidFill>
          </w14:textFill>
        </w:rPr>
        <w:t>应加强对密封点的巡检，</w:t>
      </w:r>
      <w:r>
        <w:rPr>
          <w:rFonts w:hint="default" w:ascii="Times New Roman" w:hAnsi="Times New Roman" w:eastAsia="新宋体" w:cs="Times New Roman"/>
          <w:color w:val="000000" w:themeColor="text1"/>
          <w:highlight w:val="none"/>
          <w14:textFill>
            <w14:solidFill>
              <w14:schemeClr w14:val="tx1"/>
            </w14:solidFill>
          </w14:textFill>
        </w:rPr>
        <w:t>井场需按照实际生产需要设置可燃气体探测器</w:t>
      </w:r>
      <w:r>
        <w:rPr>
          <w:rFonts w:hint="default" w:ascii="Times New Roman" w:hAnsi="Times New Roman" w:eastAsia="新宋体" w:cs="Times New Roman"/>
          <w:color w:val="000000" w:themeColor="text1"/>
          <w:highlight w:val="none"/>
          <w:lang w:eastAsia="zh-CN"/>
          <w14:textFill>
            <w14:solidFill>
              <w14:schemeClr w14:val="tx1"/>
            </w14:solidFill>
          </w14:textFill>
        </w:rPr>
        <w:t>。</w:t>
      </w:r>
    </w:p>
    <w:p w14:paraId="46B54E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bCs/>
          <w:color w:val="000000" w:themeColor="text1"/>
          <w:highlight w:val="none"/>
          <w14:textFill>
            <w14:solidFill>
              <w14:schemeClr w14:val="tx1"/>
            </w14:solidFill>
          </w14:textFill>
        </w:rPr>
        <w:t>（</w:t>
      </w:r>
      <w:r>
        <w:rPr>
          <w:rFonts w:hint="eastAsia" w:ascii="Times New Roman" w:hAnsi="Times New Roman" w:eastAsia="新宋体" w:cs="Times New Roman"/>
          <w:bCs/>
          <w:color w:val="000000" w:themeColor="text1"/>
          <w:highlight w:val="none"/>
          <w:lang w:val="en-US" w:eastAsia="zh-CN"/>
          <w14:textFill>
            <w14:solidFill>
              <w14:schemeClr w14:val="tx1"/>
            </w14:solidFill>
          </w14:textFill>
        </w:rPr>
        <w:t>6</w:t>
      </w:r>
      <w:r>
        <w:rPr>
          <w:rFonts w:hint="default" w:ascii="Times New Roman" w:hAnsi="Times New Roman" w:eastAsia="新宋体" w:cs="Times New Roman"/>
          <w:bCs/>
          <w:color w:val="000000" w:themeColor="text1"/>
          <w:highlight w:val="none"/>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在日常生产过程中，加强非甲烷总烃</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硫化氢</w:t>
      </w:r>
      <w:r>
        <w:rPr>
          <w:rFonts w:hint="default" w:ascii="Times New Roman" w:hAnsi="Times New Roman" w:eastAsia="新宋体" w:cs="Times New Roman"/>
          <w:color w:val="000000" w:themeColor="text1"/>
          <w:highlight w:val="none"/>
          <w14:textFill>
            <w14:solidFill>
              <w14:schemeClr w14:val="tx1"/>
            </w14:solidFill>
          </w14:textFill>
        </w:rPr>
        <w:t>无组织排放例行监测，对</w:t>
      </w:r>
      <w:r>
        <w:rPr>
          <w:rFonts w:hint="eastAsia" w:ascii="Times New Roman" w:hAnsi="Times New Roman" w:eastAsia="新宋体" w:cs="Times New Roman"/>
          <w:color w:val="000000" w:themeColor="text1"/>
          <w:highlight w:val="none"/>
          <w:lang w:val="en-US" w:eastAsia="zh-CN"/>
          <w14:textFill>
            <w14:solidFill>
              <w14:schemeClr w14:val="tx1"/>
            </w14:solidFill>
          </w14:textFill>
        </w:rPr>
        <w:t>井</w:t>
      </w:r>
      <w:r>
        <w:rPr>
          <w:rFonts w:hint="default" w:ascii="Times New Roman" w:hAnsi="Times New Roman" w:eastAsia="新宋体" w:cs="Times New Roman"/>
          <w:color w:val="000000" w:themeColor="text1"/>
          <w:highlight w:val="none"/>
          <w14:textFill>
            <w14:solidFill>
              <w14:schemeClr w14:val="tx1"/>
            </w14:solidFill>
          </w14:textFill>
        </w:rPr>
        <w:t>场厂界非甲烷总烃每年监测一次，确保满足《陆上石油天然气开采工业大气污染物排放标准》（GB39728-2020）企业边界污染物控制要求</w:t>
      </w:r>
      <w:r>
        <w:rPr>
          <w:rFonts w:hint="default" w:ascii="Times New Roman" w:hAnsi="Times New Roman" w:eastAsia="新宋体" w:cs="Times New Roman"/>
          <w:color w:val="000000" w:themeColor="text1"/>
          <w:highlight w:val="none"/>
          <w:lang w:eastAsia="zh-CN"/>
          <w14:textFill>
            <w14:solidFill>
              <w14:schemeClr w14:val="tx1"/>
            </w14:solidFill>
          </w14:textFill>
        </w:rPr>
        <w:t>、《挥发性有机物无组织排放控制标准》（GB37822-2019）厂区内VOCs无组织排放限制</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和</w:t>
      </w:r>
      <w:r>
        <w:rPr>
          <w:rFonts w:hint="default" w:ascii="Times New Roman" w:hAnsi="Times New Roman" w:eastAsia="新宋体" w:cs="Times New Roman"/>
          <w:color w:val="000000" w:themeColor="text1"/>
          <w:highlight w:val="none"/>
          <w14:textFill>
            <w14:solidFill>
              <w14:schemeClr w14:val="tx1"/>
            </w14:solidFill>
          </w14:textFill>
        </w:rPr>
        <w:t>《恶臭污染物排放标准》</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GB14554-93</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表1新扩改建厂界二级标准值。</w:t>
      </w:r>
    </w:p>
    <w:p w14:paraId="46135B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eastAsia" w:eastAsia="新宋体" w:cs="Times New Roman"/>
          <w:color w:val="000000" w:themeColor="text1"/>
          <w:highlight w:val="none"/>
          <w:lang w:val="en-US" w:eastAsia="zh-CN"/>
          <w14:textFill>
            <w14:solidFill>
              <w14:schemeClr w14:val="tx1"/>
            </w14:solidFill>
          </w14:textFill>
        </w:rPr>
        <w:t>7</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温室气体管控：①进一步开展节能减排工作，加强质量控制和技术研发，降低抽油机井工作能耗；②大力推广应用零散天然气回收和电力系统无功补偿级新能源利用等开采技术，开发清洁能源替代现有能源；③</w:t>
      </w:r>
      <w:r>
        <w:rPr>
          <w:rFonts w:hint="default" w:ascii="Times New Roman" w:hAnsi="Times New Roman" w:cs="Times New Roman"/>
          <w:color w:val="000000" w:themeColor="text1"/>
          <w:highlight w:val="none"/>
          <w14:textFill>
            <w14:solidFill>
              <w14:schemeClr w14:val="tx1"/>
            </w14:solidFill>
          </w14:textFill>
        </w:rPr>
        <w:t>选用质量可靠的设备、仪表、阀门等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t>加强对</w:t>
      </w:r>
      <w:r>
        <w:rPr>
          <w:rFonts w:hint="default" w:ascii="Times New Roman" w:hAnsi="Times New Roman" w:cs="Times New Roman"/>
          <w:color w:val="000000" w:themeColor="text1"/>
          <w:highlight w:val="none"/>
          <w:lang w:val="en-US" w:eastAsia="zh-CN"/>
          <w14:textFill>
            <w14:solidFill>
              <w14:schemeClr w14:val="tx1"/>
            </w14:solidFill>
          </w14:textFill>
        </w:rPr>
        <w:t>储罐及</w:t>
      </w:r>
      <w:r>
        <w:rPr>
          <w:rFonts w:hint="default" w:ascii="Times New Roman" w:hAnsi="Times New Roman" w:cs="Times New Roman"/>
          <w:color w:val="000000" w:themeColor="text1"/>
          <w:highlight w:val="none"/>
          <w14:textFill>
            <w14:solidFill>
              <w14:schemeClr w14:val="tx1"/>
            </w14:solidFill>
          </w14:textFill>
        </w:rPr>
        <w:t>密封点的巡检，一旦发生泄漏立即切断控制阀，并</w:t>
      </w:r>
      <w:r>
        <w:rPr>
          <w:rFonts w:hint="default" w:ascii="Times New Roman" w:hAnsi="Times New Roman" w:cs="Times New Roman"/>
          <w:color w:val="000000" w:themeColor="text1"/>
          <w:highlight w:val="none"/>
          <w:lang w:eastAsia="zh-CN"/>
          <w14:textFill>
            <w14:solidFill>
              <w14:schemeClr w14:val="tx1"/>
            </w14:solidFill>
          </w14:textFill>
        </w:rPr>
        <w:t>尽快</w:t>
      </w:r>
      <w:r>
        <w:rPr>
          <w:rFonts w:hint="default" w:ascii="Times New Roman" w:hAnsi="Times New Roman" w:cs="Times New Roman"/>
          <w:color w:val="000000" w:themeColor="text1"/>
          <w:highlight w:val="none"/>
          <w14:textFill>
            <w14:solidFill>
              <w14:schemeClr w14:val="tx1"/>
            </w14:solidFill>
          </w14:textFill>
        </w:rPr>
        <w:t>完成修复；</w:t>
      </w:r>
      <w:r>
        <w:rPr>
          <w:rFonts w:hint="default" w:ascii="Times New Roman" w:hAnsi="Times New Roman" w:cs="Times New Roman"/>
          <w:color w:val="000000" w:themeColor="text1"/>
          <w:highlight w:val="none"/>
          <w:lang w:val="en-US" w:eastAsia="zh-CN"/>
          <w14:textFill>
            <w14:solidFill>
              <w14:schemeClr w14:val="tx1"/>
            </w14:solidFill>
          </w14:textFill>
        </w:rPr>
        <w:t>⑤</w:t>
      </w:r>
      <w:r>
        <w:rPr>
          <w:rFonts w:hint="default" w:ascii="Times New Roman" w:hAnsi="Times New Roman" w:cs="Times New Roman"/>
          <w:color w:val="000000" w:themeColor="text1"/>
          <w:highlight w:val="none"/>
          <w14:textFill>
            <w14:solidFill>
              <w14:schemeClr w14:val="tx1"/>
            </w14:solidFill>
          </w14:textFill>
        </w:rPr>
        <w:t>加强</w:t>
      </w:r>
      <w:r>
        <w:rPr>
          <w:rFonts w:hint="eastAsia" w:cs="Times New Roman"/>
          <w:color w:val="000000" w:themeColor="text1"/>
          <w:highlight w:val="none"/>
          <w:lang w:val="en-US" w:eastAsia="zh-CN"/>
          <w14:textFill>
            <w14:solidFill>
              <w14:schemeClr w14:val="tx1"/>
            </w14:solidFill>
          </w14:textFill>
        </w:rPr>
        <w:t>井场</w:t>
      </w:r>
      <w:r>
        <w:rPr>
          <w:rFonts w:hint="default" w:ascii="Times New Roman" w:hAnsi="Times New Roman" w:cs="Times New Roman"/>
          <w:color w:val="000000" w:themeColor="text1"/>
          <w:highlight w:val="none"/>
          <w14:textFill>
            <w14:solidFill>
              <w14:schemeClr w14:val="tx1"/>
            </w14:solidFill>
          </w14:textFill>
        </w:rPr>
        <w:t>生产管理，减少</w:t>
      </w:r>
      <w:r>
        <w:rPr>
          <w:rFonts w:hint="default" w:ascii="Times New Roman" w:hAnsi="Times New Roman" w:cs="Times New Roman"/>
          <w:color w:val="000000" w:themeColor="text1"/>
          <w:highlight w:val="none"/>
          <w:lang w:val="en-US" w:eastAsia="zh-CN"/>
          <w14:textFill>
            <w14:solidFill>
              <w14:schemeClr w14:val="tx1"/>
            </w14:solidFill>
          </w14:textFill>
        </w:rPr>
        <w:t>温室气体</w:t>
      </w:r>
      <w:r>
        <w:rPr>
          <w:rFonts w:hint="default" w:ascii="Times New Roman" w:hAnsi="Times New Roman" w:cs="Times New Roman"/>
          <w:color w:val="000000" w:themeColor="text1"/>
          <w:highlight w:val="none"/>
          <w14:textFill>
            <w14:solidFill>
              <w14:schemeClr w14:val="tx1"/>
            </w14:solidFill>
          </w14:textFill>
        </w:rPr>
        <w:t>的跑、冒，做好</w:t>
      </w:r>
      <w:r>
        <w:rPr>
          <w:rFonts w:hint="eastAsia" w:cs="Times New Roman"/>
          <w:color w:val="000000" w:themeColor="text1"/>
          <w:highlight w:val="none"/>
          <w:lang w:val="en-US" w:eastAsia="zh-CN"/>
          <w14:textFill>
            <w14:solidFill>
              <w14:schemeClr w14:val="tx1"/>
            </w14:solidFill>
          </w14:textFill>
        </w:rPr>
        <w:t>井场</w:t>
      </w:r>
      <w:r>
        <w:rPr>
          <w:rFonts w:hint="default" w:ascii="Times New Roman" w:hAnsi="Times New Roman" w:cs="Times New Roman"/>
          <w:color w:val="000000" w:themeColor="text1"/>
          <w:highlight w:val="none"/>
          <w14:textFill>
            <w14:solidFill>
              <w14:schemeClr w14:val="tx1"/>
            </w14:solidFill>
          </w14:textFill>
        </w:rPr>
        <w:t>的压力监测，并准备应急措施</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从而减少温室气体排放。</w:t>
      </w:r>
    </w:p>
    <w:p w14:paraId="6D49E7FF">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w:t>
      </w:r>
      <w:r>
        <w:rPr>
          <w:rFonts w:hint="default" w:ascii="Times New Roman" w:hAnsi="Times New Roman" w:cs="Times New Roman"/>
          <w:color w:val="000000" w:themeColor="text1"/>
          <w:highlight w:val="none"/>
          <w:lang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采取的废气污染防治措施可行</w:t>
      </w:r>
      <w:r>
        <w:rPr>
          <w:rFonts w:ascii="Times New Roman" w:hAnsi="Times New Roman" w:cs="Times New Roman"/>
          <w:color w:val="000000" w:themeColor="text1"/>
          <w:highlight w:val="none"/>
          <w14:textFill>
            <w14:solidFill>
              <w14:schemeClr w14:val="tx1"/>
            </w14:solidFill>
          </w14:textFill>
        </w:rPr>
        <w:t>。</w:t>
      </w:r>
    </w:p>
    <w:p w14:paraId="3E29D849">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_Toc24095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5</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.3退役期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大气环境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0B4FAE35">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（1）运输车辆使用符合国家标准的油品。</w:t>
      </w:r>
    </w:p>
    <w:p w14:paraId="006AC1BD">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（2）在闭井施工操作中应做到文明施工，防止水泥等的洒落与飘散；尽量避开大风天气进行作业。</w:t>
      </w:r>
    </w:p>
    <w:p w14:paraId="07D6082C">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退役期</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封井施工过程中，应加强</w:t>
      </w: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施工质量管理，避免出现封井不严等非正常工况的烃类泄漏。</w:t>
      </w:r>
    </w:p>
    <w:p w14:paraId="70948343">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bookmarkStart w:id="1265" w:name="_Toc14963"/>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instrText xml:space="preserve"> HYPERLINK \l _Toc32429 </w:instrTex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6.6声环境保护措施可行性论证</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end"/>
      </w:r>
      <w:bookmarkEnd w:id="1265"/>
    </w:p>
    <w:p w14:paraId="3BC7C851">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_Toc5999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.1施工期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声环境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19A99547">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本工程施工期噪声源主要是各类施工机械和运输车辆。为最大限度避免和减轻施工及运输噪声对周围声环境的不利影响，本评价对施工期噪声控制提出以下要求和建议：</w:t>
      </w:r>
    </w:p>
    <w:p w14:paraId="2705380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（1）施工单位可合理安排施工时间，避免长时间使用高噪声设备，使</w:t>
      </w: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在施工期造成的噪声污染降到最低。</w:t>
      </w:r>
    </w:p>
    <w:p w14:paraId="68421233">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（2）施工设备选型时，在满足施工需要的前提下，尽可能选取噪声低、振动小、能耗小的先进设备。</w:t>
      </w:r>
    </w:p>
    <w:p w14:paraId="3E29B6C5">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（3）加强施工机械的维护保养，避免由于设备性能差而使机械噪声增大的现象发生。</w:t>
      </w:r>
    </w:p>
    <w:p w14:paraId="671A14CD">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）运输车辆进出工地时应低速行驶，少鸣笛或不鸣笛。 </w:t>
      </w:r>
    </w:p>
    <w:p w14:paraId="472C9394">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24"/>
          <w:sz w:val="24"/>
          <w:highlight w:val="none"/>
          <w:lang w:val="en-US" w:eastAsia="en-US"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综上，本工程施工期采取的噪声防治措施可行。</w:t>
      </w:r>
    </w:p>
    <w:p w14:paraId="0A3B14EC">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_Toc23239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.2运营期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声环境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69386AF7">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（1）对声源强度较大的设备进行减噪处理，根据各种设备类型所产生噪声的特性，采用不同的控制手段。</w:t>
      </w:r>
    </w:p>
    <w:p w14:paraId="1A918B9C">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（2）提高工艺过程自动化水平，尽量减少操作人员在噪声源的停留时间。设备采用巡检的方式，由操作人员定期对装置区进行检查，尽量减少人员与噪声的接触时间。</w:t>
      </w:r>
    </w:p>
    <w:p w14:paraId="7974E154">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24"/>
          <w:sz w:val="24"/>
          <w:highlight w:val="none"/>
          <w:lang w:val="en-US" w:eastAsia="en-US"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采取的噪声污染防治措施可行。</w:t>
      </w:r>
    </w:p>
    <w:p w14:paraId="48428A9A">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_Toc3803 </w:instrTex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.3退役期</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声环境</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保护措施</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5A68B67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（1）选用低噪声机械和车辆。 </w:t>
      </w:r>
    </w:p>
    <w:p w14:paraId="5DCAA0D9">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 xml:space="preserve">（2）加强设备检查维修，保证其正常运行。 </w:t>
      </w:r>
    </w:p>
    <w:p w14:paraId="5986E14E">
      <w:pPr>
        <w:keepNext w:val="0"/>
        <w:keepLines w:val="0"/>
        <w:pageBreakBefore w:val="0"/>
        <w:shd w:val="clear" w:color="auto" w:fill="auto"/>
        <w:kinsoku/>
        <w:wordWrap/>
        <w:overflowPunct/>
        <w:topLinePunct w:val="0"/>
        <w:autoSpaceDE/>
        <w:autoSpaceDN/>
        <w:bidi w:val="0"/>
        <w:adjustRightInd w:val="0"/>
        <w:snapToGrid w:val="0"/>
        <w:spacing w:line="360" w:lineRule="auto"/>
        <w:ind w:firstLine="496" w:firstLineChars="200"/>
        <w:textAlignment w:val="auto"/>
        <w:rPr>
          <w:rFonts w:hint="eastAsia"/>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（3）加强运输车辆管理，合理规划运输路线，禁止运输车辆随意高声鸣笛。</w:t>
      </w:r>
    </w:p>
    <w:p w14:paraId="07704C39">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pPr>
      <w:bookmarkStart w:id="1266" w:name="_Toc14051"/>
      <w:bookmarkStart w:id="1267" w:name="OLE_LINK969"/>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instrText xml:space="preserve"> HYPERLINK \l _Toc24103 </w:instrTex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6.7</w:t>
      </w:r>
      <w:bookmarkStart w:id="1268" w:name="OLE_LINK679"/>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固体废物</w:t>
      </w:r>
      <w:bookmarkEnd w:id="1268"/>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处理措施可行性论证</w:t>
      </w:r>
      <w:r>
        <w:rPr>
          <w:rFonts w:hint="default"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fldChar w:fldCharType="end"/>
      </w:r>
      <w:bookmarkEnd w:id="1266"/>
    </w:p>
    <w:p w14:paraId="12C1DD76">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_Toc22106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.1施工期固体废物</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污染防治措施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77C3A6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本工程施工期产生的固体废物主要</w:t>
      </w:r>
      <w:r>
        <w:rPr>
          <w:rFonts w:hint="eastAsia" w:cs="Times New Roman"/>
          <w:color w:val="000000" w:themeColor="text1"/>
          <w:kern w:val="2"/>
          <w:sz w:val="24"/>
          <w:szCs w:val="32"/>
          <w:highlight w:val="none"/>
          <w:lang w:eastAsia="zh-CN"/>
          <w14:textFill>
            <w14:solidFill>
              <w14:schemeClr w14:val="tx1"/>
            </w14:solidFill>
          </w14:textFill>
        </w:rPr>
        <w:t>包括</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钻井泥浆</w:t>
      </w:r>
      <w:r>
        <w:rPr>
          <w:rFonts w:hint="eastAsia" w:cs="Times New Roman"/>
          <w:color w:val="000000" w:themeColor="text1"/>
          <w:kern w:val="2"/>
          <w:sz w:val="24"/>
          <w:szCs w:val="32"/>
          <w:highlight w:val="none"/>
          <w:lang w:eastAsia="zh-CN"/>
          <w14:textFill>
            <w14:solidFill>
              <w14:schemeClr w14:val="tx1"/>
            </w14:solidFill>
          </w14:textFill>
        </w:rPr>
        <w:t>、钻井岩屑、落地油、废润滑油、</w:t>
      </w:r>
      <w:r>
        <w:rPr>
          <w:rFonts w:hint="default" w:ascii="Times New Roman" w:hAnsi="Times New Roman" w:eastAsia="宋体" w:cs="Times New Roman"/>
          <w:color w:val="000000" w:themeColor="text1"/>
          <w:kern w:val="2"/>
          <w:sz w:val="24"/>
          <w:szCs w:val="32"/>
          <w:highlight w:val="none"/>
          <w14:textFill>
            <w14:solidFill>
              <w14:schemeClr w14:val="tx1"/>
            </w14:solidFill>
          </w14:textFill>
        </w:rPr>
        <w:t>生活垃圾</w:t>
      </w:r>
      <w:r>
        <w:rPr>
          <w:rFonts w:hint="default" w:ascii="Times New Roman" w:hAnsi="Times New Roman" w:eastAsia="宋体" w:cs="Times New Roman"/>
          <w:color w:val="000000" w:themeColor="text1"/>
          <w:kern w:val="2"/>
          <w:sz w:val="24"/>
          <w:szCs w:val="32"/>
          <w:highlight w:val="none"/>
          <w:lang w:eastAsia="zh-CN"/>
          <w14:textFill>
            <w14:solidFill>
              <w14:schemeClr w14:val="tx1"/>
            </w14:solidFill>
          </w14:textFill>
        </w:rPr>
        <w:t>、施工废料</w:t>
      </w:r>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和</w:t>
      </w:r>
      <w:bookmarkStart w:id="1269" w:name="OLE_LINK706"/>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土石方</w:t>
      </w:r>
      <w:bookmarkEnd w:id="1269"/>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w:t>
      </w:r>
    </w:p>
    <w:p w14:paraId="08E9B7AA">
      <w:pPr>
        <w:pStyle w:val="33"/>
        <w:keepNext w:val="0"/>
        <w:keepLines w:val="0"/>
        <w:pageBreakBefore w:val="0"/>
        <w:widowControl w:val="0"/>
        <w:kinsoku/>
        <w:wordWrap/>
        <w:overflowPunct/>
        <w:bidi w:val="0"/>
        <w:adjustRightInd w:val="0"/>
        <w:snapToGrid w:val="0"/>
        <w:spacing w:before="0" w:beforeLines="0" w:beforeAutospacing="0" w:after="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pacing w:val="5"/>
          <w:kern w:val="2"/>
          <w:sz w:val="24"/>
          <w:szCs w:val="24"/>
          <w:highlight w:val="none"/>
          <w14:textFill>
            <w14:solidFill>
              <w14:schemeClr w14:val="tx1"/>
            </w14:solidFill>
          </w14:textFill>
        </w:rPr>
        <w:t>钻井泥浆、岩屑一同进入井队固控系统进行分离处理，分离后的液体统一转运至阿克苏塔河环保工程有限公司绿色环保工作站处置。</w:t>
      </w:r>
    </w:p>
    <w:p w14:paraId="0C4D8E33">
      <w:pPr>
        <w:pStyle w:val="11"/>
        <w:pageBreakBefore w:val="0"/>
        <w:kinsoku/>
        <w:overflowPunct/>
        <w:topLinePunct w:val="0"/>
        <w:autoSpaceDE/>
        <w:autoSpaceDN/>
        <w:bidi w:val="0"/>
        <w:adjustRightInd w:val="0"/>
        <w:snapToGrid w:val="0"/>
        <w:spacing w:line="360" w:lineRule="auto"/>
        <w:ind w:firstLine="500"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5"/>
          <w:szCs w:val="25"/>
          <w:highlight w:val="none"/>
          <w:lang w:eastAsia="zh-CN"/>
          <w14:textFill>
            <w14:solidFill>
              <w14:schemeClr w14:val="tx1"/>
            </w14:solidFill>
          </w14:textFill>
        </w:rPr>
        <w:t>（</w:t>
      </w:r>
      <w:r>
        <w:rPr>
          <w:rFonts w:hint="eastAsia" w:ascii="Times New Roman" w:hAnsi="Times New Roman" w:cs="Times New Roman"/>
          <w:color w:val="000000" w:themeColor="text1"/>
          <w:sz w:val="25"/>
          <w:szCs w:val="25"/>
          <w:highlight w:val="none"/>
          <w:lang w:val="en-US" w:eastAsia="zh-CN"/>
          <w14:textFill>
            <w14:solidFill>
              <w14:schemeClr w14:val="tx1"/>
            </w14:solidFill>
          </w14:textFill>
        </w:rPr>
        <w:t>2</w:t>
      </w:r>
      <w:r>
        <w:rPr>
          <w:rFonts w:hint="eastAsia" w:ascii="Times New Roman" w:hAnsi="Times New Roman" w:cs="Times New Roman"/>
          <w:color w:val="000000" w:themeColor="text1"/>
          <w:sz w:val="25"/>
          <w:szCs w:val="25"/>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4"/>
          <w:szCs w:val="24"/>
          <w:highlight w:val="none"/>
          <w14:textFill>
            <w14:solidFill>
              <w14:schemeClr w14:val="tx1"/>
            </w14:solidFill>
          </w14:textFill>
        </w:rPr>
        <w:t>钻井期内产生的</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钻井岩屑</w:t>
      </w:r>
      <w:r>
        <w:rPr>
          <w:rFonts w:hint="eastAsia" w:ascii="Times New Roman" w:hAnsi="Times New Roman" w:cs="Times New Roman"/>
          <w:color w:val="000000" w:themeColor="text1"/>
          <w:sz w:val="24"/>
          <w:szCs w:val="24"/>
          <w:highlight w:val="none"/>
          <w:lang w:eastAsia="zh-CN"/>
          <w14:textFill>
            <w14:solidFill>
              <w14:schemeClr w14:val="tx1"/>
            </w14:solidFill>
          </w14:textFill>
        </w:rPr>
        <w:t>进入随钻不落地处理技术进行就地无害化处理，经处置检测合格并按规定进行留样，满足《油气田钻井固体废物综合利用污染控制要求》（DB65/T3997-2017）中综合利用污染物限值要求后用于铺垫油区内的井场、道路等。废弃油基泥浆委托有资质单位拉运处置。</w:t>
      </w:r>
    </w:p>
    <w:p w14:paraId="30E5FAA1">
      <w:pPr>
        <w:pStyle w:val="154"/>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kern w:val="2"/>
          <w:sz w:val="24"/>
          <w:szCs w:val="24"/>
          <w:highlight w:val="none"/>
          <w:lang w:eastAsia="zh-CN"/>
          <w14:textFill>
            <w14:solidFill>
              <w14:schemeClr w14:val="tx1"/>
            </w14:solidFill>
          </w14:textFill>
        </w:rPr>
        <w:t>（</w:t>
      </w:r>
      <w:r>
        <w:rPr>
          <w:rFonts w:hint="eastAsia"/>
          <w:color w:val="000000" w:themeColor="text1"/>
          <w:kern w:val="2"/>
          <w:sz w:val="24"/>
          <w:szCs w:val="24"/>
          <w:highlight w:val="none"/>
          <w:lang w:val="en-US" w:eastAsia="zh-CN"/>
          <w14:textFill>
            <w14:solidFill>
              <w14:schemeClr w14:val="tx1"/>
            </w14:solidFill>
          </w14:textFill>
        </w:rPr>
        <w:t>3</w:t>
      </w:r>
      <w:r>
        <w:rPr>
          <w:rFonts w:hint="eastAsia"/>
          <w:color w:val="000000" w:themeColor="text1"/>
          <w:kern w:val="2"/>
          <w:sz w:val="24"/>
          <w:szCs w:val="24"/>
          <w:highlight w:val="none"/>
          <w:lang w:eastAsia="zh-CN"/>
          <w14:textFill>
            <w14:solidFill>
              <w14:schemeClr w14:val="tx1"/>
            </w14:solidFill>
          </w14:textFill>
        </w:rPr>
        <w:t>）</w:t>
      </w:r>
      <w:bookmarkStart w:id="1270" w:name="OLE_LINK905"/>
      <w:r>
        <w:rPr>
          <w:rFonts w:hint="eastAsia"/>
          <w:color w:val="000000" w:themeColor="text1"/>
          <w:kern w:val="2"/>
          <w:sz w:val="24"/>
          <w:szCs w:val="24"/>
          <w:highlight w:val="none"/>
          <w:lang w:val="en-US" w:eastAsia="zh-CN"/>
          <w14:textFill>
            <w14:solidFill>
              <w14:schemeClr w14:val="tx1"/>
            </w14:solidFill>
          </w14:textFill>
        </w:rPr>
        <w:t>本工程产生的</w:t>
      </w:r>
      <w:bookmarkEnd w:id="1270"/>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落地油不在施工站场储存，直接在作业施工现场由施工人员回收至罐车内，罐车采用密闭的专用罐车，统一由阿克苏塔河环保工程有限公司绿色环保工作站进行无害化处理。</w:t>
      </w:r>
    </w:p>
    <w:p w14:paraId="6235BBD2">
      <w:pPr>
        <w:pStyle w:val="11"/>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（4）本工程产生的</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废润滑油</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收集后</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14B8D4F8">
      <w:pPr>
        <w:pStyle w:val="65"/>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本工程施工期</w:t>
      </w:r>
      <w:r>
        <w:rPr>
          <w:rFonts w:hint="eastAsia" w:cs="Times New Roman"/>
          <w:color w:val="000000" w:themeColor="text1"/>
          <w:highlight w:val="none"/>
          <w:lang w:val="en-US" w:eastAsia="zh-CN"/>
          <w14:textFill>
            <w14:solidFill>
              <w14:schemeClr w14:val="tx1"/>
            </w14:solidFill>
          </w14:textFill>
        </w:rPr>
        <w:t>产生的</w:t>
      </w:r>
      <w:r>
        <w:rPr>
          <w:rFonts w:hint="default" w:ascii="Times New Roman" w:hAnsi="Times New Roman" w:eastAsia="宋体" w:cs="Times New Roman"/>
          <w:color w:val="000000" w:themeColor="text1"/>
          <w:highlight w:val="none"/>
          <w14:textFill>
            <w14:solidFill>
              <w14:schemeClr w14:val="tx1"/>
            </w14:solidFill>
          </w14:textFill>
        </w:rPr>
        <w:t>生活垃圾集中收集后，委托库车绿能环保科技有限公司清运处置</w:t>
      </w:r>
      <w:r>
        <w:rPr>
          <w:rFonts w:hint="default" w:ascii="Times New Roman" w:hAnsi="Times New Roman" w:eastAsia="宋体" w:cs="Times New Roman"/>
          <w:color w:val="000000" w:themeColor="text1"/>
          <w:spacing w:val="0"/>
          <w:highlight w:val="none"/>
          <w14:textFill>
            <w14:solidFill>
              <w14:schemeClr w14:val="tx1"/>
            </w14:solidFill>
          </w14:textFill>
        </w:rPr>
        <w:t>。</w:t>
      </w:r>
    </w:p>
    <w:p w14:paraId="360871F4">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5"/>
          <w:szCs w:val="25"/>
          <w:highlight w:val="none"/>
          <w:lang w:eastAsia="zh-CN"/>
          <w14:textFill>
            <w14:solidFill>
              <w14:schemeClr w14:val="tx1"/>
            </w14:solidFill>
          </w14:textFill>
        </w:rPr>
        <w:t>（</w:t>
      </w:r>
      <w:r>
        <w:rPr>
          <w:rFonts w:hint="eastAsia" w:cs="Times New Roman"/>
          <w:color w:val="000000" w:themeColor="text1"/>
          <w:sz w:val="25"/>
          <w:szCs w:val="25"/>
          <w:highlight w:val="none"/>
          <w:lang w:val="en-US" w:eastAsia="zh-CN"/>
          <w14:textFill>
            <w14:solidFill>
              <w14:schemeClr w14:val="tx1"/>
            </w14:solidFill>
          </w14:textFill>
        </w:rPr>
        <w:t>6</w:t>
      </w:r>
      <w:r>
        <w:rPr>
          <w:rFonts w:hint="eastAsia" w:cs="Times New Roman"/>
          <w:color w:val="000000" w:themeColor="text1"/>
          <w:sz w:val="25"/>
          <w:szCs w:val="25"/>
          <w:highlight w:val="none"/>
          <w:lang w:eastAsia="zh-CN"/>
          <w14:textFill>
            <w14:solidFill>
              <w14:schemeClr w14:val="tx1"/>
            </w14:solidFill>
          </w14:textFill>
        </w:rPr>
        <w:t>）</w:t>
      </w:r>
      <w:r>
        <w:rPr>
          <w:rFonts w:hint="eastAsia" w:cs="Times New Roman"/>
          <w:color w:val="000000" w:themeColor="text1"/>
          <w:sz w:val="25"/>
          <w:szCs w:val="25"/>
          <w:highlight w:val="none"/>
          <w:lang w:val="en-US" w:eastAsia="zh-CN"/>
          <w14:textFill>
            <w14:solidFill>
              <w14:schemeClr w14:val="tx1"/>
            </w14:solidFill>
          </w14:textFill>
        </w:rPr>
        <w:t>本工程产生的</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施工废料首先考虑回收利用，不可回收利用部分拉运至固废填埋场合规处置。</w:t>
      </w:r>
    </w:p>
    <w:p w14:paraId="3267FBD7">
      <w:pPr>
        <w:pStyle w:val="32"/>
        <w:pageBreakBefore w:val="0"/>
        <w:widowControl w:val="0"/>
        <w:kinsoku/>
        <w:wordWrap/>
        <w:overflowPunct/>
        <w:topLinePunct w:val="0"/>
        <w:autoSpaceDE/>
        <w:autoSpaceDN/>
        <w:bidi w:val="0"/>
        <w:adjustRightInd w:val="0"/>
        <w:snapToGrid w:val="0"/>
        <w:spacing w:after="0" w:line="360" w:lineRule="auto"/>
        <w:ind w:firstLine="48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kern w:val="2"/>
          <w:sz w:val="25"/>
          <w:szCs w:val="25"/>
          <w:highlight w:val="none"/>
          <w:lang w:eastAsia="zh-CN"/>
          <w14:textFill>
            <w14:solidFill>
              <w14:schemeClr w14:val="tx1"/>
            </w14:solidFill>
          </w14:textFill>
        </w:rPr>
        <w:t>（</w:t>
      </w:r>
      <w:r>
        <w:rPr>
          <w:rFonts w:hint="eastAsia" w:ascii="Times New Roman" w:hAnsi="Times New Roman" w:cs="Times New Roman"/>
          <w:color w:val="000000" w:themeColor="text1"/>
          <w:kern w:val="2"/>
          <w:sz w:val="25"/>
          <w:szCs w:val="25"/>
          <w:highlight w:val="none"/>
          <w:lang w:val="en-US" w:eastAsia="zh-CN"/>
          <w14:textFill>
            <w14:solidFill>
              <w14:schemeClr w14:val="tx1"/>
            </w14:solidFill>
          </w14:textFill>
        </w:rPr>
        <w:t>7</w:t>
      </w:r>
      <w:r>
        <w:rPr>
          <w:rFonts w:hint="eastAsia" w:ascii="Times New Roman" w:hAnsi="Times New Roman" w:cs="Times New Roman"/>
          <w:color w:val="000000" w:themeColor="text1"/>
          <w:kern w:val="2"/>
          <w:sz w:val="25"/>
          <w:szCs w:val="25"/>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lang w:eastAsia="zh-CN"/>
          <w14:textFill>
            <w14:solidFill>
              <w14:schemeClr w14:val="tx1"/>
            </w14:solidFill>
          </w14:textFill>
        </w:rPr>
        <w:t>施工土石方</w:t>
      </w:r>
      <w:r>
        <w:rPr>
          <w:rFonts w:hint="default" w:ascii="Times New Roman" w:hAnsi="Times New Roman" w:eastAsia="宋体" w:cs="Times New Roman"/>
          <w:color w:val="000000" w:themeColor="text1"/>
          <w:sz w:val="24"/>
          <w:szCs w:val="24"/>
          <w:highlight w:val="none"/>
          <w14:textFill>
            <w14:solidFill>
              <w14:schemeClr w14:val="tx1"/>
            </w14:solidFill>
          </w14:textFill>
        </w:rPr>
        <w:t>全部用于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4"/>
          <w:szCs w:val="24"/>
          <w:highlight w:val="none"/>
          <w14:textFill>
            <w14:solidFill>
              <w14:schemeClr w14:val="tx1"/>
            </w14:solidFill>
          </w14:textFill>
        </w:rPr>
        <w:t>场回填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场地平整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31A3636">
      <w:pPr>
        <w:pStyle w:val="32"/>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综上，本工程施工期固体废物全部妥善处置，不外排。施工期采取的固体废物污染防治措施可行</w:t>
      </w:r>
      <w:r>
        <w:rPr>
          <w:rFonts w:hint="eastAsia" w:ascii="Times New Roman" w:hAnsi="Times New Roman" w:cs="Times New Roman"/>
          <w:color w:val="000000" w:themeColor="text1"/>
          <w:highlight w:val="none"/>
          <w:lang w:eastAsia="zh-CN"/>
          <w14:textFill>
            <w14:solidFill>
              <w14:schemeClr w14:val="tx1"/>
            </w14:solidFill>
          </w14:textFill>
        </w:rPr>
        <w:t>。</w:t>
      </w:r>
    </w:p>
    <w:p w14:paraId="61F65937">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_Toc6498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bookmarkStart w:id="1271" w:name="OLE_LINK680"/>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.2</w:t>
      </w:r>
      <w:bookmarkEnd w:id="1271"/>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运营期固体废物</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污染防治措施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4E9CD72F">
      <w:pPr>
        <w:pageBreakBefore w:val="0"/>
        <w:widowControl/>
        <w:kinsoku/>
        <w:wordWrap/>
        <w:overflowPunct/>
        <w:topLinePunct w:val="0"/>
        <w:autoSpaceDE/>
        <w:autoSpaceDN/>
        <w:bidi w:val="0"/>
        <w:adjustRightInd w:val="0"/>
        <w:snapToGrid w:val="0"/>
        <w:spacing w:line="360" w:lineRule="auto"/>
        <w:ind w:left="0" w:leftChars="0" w:firstLine="0" w:firstLineChars="0"/>
        <w:textAlignment w:val="auto"/>
        <w:outlineLvl w:val="3"/>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6.7.2.1 固体废物产生及处置情况</w:t>
      </w:r>
    </w:p>
    <w:p w14:paraId="3E25157D">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1</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危险废物</w:t>
      </w:r>
    </w:p>
    <w:p w14:paraId="1C9B69B7">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000000" w:themeColor="text1"/>
          <w:spacing w:val="4"/>
          <w:szCs w:val="22"/>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根据《</w:t>
      </w:r>
      <w:bookmarkStart w:id="1272" w:name="OLE_LINK681"/>
      <w:r>
        <w:rPr>
          <w:rFonts w:hint="default" w:ascii="Times New Roman" w:hAnsi="Times New Roman" w:cs="Times New Roman"/>
          <w:color w:val="000000" w:themeColor="text1"/>
          <w:szCs w:val="24"/>
          <w:highlight w:val="none"/>
          <w14:textFill>
            <w14:solidFill>
              <w14:schemeClr w14:val="tx1"/>
            </w14:solidFill>
          </w14:textFill>
        </w:rPr>
        <w:t>国家危险废物名录</w:t>
      </w:r>
      <w:bookmarkEnd w:id="1272"/>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202</w:t>
      </w:r>
      <w:r>
        <w:rPr>
          <w:rFonts w:hint="default" w:ascii="Times New Roman" w:hAnsi="Times New Roman" w:cs="Times New Roman"/>
          <w:color w:val="000000" w:themeColor="text1"/>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Cs w:val="24"/>
          <w:highlight w:val="none"/>
          <w14:textFill>
            <w14:solidFill>
              <w14:schemeClr w14:val="tx1"/>
            </w14:solidFill>
          </w14:textFill>
        </w:rPr>
        <w:t>年版</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w:t>
      </w:r>
      <w:bookmarkStart w:id="1273" w:name="OLE_LINK688"/>
      <w:r>
        <w:rPr>
          <w:rFonts w:hint="default" w:ascii="Times New Roman" w:hAnsi="Times New Roman" w:cs="Times New Roman"/>
          <w:color w:val="000000" w:themeColor="text1"/>
          <w:szCs w:val="24"/>
          <w:highlight w:val="none"/>
          <w:lang w:eastAsia="zh-CN"/>
          <w14:textFill>
            <w14:solidFill>
              <w14:schemeClr w14:val="tx1"/>
            </w14:solidFill>
          </w14:textFill>
        </w:rPr>
        <w:t>（</w:t>
      </w:r>
      <w:bookmarkStart w:id="1274" w:name="OLE_LINK683"/>
      <w:r>
        <w:rPr>
          <w:rFonts w:hint="default" w:ascii="Times New Roman" w:hAnsi="Times New Roman" w:cs="Times New Roman"/>
          <w:color w:val="000000" w:themeColor="text1"/>
          <w:szCs w:val="24"/>
          <w:highlight w:val="none"/>
          <w14:textFill>
            <w14:solidFill>
              <w14:schemeClr w14:val="tx1"/>
            </w14:solidFill>
          </w14:textFill>
        </w:rPr>
        <w:t>生态环境部令第</w:t>
      </w:r>
      <w:bookmarkStart w:id="1275" w:name="OLE_LINK682"/>
      <w:r>
        <w:rPr>
          <w:rFonts w:hint="default" w:ascii="Times New Roman" w:hAnsi="Times New Roman" w:cs="Times New Roman"/>
          <w:color w:val="000000" w:themeColor="text1"/>
          <w:szCs w:val="24"/>
          <w:highlight w:val="none"/>
          <w:lang w:val="en-US" w:eastAsia="zh-CN"/>
          <w14:textFill>
            <w14:solidFill>
              <w14:schemeClr w14:val="tx1"/>
            </w14:solidFill>
          </w14:textFill>
        </w:rPr>
        <w:t>36</w:t>
      </w:r>
      <w:r>
        <w:rPr>
          <w:rFonts w:hint="default" w:ascii="Times New Roman" w:hAnsi="Times New Roman" w:cs="Times New Roman"/>
          <w:color w:val="000000" w:themeColor="text1"/>
          <w:szCs w:val="24"/>
          <w:highlight w:val="none"/>
          <w14:textFill>
            <w14:solidFill>
              <w14:schemeClr w14:val="tx1"/>
            </w14:solidFill>
          </w14:textFill>
        </w:rPr>
        <w:t>号</w:t>
      </w:r>
      <w:bookmarkEnd w:id="1274"/>
      <w:bookmarkEnd w:id="1275"/>
      <w:r>
        <w:rPr>
          <w:rFonts w:hint="default" w:ascii="Times New Roman" w:hAnsi="Times New Roman" w:cs="Times New Roman"/>
          <w:color w:val="000000" w:themeColor="text1"/>
          <w:szCs w:val="24"/>
          <w:highlight w:val="none"/>
          <w:lang w:eastAsia="zh-CN"/>
          <w14:textFill>
            <w14:solidFill>
              <w14:schemeClr w14:val="tx1"/>
            </w14:solidFill>
          </w14:textFill>
        </w:rPr>
        <w:t>）</w:t>
      </w:r>
      <w:bookmarkEnd w:id="1273"/>
      <w:r>
        <w:rPr>
          <w:rFonts w:hint="default" w:ascii="Times New Roman" w:hAnsi="Times New Roman" w:cs="Times New Roman"/>
          <w:color w:val="000000" w:themeColor="text1"/>
          <w:szCs w:val="24"/>
          <w:highlight w:val="none"/>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lang w:eastAsia="zh-CN"/>
          <w14:textFill>
            <w14:solidFill>
              <w14:schemeClr w14:val="tx1"/>
            </w14:solidFill>
          </w14:textFill>
        </w:rPr>
        <w:t>本</w:t>
      </w:r>
      <w:r>
        <w:rPr>
          <w:rFonts w:hint="default" w:ascii="Times New Roman" w:hAnsi="Times New Roman" w:cs="Times New Roman"/>
          <w:snapToGrid w:val="0"/>
          <w:color w:val="000000" w:themeColor="text1"/>
          <w:spacing w:val="4"/>
          <w:szCs w:val="22"/>
          <w:highlight w:val="none"/>
          <w:lang w:val="en-US" w:eastAsia="zh-CN"/>
          <w14:textFill>
            <w14:solidFill>
              <w14:schemeClr w14:val="tx1"/>
            </w14:solidFill>
          </w14:textFill>
        </w:rPr>
        <w:t>工程</w:t>
      </w:r>
      <w:r>
        <w:rPr>
          <w:rFonts w:hint="default" w:ascii="Times New Roman" w:hAnsi="Times New Roman" w:cs="Times New Roman"/>
          <w:snapToGrid w:val="0"/>
          <w:color w:val="000000" w:themeColor="text1"/>
          <w:spacing w:val="4"/>
          <w:szCs w:val="22"/>
          <w:highlight w:val="none"/>
          <w14:textFill>
            <w14:solidFill>
              <w14:schemeClr w14:val="tx1"/>
            </w14:solidFill>
          </w14:textFill>
        </w:rPr>
        <w:t>运营期产生的危险废物主要有落地油、</w:t>
      </w:r>
      <w:bookmarkStart w:id="1276" w:name="OLE_LINK694"/>
      <w:r>
        <w:rPr>
          <w:rFonts w:hint="default" w:ascii="Times New Roman" w:hAnsi="Times New Roman" w:cs="Times New Roman"/>
          <w:snapToGrid w:val="0"/>
          <w:color w:val="000000" w:themeColor="text1"/>
          <w:spacing w:val="4"/>
          <w:szCs w:val="22"/>
          <w:highlight w:val="none"/>
          <w14:textFill>
            <w14:solidFill>
              <w14:schemeClr w14:val="tx1"/>
            </w14:solidFill>
          </w14:textFill>
        </w:rPr>
        <w:t>废防渗材料</w:t>
      </w:r>
      <w:r>
        <w:rPr>
          <w:rFonts w:hint="eastAsia"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清罐底泥</w:t>
      </w:r>
      <w:r>
        <w:rPr>
          <w:rFonts w:hint="eastAsia" w:cs="Times New Roman"/>
          <w:snapToGrid w:val="0"/>
          <w:color w:val="000000" w:themeColor="text1"/>
          <w:spacing w:val="4"/>
          <w:szCs w:val="22"/>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废润滑油</w:t>
      </w:r>
      <w:bookmarkEnd w:id="1276"/>
      <w:r>
        <w:rPr>
          <w:rFonts w:hint="eastAsia" w:cs="Times New Roman"/>
          <w:snapToGrid w:val="0"/>
          <w:color w:val="000000" w:themeColor="text1"/>
          <w:spacing w:val="4"/>
          <w:szCs w:val="22"/>
          <w:highlight w:val="none"/>
          <w:lang w:val="en-US" w:eastAsia="zh-CN"/>
          <w14:textFill>
            <w14:solidFill>
              <w14:schemeClr w14:val="tx1"/>
            </w14:solidFill>
          </w14:textFill>
        </w:rPr>
        <w:t>和不定期井下作业侧钻产生的废弃油基泥浆岩屑，均</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委托有危废处置资质单位处置。</w:t>
      </w:r>
    </w:p>
    <w:p w14:paraId="2E549F15">
      <w:pPr>
        <w:keepNext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bookmarkStart w:id="1277" w:name="_Hlk76402360"/>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2</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生活垃圾</w:t>
      </w:r>
    </w:p>
    <w:p w14:paraId="483F2879">
      <w:pPr>
        <w:keepNext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color w:val="000000" w:themeColor="text1"/>
          <w:szCs w:val="24"/>
          <w:highlight w:val="none"/>
          <w14:textFill>
            <w14:solidFill>
              <w14:schemeClr w14:val="tx1"/>
            </w14:solidFill>
          </w14:textFill>
        </w:rPr>
      </w:pPr>
      <w:bookmarkStart w:id="1278" w:name="_Hlk77960415"/>
      <w:r>
        <w:rPr>
          <w:rFonts w:hint="default" w:ascii="Times New Roman" w:hAnsi="Times New Roman" w:cs="Times New Roman"/>
          <w:snapToGrid w:val="0"/>
          <w:color w:val="000000" w:themeColor="text1"/>
          <w:spacing w:val="4"/>
          <w:szCs w:val="22"/>
          <w:highlight w:val="none"/>
          <w14:textFill>
            <w14:solidFill>
              <w14:schemeClr w14:val="tx1"/>
            </w14:solidFill>
          </w14:textFill>
        </w:rPr>
        <w:t>运营期工作人员由</w:t>
      </w:r>
      <w:bookmarkStart w:id="1279" w:name="OLE_LINK690"/>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雅克拉采气厂</w:t>
      </w:r>
      <w:bookmarkEnd w:id="1279"/>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内部调剂解决</w:t>
      </w:r>
      <w:r>
        <w:rPr>
          <w:rFonts w:hint="default" w:ascii="Times New Roman" w:hAnsi="Times New Roman" w:cs="Times New Roman"/>
          <w:color w:val="000000" w:themeColor="text1"/>
          <w:highlight w:val="none"/>
          <w14:textFill>
            <w14:solidFill>
              <w14:schemeClr w14:val="tx1"/>
            </w14:solidFill>
          </w14:textFill>
        </w:rPr>
        <w:t>，故不新增生活垃圾</w:t>
      </w:r>
      <w:r>
        <w:rPr>
          <w:rFonts w:hint="default" w:ascii="Times New Roman" w:hAnsi="Times New Roman" w:cs="Times New Roman"/>
          <w:snapToGrid w:val="0"/>
          <w:color w:val="000000" w:themeColor="text1"/>
          <w:spacing w:val="4"/>
          <w:szCs w:val="22"/>
          <w:highlight w:val="none"/>
          <w14:textFill>
            <w14:solidFill>
              <w14:schemeClr w14:val="tx1"/>
            </w14:solidFill>
          </w14:textFill>
        </w:rPr>
        <w:t>。</w:t>
      </w:r>
    </w:p>
    <w:bookmarkEnd w:id="1267"/>
    <w:bookmarkEnd w:id="1278"/>
    <w:p w14:paraId="168B21D4">
      <w:pPr>
        <w:keepNext w:val="0"/>
        <w:keepLines/>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3"/>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.2危险废物处置措</w:t>
      </w:r>
      <w:r>
        <w:rPr>
          <w:rFonts w:hint="default" w:ascii="Times New Roman" w:hAnsi="Times New Roman" w:cs="Times New Roman"/>
          <w:b/>
          <w:color w:val="000000" w:themeColor="text1"/>
          <w:highlight w:val="none"/>
          <w14:textFill>
            <w14:solidFill>
              <w14:schemeClr w14:val="tx1"/>
            </w14:solidFill>
          </w14:textFill>
        </w:rPr>
        <w:t>施可行性分析</w:t>
      </w:r>
    </w:p>
    <w:bookmarkEnd w:id="1277"/>
    <w:p w14:paraId="43FDBA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产生的危险废物不在施工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4"/>
          <w:szCs w:val="24"/>
          <w:highlight w:val="none"/>
          <w14:textFill>
            <w14:solidFill>
              <w14:schemeClr w14:val="tx1"/>
            </w14:solidFill>
          </w14:textFill>
        </w:rPr>
        <w:t>场储存，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直接在作业施工现场由施工人员回收至罐车内，罐车采用密闭的专用罐车，落地油由阿克苏塔河环保工程有限公司绿色环保工作站进行无害化处理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废防渗材料</w:t>
      </w:r>
      <w:r>
        <w:rPr>
          <w:rFonts w:hint="eastAsia" w:ascii="Times New Roman" w:hAnsi="Times New Roman"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清罐底泥</w:t>
      </w:r>
      <w:r>
        <w:rPr>
          <w:rFonts w:hint="eastAsia" w:cs="Times New Roman"/>
          <w:snapToGrid w:val="0"/>
          <w:color w:val="000000" w:themeColor="text1"/>
          <w:spacing w:val="4"/>
          <w:szCs w:val="22"/>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4"/>
          <w:szCs w:val="22"/>
          <w:highlight w:val="none"/>
          <w14:textFill>
            <w14:solidFill>
              <w14:schemeClr w14:val="tx1"/>
            </w14:solidFill>
          </w14:textFill>
        </w:rPr>
        <w:t>废润滑油</w:t>
      </w:r>
      <w:r>
        <w:rPr>
          <w:rFonts w:hint="eastAsia" w:cs="Times New Roman"/>
          <w:snapToGrid w:val="0"/>
          <w:color w:val="000000" w:themeColor="text1"/>
          <w:spacing w:val="4"/>
          <w:szCs w:val="22"/>
          <w:highlight w:val="none"/>
          <w:lang w:val="en-US" w:eastAsia="zh-CN"/>
          <w14:textFill>
            <w14:solidFill>
              <w14:schemeClr w14:val="tx1"/>
            </w14:solidFill>
          </w14:textFill>
        </w:rPr>
        <w:t>和废弃油基泥浆岩屑</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由</w:t>
      </w:r>
      <w:r>
        <w:rPr>
          <w:rFonts w:hint="default" w:ascii="Times New Roman" w:hAnsi="Times New Roman" w:cs="Times New Roman"/>
          <w:color w:val="000000" w:themeColor="text1"/>
          <w:highlight w:val="none"/>
          <w14:textFill>
            <w14:solidFill>
              <w14:schemeClr w14:val="tx1"/>
            </w14:solidFill>
          </w14:textFill>
        </w:rPr>
        <w:t>持有危险废物经营许可证的</w:t>
      </w:r>
      <w:r>
        <w:rPr>
          <w:rFonts w:hint="eastAsia" w:cs="Times New Roman"/>
          <w:color w:val="000000" w:themeColor="text1"/>
          <w:highlight w:val="none"/>
          <w:lang w:eastAsia="zh-CN"/>
          <w14:textFill>
            <w14:solidFill>
              <w14:schemeClr w14:val="tx1"/>
            </w14:solidFill>
          </w14:textFill>
        </w:rPr>
        <w:t>单位利用处置</w:t>
      </w:r>
      <w:r>
        <w:rPr>
          <w:rFonts w:hint="default" w:ascii="Times New Roman" w:hAnsi="Times New Roman" w:eastAsia="宋体" w:cs="Times New Roman"/>
          <w:color w:val="000000" w:themeColor="text1"/>
          <w:sz w:val="24"/>
          <w:szCs w:val="24"/>
          <w:highlight w:val="none"/>
          <w14:textFill>
            <w14:solidFill>
              <w14:schemeClr w14:val="tx1"/>
            </w14:solidFill>
          </w14:textFill>
        </w:rPr>
        <w:t>，严格按照《</w:t>
      </w:r>
      <w:bookmarkStart w:id="1280" w:name="OLE_LINK685"/>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危险废物贮存污染控制标准</w:t>
      </w:r>
      <w:bookmarkEnd w:id="1280"/>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GB18597-2023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1281" w:name="OLE_LINK686"/>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危险废物收集 贮存 运输技术规范</w:t>
      </w:r>
      <w:bookmarkEnd w:id="1281"/>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HJ2025-2012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和《</w:t>
      </w:r>
      <w:bookmarkStart w:id="1282" w:name="OLE_LINK687"/>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危险废物转移管理办法</w:t>
      </w:r>
      <w:bookmarkEnd w:id="1282"/>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1283" w:name="OLE_LINK689"/>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bookmarkEnd w:id="1283"/>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中的相关要求收集、贮存、运输。 </w:t>
      </w:r>
    </w:p>
    <w:p w14:paraId="63EF2E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危险废物收集措施及可行性分析</w:t>
      </w:r>
    </w:p>
    <w:p w14:paraId="481801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建成运行后，</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雅克拉采气厂</w:t>
      </w:r>
      <w:r>
        <w:rPr>
          <w:rFonts w:hint="default" w:ascii="Times New Roman" w:hAnsi="Times New Roman" w:eastAsia="宋体" w:cs="Times New Roman"/>
          <w:color w:val="000000" w:themeColor="text1"/>
          <w:sz w:val="24"/>
          <w:szCs w:val="24"/>
          <w:highlight w:val="none"/>
          <w14:textFill>
            <w14:solidFill>
              <w14:schemeClr w14:val="tx1"/>
            </w14:solidFill>
          </w14:textFill>
        </w:rPr>
        <w:t>应按照</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危险废物贮存污染控制标准》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GB18597-2023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《危险废物识别标志设置技术规范》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 1276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2022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危险废物收集 贮存 运输技术规范</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HJ2025-2012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1284" w:name="OLE_LINK691"/>
      <w:bookmarkStart w:id="1285" w:name="OLE_LINK692"/>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危险废物环境管理指南</w:t>
      </w:r>
      <w:bookmarkEnd w:id="1284"/>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陆上石油天然气开采</w:t>
      </w:r>
      <w:bookmarkEnd w:id="1285"/>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生态环境部公告2021年第74号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相关要求对</w:t>
      </w:r>
      <w:r>
        <w:rPr>
          <w:rFonts w:hint="eastAsia" w:cs="Times New Roman"/>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highlight w:val="none"/>
          <w14:textFill>
            <w14:solidFill>
              <w14:schemeClr w14:val="tx1"/>
            </w14:solidFill>
          </w14:textFill>
        </w:rPr>
        <w:t>进行收集和管理。</w:t>
      </w:r>
    </w:p>
    <w:p w14:paraId="2D21AE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收集危险废物的硬质桶应按要求设置明显的</w:t>
      </w:r>
      <w:r>
        <w:rPr>
          <w:rFonts w:hint="eastAsia" w:cs="Times New Roman"/>
          <w:color w:val="000000" w:themeColor="text1"/>
          <w:sz w:val="24"/>
          <w:szCs w:val="24"/>
          <w:highlight w:val="none"/>
          <w:lang w:eastAsia="zh-CN"/>
          <w14:textFill>
            <w14:solidFill>
              <w14:schemeClr w14:val="tx1"/>
            </w14:solidFill>
          </w14:textFill>
        </w:rPr>
        <w:t>标明</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危险废物相关信息的标签，标签信息应填写完整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详实</w:t>
      </w:r>
      <w:r>
        <w:rPr>
          <w:rFonts w:hint="default" w:ascii="Times New Roman" w:hAnsi="Times New Roman" w:eastAsia="宋体" w:cs="Times New Roman"/>
          <w:color w:val="000000" w:themeColor="text1"/>
          <w:sz w:val="24"/>
          <w:szCs w:val="24"/>
          <w:highlight w:val="none"/>
          <w14:textFill>
            <w14:solidFill>
              <w14:schemeClr w14:val="tx1"/>
            </w14:solidFill>
          </w14:textFill>
        </w:rPr>
        <w:t>。具体要求如下：</w:t>
      </w:r>
    </w:p>
    <w:p w14:paraId="3F37E0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危险废物标签规格颜色说明：规格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14:textFill>
            <w14:solidFill>
              <w14:schemeClr w14:val="tx1"/>
            </w14:solidFill>
          </w14:textFill>
        </w:rPr>
        <w:t>正方形，40×40cm；底色</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14:textFill>
            <w14:solidFill>
              <w14:schemeClr w14:val="tx1"/>
            </w14:solidFill>
          </w14:textFill>
        </w:rPr>
        <w:t>醒目的橘黄色；字体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14:textFill>
            <w14:solidFill>
              <w14:schemeClr w14:val="tx1"/>
            </w14:solidFill>
          </w14:textFill>
        </w:rPr>
        <w:t>黑体字；字体颜色</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14:textFill>
            <w14:solidFill>
              <w14:schemeClr w14:val="tx1"/>
            </w14:solidFill>
          </w14:textFill>
        </w:rPr>
        <w:t>黑色。</w:t>
      </w:r>
    </w:p>
    <w:p w14:paraId="44E8A7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危险废物类别：按危险废物种类选择，危险废物类别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见图6.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0C186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材料应坚固、耐用、抗风化、抗淋蚀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，危险废物相关信息标签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见图6.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BE2C2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④</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装载液体、固体的危险废物的硬质桶内必须留足够的空间，硬质桶顶部与液体表面之间保留100mm以上的空间。</w:t>
      </w:r>
    </w:p>
    <w:p w14:paraId="03E8C7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449320" cy="2653030"/>
            <wp:effectExtent l="0" t="0" r="17780" b="13970"/>
            <wp:docPr id="62" name="图片 2"/>
            <wp:cNvGraphicFramePr/>
            <a:graphic xmlns:a="http://schemas.openxmlformats.org/drawingml/2006/main">
              <a:graphicData uri="http://schemas.openxmlformats.org/drawingml/2006/picture">
                <pic:pic xmlns:pic="http://schemas.openxmlformats.org/drawingml/2006/picture">
                  <pic:nvPicPr>
                    <pic:cNvPr id="62" name="图片 2"/>
                    <pic:cNvPicPr/>
                  </pic:nvPicPr>
                  <pic:blipFill>
                    <a:blip r:embed="rId90"/>
                    <a:stretch>
                      <a:fillRect/>
                    </a:stretch>
                  </pic:blipFill>
                  <pic:spPr>
                    <a:xfrm>
                      <a:off x="0" y="0"/>
                      <a:ext cx="3449320" cy="2653030"/>
                    </a:xfrm>
                    <a:prstGeom prst="rect">
                      <a:avLst/>
                    </a:prstGeom>
                    <a:noFill/>
                    <a:ln>
                      <a:noFill/>
                    </a:ln>
                  </pic:spPr>
                </pic:pic>
              </a:graphicData>
            </a:graphic>
          </wp:inline>
        </w:drawing>
      </w:r>
    </w:p>
    <w:p w14:paraId="5E74E40D">
      <w:pPr>
        <w:keepNext w:val="0"/>
        <w:keepLines w:val="0"/>
        <w:pageBreakBefore w:val="0"/>
        <w:widowControl w:val="0"/>
        <w:kinsoku/>
        <w:wordWrap/>
        <w:overflowPunct/>
        <w:topLinePunct w:val="0"/>
        <w:autoSpaceDE/>
        <w:autoSpaceDN/>
        <w:bidi w:val="0"/>
        <w:adjustRightInd w:val="0"/>
        <w:snapToGrid w:val="0"/>
        <w:spacing w:line="240" w:lineRule="auto"/>
        <w:ind w:left="0" w:firstLine="482"/>
        <w:jc w:val="center"/>
        <w:textAlignment w:val="auto"/>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t>图6.</w:t>
      </w:r>
      <w:r>
        <w:rPr>
          <w:rFonts w:hint="eastAsia" w:ascii="Times New Roman" w:hAnsi="Times New Roman" w:eastAsia="黑体" w:cs="Times New Roman"/>
          <w:color w:val="000000" w:themeColor="text1"/>
          <w:sz w:val="21"/>
          <w:szCs w:val="24"/>
          <w:highlight w:val="none"/>
          <w:lang w:val="en-US" w:eastAsia="zh-CN" w:bidi="ar-SA"/>
          <w14:textFill>
            <w14:solidFill>
              <w14:schemeClr w14:val="tx1"/>
            </w14:solidFill>
          </w14:textFill>
        </w:rPr>
        <w:t>7</w:t>
      </w:r>
      <w:r>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t>-1   危险废物类别图</w:t>
      </w:r>
    </w:p>
    <w:p w14:paraId="424B487E">
      <w:pPr>
        <w:pStyle w:val="2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430905" cy="2580640"/>
            <wp:effectExtent l="0" t="0" r="17145" b="1016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1"/>
                    <a:stretch>
                      <a:fillRect/>
                    </a:stretch>
                  </pic:blipFill>
                  <pic:spPr>
                    <a:xfrm>
                      <a:off x="0" y="0"/>
                      <a:ext cx="3430905" cy="2580640"/>
                    </a:xfrm>
                    <a:prstGeom prst="rect">
                      <a:avLst/>
                    </a:prstGeom>
                    <a:noFill/>
                    <a:ln>
                      <a:noFill/>
                    </a:ln>
                  </pic:spPr>
                </pic:pic>
              </a:graphicData>
            </a:graphic>
          </wp:inline>
        </w:drawing>
      </w:r>
    </w:p>
    <w:p w14:paraId="08B821D4">
      <w:pPr>
        <w:keepNext w:val="0"/>
        <w:keepLines w:val="0"/>
        <w:pageBreakBefore w:val="0"/>
        <w:widowControl w:val="0"/>
        <w:kinsoku/>
        <w:wordWrap/>
        <w:overflowPunct/>
        <w:topLinePunct w:val="0"/>
        <w:autoSpaceDE/>
        <w:autoSpaceDN/>
        <w:bidi w:val="0"/>
        <w:adjustRightInd w:val="0"/>
        <w:snapToGrid w:val="0"/>
        <w:spacing w:line="240" w:lineRule="auto"/>
        <w:ind w:left="0" w:firstLine="482"/>
        <w:jc w:val="center"/>
        <w:textAlignment w:val="auto"/>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t>图6.</w:t>
      </w:r>
      <w:r>
        <w:rPr>
          <w:rFonts w:hint="eastAsia" w:ascii="Times New Roman" w:hAnsi="Times New Roman" w:eastAsia="黑体" w:cs="Times New Roman"/>
          <w:color w:val="000000" w:themeColor="text1"/>
          <w:sz w:val="21"/>
          <w:szCs w:val="24"/>
          <w:highlight w:val="none"/>
          <w:lang w:val="en-US" w:eastAsia="zh-CN" w:bidi="ar-SA"/>
          <w14:textFill>
            <w14:solidFill>
              <w14:schemeClr w14:val="tx1"/>
            </w14:solidFill>
          </w14:textFill>
        </w:rPr>
        <w:t>7</w:t>
      </w:r>
      <w:r>
        <w:rPr>
          <w:rFonts w:hint="default" w:ascii="Times New Roman" w:hAnsi="Times New Roman" w:eastAsia="黑体" w:cs="Times New Roman"/>
          <w:color w:val="000000" w:themeColor="text1"/>
          <w:sz w:val="21"/>
          <w:szCs w:val="24"/>
          <w:highlight w:val="none"/>
          <w:lang w:val="en-US" w:eastAsia="zh-CN" w:bidi="ar-SA"/>
          <w14:textFill>
            <w14:solidFill>
              <w14:schemeClr w14:val="tx1"/>
            </w14:solidFill>
          </w14:textFill>
        </w:rPr>
        <w:t>-2   危险废物相关信息标签</w:t>
      </w:r>
    </w:p>
    <w:p w14:paraId="6DD91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危险废物运输依托可行性分析</w:t>
      </w:r>
    </w:p>
    <w:p w14:paraId="5346C3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产生的危险废物委托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持有</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危险废物运输资质的单位采用专用运输车辆进行运输，按要求填写危险废物的收集记录、转运记录表，并将记录表作为危险废物管理的重要档案妥善保存。并严格按照《危险废物转移管理办法》</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，实施危险废物转移联单管理制度。为防止危险废物在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z w:val="24"/>
          <w:szCs w:val="24"/>
          <w:highlight w:val="none"/>
          <w14:textFill>
            <w14:solidFill>
              <w14:schemeClr w14:val="tx1"/>
            </w14:solidFill>
          </w14:textFill>
        </w:rPr>
        <w:t>内临时贮存过程中对环境产生污染影响，根据《危险废物转移管理办法》</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1286" w:name="OLE_LINK695"/>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危险废物产生单位管理计划制定指南</w:t>
      </w:r>
      <w:bookmarkEnd w:id="1286"/>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危险废物贮存污染控制标准》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GB18597-2023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及《危险废物收集 贮存 运输技术规范》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HJ2025-2012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中的相关要求，本评价要求：</w:t>
      </w:r>
    </w:p>
    <w:p w14:paraId="343FBF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287" w:name="OLE_LINK721"/>
      <w:r>
        <w:rPr>
          <w:rFonts w:hint="default" w:ascii="Times New Roman" w:hAnsi="Times New Roman" w:eastAsia="宋体" w:cs="Times New Roman"/>
          <w:color w:val="000000" w:themeColor="text1"/>
          <w:sz w:val="24"/>
          <w:szCs w:val="24"/>
          <w:highlight w:val="none"/>
          <w14:textFill>
            <w14:solidFill>
              <w14:schemeClr w14:val="tx1"/>
            </w14:solidFill>
          </w14:textFill>
        </w:rPr>
        <w:t>①</w:t>
      </w:r>
      <w:bookmarkEnd w:id="1287"/>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转移过程应采取防扬散、防流失、防渗漏措施，不得擅自倾倒、堆放、丢弃、遗撒；制定危险废物突发环境事件的防范措施和应急预案，发生危险废物突发环境事件时，采取有效措施消除或者减轻对环境的污染危害；制定危险废物管理计划，结合自身的实际情况，与生产记录相衔接，建立危险废物管理台账记录，如实记载产生危险废物的种类、数量、流向、贮存、利用处置等信息，并填写、运行危险废物转移联单。</w:t>
      </w:r>
    </w:p>
    <w:p w14:paraId="446A41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②建设单位在借鉴同行业发展水平和经验的基础上，提出减少危险废物产生量和危害性的计划，明确改进原料、工艺、技术、管理等方面的具体措施。</w:t>
      </w:r>
    </w:p>
    <w:p w14:paraId="2AD6BC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危险废物内部转运作业应满足如下要求：综合考虑站内的实际情况确定转运路线，尽量避开办公区和生活区；危险废物内部转运作业应采用专用的工具，内部转运填写《危险废物厂内转运记录表》；危险废物内部转运结束后，应对转运路线进行检查和清理，确保无危险废物遗失在转运路线上，并对转运工具进行清洗。</w:t>
      </w:r>
    </w:p>
    <w:p w14:paraId="27A20F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④危险废物转移应遵从《危险废物转移管理办法》</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生态环境部令第</w:t>
      </w:r>
      <w:r>
        <w:rPr>
          <w:rFonts w:hint="eastAsia" w:ascii="Times New Roman" w:hAnsi="Times New Roman" w:cs="Times New Roman"/>
          <w:color w:val="000000" w:themeColor="text1"/>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Cs w:val="24"/>
          <w:highlight w:val="none"/>
          <w14:textFill>
            <w14:solidFill>
              <w14:schemeClr w14:val="tx1"/>
            </w14:solidFill>
          </w14:textFill>
        </w:rPr>
        <w:t>号</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及其他有关规定的要求。</w:t>
      </w:r>
    </w:p>
    <w:p w14:paraId="7DB18B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highlight w:val="none"/>
          <w14:textFill>
            <w14:solidFill>
              <w14:schemeClr w14:val="tx1"/>
            </w14:solidFill>
          </w14:textFill>
        </w:rPr>
        <w:t>处置依托可行性分析</w:t>
      </w:r>
    </w:p>
    <w:p w14:paraId="5FC899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1288" w:name="OLE_LINK719"/>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落地油</w:t>
      </w:r>
    </w:p>
    <w:p w14:paraId="6AB658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289" w:name="OLE_LINK722"/>
      <w:r>
        <w:rPr>
          <w:rFonts w:hint="default" w:ascii="Times New Roman" w:hAnsi="Times New Roman" w:cs="Times New Roman"/>
          <w:color w:val="000000" w:themeColor="text1"/>
          <w:highlight w:val="none"/>
          <w14:textFill>
            <w14:solidFill>
              <w14:schemeClr w14:val="tx1"/>
            </w14:solidFill>
          </w14:textFill>
        </w:rPr>
        <w:t>落地油</w:t>
      </w:r>
      <w:bookmarkEnd w:id="1289"/>
      <w:r>
        <w:rPr>
          <w:rFonts w:hint="default" w:ascii="Times New Roman" w:hAnsi="Times New Roman" w:cs="Times New Roman"/>
          <w:color w:val="000000" w:themeColor="text1"/>
          <w:highlight w:val="none"/>
          <w14:textFill>
            <w14:solidFill>
              <w14:schemeClr w14:val="tx1"/>
            </w14:solidFill>
          </w14:textFill>
        </w:rPr>
        <w:t>主要来自</w:t>
      </w:r>
      <w:r>
        <w:rPr>
          <w:rFonts w:hint="default" w:ascii="Times New Roman" w:hAnsi="Times New Roman" w:cs="Times New Roman"/>
          <w:color w:val="000000" w:themeColor="text1"/>
          <w:highlight w:val="none"/>
          <w:lang w:val="en-US" w:eastAsia="zh-CN"/>
          <w14:textFill>
            <w14:solidFill>
              <w14:schemeClr w14:val="tx1"/>
            </w14:solidFill>
          </w14:textFill>
        </w:rPr>
        <w:t>井下作业环节</w:t>
      </w:r>
      <w:r>
        <w:rPr>
          <w:rFonts w:hint="default" w:ascii="Times New Roman" w:hAnsi="Times New Roman" w:cs="Times New Roman"/>
          <w:color w:val="000000" w:themeColor="text1"/>
          <w:highlight w:val="none"/>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油气</w:t>
      </w:r>
      <w:r>
        <w:rPr>
          <w:rFonts w:hint="default" w:ascii="Times New Roman" w:hAnsi="Times New Roman" w:cs="Times New Roman"/>
          <w:color w:val="000000" w:themeColor="text1"/>
          <w:highlight w:val="none"/>
          <w14:textFill>
            <w14:solidFill>
              <w14:schemeClr w14:val="tx1"/>
            </w14:solidFill>
          </w14:textFill>
        </w:rPr>
        <w:t>处理环节等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《国家危险废物名录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End w:id="1288"/>
      <w:bookmarkStart w:id="1290" w:name="OLE_LINK720"/>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bookmarkEnd w:id="1290"/>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落地油</w:t>
      </w:r>
      <w:r>
        <w:rPr>
          <w:rFonts w:hint="default" w:ascii="Times New Roman" w:hAnsi="Times New Roman" w:cs="Times New Roman"/>
          <w:color w:val="000000" w:themeColor="text1"/>
          <w:highlight w:val="none"/>
          <w14:textFill>
            <w14:solidFill>
              <w14:schemeClr w14:val="tx1"/>
            </w14:solidFill>
          </w14:textFill>
        </w:rPr>
        <w:t>废物类别</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14:textFill>
            <w14:solidFill>
              <w14:schemeClr w14:val="tx1"/>
            </w14:solidFill>
          </w14:textFill>
        </w:rPr>
        <w:t>HW08废矿物油与含矿物油废物</w:t>
      </w:r>
      <w:r>
        <w:rPr>
          <w:rFonts w:hint="default" w:ascii="Times New Roman" w:hAnsi="Times New Roman" w:cs="Times New Roman"/>
          <w:color w:val="000000" w:themeColor="text1"/>
          <w:highlight w:val="none"/>
          <w:lang w:eastAsia="zh-CN"/>
          <w14:textFill>
            <w14:solidFill>
              <w14:schemeClr w14:val="tx1"/>
            </w14:solidFill>
          </w14:textFill>
        </w:rPr>
        <w:t>（废物代码：</w:t>
      </w:r>
      <w:r>
        <w:rPr>
          <w:rFonts w:hint="default" w:ascii="Times New Roman" w:hAnsi="Times New Roman" w:cs="Times New Roman"/>
          <w:color w:val="000000" w:themeColor="text1"/>
          <w:highlight w:val="none"/>
          <w14:textFill>
            <w14:solidFill>
              <w14:schemeClr w14:val="tx1"/>
            </w14:solidFill>
          </w14:textFill>
        </w:rPr>
        <w:t>071-001-08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落地油不在施工井场储存，直接在作业施工现场由施工人员回收至密闭的专用罐车内，</w:t>
      </w:r>
      <w:r>
        <w:rPr>
          <w:rFonts w:hint="default" w:ascii="Times New Roman" w:hAnsi="Times New Roman" w:cs="Times New Roman"/>
          <w:snapToGrid w:val="0"/>
          <w:color w:val="000000" w:themeColor="text1"/>
          <w:spacing w:val="4"/>
          <w:szCs w:val="22"/>
          <w:highlight w:val="none"/>
          <w14:textFill>
            <w14:solidFill>
              <w14:schemeClr w14:val="tx1"/>
            </w14:solidFill>
          </w14:textFill>
        </w:rPr>
        <w:t>统一由阿克苏塔河环保工程有限公司绿色环保工作站进行无害化处理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61AAB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highlight w:val="none"/>
          <w:lang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eastAsia="宋体" w:cs="Times New Roman"/>
          <w:color w:val="000000" w:themeColor="text1"/>
          <w:highlight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highlight w:val="none"/>
          <w:lang w:eastAsia="zh-CN"/>
          <w14:textFill>
            <w14:solidFill>
              <w14:schemeClr w14:val="tx1"/>
            </w14:solidFill>
          </w14:textFill>
        </w:rPr>
        <w:t>废润滑油</w:t>
      </w:r>
    </w:p>
    <w:p w14:paraId="5870A4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bookmarkStart w:id="1291" w:name="OLE_LINK723"/>
      <w:r>
        <w:rPr>
          <w:rFonts w:hint="default" w:ascii="Times New Roman" w:hAnsi="Times New Roman" w:eastAsia="宋体" w:cs="Times New Roman"/>
          <w:color w:val="000000" w:themeColor="text1"/>
          <w:highlight w:val="none"/>
          <w:lang w:eastAsia="zh-CN"/>
          <w14:textFill>
            <w14:solidFill>
              <w14:schemeClr w14:val="tx1"/>
            </w14:solidFill>
          </w14:textFill>
        </w:rPr>
        <w:t>废润滑油</w:t>
      </w:r>
      <w:bookmarkEnd w:id="1291"/>
      <w:r>
        <w:rPr>
          <w:rFonts w:hint="default" w:ascii="Times New Roman" w:hAnsi="Times New Roman" w:eastAsia="宋体" w:cs="Times New Roman"/>
          <w:color w:val="000000" w:themeColor="text1"/>
          <w:highlight w:val="none"/>
          <w:lang w:eastAsia="zh-CN"/>
          <w14:textFill>
            <w14:solidFill>
              <w14:schemeClr w14:val="tx1"/>
            </w14:solidFill>
          </w14:textFill>
        </w:rPr>
        <w:t>主要来自设备维修</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过程</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highlight w:val="none"/>
          <w:lang w:eastAsia="zh-CN"/>
          <w14:textFill>
            <w14:solidFill>
              <w14:schemeClr w14:val="tx1"/>
            </w14:solidFill>
          </w14:textFill>
        </w:rPr>
        <w:t>《国家危险废物名录（2025年版）》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，废润滑油</w:t>
      </w:r>
      <w:r>
        <w:rPr>
          <w:rFonts w:hint="default" w:ascii="Times New Roman" w:hAnsi="Times New Roman" w:eastAsia="宋体" w:cs="Times New Roman"/>
          <w:color w:val="000000" w:themeColor="text1"/>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highlight w:val="none"/>
          <w:lang w:eastAsia="zh-CN"/>
          <w14:textFill>
            <w14:solidFill>
              <w14:schemeClr w14:val="tx1"/>
            </w14:solidFill>
          </w14:textFill>
        </w:rPr>
        <w:t>HW08</w:t>
      </w:r>
      <w:r>
        <w:rPr>
          <w:rFonts w:hint="default" w:ascii="Times New Roman" w:hAnsi="Times New Roman" w:cs="Times New Roman"/>
          <w:color w:val="000000" w:themeColor="text1"/>
          <w:highlight w:val="none"/>
          <w14:textFill>
            <w14:solidFill>
              <w14:schemeClr w14:val="tx1"/>
            </w14:solidFill>
          </w14:textFill>
        </w:rPr>
        <w:t>废矿物油与含矿物油废物</w:t>
      </w:r>
      <w:r>
        <w:rPr>
          <w:rFonts w:hint="default" w:ascii="Times New Roman" w:hAnsi="Times New Roman" w:eastAsia="宋体" w:cs="Times New Roman"/>
          <w:color w:val="000000" w:themeColor="text1"/>
          <w:highlight w:val="none"/>
          <w:lang w:eastAsia="zh-CN"/>
          <w14:textFill>
            <w14:solidFill>
              <w14:schemeClr w14:val="tx1"/>
            </w14:solidFill>
          </w14:textFill>
        </w:rPr>
        <w:t>（废物代码：900-214-08）。废润滑油间歇产生，</w:t>
      </w:r>
      <w:r>
        <w:rPr>
          <w:rFonts w:hint="default" w:ascii="Times New Roman" w:hAnsi="Times New Roman" w:eastAsia="宋体" w:cs="Times New Roman"/>
          <w:color w:val="000000" w:themeColor="text1"/>
          <w:highlight w:val="none"/>
          <w:lang w:val="en-US" w:eastAsia="zh-CN"/>
          <w14:textFill>
            <w14:solidFill>
              <w14:schemeClr w14:val="tx1"/>
            </w14:solidFill>
          </w14:textFill>
        </w:rPr>
        <w:t>收集后</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63EFAE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instrText xml:space="preserve"> = 3 \* GB3 \* MERGEFORMAT </w:instrTex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③</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清罐底泥</w:t>
      </w:r>
    </w:p>
    <w:p w14:paraId="13AAFC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bookmarkStart w:id="1292" w:name="OLE_LINK724"/>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清罐底泥</w:t>
      </w:r>
      <w:bookmarkEnd w:id="1292"/>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主要来自井场储罐和天然气处理装置排污罐。根据《国家危险废物名录（2025年版）》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，落地油废物类别为HW08废矿物油与含矿物油废物（废物代码：071-001-08）。清罐底泥直接在作业施</w:t>
      </w:r>
      <w:r>
        <w:rPr>
          <w:rFonts w:hint="default" w:ascii="Times New Roman" w:hAnsi="Times New Roman" w:cs="Times New Roman"/>
          <w:color w:val="000000" w:themeColor="text1"/>
          <w:highlight w:val="none"/>
          <w:lang w:val="en-US" w:eastAsia="zh-CN"/>
          <w14:textFill>
            <w14:solidFill>
              <w14:schemeClr w14:val="tx1"/>
            </w14:solidFill>
          </w14:textFill>
        </w:rPr>
        <w:t>工现场由施工人员回收至密闭的专用罐车内，委托持有危险废物经营许可证的单位利用处置</w:t>
      </w:r>
      <w:r>
        <w:rPr>
          <w:rFonts w:hint="default" w:ascii="Times New Roman" w:hAnsi="Times New Roman" w:cs="Times New Roman"/>
          <w:color w:val="000000" w:themeColor="text1"/>
          <w:highlight w:val="none"/>
          <w:lang w:eastAsia="zh-CN"/>
          <w14:textFill>
            <w14:solidFill>
              <w14:schemeClr w14:val="tx1"/>
            </w14:solidFill>
          </w14:textFill>
        </w:rPr>
        <w:t>。</w:t>
      </w:r>
    </w:p>
    <w:p w14:paraId="3544F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4 \* GB3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④</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废防渗材料</w:t>
      </w:r>
    </w:p>
    <w:p w14:paraId="6DAB1C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1293" w:name="OLE_LINK725"/>
      <w:r>
        <w:rPr>
          <w:rFonts w:hint="default" w:ascii="Times New Roman" w:hAnsi="Times New Roman" w:cs="Times New Roman"/>
          <w:color w:val="000000" w:themeColor="text1"/>
          <w:highlight w:val="none"/>
          <w:lang w:val="en-US" w:eastAsia="zh-CN"/>
          <w14:textFill>
            <w14:solidFill>
              <w14:schemeClr w14:val="tx1"/>
            </w14:solidFill>
          </w14:textFill>
        </w:rPr>
        <w:t>废防渗材料</w:t>
      </w:r>
      <w:bookmarkEnd w:id="1293"/>
      <w:r>
        <w:rPr>
          <w:rFonts w:hint="default" w:ascii="Times New Roman" w:hAnsi="Times New Roman" w:cs="Times New Roman"/>
          <w:color w:val="000000" w:themeColor="text1"/>
          <w:highlight w:val="none"/>
          <w:lang w:val="en-US" w:eastAsia="zh-CN"/>
          <w14:textFill>
            <w14:solidFill>
              <w14:schemeClr w14:val="tx1"/>
            </w14:solidFill>
          </w14:textFill>
        </w:rPr>
        <w:t>主要来自作业过程。根据《国家危险废物名录（2025年版）》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生态环境部令第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，废防渗材料</w:t>
      </w:r>
      <w:r>
        <w:rPr>
          <w:rFonts w:hint="default" w:ascii="Times New Roman" w:hAnsi="Times New Roman" w:cs="Times New Roman"/>
          <w:color w:val="000000" w:themeColor="text1"/>
          <w:highlight w:val="none"/>
          <w14:textFill>
            <w14:solidFill>
              <w14:schemeClr w14:val="tx1"/>
            </w14:solidFill>
          </w14:textFill>
        </w:rPr>
        <w:t>废物类别</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14:textFill>
            <w14:solidFill>
              <w14:schemeClr w14:val="tx1"/>
            </w14:solidFill>
          </w14:textFill>
        </w:rPr>
        <w:t>HW08废矿物油与含矿物油废物</w:t>
      </w:r>
      <w:r>
        <w:rPr>
          <w:rFonts w:hint="default" w:ascii="Times New Roman" w:hAnsi="Times New Roman" w:cs="Times New Roman"/>
          <w:color w:val="000000" w:themeColor="text1"/>
          <w:highlight w:val="none"/>
          <w:lang w:eastAsia="zh-CN"/>
          <w14:textFill>
            <w14:solidFill>
              <w14:schemeClr w14:val="tx1"/>
            </w14:solidFill>
          </w14:textFill>
        </w:rPr>
        <w:t>（废物代码：</w:t>
      </w:r>
      <w:r>
        <w:rPr>
          <w:rFonts w:hint="default" w:ascii="Times New Roman" w:hAnsi="Times New Roman" w:cs="Times New Roman"/>
          <w:color w:val="000000" w:themeColor="text1"/>
          <w:highlight w:val="none"/>
          <w14:textFill>
            <w14:solidFill>
              <w14:schemeClr w14:val="tx1"/>
            </w14:solidFill>
          </w14:textFill>
        </w:rPr>
        <w:t>900-249-08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1C140F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运营期作业时，作业场地下方铺设防渗材料，产生的落地油直接落在防渗材料上，目前油田使用的防渗材料均可重复利用，平均重复利用1</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2年。作业施工结束后，由施工单位将废弃的</w:t>
      </w:r>
      <w:r>
        <w:rPr>
          <w:rFonts w:hint="default" w:ascii="Times New Roman" w:hAnsi="Times New Roman" w:cs="Times New Roman"/>
          <w:color w:val="000000" w:themeColor="text1"/>
          <w:highlight w:val="none"/>
          <w:lang w:val="en-US" w:eastAsia="zh-CN"/>
          <w14:textFill>
            <w14:solidFill>
              <w14:schemeClr w14:val="tx1"/>
            </w14:solidFill>
          </w14:textFill>
        </w:rPr>
        <w:t>废防渗材料</w:t>
      </w:r>
      <w:r>
        <w:rPr>
          <w:rFonts w:hint="default" w:ascii="Times New Roman" w:hAnsi="Times New Roman" w:cs="Times New Roman"/>
          <w:color w:val="000000" w:themeColor="text1"/>
          <w:highlight w:val="none"/>
          <w14:textFill>
            <w14:solidFill>
              <w14:schemeClr w14:val="tx1"/>
            </w14:solidFill>
          </w14:textFill>
        </w:rPr>
        <w:t>集中收集，不在井场贮存，委托持有危险废物经营许可证的</w:t>
      </w:r>
      <w:r>
        <w:rPr>
          <w:rFonts w:hint="default" w:ascii="Times New Roman" w:hAnsi="Times New Roman" w:cs="Times New Roman"/>
          <w:color w:val="000000" w:themeColor="text1"/>
          <w:highlight w:val="none"/>
          <w:lang w:eastAsia="zh-CN"/>
          <w14:textFill>
            <w14:solidFill>
              <w14:schemeClr w14:val="tx1"/>
            </w14:solidFill>
          </w14:textFill>
        </w:rPr>
        <w:t>单位利用处置</w:t>
      </w:r>
      <w:r>
        <w:rPr>
          <w:rFonts w:hint="default" w:ascii="Times New Roman" w:hAnsi="Times New Roman" w:cs="Times New Roman"/>
          <w:color w:val="000000" w:themeColor="text1"/>
          <w:highlight w:val="none"/>
          <w14:textFill>
            <w14:solidFill>
              <w14:schemeClr w14:val="tx1"/>
            </w14:solidFill>
          </w14:textFill>
        </w:rPr>
        <w:t>，拉运过程中持有危险废物经营许可证的单位应使用专车、按照指定的拉运路线</w:t>
      </w:r>
      <w:r>
        <w:rPr>
          <w:rFonts w:hint="default" w:ascii="Times New Roman" w:hAnsi="Times New Roman" w:cs="Times New Roman"/>
          <w:color w:val="000000" w:themeColor="text1"/>
          <w:highlight w:val="none"/>
          <w:lang w:eastAsia="zh-CN"/>
          <w14:textFill>
            <w14:solidFill>
              <w14:schemeClr w14:val="tx1"/>
            </w14:solidFill>
          </w14:textFill>
        </w:rPr>
        <w:t>。</w:t>
      </w:r>
    </w:p>
    <w:p w14:paraId="305B6149">
      <w:pPr>
        <w:pStyle w:val="11"/>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5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⑤</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生活垃圾</w:t>
      </w:r>
    </w:p>
    <w:p w14:paraId="17BBCDB9">
      <w:pPr>
        <w:pStyle w:val="11"/>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bookmarkStart w:id="1294" w:name="OLE_LINK727"/>
      <w:r>
        <w:rPr>
          <w:rFonts w:hint="default" w:ascii="Times New Roman" w:hAnsi="Times New Roman" w:cs="Times New Roman"/>
          <w:color w:val="000000" w:themeColor="text1"/>
          <w:highlight w:val="none"/>
          <w14:textFill>
            <w14:solidFill>
              <w14:schemeClr w14:val="tx1"/>
            </w14:solidFill>
          </w14:textFill>
        </w:rPr>
        <w:t>运营期</w:t>
      </w:r>
      <w:bookmarkEnd w:id="1294"/>
      <w:r>
        <w:rPr>
          <w:rFonts w:hint="default" w:ascii="Times New Roman" w:hAnsi="Times New Roman" w:cs="Times New Roman"/>
          <w:color w:val="000000" w:themeColor="text1"/>
          <w:highlight w:val="none"/>
          <w14:textFill>
            <w14:solidFill>
              <w14:schemeClr w14:val="tx1"/>
            </w14:solidFill>
          </w14:textFill>
        </w:rPr>
        <w:t>工作人员由</w:t>
      </w:r>
      <w:r>
        <w:rPr>
          <w:rFonts w:hint="default" w:ascii="Times New Roman" w:hAnsi="Times New Roman" w:eastAsia="宋体" w:cs="Times New Roman"/>
          <w:color w:val="000000" w:themeColor="text1"/>
          <w:kern w:val="2"/>
          <w:sz w:val="24"/>
          <w:szCs w:val="20"/>
          <w:highlight w:val="none"/>
          <w:lang w:val="en-US" w:eastAsia="zh-CN" w:bidi="ar"/>
          <w14:textFill>
            <w14:solidFill>
              <w14:schemeClr w14:val="tx1"/>
            </w14:solidFill>
          </w14:textFill>
        </w:rPr>
        <w:t>雅克拉采气厂内部调剂解决</w:t>
      </w:r>
      <w:r>
        <w:rPr>
          <w:rFonts w:hint="default" w:ascii="Times New Roman" w:hAnsi="Times New Roman" w:cs="Times New Roman"/>
          <w:color w:val="000000" w:themeColor="text1"/>
          <w:highlight w:val="none"/>
          <w14:textFill>
            <w14:solidFill>
              <w14:schemeClr w14:val="tx1"/>
            </w14:solidFill>
          </w14:textFill>
        </w:rPr>
        <w:t>，故不新增</w:t>
      </w:r>
      <w:bookmarkStart w:id="1295" w:name="OLE_LINK726"/>
      <w:r>
        <w:rPr>
          <w:rFonts w:hint="default" w:ascii="Times New Roman" w:hAnsi="Times New Roman" w:cs="Times New Roman"/>
          <w:color w:val="000000" w:themeColor="text1"/>
          <w:highlight w:val="none"/>
          <w14:textFill>
            <w14:solidFill>
              <w14:schemeClr w14:val="tx1"/>
            </w14:solidFill>
          </w14:textFill>
        </w:rPr>
        <w:t>生活垃圾</w:t>
      </w:r>
      <w:bookmarkEnd w:id="1295"/>
      <w:r>
        <w:rPr>
          <w:rFonts w:hint="default" w:ascii="Times New Roman" w:hAnsi="Times New Roman" w:cs="Times New Roman"/>
          <w:color w:val="000000" w:themeColor="text1"/>
          <w:highlight w:val="none"/>
          <w14:textFill>
            <w14:solidFill>
              <w14:schemeClr w14:val="tx1"/>
            </w14:solidFill>
          </w14:textFill>
        </w:rPr>
        <w:t>。</w:t>
      </w:r>
    </w:p>
    <w:p w14:paraId="3F951DD9">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pP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begin"/>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instrText xml:space="preserve"> HYPERLINK \l _Toc1174 </w:instrTex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separate"/>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6.</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7</w:t>
      </w:r>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.3</w:t>
      </w:r>
      <w:bookmarkStart w:id="1296" w:name="OLE_LINK728"/>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退役期</w:t>
      </w:r>
      <w:bookmarkEnd w:id="1296"/>
      <w:r>
        <w:rPr>
          <w:rFonts w:hint="eastAsia"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t>固体废物</w:t>
      </w:r>
      <w:r>
        <w:rPr>
          <w:rFonts w:hint="eastAsia" w:ascii="Times New Roman" w:hAnsi="Times New Roman" w:eastAsia="宋体" w:cs="Times New Roman"/>
          <w:b/>
          <w:snapToGrid w:val="0"/>
          <w:color w:val="000000" w:themeColor="text1"/>
          <w:kern w:val="0"/>
          <w:sz w:val="28"/>
          <w:szCs w:val="21"/>
          <w:highlight w:val="none"/>
          <w:lang w:val="en-US" w:eastAsia="zh-CN" w:bidi="ar-SA"/>
          <w14:textFill>
            <w14:solidFill>
              <w14:schemeClr w14:val="tx1"/>
            </w14:solidFill>
          </w14:textFill>
        </w:rPr>
        <w:t>污染防治措施</w:t>
      </w:r>
      <w:r>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fldChar w:fldCharType="end"/>
      </w:r>
    </w:p>
    <w:p w14:paraId="43F3D869">
      <w:pPr>
        <w:keepNext w:val="0"/>
        <w:keepLines w:val="0"/>
        <w:pageBreakBefore w:val="0"/>
        <w:widowControl w:val="0"/>
        <w:tabs>
          <w:tab w:val="left" w:pos="5695"/>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snapToGrid w:val="0"/>
          <w:color w:val="000000" w:themeColor="text1"/>
          <w:kern w:val="0"/>
          <w:sz w:val="28"/>
          <w:szCs w:val="21"/>
          <w:highlight w:val="none"/>
          <w:lang w:val="en-US" w:eastAsia="en-US" w:bidi="ar-SA"/>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退役期，井场拆除的井架、井构筑物等为</w:t>
      </w:r>
      <w:r>
        <w:rPr>
          <w:rFonts w:hint="eastAsia" w:cs="Times New Roman"/>
          <w:color w:val="000000" w:themeColor="text1"/>
          <w:highlight w:val="none"/>
          <w:lang w:eastAsia="zh-CN"/>
          <w14:textFill>
            <w14:solidFill>
              <w14:schemeClr w14:val="tx1"/>
            </w14:solidFill>
          </w14:textFill>
        </w:rPr>
        <w:t>钢质</w:t>
      </w:r>
      <w:r>
        <w:rPr>
          <w:rFonts w:hint="default" w:ascii="Times New Roman" w:hAnsi="Times New Roman" w:cs="Times New Roman"/>
          <w:color w:val="000000" w:themeColor="text1"/>
          <w:highlight w:val="none"/>
          <w14:textFill>
            <w14:solidFill>
              <w14:schemeClr w14:val="tx1"/>
            </w14:solidFill>
          </w14:textFill>
        </w:rPr>
        <w:t>材料，清洗油污后可回收利用。</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废弃建筑残渣外运至生态环境部门指定建筑垃圾填埋场填埋处理</w:t>
      </w:r>
      <w:r>
        <w:rPr>
          <w:rFonts w:hint="default" w:ascii="Times New Roman" w:hAnsi="Times New Roman" w:cs="Times New Roman"/>
          <w:color w:val="000000" w:themeColor="text1"/>
          <w:highlight w:val="none"/>
          <w14:textFill>
            <w14:solidFill>
              <w14:schemeClr w14:val="tx1"/>
            </w14:solidFill>
          </w14:textFill>
        </w:rPr>
        <w:t>，含油</w:t>
      </w:r>
      <w:r>
        <w:rPr>
          <w:rFonts w:hint="eastAsia" w:cs="Times New Roman"/>
          <w:color w:val="000000" w:themeColor="text1"/>
          <w:highlight w:val="none"/>
          <w:lang w:val="en-US" w:eastAsia="zh-CN"/>
          <w14:textFill>
            <w14:solidFill>
              <w14:schemeClr w14:val="tx1"/>
            </w14:solidFill>
          </w14:textFill>
        </w:rPr>
        <w:t>固体废物</w:t>
      </w:r>
      <w:r>
        <w:rPr>
          <w:rFonts w:hint="default" w:ascii="Times New Roman" w:hAnsi="Times New Roman" w:cs="Times New Roman"/>
          <w:color w:val="000000" w:themeColor="text1"/>
          <w:highlight w:val="none"/>
          <w14:textFill>
            <w14:solidFill>
              <w14:schemeClr w14:val="tx1"/>
            </w14:solidFill>
          </w14:textFill>
        </w:rPr>
        <w:t>等危险废物委托</w:t>
      </w:r>
      <w:r>
        <w:rPr>
          <w:rFonts w:hint="eastAsia" w:cs="Times New Roman"/>
          <w:color w:val="000000" w:themeColor="text1"/>
          <w:highlight w:val="none"/>
          <w:lang w:val="en-US" w:eastAsia="zh-CN"/>
          <w14:textFill>
            <w14:solidFill>
              <w14:schemeClr w14:val="tx1"/>
            </w14:solidFill>
          </w14:textFill>
        </w:rPr>
        <w:t>持有危险废物经营许可证的单位利用处置</w:t>
      </w:r>
      <w:r>
        <w:rPr>
          <w:rFonts w:hint="default" w:ascii="Times New Roman" w:hAnsi="Times New Roman" w:cs="Times New Roman"/>
          <w:color w:val="000000" w:themeColor="text1"/>
          <w:highlight w:val="none"/>
          <w14:textFill>
            <w14:solidFill>
              <w14:schemeClr w14:val="tx1"/>
            </w14:solidFill>
          </w14:textFill>
        </w:rPr>
        <w:t>。</w:t>
      </w:r>
    </w:p>
    <w:bookmarkEnd w:id="1121"/>
    <w:p w14:paraId="0622753A">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bookmarkStart w:id="1297" w:name="_Toc13509"/>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begin"/>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instrText xml:space="preserve"> HYPERLINK \l _Toc10212 </w:instrTex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separate"/>
      </w:r>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7</w:t>
      </w:r>
      <w:bookmarkStart w:id="1298" w:name="OLE_LINK933"/>
      <w:bookmarkStart w:id="1299" w:name="OLE_LINK938"/>
      <w:r>
        <w:rPr>
          <w:rFonts w:hint="eastAsia" w:ascii="Times New Roman" w:hAnsi="Times New Roman" w:eastAsia="宋体" w:cs="Times New Roman"/>
          <w:b/>
          <w:bCs/>
          <w:color w:val="000000" w:themeColor="text1"/>
          <w:sz w:val="36"/>
          <w:szCs w:val="36"/>
          <w:highlight w:val="none"/>
          <w:lang w:val="en-US" w:eastAsia="zh-CN"/>
          <w14:textFill>
            <w14:solidFill>
              <w14:schemeClr w14:val="tx1"/>
            </w14:solidFill>
          </w14:textFill>
        </w:rPr>
        <w:t>温室气体</w:t>
      </w:r>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排放</w:t>
      </w:r>
      <w:bookmarkEnd w:id="1298"/>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影响评价</w:t>
      </w:r>
      <w:bookmarkEnd w:id="1299"/>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end"/>
      </w:r>
      <w:bookmarkEnd w:id="1297"/>
    </w:p>
    <w:p w14:paraId="4AEFD375">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为贯彻落实中央和生态环境部关于</w:t>
      </w:r>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碳达峰、碳中和</w:t>
      </w:r>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相关决策部署和文件精神，充分发挥环境影响评价的源头防控、过程管理中的基础性作用，</w:t>
      </w:r>
      <w:r>
        <w:rPr>
          <w:rFonts w:hint="eastAsia" w:cs="Times New Roman"/>
          <w:b w:val="0"/>
          <w:color w:val="000000" w:themeColor="text1"/>
          <w:kern w:val="0"/>
          <w:sz w:val="24"/>
          <w:szCs w:val="24"/>
          <w:highlight w:val="none"/>
          <w:lang w:val="en-US" w:eastAsia="zh-CN" w:bidi="ar-SA"/>
          <w14:textFill>
            <w14:solidFill>
              <w14:schemeClr w14:val="tx1"/>
            </w14:solidFill>
          </w14:textFill>
        </w:rPr>
        <w:t>本次</w:t>
      </w:r>
      <w:r>
        <w:rPr>
          <w:rFonts w:hint="default"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评价按照相关政策及文件要求，根据《中国石油天然气生产企业温室气体排放核算方法与报告指南（试行）》核算方法，计算本工程实施后碳排放量及碳排放强度，提出碳减排建议，并分析减污降碳措施可行性及碳排放水平</w:t>
      </w:r>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w:t>
      </w:r>
    </w:p>
    <w:p w14:paraId="531D8E5D">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00" w:name="_Toc5946"/>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_Toc4532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排放分析</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00"/>
    </w:p>
    <w:p w14:paraId="3F88E376">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_Toc11789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bookmarkStart w:id="1301" w:name="OLE_LINK696"/>
      <w:r>
        <w:rPr>
          <w:rFonts w:hint="eastAsia" w:ascii="Times New Roman" w:hAnsi="Times New Roman" w:eastAsia="宋体" w:cs="Times New Roman"/>
          <w:color w:val="000000" w:themeColor="text1"/>
          <w:highlight w:val="none"/>
          <w:lang w:val="en-US" w:eastAsia="en-US"/>
          <w14:textFill>
            <w14:solidFill>
              <w14:schemeClr w14:val="tx1"/>
            </w14:solidFill>
          </w14:textFill>
        </w:rPr>
        <w:t>7.1.1</w:t>
      </w:r>
      <w:bookmarkEnd w:id="1301"/>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排放影响因素分析</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14FA5795">
      <w:pPr>
        <w:keepNext/>
        <w:keepLines/>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t>7.1.1</w:t>
      </w:r>
      <w:r>
        <w:rPr>
          <w:rFonts w:hint="eastAsia"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t>.1</w:t>
      </w:r>
      <w:r>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t>碳排放源分析</w:t>
      </w:r>
    </w:p>
    <w:p w14:paraId="72ECD67E">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根据</w:t>
      </w:r>
      <w:bookmarkStart w:id="1302" w:name="OLE_LINK737"/>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w:t>
      </w:r>
      <w:bookmarkStart w:id="1303" w:name="OLE_LINK732"/>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中国石油天然气生产企业温室气体排放核算方法与报告指南</w:t>
      </w:r>
      <w:bookmarkEnd w:id="1303"/>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（试行）</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w:t>
      </w:r>
      <w:bookmarkEnd w:id="1302"/>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，石油天然气开采企业碳排放源主要包括：燃料燃烧CO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排放、火炬燃烧排放、工艺放空排放、CH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逃逸排放、CH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回收利用量、净购入电力和热力隐含的CO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w:t>
      </w:r>
    </w:p>
    <w:p w14:paraId="4D3D7256">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1</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bookmarkStart w:id="1304" w:name="OLE_LINK698"/>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燃料燃烧CO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w:t>
      </w:r>
      <w:bookmarkEnd w:id="1304"/>
    </w:p>
    <w:p w14:paraId="2774CF92">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主要指石油天然气生产各个业务环节化石燃料用于动力或热力供应的燃烧过程产生的CO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w:t>
      </w:r>
    </w:p>
    <w:p w14:paraId="2A2A4E1A">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本项目采用</w:t>
      </w:r>
      <w:r>
        <w:rPr>
          <w:rFonts w:hint="eastAsia" w:cs="Times New Roman"/>
          <w:color w:val="000000" w:themeColor="text1"/>
          <w:spacing w:val="4"/>
          <w:kern w:val="24"/>
          <w:szCs w:val="22"/>
          <w:highlight w:val="none"/>
          <w:lang w:val="en-US" w:eastAsia="zh-CN"/>
          <w14:textFill>
            <w14:solidFill>
              <w14:schemeClr w14:val="tx1"/>
            </w14:solidFill>
          </w14:textFill>
        </w:rPr>
        <w:t>电磁</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加热</w:t>
      </w:r>
      <w:r>
        <w:rPr>
          <w:rFonts w:hint="eastAsia" w:cs="Times New Roman"/>
          <w:color w:val="000000" w:themeColor="text1"/>
          <w:spacing w:val="4"/>
          <w:kern w:val="24"/>
          <w:szCs w:val="22"/>
          <w:highlight w:val="none"/>
          <w:lang w:val="en-US" w:eastAsia="zh-CN"/>
          <w14:textFill>
            <w14:solidFill>
              <w14:schemeClr w14:val="tx1"/>
            </w14:solidFill>
          </w14:textFill>
        </w:rPr>
        <w:t>器，</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无燃料燃烧，无需核算CO</w:t>
      </w:r>
      <w:r>
        <w:rPr>
          <w:rFonts w:hint="default" w:ascii="Times New Roman" w:hAnsi="Times New Roman" w:cs="Times New Roman"/>
          <w:color w:val="000000" w:themeColor="text1"/>
          <w:spacing w:val="4"/>
          <w:kern w:val="24"/>
          <w:szCs w:val="22"/>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排放量。</w:t>
      </w:r>
    </w:p>
    <w:p w14:paraId="0FCDC065">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2</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火炬燃烧排放</w:t>
      </w:r>
    </w:p>
    <w:p w14:paraId="12F7F88B">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出于安全等目的，石油天然气生产企业通常将各生产活动产生的可燃废气集中到一至数只火炬系统中进行排放前的燃烧处理。火炬燃烧除了CO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排放外，还可能产生少量的CH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排放，石油天然气生产的火炬系统需同时核算CO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和CH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w:t>
      </w:r>
    </w:p>
    <w:p w14:paraId="799F6FEA">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4"/>
          <w:kern w:val="24"/>
          <w:szCs w:val="22"/>
          <w:highlight w:val="none"/>
          <w:lang w:val="en-US" w:eastAsia="zh-CN"/>
          <w14:textFill>
            <w14:solidFill>
              <w14:schemeClr w14:val="tx1"/>
            </w14:solidFill>
          </w14:textFill>
        </w:rPr>
        <w:t>工程井场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多功能储集器的闪蒸气经过管线进入火炬分液罐，在放空火炬分液罐中分离出携带的液滴后进入放空火炬焚烧。</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需核算该部分产生的CO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和CH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排放量。</w:t>
      </w:r>
    </w:p>
    <w:p w14:paraId="246854E6">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3</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bookmarkStart w:id="1305" w:name="OLE_LINK907"/>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工艺放空排放</w:t>
      </w:r>
      <w:bookmarkEnd w:id="1305"/>
    </w:p>
    <w:p w14:paraId="576096D8">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主要指石油天然气生产各业务环节通过工艺装置泄放口或安全阀门有意释放到大气中的CH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或CO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气体，如驱动气动装置运转的天然气排放、泄压排放、设备吹扫排放、工艺过程尾气排放、</w:t>
      </w:r>
      <w:bookmarkStart w:id="1306" w:name="OLE_LINK697"/>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储罐</w:t>
      </w:r>
      <w:bookmarkEnd w:id="1306"/>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溶解气排放等。石油天然气生产企业业务环节较多且各具特色，其工艺放空排放应区分不同业务环节分开核算。</w:t>
      </w:r>
    </w:p>
    <w:p w14:paraId="45FCED87">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eastAsia"/>
          <w:color w:val="000000" w:themeColor="text1"/>
          <w:highlight w:val="none"/>
          <w14:textFill>
            <w14:solidFill>
              <w14:schemeClr w14:val="tx1"/>
            </w14:solidFill>
          </w14:textFill>
        </w:rPr>
        <w:t>本工程不涉及工艺部分放空排放，不再核算该部分</w:t>
      </w:r>
      <w:r>
        <w:rPr>
          <w:rFonts w:hint="eastAsia"/>
          <w:color w:val="000000" w:themeColor="text1"/>
          <w:spacing w:val="4"/>
          <w:kern w:val="24"/>
          <w:szCs w:val="28"/>
          <w:highlight w:val="none"/>
          <w14:textFill>
            <w14:solidFill>
              <w14:schemeClr w14:val="tx1"/>
            </w14:solidFill>
          </w14:textFill>
        </w:rPr>
        <w:t>CH</w:t>
      </w:r>
      <w:r>
        <w:rPr>
          <w:rFonts w:hint="eastAsia"/>
          <w:color w:val="000000" w:themeColor="text1"/>
          <w:spacing w:val="4"/>
          <w:kern w:val="24"/>
          <w:szCs w:val="28"/>
          <w:highlight w:val="none"/>
          <w:vertAlign w:val="subscript"/>
          <w14:textFill>
            <w14:solidFill>
              <w14:schemeClr w14:val="tx1"/>
            </w14:solidFill>
          </w14:textFill>
        </w:rPr>
        <w:t>4</w:t>
      </w:r>
      <w:r>
        <w:rPr>
          <w:rFonts w:hint="eastAsia"/>
          <w:color w:val="000000" w:themeColor="text1"/>
          <w:spacing w:val="4"/>
          <w:kern w:val="24"/>
          <w:szCs w:val="28"/>
          <w:highlight w:val="none"/>
          <w14:textFill>
            <w14:solidFill>
              <w14:schemeClr w14:val="tx1"/>
            </w14:solidFill>
          </w14:textFill>
        </w:rPr>
        <w:t>或CO</w:t>
      </w:r>
      <w:r>
        <w:rPr>
          <w:rFonts w:hint="eastAsia"/>
          <w:color w:val="000000" w:themeColor="text1"/>
          <w:spacing w:val="4"/>
          <w:kern w:val="24"/>
          <w:szCs w:val="28"/>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气体排放量</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w:t>
      </w:r>
    </w:p>
    <w:p w14:paraId="0A3B0853">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4</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逃逸排放</w:t>
      </w:r>
    </w:p>
    <w:p w14:paraId="35F47C36">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主要是指石油天然气生产各业务环节由于设备泄漏产生的无组织CH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如阀门、法兰、泵轮密封、减压阀、取样接口、工艺排水、开口管路、套管、储罐泄漏及未被定义为工艺放空的其他压力设备泄漏；石油天然气生产企业业务环节较多且各具特色，其逃逸排放应区分不同业务环节分开核算。</w:t>
      </w:r>
    </w:p>
    <w:p w14:paraId="4FBFA1A6">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工程</w:t>
      </w:r>
      <w:r>
        <w:rPr>
          <w:rFonts w:hint="eastAsia" w:ascii="Times New Roman" w:hAnsi="Times New Roman" w:cs="Times New Roman"/>
          <w:color w:val="000000" w:themeColor="text1"/>
          <w:spacing w:val="4"/>
          <w:kern w:val="24"/>
          <w:szCs w:val="22"/>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法兰、阀门等处产生的无组织废气中涉及甲烷排放，需核算该部分气体排放量。</w:t>
      </w:r>
    </w:p>
    <w:p w14:paraId="418219F6">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5</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w:t>
      </w:r>
    </w:p>
    <w:p w14:paraId="6227C327">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主要指企业通过节能减排技术回收工艺放空废气流中携带的CH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从而免于排放到大气中的那部分CH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回收利用量可从企业总排放量中予以扣除。</w:t>
      </w:r>
    </w:p>
    <w:p w14:paraId="39B51835">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eastAsia"/>
          <w:color w:val="000000" w:themeColor="text1"/>
          <w:highlight w:val="none"/>
          <w14:textFill>
            <w14:solidFill>
              <w14:schemeClr w14:val="tx1"/>
            </w14:solidFill>
          </w14:textFill>
        </w:rPr>
        <w:t>本工程未实施放空废气中的甲烷回收利用</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w:t>
      </w:r>
    </w:p>
    <w:p w14:paraId="47C47FA6">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6</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w:t>
      </w:r>
    </w:p>
    <w:p w14:paraId="14550B35">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主要指企业回收燃料燃烧或工艺放空过程产生的CO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作为生产原料或外供产品从而免于排放到大气中的那部分CO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回收利用量可从企业总排放量中予以扣除。因缺乏适当的核算方法暂不考虑 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地质埋存或驱油的减排问题。</w:t>
      </w:r>
    </w:p>
    <w:p w14:paraId="6DA60186">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实施后未回收燃料燃烧或工艺放空过程中产生的CO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，因此该部分回收利用量均为0。</w:t>
      </w:r>
    </w:p>
    <w:p w14:paraId="45B8EBC4">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7</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净购入电力和热力隐含的CO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排放量</w:t>
      </w:r>
    </w:p>
    <w:p w14:paraId="6373D518">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该部分排放实际上发生在生产这些电力或热力的企业，但由报告主体的消费活动引起，依照约定也计入报告主体名下。</w:t>
      </w:r>
    </w:p>
    <w:p w14:paraId="27944025">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实施后，需消耗电量，不涉及蒸汽用量。</w:t>
      </w:r>
    </w:p>
    <w:p w14:paraId="6C293817">
      <w:pPr>
        <w:keepNext/>
        <w:keepLines/>
        <w:pageBreakBefore w:val="0"/>
        <w:widowControl w:val="0"/>
        <w:wordWrap/>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pPr>
      <w:bookmarkStart w:id="1307" w:name="OLE_LINK729"/>
      <w:r>
        <w:rPr>
          <w:rFonts w:hint="eastAsia" w:cs="Times New Roman"/>
          <w:b/>
          <w:bCs/>
          <w:snapToGrid w:val="0"/>
          <w:color w:val="000000" w:themeColor="text1"/>
          <w:kern w:val="0"/>
          <w:sz w:val="24"/>
          <w:szCs w:val="21"/>
          <w:highlight w:val="none"/>
          <w:lang w:val="en-US" w:eastAsia="zh-CN" w:bidi="ar-SA"/>
          <w14:textFill>
            <w14:solidFill>
              <w14:schemeClr w14:val="tx1"/>
            </w14:solidFill>
          </w14:textFill>
        </w:rPr>
        <w:t>7</w:t>
      </w:r>
      <w:r>
        <w:rPr>
          <w:rFonts w:hint="default" w:ascii="Times New Roman" w:hAnsi="Times New Roman" w:eastAsia="宋体" w:cs="Times New Roman"/>
          <w:b/>
          <w:bCs/>
          <w:snapToGrid w:val="0"/>
          <w:color w:val="000000" w:themeColor="text1"/>
          <w:kern w:val="0"/>
          <w:sz w:val="24"/>
          <w:szCs w:val="21"/>
          <w:highlight w:val="none"/>
          <w:lang w:val="en-US" w:eastAsia="zh-CN" w:bidi="ar-SA"/>
          <w14:textFill>
            <w14:solidFill>
              <w14:schemeClr w14:val="tx1"/>
            </w14:solidFill>
          </w14:textFill>
        </w:rPr>
        <w:t>.1.1.2二氧化碳产排节点</w:t>
      </w:r>
      <w:bookmarkEnd w:id="1307"/>
    </w:p>
    <w:p w14:paraId="0F5EEBA1">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生产工艺流程中涉及二氧化碳的产排节点表</w:t>
      </w:r>
      <w:r>
        <w:rPr>
          <w:rFonts w:hint="eastAsia" w:cs="Times New Roman"/>
          <w:color w:val="000000" w:themeColor="text1"/>
          <w:spacing w:val="4"/>
          <w:kern w:val="24"/>
          <w:szCs w:val="2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.1-1所示。</w:t>
      </w:r>
    </w:p>
    <w:p w14:paraId="5D859EB5">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二氧化碳产排污节点汇总一览表</w:t>
      </w:r>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05"/>
        <w:gridCol w:w="3093"/>
        <w:gridCol w:w="2635"/>
        <w:gridCol w:w="1062"/>
        <w:gridCol w:w="1062"/>
      </w:tblGrid>
      <w:tr w14:paraId="74236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302" w:type="pct"/>
            <w:noWrap w:val="0"/>
            <w:vAlign w:val="center"/>
          </w:tcPr>
          <w:p w14:paraId="6F7001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序号</w:t>
            </w:r>
          </w:p>
        </w:tc>
        <w:tc>
          <w:tcPr>
            <w:tcW w:w="1850" w:type="pct"/>
            <w:noWrap w:val="0"/>
            <w:vAlign w:val="center"/>
          </w:tcPr>
          <w:p w14:paraId="1F9D9B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类别</w:t>
            </w:r>
          </w:p>
        </w:tc>
        <w:tc>
          <w:tcPr>
            <w:tcW w:w="1576" w:type="pct"/>
            <w:noWrap w:val="0"/>
            <w:vAlign w:val="center"/>
          </w:tcPr>
          <w:p w14:paraId="113438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产污环节</w:t>
            </w:r>
          </w:p>
        </w:tc>
        <w:tc>
          <w:tcPr>
            <w:tcW w:w="635" w:type="pct"/>
            <w:noWrap w:val="0"/>
            <w:vAlign w:val="center"/>
          </w:tcPr>
          <w:p w14:paraId="4ABC8F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碳排放因子</w:t>
            </w:r>
          </w:p>
        </w:tc>
        <w:tc>
          <w:tcPr>
            <w:tcW w:w="635" w:type="pct"/>
            <w:noWrap w:val="0"/>
            <w:vAlign w:val="center"/>
          </w:tcPr>
          <w:p w14:paraId="29D620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排放形式</w:t>
            </w:r>
          </w:p>
        </w:tc>
      </w:tr>
      <w:tr w14:paraId="68F2B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2" w:type="pct"/>
            <w:noWrap w:val="0"/>
            <w:vAlign w:val="center"/>
          </w:tcPr>
          <w:p w14:paraId="3997CB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w:t>
            </w:r>
          </w:p>
        </w:tc>
        <w:tc>
          <w:tcPr>
            <w:tcW w:w="1850" w:type="pct"/>
            <w:shd w:val="clear" w:color="auto" w:fill="auto"/>
            <w:noWrap w:val="0"/>
            <w:vAlign w:val="center"/>
          </w:tcPr>
          <w:p w14:paraId="4D67E1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火炬燃烧排放</w:t>
            </w:r>
          </w:p>
        </w:tc>
        <w:tc>
          <w:tcPr>
            <w:tcW w:w="1576" w:type="pct"/>
            <w:shd w:val="clear" w:color="auto" w:fill="auto"/>
            <w:noWrap w:val="0"/>
            <w:vAlign w:val="center"/>
          </w:tcPr>
          <w:p w14:paraId="446395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t>多功能储集器的闪蒸气经过管线进入火炬分液罐，在放空火炬分液罐中分离出携带的液滴后进入放空火炬焚烧。</w:t>
            </w:r>
          </w:p>
        </w:tc>
        <w:tc>
          <w:tcPr>
            <w:tcW w:w="635" w:type="pct"/>
            <w:shd w:val="clear" w:color="auto" w:fill="auto"/>
            <w:noWrap w:val="0"/>
            <w:vAlign w:val="center"/>
          </w:tcPr>
          <w:p w14:paraId="23EA7C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和CH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4</w:t>
            </w:r>
          </w:p>
        </w:tc>
        <w:tc>
          <w:tcPr>
            <w:tcW w:w="635" w:type="pct"/>
            <w:shd w:val="clear" w:color="auto" w:fill="auto"/>
            <w:noWrap w:val="0"/>
            <w:vAlign w:val="center"/>
          </w:tcPr>
          <w:p w14:paraId="1D5F47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有组织</w:t>
            </w:r>
          </w:p>
        </w:tc>
      </w:tr>
      <w:tr w14:paraId="0F2D4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2" w:type="pct"/>
            <w:noWrap w:val="0"/>
            <w:vAlign w:val="center"/>
          </w:tcPr>
          <w:p w14:paraId="259227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bookmarkStart w:id="1308" w:name="OLE_LINK701" w:colFirst="3" w:colLast="4"/>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2</w:t>
            </w:r>
          </w:p>
        </w:tc>
        <w:tc>
          <w:tcPr>
            <w:tcW w:w="1850" w:type="pct"/>
            <w:shd w:val="clear" w:color="auto" w:fill="auto"/>
            <w:noWrap w:val="0"/>
            <w:vAlign w:val="center"/>
          </w:tcPr>
          <w:p w14:paraId="7478C6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逃逸排放</w:t>
            </w:r>
          </w:p>
        </w:tc>
        <w:tc>
          <w:tcPr>
            <w:tcW w:w="1576" w:type="pct"/>
            <w:shd w:val="clear" w:color="auto" w:fill="auto"/>
            <w:noWrap w:val="0"/>
            <w:vAlign w:val="center"/>
          </w:tcPr>
          <w:p w14:paraId="77E76B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法兰、阀门等处逸散的废气</w:t>
            </w:r>
          </w:p>
        </w:tc>
        <w:tc>
          <w:tcPr>
            <w:tcW w:w="635" w:type="pct"/>
            <w:shd w:val="clear" w:color="auto" w:fill="auto"/>
            <w:noWrap w:val="0"/>
            <w:vAlign w:val="center"/>
          </w:tcPr>
          <w:p w14:paraId="2B524C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4</w:t>
            </w:r>
          </w:p>
        </w:tc>
        <w:tc>
          <w:tcPr>
            <w:tcW w:w="635" w:type="pct"/>
            <w:shd w:val="clear" w:color="auto" w:fill="auto"/>
            <w:noWrap w:val="0"/>
            <w:vAlign w:val="center"/>
          </w:tcPr>
          <w:p w14:paraId="583216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无组织</w:t>
            </w:r>
          </w:p>
        </w:tc>
      </w:tr>
      <w:tr w14:paraId="7D3D4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2" w:type="pct"/>
            <w:shd w:val="clear" w:color="auto" w:fill="auto"/>
            <w:noWrap w:val="0"/>
            <w:vAlign w:val="center"/>
          </w:tcPr>
          <w:p w14:paraId="477D4F43">
            <w:pPr>
              <w:pStyle w:val="99"/>
              <w:widowControl w:val="0"/>
              <w:spacing w:line="0" w:lineRule="atLeast"/>
              <w:ind w:left="0" w:leftChars="0" w:firstLine="0" w:firstLineChars="0"/>
              <w:rPr>
                <w:rFonts w:hint="default" w:ascii="Times New Roman" w:hAnsi="Times New Roman" w:eastAsia="宋体" w:cs="Times New Roman"/>
                <w:bCs/>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3</w:t>
            </w:r>
          </w:p>
        </w:tc>
        <w:tc>
          <w:tcPr>
            <w:tcW w:w="1850" w:type="pct"/>
            <w:shd w:val="clear" w:color="auto" w:fill="auto"/>
            <w:noWrap w:val="0"/>
            <w:vAlign w:val="center"/>
          </w:tcPr>
          <w:p w14:paraId="7F766ED9">
            <w:pPr>
              <w:pStyle w:val="99"/>
              <w:widowControl w:val="0"/>
              <w:spacing w:line="0" w:lineRule="atLeast"/>
              <w:ind w:left="0" w:leftChars="0" w:firstLine="0" w:firstLineChars="0"/>
              <w:rPr>
                <w:rFonts w:hint="default" w:ascii="Times New Roman" w:hAnsi="Times New Roman" w:eastAsia="宋体" w:cs="Times New Roman"/>
                <w:bCs/>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净购入电力和热力隐含的CO</w:t>
            </w:r>
            <w:r>
              <w:rPr>
                <w:rFonts w:hint="eastAsia"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排放量</w:t>
            </w:r>
          </w:p>
        </w:tc>
        <w:tc>
          <w:tcPr>
            <w:tcW w:w="1576" w:type="pct"/>
            <w:shd w:val="clear" w:color="auto" w:fill="auto"/>
            <w:noWrap w:val="0"/>
            <w:vAlign w:val="center"/>
          </w:tcPr>
          <w:p w14:paraId="15096C0C">
            <w:pPr>
              <w:pStyle w:val="99"/>
              <w:widowControl w:val="0"/>
              <w:spacing w:line="0" w:lineRule="atLeast"/>
              <w:ind w:left="0" w:leftChars="0" w:firstLine="0" w:firstLineChars="0"/>
              <w:rPr>
                <w:rFonts w:hint="eastAsia" w:ascii="Times New Roman" w:hAnsi="Times New Roman" w:eastAsia="宋体" w:cs="Times New Roman"/>
                <w:bCs/>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电力隐含排放</w:t>
            </w:r>
          </w:p>
        </w:tc>
        <w:tc>
          <w:tcPr>
            <w:tcW w:w="635" w:type="pct"/>
            <w:shd w:val="clear" w:color="auto" w:fill="auto"/>
            <w:noWrap w:val="0"/>
            <w:vAlign w:val="center"/>
          </w:tcPr>
          <w:p w14:paraId="226B661D">
            <w:pPr>
              <w:pStyle w:val="99"/>
              <w:widowControl w:val="0"/>
              <w:spacing w:line="0" w:lineRule="atLeast"/>
              <w:ind w:left="0" w:leftChars="0" w:firstLine="0" w:firstLineChars="0"/>
              <w:rPr>
                <w:rFonts w:hint="default" w:ascii="Times New Roman" w:hAnsi="Times New Roman" w:eastAsia="宋体" w:cs="Times New Roman"/>
                <w:bCs/>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CO</w:t>
            </w:r>
            <w:r>
              <w:rPr>
                <w:rFonts w:hint="eastAsia"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p>
        </w:tc>
        <w:tc>
          <w:tcPr>
            <w:tcW w:w="635" w:type="pct"/>
            <w:shd w:val="clear" w:color="auto" w:fill="auto"/>
            <w:noWrap w:val="0"/>
            <w:vAlign w:val="center"/>
          </w:tcPr>
          <w:p w14:paraId="2D0B41D7">
            <w:pPr>
              <w:pStyle w:val="99"/>
              <w:widowControl w:val="0"/>
              <w:spacing w:line="0" w:lineRule="atLeast"/>
              <w:ind w:left="0" w:leftChars="0" w:firstLine="0" w:firstLineChars="0"/>
              <w:rPr>
                <w:rFonts w:hint="default" w:ascii="Times New Roman" w:hAnsi="Times New Roman" w:eastAsia="宋体" w:cs="Times New Roman"/>
                <w:bCs/>
                <w:color w:val="000000" w:themeColor="text1"/>
                <w:spacing w:val="-1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14:textFill>
                  <w14:solidFill>
                    <w14:schemeClr w14:val="tx1"/>
                  </w14:solidFill>
                </w14:textFill>
              </w:rPr>
              <w:t>--</w:t>
            </w:r>
          </w:p>
        </w:tc>
      </w:tr>
      <w:bookmarkEnd w:id="1308"/>
    </w:tbl>
    <w:p w14:paraId="1CEFA604">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_Toc23469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7.1.2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排放量核算</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16D81225">
      <w:pPr>
        <w:keepNext/>
        <w:keepLines/>
        <w:pageBreakBefore w:val="0"/>
        <w:widowControl w:val="0"/>
        <w:wordWrap/>
        <w:topLinePunct w:val="0"/>
        <w:autoSpaceDE/>
        <w:autoSpaceDN/>
        <w:bidi w:val="0"/>
        <w:adjustRightInd w:val="0"/>
        <w:snapToGrid w:val="0"/>
        <w:spacing w:line="360" w:lineRule="auto"/>
        <w:ind w:firstLine="0" w:firstLineChars="0"/>
        <w:jc w:val="both"/>
        <w:textAlignment w:val="auto"/>
        <w:outlineLvl w:val="3"/>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pPr>
      <w:bookmarkStart w:id="1309" w:name="OLE_LINK731"/>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7</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.1.</w:t>
      </w:r>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2</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w:t>
      </w:r>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1</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碳排放核算边界</w:t>
      </w:r>
    </w:p>
    <w:p w14:paraId="7E223D2E">
      <w:pPr>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w:t>
      </w:r>
      <w:bookmarkEnd w:id="1309"/>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程</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碳排放核算边界及核算内容见表</w:t>
      </w:r>
      <w:r>
        <w:rPr>
          <w:rFonts w:hint="eastAsia" w:eastAsia="宋体" w:cs="Times New Roman"/>
          <w:color w:val="000000" w:themeColor="text1"/>
          <w:spacing w:val="4"/>
          <w:kern w:val="24"/>
          <w:szCs w:val="22"/>
          <w:highlight w:val="none"/>
          <w:lang w:val="en-US" w:eastAsia="zh-CN"/>
          <w14:textFill>
            <w14:solidFill>
              <w14:schemeClr w14:val="tx1"/>
            </w14:solidFill>
          </w14:textFill>
        </w:rPr>
        <w:t>7.1</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-2所示。</w:t>
      </w:r>
    </w:p>
    <w:p w14:paraId="0A118A5F">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bookmarkStart w:id="1310" w:name="OLE_LINK912"/>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.1-2</w:t>
      </w:r>
      <w:bookmarkEnd w:id="1310"/>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核算边界及核算内容一览表</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17"/>
        <w:gridCol w:w="2193"/>
        <w:gridCol w:w="5649"/>
      </w:tblGrid>
      <w:tr w14:paraId="43EE9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9" w:type="pct"/>
            <w:noWrap w:val="0"/>
            <w:vAlign w:val="center"/>
          </w:tcPr>
          <w:p w14:paraId="14511C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序号</w:t>
            </w:r>
          </w:p>
        </w:tc>
        <w:tc>
          <w:tcPr>
            <w:tcW w:w="1311" w:type="pct"/>
            <w:noWrap w:val="0"/>
            <w:vAlign w:val="center"/>
          </w:tcPr>
          <w:p w14:paraId="60407C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核算主体/核算边界</w:t>
            </w:r>
          </w:p>
        </w:tc>
        <w:tc>
          <w:tcPr>
            <w:tcW w:w="3378" w:type="pct"/>
            <w:noWrap w:val="0"/>
            <w:vAlign w:val="center"/>
          </w:tcPr>
          <w:p w14:paraId="1BA90B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碳排放核算内容</w:t>
            </w:r>
          </w:p>
        </w:tc>
      </w:tr>
      <w:tr w14:paraId="038DF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9" w:type="pct"/>
            <w:noWrap w:val="0"/>
            <w:vAlign w:val="center"/>
          </w:tcPr>
          <w:p w14:paraId="1B28BB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w:t>
            </w:r>
          </w:p>
        </w:tc>
        <w:tc>
          <w:tcPr>
            <w:tcW w:w="1311" w:type="pct"/>
            <w:noWrap w:val="0"/>
            <w:vAlign w:val="center"/>
          </w:tcPr>
          <w:p w14:paraId="2D51D4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eastAsia" w:cs="Times New Roman"/>
                <w:color w:val="000000" w:themeColor="text1"/>
                <w:spacing w:val="-10"/>
                <w:sz w:val="21"/>
                <w:szCs w:val="21"/>
                <w:highlight w:val="none"/>
                <w:lang w:eastAsia="zh-CN"/>
                <w14:textFill>
                  <w14:solidFill>
                    <w14:schemeClr w14:val="tx1"/>
                  </w14:solidFill>
                </w14:textFill>
              </w:rPr>
              <w:t>星火7井区2025年产能建设项目</w:t>
            </w:r>
          </w:p>
        </w:tc>
        <w:tc>
          <w:tcPr>
            <w:tcW w:w="3378" w:type="pct"/>
            <w:noWrap w:val="0"/>
            <w:vAlign w:val="center"/>
          </w:tcPr>
          <w:p w14:paraId="27839D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包括油气处理及油气储运各个业务环节的基本生产系统、辅助生产系统，以及直接为生产服务的附属生产系统。排放量核算内容包括：</w:t>
            </w:r>
          </w:p>
          <w:p w14:paraId="61DA7A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eastAsia" w:cs="Times New Roman"/>
                <w:color w:val="000000" w:themeColor="text1"/>
                <w:spacing w:val="-10"/>
                <w:sz w:val="21"/>
                <w:szCs w:val="21"/>
                <w:highlight w:val="none"/>
                <w:lang w:eastAsia="zh-CN"/>
                <w14:textFill>
                  <w14:solidFill>
                    <w14:schemeClr w14:val="tx1"/>
                  </w14:solidFill>
                </w14:textFill>
              </w:rPr>
              <w:t>（</w:t>
            </w:r>
            <w:r>
              <w:rPr>
                <w:rFonts w:hint="eastAsia" w:cs="Times New Roman"/>
                <w:color w:val="000000" w:themeColor="text1"/>
                <w:spacing w:val="-10"/>
                <w:sz w:val="21"/>
                <w:szCs w:val="21"/>
                <w:highlight w:val="none"/>
                <w:lang w:val="en-US" w:eastAsia="zh-CN"/>
                <w14:textFill>
                  <w14:solidFill>
                    <w14:schemeClr w14:val="tx1"/>
                  </w14:solidFill>
                </w14:textFill>
              </w:rPr>
              <w:t>1</w:t>
            </w:r>
            <w:r>
              <w:rPr>
                <w:rFonts w:hint="eastAsia"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火炬燃烧排放</w:t>
            </w:r>
          </w:p>
          <w:p w14:paraId="7C7E85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eastAsia" w:cs="Times New Roman"/>
                <w:color w:val="000000" w:themeColor="text1"/>
                <w:spacing w:val="-10"/>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CH</w:t>
            </w:r>
            <w:r>
              <w:rPr>
                <w:rFonts w:hint="default" w:ascii="Times New Roman" w:hAnsi="Times New Roman" w:eastAsia="宋体" w:cs="Times New Roman"/>
                <w:color w:val="000000" w:themeColor="text1"/>
                <w:spacing w:val="-10"/>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逃逸排放</w:t>
            </w:r>
          </w:p>
          <w:p w14:paraId="4011B2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（3）净购入电力和热力隐含的CO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排放量</w:t>
            </w:r>
          </w:p>
        </w:tc>
      </w:tr>
    </w:tbl>
    <w:p w14:paraId="77BCAA7C">
      <w:pPr>
        <w:keepNext/>
        <w:keepLines/>
        <w:pageBreakBefore w:val="0"/>
        <w:widowControl w:val="0"/>
        <w:wordWrap/>
        <w:topLinePunct w:val="0"/>
        <w:autoSpaceDE/>
        <w:autoSpaceDN/>
        <w:bidi w:val="0"/>
        <w:adjustRightInd w:val="0"/>
        <w:snapToGrid w:val="0"/>
        <w:spacing w:line="360" w:lineRule="auto"/>
        <w:ind w:firstLine="0" w:firstLineChars="0"/>
        <w:jc w:val="both"/>
        <w:textAlignment w:val="auto"/>
        <w:outlineLvl w:val="3"/>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pPr>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7</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.1.</w:t>
      </w:r>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2</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w:t>
      </w:r>
      <w:r>
        <w:rPr>
          <w:rFonts w:hint="eastAsia" w:eastAsia="宋体" w:cs="Times New Roman"/>
          <w:b/>
          <w:bCs/>
          <w:snapToGrid w:val="0"/>
          <w:color w:val="000000" w:themeColor="text1"/>
          <w:kern w:val="0"/>
          <w:sz w:val="24"/>
          <w:szCs w:val="21"/>
          <w:highlight w:val="none"/>
          <w:lang w:val="en-US" w:eastAsia="zh-CN" w:bidi="ar-SA"/>
          <w14:textFill>
            <w14:solidFill>
              <w14:schemeClr w14:val="tx1"/>
            </w14:solidFill>
          </w14:textFill>
        </w:rPr>
        <w:t>2</w:t>
      </w:r>
      <w:r>
        <w:rPr>
          <w:rFonts w:hint="default" w:eastAsia="宋体" w:cs="Times New Roman"/>
          <w:b/>
          <w:bCs/>
          <w:snapToGrid w:val="0"/>
          <w:color w:val="000000" w:themeColor="text1"/>
          <w:kern w:val="0"/>
          <w:sz w:val="24"/>
          <w:szCs w:val="21"/>
          <w:highlight w:val="none"/>
          <w:lang w:val="en-US" w:eastAsia="zh-CN" w:bidi="ar-SA"/>
          <w14:textFill>
            <w14:solidFill>
              <w14:schemeClr w14:val="tx1"/>
            </w14:solidFill>
          </w14:textFill>
        </w:rPr>
        <w:t>碳排放量核算过程</w:t>
      </w:r>
    </w:p>
    <w:p w14:paraId="3022438B">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涉及火炬燃烧排放、CH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逃逸排放。具体核算过程如下：</w:t>
      </w:r>
    </w:p>
    <w:p w14:paraId="16ED0531">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）火炬燃烧排放</w:t>
      </w:r>
    </w:p>
    <w:p w14:paraId="6B85A961">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石油天然气生产企业火炬燃烧可分为正常工况下的火炬气燃烧及由于事故导致的火炬气燃烧两种，本工程主要核算正常工况下的火炬气燃烧（主要为井场测试放喷阶段的火炬燃烧碳排放量）。另外，考虑到石油天然气生产企业火炬气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含量较高且火炬气燃烧不充分，因此石油天然气生产企业的火炬燃烧排放同时考虑CO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及CH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w:t>
      </w:r>
    </w:p>
    <w:p w14:paraId="2A840716">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①计算公式</w:t>
      </w:r>
    </w:p>
    <w:p w14:paraId="46ED3CCF">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a.火炬燃烧排放计算公式：</w:t>
      </w:r>
    </w:p>
    <w:p w14:paraId="791E3135">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4993640" cy="516255"/>
            <wp:effectExtent l="0" t="0" r="16510" b="17145"/>
            <wp:docPr id="2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
                    <pic:cNvPicPr>
                      <a:picLocks noChangeAspect="1"/>
                    </pic:cNvPicPr>
                  </pic:nvPicPr>
                  <pic:blipFill>
                    <a:blip r:embed="rId92"/>
                    <a:stretch>
                      <a:fillRect/>
                    </a:stretch>
                  </pic:blipFill>
                  <pic:spPr>
                    <a:xfrm>
                      <a:off x="0" y="0"/>
                      <a:ext cx="4993640" cy="516255"/>
                    </a:xfrm>
                    <a:prstGeom prst="rect">
                      <a:avLst/>
                    </a:prstGeom>
                    <a:noFill/>
                    <a:ln>
                      <a:noFill/>
                    </a:ln>
                  </pic:spPr>
                </pic:pic>
              </a:graphicData>
            </a:graphic>
          </wp:inline>
        </w:drawing>
      </w:r>
    </w:p>
    <w:p w14:paraId="77CA4D48">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式中：E</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GHG</w:t>
      </w:r>
      <w:r>
        <w:rPr>
          <w:rFonts w:hint="eastAsia" w:ascii="Times New Roman" w:hAnsi="Times New Roman" w:cs="Times New Roman"/>
          <w:i/>
          <w:iCs/>
          <w:color w:val="000000" w:themeColor="text1"/>
          <w:sz w:val="24"/>
          <w:szCs w:val="24"/>
          <w:highlight w:val="none"/>
          <w:vertAlign w:val="subscript"/>
          <w:lang w:eastAsia="zh-CN"/>
          <w14:textFill>
            <w14:solidFill>
              <w14:schemeClr w14:val="tx1"/>
            </w14:solidFill>
          </w14:textFill>
        </w:rPr>
        <w:t>—</w:t>
      </w:r>
      <w:r>
        <w:rPr>
          <w:rFonts w:hint="eastAsia" w:ascii="Times New Roman" w:hAnsi="Times New Roman" w:eastAsia="宋体" w:cs="Times New Roman"/>
          <w:i w:val="0"/>
          <w:iCs w:val="0"/>
          <w:color w:val="000000" w:themeColor="text1"/>
          <w:sz w:val="24"/>
          <w:szCs w:val="24"/>
          <w:highlight w:val="none"/>
          <w:vertAlign w:val="subscript"/>
          <w14:textFill>
            <w14:solidFill>
              <w14:schemeClr w14:val="tx1"/>
            </w14:solidFill>
          </w14:textFill>
        </w:rPr>
        <w:t>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火炬燃烧产生的CO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排放量，单位为吨CO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p>
    <w:p w14:paraId="6BB3CE12">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E</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CO2</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-正常火炬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正常工况下火炬系统产生的CO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排放，单位为吨CO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1838B6BB">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E</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CO2</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-事故火炬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由于事故火炬产生的CO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排放，单位为吨CO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p>
    <w:p w14:paraId="28376399">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E</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CH4</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-正常火炬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正常工况下火炬系统产生的CH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排放，单位为吨CH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 xml:space="preserve">； </w:t>
      </w:r>
    </w:p>
    <w:p w14:paraId="6D88D378">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E</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CH4</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-事故火炬</w:t>
      </w:r>
      <w:bookmarkStart w:id="1311" w:name="OLE_LINK909"/>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bookmarkEnd w:id="1311"/>
      <w:r>
        <w:rPr>
          <w:rFonts w:hint="eastAsia" w:ascii="Times New Roman" w:hAnsi="Times New Roman" w:eastAsia="宋体" w:cs="Times New Roman"/>
          <w:color w:val="000000" w:themeColor="text1"/>
          <w:sz w:val="24"/>
          <w:szCs w:val="24"/>
          <w:highlight w:val="none"/>
          <w14:textFill>
            <w14:solidFill>
              <w14:schemeClr w14:val="tx1"/>
            </w14:solidFill>
          </w14:textFill>
        </w:rPr>
        <w:t>事故火炬产生的CH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排放，单位为吨CH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37C5CE86">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312" w:name="OLE_LINK911"/>
      <w:r>
        <w:rPr>
          <w:rFonts w:hint="eastAsia" w:ascii="Times New Roman" w:hAnsi="Times New Roman" w:eastAsia="宋体" w:cs="Times New Roman"/>
          <w:i/>
          <w:iCs/>
          <w:color w:val="000000" w:themeColor="text1"/>
          <w:sz w:val="24"/>
          <w:szCs w:val="24"/>
          <w:highlight w:val="none"/>
          <w14:textFill>
            <w14:solidFill>
              <w14:schemeClr w14:val="tx1"/>
            </w14:solidFill>
          </w14:textFill>
        </w:rPr>
        <w:t>GWP</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CH4</w:t>
      </w:r>
      <w:bookmarkEnd w:id="1312"/>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bookmarkStart w:id="1313" w:name="OLE_LINK910"/>
      <w:r>
        <w:rPr>
          <w:rFonts w:hint="eastAsia" w:ascii="Times New Roman" w:hAnsi="Times New Roman" w:eastAsia="宋体" w:cs="Times New Roman"/>
          <w:color w:val="000000" w:themeColor="text1"/>
          <w:sz w:val="24"/>
          <w:szCs w:val="24"/>
          <w:highlight w:val="none"/>
          <w14:textFill>
            <w14:solidFill>
              <w14:schemeClr w14:val="tx1"/>
            </w14:solidFill>
          </w14:textFill>
        </w:rPr>
        <w:t>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bookmarkEnd w:id="1313"/>
      <w:r>
        <w:rPr>
          <w:rFonts w:hint="eastAsia" w:ascii="Times New Roman" w:hAnsi="Times New Roman" w:eastAsia="宋体" w:cs="Times New Roman"/>
          <w:color w:val="000000" w:themeColor="text1"/>
          <w:sz w:val="24"/>
          <w:szCs w:val="24"/>
          <w:highlight w:val="none"/>
          <w14:textFill>
            <w14:solidFill>
              <w14:schemeClr w14:val="tx1"/>
            </w14:solidFill>
          </w14:textFill>
        </w:rPr>
        <w:t>相比CO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的全球变暖潜势值。根据IPCC第二次评估报告，100年时间尺度内1吨CH</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相当于21吨CO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的增温能力，因此</w:t>
      </w:r>
      <w:r>
        <w:rPr>
          <w:rFonts w:hint="eastAsia" w:ascii="Times New Roman" w:hAnsi="Times New Roman" w:eastAsia="宋体" w:cs="Times New Roman"/>
          <w:i/>
          <w:iCs/>
          <w:color w:val="000000" w:themeColor="text1"/>
          <w:sz w:val="24"/>
          <w:szCs w:val="24"/>
          <w:highlight w:val="none"/>
          <w14:textFill>
            <w14:solidFill>
              <w14:schemeClr w14:val="tx1"/>
            </w14:solidFill>
          </w14:textFill>
        </w:rPr>
        <w:t>GWP</w:t>
      </w:r>
      <w:r>
        <w:rPr>
          <w:rFonts w:hint="eastAsia" w:ascii="Times New Roman" w:hAnsi="Times New Roman" w:eastAsia="宋体" w:cs="Times New Roman"/>
          <w:i/>
          <w:iCs/>
          <w:color w:val="000000" w:themeColor="text1"/>
          <w:sz w:val="24"/>
          <w:szCs w:val="24"/>
          <w:highlight w:val="none"/>
          <w:vertAlign w:val="subscript"/>
          <w14:textFill>
            <w14:solidFill>
              <w14:schemeClr w14:val="tx1"/>
            </w14:solidFill>
          </w14:textFill>
        </w:rPr>
        <w:t>CH4</w:t>
      </w:r>
      <w:r>
        <w:rPr>
          <w:rFonts w:hint="eastAsia" w:ascii="Times New Roman" w:hAnsi="Times New Roman" w:eastAsia="宋体" w:cs="Times New Roman"/>
          <w:color w:val="000000" w:themeColor="text1"/>
          <w:sz w:val="24"/>
          <w:szCs w:val="24"/>
          <w:highlight w:val="none"/>
          <w14:textFill>
            <w14:solidFill>
              <w14:schemeClr w14:val="tx1"/>
            </w14:solidFill>
          </w14:textFill>
        </w:rPr>
        <w:t>等于21。</w:t>
      </w:r>
    </w:p>
    <w:p w14:paraId="44EDB3C2">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b.正常工况下火炬气体温室气体排放公式如下：</w:t>
      </w:r>
    </w:p>
    <w:p w14:paraId="726F2E1C">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936365" cy="437515"/>
            <wp:effectExtent l="0" t="0" r="6985" b="635"/>
            <wp:docPr id="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
                    <pic:cNvPicPr>
                      <a:picLocks noChangeAspect="1"/>
                    </pic:cNvPicPr>
                  </pic:nvPicPr>
                  <pic:blipFill>
                    <a:blip r:embed="rId93"/>
                    <a:stretch>
                      <a:fillRect/>
                    </a:stretch>
                  </pic:blipFill>
                  <pic:spPr>
                    <a:xfrm>
                      <a:off x="0" y="0"/>
                      <a:ext cx="3936365" cy="437515"/>
                    </a:xfrm>
                    <a:prstGeom prst="rect">
                      <a:avLst/>
                    </a:prstGeom>
                    <a:noFill/>
                    <a:ln>
                      <a:noFill/>
                    </a:ln>
                  </pic:spPr>
                </pic:pic>
              </a:graphicData>
            </a:graphic>
          </wp:inline>
        </w:drawing>
      </w:r>
    </w:p>
    <w:p w14:paraId="5332FBAB">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419475" cy="464185"/>
            <wp:effectExtent l="0" t="0" r="9525" b="12065"/>
            <wp:docPr id="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
                    <pic:cNvPicPr>
                      <a:picLocks noChangeAspect="1"/>
                    </pic:cNvPicPr>
                  </pic:nvPicPr>
                  <pic:blipFill>
                    <a:blip r:embed="rId94"/>
                    <a:stretch>
                      <a:fillRect/>
                    </a:stretch>
                  </pic:blipFill>
                  <pic:spPr>
                    <a:xfrm>
                      <a:off x="0" y="0"/>
                      <a:ext cx="3419475" cy="464185"/>
                    </a:xfrm>
                    <a:prstGeom prst="rect">
                      <a:avLst/>
                    </a:prstGeom>
                    <a:noFill/>
                    <a:ln>
                      <a:noFill/>
                    </a:ln>
                  </pic:spPr>
                </pic:pic>
              </a:graphicData>
            </a:graphic>
          </wp:inline>
        </w:drawing>
      </w:r>
    </w:p>
    <w:p w14:paraId="3BE3ED1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式中：</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i</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火炬系统序号； </w:t>
      </w:r>
    </w:p>
    <w:p w14:paraId="59DA9645">
      <w:pPr>
        <w:keepNext w:val="0"/>
        <w:keepLines w:val="0"/>
        <w:pageBreakBefore w:val="0"/>
        <w:kinsoku/>
        <w:wordWrap/>
        <w:overflowPunct/>
        <w:topLinePunct w:val="0"/>
        <w:autoSpaceDE/>
        <w:autoSpaceDN/>
        <w:bidi w:val="0"/>
        <w:adjustRightInd w:val="0"/>
        <w:snapToGrid w:val="0"/>
        <w:spacing w:line="360" w:lineRule="auto"/>
        <w:ind w:firstLine="992" w:firstLineChars="4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Q</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正常火炬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正常生产状态下第i号火炬系统的火炬气流量，单位为万Nm</w:t>
      </w:r>
      <w:r>
        <w:rPr>
          <w:rFonts w:hint="default" w:ascii="Times New Roman" w:hAnsi="Times New Roman" w:eastAsia="宋体" w:cs="Times New Roman"/>
          <w:color w:val="000000" w:themeColor="text1"/>
          <w:spacing w:val="4"/>
          <w:kern w:val="24"/>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 </w:t>
      </w:r>
    </w:p>
    <w:p w14:paraId="69FB2668">
      <w:pPr>
        <w:keepNext w:val="0"/>
        <w:keepLines w:val="0"/>
        <w:pageBreakBefore w:val="0"/>
        <w:kinsoku/>
        <w:wordWrap/>
        <w:overflowPunct/>
        <w:topLinePunct w:val="0"/>
        <w:autoSpaceDE/>
        <w:autoSpaceDN/>
        <w:bidi w:val="0"/>
        <w:adjustRightInd w:val="0"/>
        <w:snapToGrid w:val="0"/>
        <w:spacing w:line="360" w:lineRule="auto"/>
        <w:ind w:firstLine="992" w:firstLineChars="4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CC</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非</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CO2</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火炬气中除CO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外其他含碳化合物的总含碳量，单位为吨碳/万Nm</w:t>
      </w:r>
      <w:r>
        <w:rPr>
          <w:rFonts w:hint="default" w:ascii="Times New Roman" w:hAnsi="Times New Roman" w:eastAsia="宋体" w:cs="Times New Roman"/>
          <w:color w:val="000000" w:themeColor="text1"/>
          <w:spacing w:val="4"/>
          <w:kern w:val="24"/>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 </w:t>
      </w:r>
    </w:p>
    <w:p w14:paraId="56517620">
      <w:pPr>
        <w:keepNext w:val="0"/>
        <w:keepLines w:val="0"/>
        <w:pageBreakBefore w:val="0"/>
        <w:kinsoku/>
        <w:wordWrap/>
        <w:overflowPunct/>
        <w:topLinePunct w:val="0"/>
        <w:autoSpaceDE/>
        <w:autoSpaceDN/>
        <w:bidi w:val="0"/>
        <w:adjustRightInd w:val="0"/>
        <w:snapToGrid w:val="0"/>
        <w:spacing w:line="360" w:lineRule="auto"/>
        <w:ind w:firstLine="992" w:firstLineChars="4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OF</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第i号火炬系统的碳氧化率，如无实测数据可采用缺省值0.98； </w:t>
      </w:r>
    </w:p>
    <w:p w14:paraId="11B8150F">
      <w:pPr>
        <w:keepNext w:val="0"/>
        <w:keepLines w:val="0"/>
        <w:pageBreakBefore w:val="0"/>
        <w:kinsoku/>
        <w:wordWrap/>
        <w:overflowPunct/>
        <w:topLinePunct w:val="0"/>
        <w:autoSpaceDE/>
        <w:autoSpaceDN/>
        <w:bidi w:val="0"/>
        <w:adjustRightInd w:val="0"/>
        <w:snapToGrid w:val="0"/>
        <w:spacing w:line="360" w:lineRule="auto"/>
        <w:ind w:firstLine="992" w:firstLineChars="4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V</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CO2</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火炬气中CO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的体积浓度，取值范围为0～1； </w:t>
      </w:r>
    </w:p>
    <w:p w14:paraId="04E9C84F">
      <w:pPr>
        <w:keepNext w:val="0"/>
        <w:keepLines w:val="0"/>
        <w:pageBreakBefore w:val="0"/>
        <w:kinsoku/>
        <w:wordWrap/>
        <w:overflowPunct/>
        <w:topLinePunct w:val="0"/>
        <w:autoSpaceDE/>
        <w:autoSpaceDN/>
        <w:bidi w:val="0"/>
        <w:adjustRightInd w:val="0"/>
        <w:snapToGrid w:val="0"/>
        <w:spacing w:line="360" w:lineRule="auto"/>
        <w:ind w:firstLine="992" w:firstLineChars="4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V</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CH4</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为火炬气中CH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的体积浓度</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p>
    <w:p w14:paraId="70725EC1">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c.事故工况下火炬气体温室气体排放公式如下：</w:t>
      </w:r>
    </w:p>
    <w:p w14:paraId="236520C9">
      <w:pPr>
        <w:pStyle w:val="36"/>
        <w:keepNext w:val="0"/>
        <w:keepLines w:val="0"/>
        <w:pageBreakBefore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drawing>
          <wp:inline distT="0" distB="0" distL="114300" distR="114300">
            <wp:extent cx="4799330" cy="610235"/>
            <wp:effectExtent l="0" t="0" r="1270" b="184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5"/>
                    <a:stretch>
                      <a:fillRect/>
                    </a:stretch>
                  </pic:blipFill>
                  <pic:spPr>
                    <a:xfrm>
                      <a:off x="0" y="0"/>
                      <a:ext cx="4799330" cy="610235"/>
                    </a:xfrm>
                    <a:prstGeom prst="rect">
                      <a:avLst/>
                    </a:prstGeom>
                    <a:noFill/>
                    <a:ln>
                      <a:noFill/>
                    </a:ln>
                  </pic:spPr>
                </pic:pic>
              </a:graphicData>
            </a:graphic>
          </wp:inline>
        </w:drawing>
      </w:r>
    </w:p>
    <w:p w14:paraId="0B00D221">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444365" cy="586740"/>
            <wp:effectExtent l="0" t="0" r="13335" b="3810"/>
            <wp:docPr id="2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9"/>
                    <pic:cNvPicPr>
                      <a:picLocks noChangeAspect="1"/>
                    </pic:cNvPicPr>
                  </pic:nvPicPr>
                  <pic:blipFill>
                    <a:blip r:embed="rId96"/>
                    <a:stretch>
                      <a:fillRect/>
                    </a:stretch>
                  </pic:blipFill>
                  <pic:spPr>
                    <a:xfrm>
                      <a:off x="0" y="0"/>
                      <a:ext cx="4444365" cy="586740"/>
                    </a:xfrm>
                    <a:prstGeom prst="rect">
                      <a:avLst/>
                    </a:prstGeom>
                    <a:noFill/>
                    <a:ln>
                      <a:noFill/>
                    </a:ln>
                  </pic:spPr>
                </pic:pic>
              </a:graphicData>
            </a:graphic>
          </wp:inline>
        </w:drawing>
      </w:r>
    </w:p>
    <w:p w14:paraId="00C4EDF9">
      <w:pPr>
        <w:keepNext w:val="0"/>
        <w:keepLines w:val="0"/>
        <w:pageBreakBefore w:val="0"/>
        <w:kinsoku/>
        <w:wordWrap/>
        <w:overflowPunct/>
        <w:topLinePunct w:val="0"/>
        <w:autoSpaceDE/>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式中</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r>
        <w:rPr>
          <w:rFonts w:hint="default" w:ascii="Times New Roman" w:hAnsi="Times New Roman" w:cs="Times New Roman"/>
          <w:color w:val="000000" w:themeColor="text1"/>
          <w:spacing w:val="4"/>
          <w:kern w:val="24"/>
          <w:szCs w:val="22"/>
          <w:highlight w:val="none"/>
          <w:lang w:val="en-US" w:eastAsia="zh-CN"/>
          <w14:textFill>
            <w14:solidFill>
              <w14:schemeClr w14:val="tx1"/>
            </w14:solidFill>
          </w14:textFill>
        </w:rPr>
        <w:t>j</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事故次数； </w:t>
      </w:r>
    </w:p>
    <w:p w14:paraId="2EE1C35D">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GF</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事故,j</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报告期内第j次事故状态时的火炬气流速度，单位为万Nm</w:t>
      </w:r>
      <w:r>
        <w:rPr>
          <w:rFonts w:hint="default" w:ascii="Times New Roman" w:hAnsi="Times New Roman" w:eastAsia="宋体" w:cs="Times New Roman"/>
          <w:color w:val="000000" w:themeColor="text1"/>
          <w:spacing w:val="4"/>
          <w:kern w:val="24"/>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/小时； </w:t>
      </w:r>
    </w:p>
    <w:p w14:paraId="1AD9E8BF">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T</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事故,j</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报告期内第j次事故的持续时间，单位为小时； </w:t>
      </w:r>
    </w:p>
    <w:p w14:paraId="1473DA06">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CC</w:t>
      </w:r>
      <w:r>
        <w:rPr>
          <w:rFonts w:hint="default" w:ascii="Times New Roman" w:hAnsi="Times New Roman" w:cs="Times New Roman"/>
          <w:color w:val="000000" w:themeColor="text1"/>
          <w:spacing w:val="4"/>
          <w:kern w:val="24"/>
          <w:szCs w:val="22"/>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非</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CO2</w:t>
      </w:r>
      <w:r>
        <w:rPr>
          <w:rFonts w:hint="default" w:ascii="Times New Roman" w:hAnsi="Times New Roman" w:cs="Times New Roman"/>
          <w:color w:val="000000" w:themeColor="text1"/>
          <w:spacing w:val="4"/>
          <w:kern w:val="24"/>
          <w:szCs w:val="22"/>
          <w:highlight w:val="none"/>
          <w:vertAlign w:val="subscript"/>
          <w:lang w:eastAsia="zh-CN"/>
          <w14:textFill>
            <w14:solidFill>
              <w14:schemeClr w14:val="tx1"/>
            </w14:solidFill>
          </w14:textFill>
        </w:rPr>
        <w:t>）</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第j次事故火炬气中除CO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外其他含碳化合物的总含碳量，单位为吨碳/万Nm</w:t>
      </w:r>
      <w:r>
        <w:rPr>
          <w:rFonts w:hint="default" w:ascii="Times New Roman" w:hAnsi="Times New Roman" w:eastAsia="宋体" w:cs="Times New Roman"/>
          <w:color w:val="000000" w:themeColor="text1"/>
          <w:spacing w:val="4"/>
          <w:kern w:val="24"/>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 </w:t>
      </w:r>
    </w:p>
    <w:p w14:paraId="71696199">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OF</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 xml:space="preserve">火炬燃烧的碳氧化率，如无实测数据可采用缺省值0.98； </w:t>
      </w:r>
    </w:p>
    <w:p w14:paraId="66CB263B">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V</w:t>
      </w:r>
      <w:r>
        <w:rPr>
          <w:rFonts w:hint="default" w:ascii="Times New Roman" w:hAnsi="Times New Roman" w:cs="Times New Roman"/>
          <w:i/>
          <w:iCs/>
          <w:color w:val="000000" w:themeColor="text1"/>
          <w:spacing w:val="4"/>
          <w:kern w:val="24"/>
          <w:szCs w:val="22"/>
          <w:highlight w:val="none"/>
          <w:vertAlign w:val="subscript"/>
          <w:lang w:eastAsia="zh-CN"/>
          <w14:textFill>
            <w14:solidFill>
              <w14:schemeClr w14:val="tx1"/>
            </w14:solidFill>
          </w14:textFill>
        </w:rPr>
        <w:t>（</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CO2</w:t>
      </w:r>
      <w:r>
        <w:rPr>
          <w:rFonts w:hint="default" w:ascii="Times New Roman" w:hAnsi="Times New Roman" w:cs="Times New Roman"/>
          <w:i/>
          <w:iCs/>
          <w:color w:val="000000" w:themeColor="text1"/>
          <w:spacing w:val="4"/>
          <w:kern w:val="24"/>
          <w:szCs w:val="22"/>
          <w:highlight w:val="none"/>
          <w:vertAlign w:val="subscript"/>
          <w:lang w:eastAsia="zh-CN"/>
          <w14:textFill>
            <w14:solidFill>
              <w14:schemeClr w14:val="tx1"/>
            </w14:solidFill>
          </w14:textFill>
        </w:rPr>
        <w:t>）</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第j次事故火炬气中CO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的体积浓度；</w:t>
      </w:r>
    </w:p>
    <w:p w14:paraId="1F0B899D">
      <w:pPr>
        <w:keepNext w:val="0"/>
        <w:keepLines w:val="0"/>
        <w:pageBreakBefore w:val="0"/>
        <w:kinsoku/>
        <w:wordWrap/>
        <w:overflowPunct/>
        <w:topLinePunct w:val="0"/>
        <w:autoSpaceDE/>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Cs w:val="22"/>
          <w:highlight w:val="none"/>
          <w:lang w:eastAsia="zh-CN"/>
          <w14:textFill>
            <w14:solidFill>
              <w14:schemeClr w14:val="tx1"/>
            </w14:solidFill>
          </w14:textFill>
        </w:rPr>
      </w:pPr>
      <w:r>
        <w:rPr>
          <w:rFonts w:hint="default" w:ascii="Times New Roman" w:hAnsi="Times New Roman" w:eastAsia="宋体" w:cs="Times New Roman"/>
          <w:i/>
          <w:iCs/>
          <w:color w:val="000000" w:themeColor="text1"/>
          <w:spacing w:val="4"/>
          <w:kern w:val="24"/>
          <w:szCs w:val="22"/>
          <w:highlight w:val="none"/>
          <w14:textFill>
            <w14:solidFill>
              <w14:schemeClr w14:val="tx1"/>
            </w14:solidFill>
          </w14:textFill>
        </w:rPr>
        <w:t>V</w:t>
      </w:r>
      <w:r>
        <w:rPr>
          <w:rFonts w:hint="default" w:ascii="Times New Roman" w:hAnsi="Times New Roman" w:eastAsia="宋体" w:cs="Times New Roman"/>
          <w:i/>
          <w:iCs/>
          <w:color w:val="000000" w:themeColor="text1"/>
          <w:spacing w:val="4"/>
          <w:kern w:val="24"/>
          <w:szCs w:val="22"/>
          <w:highlight w:val="none"/>
          <w:vertAlign w:val="subscript"/>
          <w14:textFill>
            <w14:solidFill>
              <w14:schemeClr w14:val="tx1"/>
            </w14:solidFill>
          </w14:textFill>
        </w:rPr>
        <w:t>CH4</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事故火炬气中CH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的体积浓度</w:t>
      </w:r>
      <w:r>
        <w:rPr>
          <w:rFonts w:hint="default" w:ascii="Times New Roman" w:hAnsi="Times New Roman" w:cs="Times New Roman"/>
          <w:color w:val="000000" w:themeColor="text1"/>
          <w:spacing w:val="4"/>
          <w:kern w:val="24"/>
          <w:szCs w:val="22"/>
          <w:highlight w:val="none"/>
          <w:lang w:eastAsia="zh-CN"/>
          <w14:textFill>
            <w14:solidFill>
              <w14:schemeClr w14:val="tx1"/>
            </w14:solidFill>
          </w14:textFill>
        </w:rPr>
        <w:t>。</w:t>
      </w:r>
    </w:p>
    <w:p w14:paraId="65285EBB">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②计算结果</w:t>
      </w:r>
    </w:p>
    <w:p w14:paraId="50EE1A3A">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本工程核算火炬燃烧活动温室气体排放主要为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多功能储集器的闪蒸气经过管线进入火炬分液罐，在放空火炬分液罐中分离出携带的液滴后进入放空火炬焚烧。</w:t>
      </w:r>
      <w:r>
        <w:rPr>
          <w:rFonts w:hint="eastAsia" w:ascii="Times New Roman" w:hAnsi="Times New Roman" w:eastAsia="宋体" w:cs="Times New Roman"/>
          <w:color w:val="000000" w:themeColor="text1"/>
          <w:sz w:val="24"/>
          <w:szCs w:val="24"/>
          <w:highlight w:val="none"/>
          <w14:textFill>
            <w14:solidFill>
              <w14:schemeClr w14:val="tx1"/>
            </w14:solidFill>
          </w14:textFill>
        </w:rPr>
        <w:t>相关参数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 w:val="24"/>
          <w:szCs w:val="24"/>
          <w:highlight w:val="none"/>
          <w14:textFill>
            <w14:solidFill>
              <w14:schemeClr w14:val="tx1"/>
            </w14:solidFill>
          </w14:textFill>
        </w:rPr>
        <w:t>表7.1-3。</w:t>
      </w:r>
    </w:p>
    <w:p w14:paraId="66B48081">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bookmarkStart w:id="1314" w:name="OLE_LINK913"/>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7.1-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bookmarkEnd w:id="1314"/>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单座</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火炬燃烧排放活动相关参数一览表</w:t>
      </w:r>
    </w:p>
    <w:tbl>
      <w:tblPr>
        <w:tblStyle w:val="3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26"/>
        <w:gridCol w:w="1130"/>
        <w:gridCol w:w="616"/>
        <w:gridCol w:w="1782"/>
        <w:gridCol w:w="808"/>
        <w:gridCol w:w="1647"/>
        <w:gridCol w:w="1650"/>
      </w:tblGrid>
      <w:tr w14:paraId="0EDCA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4" w:type="pct"/>
            <w:noWrap w:val="0"/>
            <w:vAlign w:val="center"/>
          </w:tcPr>
          <w:p w14:paraId="4A659C1E">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场所</w:t>
            </w:r>
          </w:p>
        </w:tc>
        <w:tc>
          <w:tcPr>
            <w:tcW w:w="675" w:type="pct"/>
            <w:noWrap w:val="0"/>
            <w:vAlign w:val="center"/>
          </w:tcPr>
          <w:p w14:paraId="743BE515">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火炬气流速</w:t>
            </w: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万Nm</w:t>
            </w:r>
            <w:r>
              <w:rPr>
                <w:rFonts w:hint="default" w:ascii="Times New Roman" w:hAnsi="Times New Roman" w:eastAsia="宋体" w:cs="Times New Roman"/>
                <w:b w:val="0"/>
                <w:bCs/>
                <w:color w:val="000000" w:themeColor="text1"/>
                <w:spacing w:val="-1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h</w:t>
            </w: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p>
        </w:tc>
        <w:tc>
          <w:tcPr>
            <w:tcW w:w="368" w:type="pct"/>
            <w:noWrap w:val="0"/>
            <w:vAlign w:val="center"/>
          </w:tcPr>
          <w:p w14:paraId="1E92372F">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持续时间</w:t>
            </w: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bookmarkStart w:id="1315" w:name="OLE_LINK916"/>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h</w:t>
            </w:r>
            <w:bookmarkEnd w:id="1315"/>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p>
        </w:tc>
        <w:tc>
          <w:tcPr>
            <w:tcW w:w="1065" w:type="pct"/>
            <w:noWrap w:val="0"/>
            <w:vAlign w:val="center"/>
          </w:tcPr>
          <w:p w14:paraId="2AE6303E">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火炬气中除CO</w:t>
            </w:r>
            <w:r>
              <w:rPr>
                <w:rFonts w:hint="default" w:ascii="Times New Roman" w:hAnsi="Times New Roman" w:eastAsia="宋体" w:cs="Times New Roman"/>
                <w:b w:val="0"/>
                <w:bCs/>
                <w:color w:val="000000" w:themeColor="text1"/>
                <w:spacing w:val="-10"/>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外其他含碳化合物的总含碳量</w:t>
            </w: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吨碳/万Nm</w:t>
            </w:r>
            <w:r>
              <w:rPr>
                <w:rFonts w:hint="default" w:ascii="Times New Roman" w:hAnsi="Times New Roman" w:eastAsia="宋体" w:cs="Times New Roman"/>
                <w:b w:val="0"/>
                <w:bCs/>
                <w:color w:val="000000" w:themeColor="text1"/>
                <w:spacing w:val="-1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pacing w:val="-10"/>
                <w:sz w:val="21"/>
                <w:szCs w:val="21"/>
                <w:highlight w:val="none"/>
                <w:lang w:val="en-US" w:eastAsia="zh-CN"/>
                <w14:textFill>
                  <w14:solidFill>
                    <w14:schemeClr w14:val="tx1"/>
                  </w14:solidFill>
                </w14:textFill>
              </w:rPr>
              <w:t>）</w:t>
            </w:r>
          </w:p>
        </w:tc>
        <w:tc>
          <w:tcPr>
            <w:tcW w:w="483" w:type="pct"/>
            <w:noWrap w:val="0"/>
            <w:vAlign w:val="center"/>
          </w:tcPr>
          <w:p w14:paraId="51A90419">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火炬燃烧的碳氧化率</w:t>
            </w:r>
          </w:p>
        </w:tc>
        <w:tc>
          <w:tcPr>
            <w:tcW w:w="984" w:type="pct"/>
            <w:noWrap w:val="0"/>
            <w:vAlign w:val="center"/>
          </w:tcPr>
          <w:p w14:paraId="0466ACAF">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火炬气中CO</w:t>
            </w:r>
            <w:r>
              <w:rPr>
                <w:rFonts w:hint="default" w:ascii="Times New Roman" w:hAnsi="Times New Roman" w:eastAsia="宋体" w:cs="Times New Roman"/>
                <w:b w:val="0"/>
                <w:bCs/>
                <w:color w:val="000000" w:themeColor="text1"/>
                <w:spacing w:val="-10"/>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的体积浓度</w:t>
            </w:r>
          </w:p>
        </w:tc>
        <w:tc>
          <w:tcPr>
            <w:tcW w:w="986" w:type="pct"/>
            <w:noWrap w:val="0"/>
            <w:vAlign w:val="center"/>
          </w:tcPr>
          <w:p w14:paraId="375081C2">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火炬气中CH</w:t>
            </w:r>
            <w:r>
              <w:rPr>
                <w:rFonts w:hint="default" w:ascii="Times New Roman" w:hAnsi="Times New Roman" w:eastAsia="宋体" w:cs="Times New Roman"/>
                <w:b w:val="0"/>
                <w:bCs/>
                <w:color w:val="000000" w:themeColor="text1"/>
                <w:spacing w:val="-10"/>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的体积浓度</w:t>
            </w:r>
          </w:p>
        </w:tc>
      </w:tr>
      <w:tr w14:paraId="19BD3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4" w:type="pct"/>
            <w:noWrap w:val="0"/>
            <w:vAlign w:val="center"/>
          </w:tcPr>
          <w:p w14:paraId="2F7EF0A6">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井场</w:t>
            </w:r>
          </w:p>
        </w:tc>
        <w:tc>
          <w:tcPr>
            <w:tcW w:w="675" w:type="pct"/>
            <w:noWrap w:val="0"/>
            <w:vAlign w:val="center"/>
          </w:tcPr>
          <w:p w14:paraId="650EF6FC">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0.0833</w:t>
            </w:r>
          </w:p>
        </w:tc>
        <w:tc>
          <w:tcPr>
            <w:tcW w:w="368" w:type="pct"/>
            <w:noWrap w:val="0"/>
            <w:vAlign w:val="center"/>
          </w:tcPr>
          <w:p w14:paraId="4DBFA07A">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2</w:t>
            </w:r>
          </w:p>
        </w:tc>
        <w:tc>
          <w:tcPr>
            <w:tcW w:w="1065" w:type="pct"/>
            <w:noWrap w:val="0"/>
            <w:vAlign w:val="center"/>
          </w:tcPr>
          <w:p w14:paraId="02E8361C">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5.96</w:t>
            </w:r>
          </w:p>
        </w:tc>
        <w:tc>
          <w:tcPr>
            <w:tcW w:w="483" w:type="pct"/>
            <w:noWrap w:val="0"/>
            <w:vAlign w:val="center"/>
          </w:tcPr>
          <w:p w14:paraId="52FC7481">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0.98</w:t>
            </w:r>
          </w:p>
        </w:tc>
        <w:tc>
          <w:tcPr>
            <w:tcW w:w="984" w:type="pct"/>
            <w:noWrap w:val="0"/>
            <w:vAlign w:val="center"/>
          </w:tcPr>
          <w:p w14:paraId="77379B22">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0.0</w:t>
            </w:r>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104</w:t>
            </w:r>
          </w:p>
        </w:tc>
        <w:tc>
          <w:tcPr>
            <w:tcW w:w="986" w:type="pct"/>
            <w:noWrap w:val="0"/>
            <w:vAlign w:val="center"/>
          </w:tcPr>
          <w:p w14:paraId="18C0E5CC">
            <w:pPr>
              <w:pStyle w:val="36"/>
              <w:keepNext w:val="0"/>
              <w:keepLines w:val="0"/>
              <w:pageBreakBefore w:val="0"/>
              <w:widowControl/>
              <w:kinsoku/>
              <w:wordWrap/>
              <w:overflowPunct/>
              <w:topLinePunct w:val="0"/>
              <w:autoSpaceDE/>
              <w:autoSpaceDN/>
              <w:bidi w:val="0"/>
              <w:adjustRightInd w:val="0"/>
              <w:snapToGrid w:val="0"/>
              <w:spacing w:after="0" w:afterLines="-2147483648"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bCs/>
                <w:color w:val="000000" w:themeColor="text1"/>
                <w:spacing w:val="-10"/>
                <w:sz w:val="21"/>
                <w:szCs w:val="21"/>
                <w:highlight w:val="none"/>
                <w:lang w:val="en-US" w:eastAsia="zh-CN"/>
                <w14:textFill>
                  <w14:solidFill>
                    <w14:schemeClr w14:val="tx1"/>
                  </w14:solidFill>
                </w14:textFill>
              </w:rPr>
              <w:t>8322</w:t>
            </w:r>
          </w:p>
        </w:tc>
      </w:tr>
    </w:tbl>
    <w:p w14:paraId="7FB9B9FB">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根据表中参数，结合公式计算可知，</w:t>
      </w:r>
      <w:r>
        <w:rPr>
          <w:rFonts w:hint="eastAsia"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火炬燃烧排放温室气体量为</w:t>
      </w:r>
      <w:bookmarkStart w:id="1316" w:name="OLE_LINK926"/>
      <w:r>
        <w:rPr>
          <w:rFonts w:hint="eastAsia"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7.2</w:t>
      </w:r>
      <w:bookmarkEnd w:id="1316"/>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吨</w:t>
      </w:r>
      <w:bookmarkStart w:id="1317" w:name="OLE_LINK917"/>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bookmarkEnd w:id="1317"/>
      <w:r>
        <w:rPr>
          <w:rFonts w:hint="default" w:ascii="Times New Roman" w:hAnsi="Times New Roman" w:cs="Times New Roman"/>
          <w:color w:val="000000" w:themeColor="text1"/>
          <w:spacing w:val="4"/>
          <w:kern w:val="24"/>
          <w:sz w:val="24"/>
          <w:szCs w:val="24"/>
          <w:highlight w:val="none"/>
          <w:vertAlign w:val="baseline"/>
          <w:lang w:val="en-US" w:eastAsia="zh-CN"/>
          <w14:textFill>
            <w14:solidFill>
              <w14:schemeClr w14:val="tx1"/>
            </w14:solidFill>
          </w14:textFill>
        </w:rPr>
        <w:t>和</w:t>
      </w:r>
      <w:r>
        <w:rPr>
          <w:rFonts w:hint="eastAsia"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0.04</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吨</w:t>
      </w:r>
      <w:bookmarkStart w:id="1318" w:name="OLE_LINK918"/>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bookmarkEnd w:id="1318"/>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1BBBC7EC">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逃逸排放</w:t>
      </w:r>
    </w:p>
    <w:p w14:paraId="479BC923">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本工程运营期</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逃逸排放</w:t>
      </w:r>
      <w:r>
        <w:rPr>
          <w:rFonts w:hint="eastAsia" w:ascii="Times New Roman" w:hAnsi="Times New Roman" w:eastAsia="宋体" w:cs="Times New Roman"/>
          <w:color w:val="000000" w:themeColor="text1"/>
          <w:sz w:val="24"/>
          <w:szCs w:val="24"/>
          <w:highlight w:val="none"/>
          <w14:textFill>
            <w14:solidFill>
              <w14:schemeClr w14:val="tx1"/>
            </w14:solidFill>
          </w14:textFill>
        </w:rPr>
        <w:t>主要来自油气开采过程中井口装置逃逸排放的</w:t>
      </w:r>
      <w:bookmarkStart w:id="1319" w:name="OLE_LINK924"/>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bookmarkEnd w:id="1319"/>
      <w:r>
        <w:rPr>
          <w:rFonts w:hint="eastAsia" w:ascii="Times New Roman" w:hAnsi="Times New Roman" w:eastAsia="宋体" w:cs="Times New Roman"/>
          <w:color w:val="000000" w:themeColor="text1"/>
          <w:sz w:val="24"/>
          <w:szCs w:val="24"/>
          <w:highlight w:val="none"/>
          <w14:textFill>
            <w14:solidFill>
              <w14:schemeClr w14:val="tx1"/>
            </w14:solidFill>
          </w14:textFill>
        </w:rPr>
        <w:t>。《</w:t>
      </w:r>
      <w:bookmarkStart w:id="1320" w:name="OLE_LINK923"/>
      <w:r>
        <w:rPr>
          <w:rFonts w:hint="eastAsia" w:ascii="Times New Roman" w:hAnsi="Times New Roman" w:eastAsia="宋体" w:cs="Times New Roman"/>
          <w:color w:val="000000" w:themeColor="text1"/>
          <w:sz w:val="24"/>
          <w:szCs w:val="24"/>
          <w:highlight w:val="none"/>
          <w14:textFill>
            <w14:solidFill>
              <w14:schemeClr w14:val="tx1"/>
            </w14:solidFill>
          </w14:textFill>
        </w:rPr>
        <w:t>中国石油和天然气生产企业温室气体排放核算方法与报告指南</w:t>
      </w:r>
      <w:bookmarkEnd w:id="1320"/>
      <w:r>
        <w:rPr>
          <w:rFonts w:hint="eastAsia" w:ascii="Times New Roman" w:hAnsi="Times New Roman" w:eastAsia="宋体" w:cs="Times New Roman"/>
          <w:color w:val="000000" w:themeColor="text1"/>
          <w:sz w:val="24"/>
          <w:szCs w:val="24"/>
          <w:highlight w:val="none"/>
          <w14:textFill>
            <w14:solidFill>
              <w14:schemeClr w14:val="tx1"/>
            </w14:solidFill>
          </w14:textFill>
        </w:rPr>
        <w:t>（试行）》（发改办气候〔2014〕2920号）中“油气开采业务</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逃逸排放”计算公式进行计算：</w:t>
      </w:r>
    </w:p>
    <w:p w14:paraId="176C67C4">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3825240" cy="516255"/>
            <wp:effectExtent l="0" t="0" r="3810" b="17145"/>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97"/>
                    <a:stretch>
                      <a:fillRect/>
                    </a:stretch>
                  </pic:blipFill>
                  <pic:spPr>
                    <a:xfrm>
                      <a:off x="0" y="0"/>
                      <a:ext cx="3825240" cy="516255"/>
                    </a:xfrm>
                    <a:prstGeom prst="rect">
                      <a:avLst/>
                    </a:prstGeom>
                    <a:noFill/>
                    <a:ln>
                      <a:noFill/>
                    </a:ln>
                  </pic:spPr>
                </pic:pic>
              </a:graphicData>
            </a:graphic>
          </wp:inline>
        </w:drawing>
      </w:r>
    </w:p>
    <w:p w14:paraId="6693D0BA">
      <w:pPr>
        <w:keepNext w:val="0"/>
        <w:keepLines w:val="0"/>
        <w:pageBreakBefore w:val="0"/>
        <w:kinsoku/>
        <w:wordWrap/>
        <w:overflowPunct/>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zh-CN"/>
          <w14:textFill>
            <w14:solidFill>
              <w14:schemeClr w14:val="tx1"/>
            </w14:solidFill>
          </w14:textFill>
        </w:rPr>
        <w:t>式中：</w:t>
      </w:r>
      <w:r>
        <w:rPr>
          <w:rFonts w:hint="default" w:ascii="Times New Roman" w:hAnsi="Times New Roman" w:cs="Times New Roman"/>
          <w:i/>
          <w:iCs/>
          <w:color w:val="000000" w:themeColor="text1"/>
          <w:sz w:val="24"/>
          <w:szCs w:val="24"/>
          <w:highlight w:val="none"/>
          <w14:textFill>
            <w14:solidFill>
              <w14:schemeClr w14:val="tx1"/>
            </w14:solidFill>
          </w14:textFill>
        </w:rPr>
        <w:t>E</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CH4_</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开采逃逸</w:t>
      </w:r>
      <w:r>
        <w:rPr>
          <w:rFonts w:hint="default" w:ascii="Times New Roman" w:hAnsi="Times New Roman" w:cs="Times New Roman"/>
          <w:color w:val="000000" w:themeColor="text1"/>
          <w:sz w:val="24"/>
          <w:szCs w:val="24"/>
          <w:highlight w:val="none"/>
          <w14:textFill>
            <w14:solidFill>
              <w14:schemeClr w14:val="tx1"/>
            </w14:solidFill>
          </w14:textFill>
        </w:rPr>
        <w:t>——原油开采或天然气开采中所有设施类型</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包括原油开采的</w:t>
      </w:r>
      <w:bookmarkStart w:id="1321" w:name="OLE_LINK919"/>
      <w:r>
        <w:rPr>
          <w:rFonts w:hint="default" w:ascii="Times New Roman" w:hAnsi="Times New Roman" w:cs="Times New Roman"/>
          <w:color w:val="000000" w:themeColor="text1"/>
          <w:sz w:val="24"/>
          <w:szCs w:val="24"/>
          <w:highlight w:val="none"/>
          <w14:textFill>
            <w14:solidFill>
              <w14:schemeClr w14:val="tx1"/>
            </w14:solidFill>
          </w14:textFill>
        </w:rPr>
        <w:t>井口装置</w:t>
      </w:r>
      <w:bookmarkEnd w:id="1321"/>
      <w:r>
        <w:rPr>
          <w:rFonts w:hint="default" w:ascii="Times New Roman" w:hAnsi="Times New Roman" w:cs="Times New Roman"/>
          <w:color w:val="000000" w:themeColor="text1"/>
          <w:sz w:val="24"/>
          <w:szCs w:val="24"/>
          <w:highlight w:val="none"/>
          <w14:textFill>
            <w14:solidFill>
              <w14:schemeClr w14:val="tx1"/>
            </w14:solidFill>
          </w14:textFill>
        </w:rPr>
        <w:t>、单井储油装置、接转站、联合站及天然气开采中的井口装置、集气站、计量/配气站、储气站等</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产生的CH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逃逸排放，单位为吨CH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w:t>
      </w:r>
    </w:p>
    <w:p w14:paraId="11791A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i/>
          <w:iCs/>
          <w:color w:val="000000" w:themeColor="text1"/>
          <w:sz w:val="24"/>
          <w:szCs w:val="24"/>
          <w:highlight w:val="none"/>
          <w14:textFill>
            <w14:solidFill>
              <w14:schemeClr w14:val="tx1"/>
            </w14:solidFill>
          </w14:textFill>
        </w:rPr>
        <w:t>j</w:t>
      </w:r>
      <w:r>
        <w:rPr>
          <w:rFonts w:hint="default" w:ascii="Times New Roman" w:hAnsi="Times New Roman" w:cs="Times New Roman"/>
          <w:color w:val="000000" w:themeColor="text1"/>
          <w:sz w:val="24"/>
          <w:szCs w:val="24"/>
          <w:highlight w:val="none"/>
          <w14:textFill>
            <w14:solidFill>
              <w14:schemeClr w14:val="tx1"/>
            </w14:solidFill>
          </w14:textFill>
        </w:rPr>
        <w:t>——不同的设施类型；</w:t>
      </w:r>
    </w:p>
    <w:p w14:paraId="0068ED5B">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i/>
          <w:iCs/>
          <w:color w:val="000000" w:themeColor="text1"/>
          <w:sz w:val="24"/>
          <w:szCs w:val="24"/>
          <w:highlight w:val="none"/>
          <w14:textFill>
            <w14:solidFill>
              <w14:schemeClr w14:val="tx1"/>
            </w14:solidFill>
          </w14:textFill>
        </w:rPr>
        <w:t>Num</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oil,j</w:t>
      </w:r>
      <w:r>
        <w:rPr>
          <w:rFonts w:hint="default" w:ascii="Times New Roman" w:hAnsi="Times New Roman" w:cs="Times New Roman"/>
          <w:color w:val="000000" w:themeColor="text1"/>
          <w:sz w:val="24"/>
          <w:szCs w:val="24"/>
          <w:highlight w:val="none"/>
          <w14:textFill>
            <w14:solidFill>
              <w14:schemeClr w14:val="tx1"/>
            </w14:solidFill>
          </w14:textFill>
        </w:rPr>
        <w:t>——原油开采业务所涉及的泄漏设施类型数量，单位为个；</w:t>
      </w:r>
    </w:p>
    <w:p w14:paraId="54842B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i/>
          <w:iCs/>
          <w:color w:val="000000" w:themeColor="text1"/>
          <w:sz w:val="24"/>
          <w:szCs w:val="24"/>
          <w:highlight w:val="none"/>
          <w14:textFill>
            <w14:solidFill>
              <w14:schemeClr w14:val="tx1"/>
            </w14:solidFill>
          </w14:textFill>
        </w:rPr>
        <w:t>EF</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oil,j</w:t>
      </w:r>
      <w:r>
        <w:rPr>
          <w:rFonts w:hint="default" w:ascii="Times New Roman" w:hAnsi="Times New Roman" w:cs="Times New Roman"/>
          <w:color w:val="000000" w:themeColor="text1"/>
          <w:sz w:val="24"/>
          <w:szCs w:val="24"/>
          <w:highlight w:val="none"/>
          <w14:textFill>
            <w14:solidFill>
              <w14:schemeClr w14:val="tx1"/>
            </w14:solidFill>
          </w14:textFill>
        </w:rPr>
        <w:t>——原油开采业务中</w:t>
      </w:r>
      <w:r>
        <w:rPr>
          <w:rFonts w:hint="eastAsia" w:cs="Times New Roman"/>
          <w:color w:val="000000" w:themeColor="text1"/>
          <w:sz w:val="24"/>
          <w:szCs w:val="24"/>
          <w:highlight w:val="none"/>
          <w:lang w:eastAsia="zh-CN"/>
          <w14:textFill>
            <w14:solidFill>
              <w14:schemeClr w14:val="tx1"/>
            </w14:solidFill>
          </w14:textFill>
        </w:rPr>
        <w:t>涉及</w:t>
      </w:r>
      <w:r>
        <w:rPr>
          <w:rFonts w:hint="default" w:ascii="Times New Roman" w:hAnsi="Times New Roman" w:cs="Times New Roman"/>
          <w:color w:val="000000" w:themeColor="text1"/>
          <w:sz w:val="24"/>
          <w:szCs w:val="24"/>
          <w:highlight w:val="none"/>
          <w14:textFill>
            <w14:solidFill>
              <w14:schemeClr w14:val="tx1"/>
            </w14:solidFill>
          </w14:textFill>
        </w:rPr>
        <w:t>的每种设施类型j的CH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逃逸排放因子，单位为吨CH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年·个</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；接转站为0.18吨/</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年·个</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w:t>
      </w:r>
    </w:p>
    <w:p w14:paraId="21E4904A">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000000" w:themeColor="text1"/>
          <w:sz w:val="24"/>
          <w:szCs w:val="24"/>
          <w:highlight w:val="none"/>
          <w14:textFill>
            <w14:solidFill>
              <w14:schemeClr w14:val="tx1"/>
            </w14:solidFill>
          </w14:textFill>
        </w:rPr>
      </w:pPr>
      <w:bookmarkStart w:id="1322" w:name="OLE_LINK921"/>
      <w:r>
        <w:rPr>
          <w:rFonts w:hint="default" w:ascii="Times New Roman" w:hAnsi="Times New Roman" w:cs="Times New Roman"/>
          <w:i/>
          <w:iCs/>
          <w:color w:val="000000" w:themeColor="text1"/>
          <w:sz w:val="24"/>
          <w:szCs w:val="24"/>
          <w:highlight w:val="none"/>
          <w14:textFill>
            <w14:solidFill>
              <w14:schemeClr w14:val="tx1"/>
            </w14:solidFill>
          </w14:textFill>
        </w:rPr>
        <w:t>Num</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gas,</w:t>
      </w:r>
      <w:bookmarkEnd w:id="1322"/>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j</w:t>
      </w:r>
      <w:r>
        <w:rPr>
          <w:rFonts w:hint="default" w:ascii="Times New Roman" w:hAnsi="Times New Roman" w:cs="Times New Roman"/>
          <w:color w:val="000000" w:themeColor="text1"/>
          <w:sz w:val="24"/>
          <w:szCs w:val="24"/>
          <w:highlight w:val="none"/>
          <w14:textFill>
            <w14:solidFill>
              <w14:schemeClr w14:val="tx1"/>
            </w14:solidFill>
          </w14:textFill>
        </w:rPr>
        <w:t>——天然气开采业务所涉及的泄漏设施类型数量，单位为个；</w:t>
      </w:r>
    </w:p>
    <w:p w14:paraId="7FC35AC8">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323" w:name="OLE_LINK922"/>
      <w:r>
        <w:rPr>
          <w:rFonts w:hint="default" w:ascii="Times New Roman" w:hAnsi="Times New Roman" w:cs="Times New Roman"/>
          <w:i/>
          <w:iCs/>
          <w:color w:val="000000" w:themeColor="text1"/>
          <w:sz w:val="24"/>
          <w:szCs w:val="24"/>
          <w:highlight w:val="none"/>
          <w14:textFill>
            <w14:solidFill>
              <w14:schemeClr w14:val="tx1"/>
            </w14:solidFill>
          </w14:textFill>
        </w:rPr>
        <w:t>EF</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gas</w:t>
      </w:r>
      <w:bookmarkEnd w:id="1323"/>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,j</w:t>
      </w:r>
      <w:r>
        <w:rPr>
          <w:rFonts w:hint="default" w:ascii="Times New Roman" w:hAnsi="Times New Roman" w:cs="Times New Roman"/>
          <w:color w:val="000000" w:themeColor="text1"/>
          <w:sz w:val="24"/>
          <w:szCs w:val="24"/>
          <w:highlight w:val="none"/>
          <w14:textFill>
            <w14:solidFill>
              <w14:schemeClr w14:val="tx1"/>
            </w14:solidFill>
          </w14:textFill>
        </w:rPr>
        <w:t>——天然气开采业务中</w:t>
      </w:r>
      <w:r>
        <w:rPr>
          <w:rFonts w:hint="eastAsia" w:cs="Times New Roman"/>
          <w:color w:val="000000" w:themeColor="text1"/>
          <w:sz w:val="24"/>
          <w:szCs w:val="24"/>
          <w:highlight w:val="none"/>
          <w:lang w:eastAsia="zh-CN"/>
          <w14:textFill>
            <w14:solidFill>
              <w14:schemeClr w14:val="tx1"/>
            </w14:solidFill>
          </w14:textFill>
        </w:rPr>
        <w:t>涉及</w:t>
      </w:r>
      <w:r>
        <w:rPr>
          <w:rFonts w:hint="default" w:ascii="Times New Roman" w:hAnsi="Times New Roman" w:cs="Times New Roman"/>
          <w:color w:val="000000" w:themeColor="text1"/>
          <w:sz w:val="24"/>
          <w:szCs w:val="24"/>
          <w:highlight w:val="none"/>
          <w14:textFill>
            <w14:solidFill>
              <w14:schemeClr w14:val="tx1"/>
            </w14:solidFill>
          </w14:textFill>
        </w:rPr>
        <w:t>的每种设施类型j的CH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逃逸排放因子，单位为吨CH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年·个</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06B2B54">
      <w:pPr>
        <w:pStyle w:val="124"/>
        <w:keepNext w:val="0"/>
        <w:keepLines w:val="0"/>
        <w:pageBreakBefore w:val="0"/>
        <w:kinsoku/>
        <w:wordWrap/>
        <w:overflowPunct/>
        <w:topLinePunct/>
        <w:autoSpaceDE w:val="0"/>
        <w:autoSpaceDN/>
        <w:bidi w:val="0"/>
        <w:adjustRightInd w:val="0"/>
        <w:snapToGrid w:val="0"/>
        <w:spacing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sz w:val="24"/>
          <w:szCs w:val="24"/>
          <w:highlight w:val="none"/>
          <w14:textFill>
            <w14:solidFill>
              <w14:schemeClr w14:val="tx1"/>
            </w14:solidFill>
          </w14:textFill>
        </w:rPr>
        <w:t>工程开采逃逸的CH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为：</w:t>
      </w:r>
    </w:p>
    <w:p w14:paraId="63CCB3E7">
      <w:pPr>
        <w:pStyle w:val="124"/>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i/>
          <w:iCs/>
          <w:color w:val="000000" w:themeColor="text1"/>
          <w:kern w:val="0"/>
          <w:sz w:val="24"/>
          <w:szCs w:val="24"/>
          <w:highlight w:val="none"/>
          <w:vertAlign w:val="subscript"/>
          <w14:textFill>
            <w14:solidFill>
              <w14:schemeClr w14:val="tx1"/>
            </w14:solidFill>
          </w14:textFill>
        </w:rPr>
      </w:pPr>
      <w:r>
        <w:rPr>
          <w:rFonts w:hint="default" w:ascii="Times New Roman" w:hAnsi="Times New Roman" w:cs="Times New Roman"/>
          <w:i/>
          <w:iCs/>
          <w:color w:val="000000" w:themeColor="text1"/>
          <w:sz w:val="24"/>
          <w:szCs w:val="24"/>
          <w:highlight w:val="none"/>
          <w14:textFill>
            <w14:solidFill>
              <w14:schemeClr w14:val="tx1"/>
            </w14:solidFill>
          </w14:textFill>
        </w:rPr>
        <w:t>E</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CH4-开采逃逸</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i/>
          <w:iCs/>
          <w:color w:val="000000" w:themeColor="text1"/>
          <w:sz w:val="24"/>
          <w:szCs w:val="24"/>
          <w:highlight w:val="none"/>
          <w14:textFill>
            <w14:solidFill>
              <w14:schemeClr w14:val="tx1"/>
            </w14:solidFill>
          </w14:textFill>
        </w:rPr>
        <w:t>Num</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gas,</w:t>
      </w:r>
      <w:bookmarkStart w:id="1324" w:name="OLE_LINK920"/>
      <w:r>
        <w:rPr>
          <w:rFonts w:hint="default" w:ascii="Times New Roman" w:hAnsi="Times New Roman" w:cs="Times New Roman"/>
          <w:i/>
          <w:iCs/>
          <w:color w:val="000000" w:themeColor="text1"/>
          <w:kern w:val="0"/>
          <w:sz w:val="24"/>
          <w:szCs w:val="24"/>
          <w:highlight w:val="none"/>
          <w:vertAlign w:val="subscript"/>
          <w14:textFill>
            <w14:solidFill>
              <w14:schemeClr w14:val="tx1"/>
            </w14:solidFill>
          </w14:textFill>
        </w:rPr>
        <w:t>井口装置</w:t>
      </w:r>
      <w:bookmarkEnd w:id="1324"/>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i/>
          <w:iCs/>
          <w:color w:val="000000" w:themeColor="text1"/>
          <w:sz w:val="24"/>
          <w:szCs w:val="24"/>
          <w:highlight w:val="none"/>
          <w14:textFill>
            <w14:solidFill>
              <w14:schemeClr w14:val="tx1"/>
            </w14:solidFill>
          </w14:textFill>
        </w:rPr>
        <w:t>EF</w:t>
      </w:r>
      <w:r>
        <w:rPr>
          <w:rFonts w:hint="default" w:ascii="Times New Roman" w:hAnsi="Times New Roman" w:cs="Times New Roman"/>
          <w:i/>
          <w:iCs/>
          <w:color w:val="000000" w:themeColor="text1"/>
          <w:sz w:val="24"/>
          <w:szCs w:val="24"/>
          <w:highlight w:val="none"/>
          <w:vertAlign w:val="subscript"/>
          <w14:textFill>
            <w14:solidFill>
              <w14:schemeClr w14:val="tx1"/>
            </w14:solidFill>
          </w14:textFill>
        </w:rPr>
        <w:t>gas</w:t>
      </w:r>
      <w:r>
        <w:rPr>
          <w:rFonts w:hint="default" w:ascii="Times New Roman" w:hAnsi="Times New Roman" w:cs="Times New Roman"/>
          <w:i/>
          <w:iCs/>
          <w:color w:val="000000" w:themeColor="text1"/>
          <w:kern w:val="0"/>
          <w:sz w:val="24"/>
          <w:szCs w:val="24"/>
          <w:highlight w:val="none"/>
          <w:vertAlign w:val="subscript"/>
          <w14:textFill>
            <w14:solidFill>
              <w14:schemeClr w14:val="tx1"/>
            </w14:solidFill>
          </w14:textFill>
        </w:rPr>
        <w:t>,井口装置</w:t>
      </w:r>
    </w:p>
    <w:p w14:paraId="4F472B32">
      <w:pPr>
        <w:pStyle w:val="124"/>
        <w:keepNext w:val="0"/>
        <w:keepLines w:val="0"/>
        <w:pageBreakBefore w:val="0"/>
        <w:kinsoku/>
        <w:wordWrap/>
        <w:overflowPunct/>
        <w:topLinePunct/>
        <w:autoSpaceDE w:val="0"/>
        <w:autoSpaceDN/>
        <w:bidi w:val="0"/>
        <w:adjustRightInd w:val="0"/>
        <w:snapToGrid w:val="0"/>
        <w:spacing w:line="360" w:lineRule="auto"/>
        <w:ind w:left="480" w:leftChars="200" w:firstLine="480" w:firstLineChars="200"/>
        <w:textAlignment w:val="auto"/>
        <w:rPr>
          <w:rFonts w:hint="default" w:ascii="Times New Roman" w:hAnsi="Times New Roman" w:cs="Times New Roman"/>
          <w:color w:val="000000" w:themeColor="text1"/>
          <w:kern w:val="0"/>
          <w:sz w:val="24"/>
          <w:szCs w:val="24"/>
          <w:highlight w:val="none"/>
          <w:vertAlign w:val="subscript"/>
          <w14:textFill>
            <w14:solidFill>
              <w14:schemeClr w14:val="tx1"/>
            </w14:solidFill>
          </w14:textFill>
        </w:rPr>
      </w:pPr>
      <w:r>
        <w:rPr>
          <w:rFonts w:hint="default" w:ascii="Times New Roman" w:hAnsi="Times New Roman" w:cs="Times New Roman"/>
          <w:i/>
          <w:iCs/>
          <w:color w:val="000000" w:themeColor="text1"/>
          <w:kern w:val="0"/>
          <w:sz w:val="24"/>
          <w:szCs w:val="24"/>
          <w:highlight w:val="none"/>
          <w:vertAlign w:val="subscript"/>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cs="Times New Roman"/>
          <w:color w:val="000000" w:themeColor="text1"/>
          <w:kern w:val="0"/>
          <w:sz w:val="24"/>
          <w:szCs w:val="24"/>
          <w:highlight w:val="none"/>
          <w14:textFill>
            <w14:solidFill>
              <w14:schemeClr w14:val="tx1"/>
            </w14:solidFill>
          </w14:textFill>
        </w:rPr>
        <w:t>CH</w:t>
      </w:r>
      <w:r>
        <w:rPr>
          <w:rFonts w:hint="default" w:ascii="Times New Roman" w:hAnsi="Times New Roman" w:cs="Times New Roman"/>
          <w:color w:val="000000" w:themeColor="text1"/>
          <w:kern w:val="0"/>
          <w:sz w:val="24"/>
          <w:szCs w:val="24"/>
          <w:highlight w:val="none"/>
          <w:vertAlign w:val="subscript"/>
          <w14:textFill>
            <w14:solidFill>
              <w14:schemeClr w14:val="tx1"/>
            </w14:solidFill>
          </w14:textFill>
        </w:rPr>
        <w:t>4</w:t>
      </w:r>
    </w:p>
    <w:p w14:paraId="43ACE13B">
      <w:pPr>
        <w:pStyle w:val="124"/>
        <w:keepNext w:val="0"/>
        <w:keepLines w:val="0"/>
        <w:pageBreakBefore w:val="0"/>
        <w:kinsoku/>
        <w:wordWrap/>
        <w:overflowPunct/>
        <w:topLinePunct/>
        <w:autoSpaceDE w:val="0"/>
        <w:autoSpaceDN/>
        <w:bidi w:val="0"/>
        <w:adjustRightInd w:val="0"/>
        <w:snapToGrid w:val="0"/>
        <w:spacing w:line="360" w:lineRule="auto"/>
        <w:ind w:left="960" w:leftChars="400" w:firstLine="480" w:firstLineChars="200"/>
        <w:textAlignment w:val="auto"/>
        <w:rPr>
          <w:rFonts w:hint="default" w:ascii="Times New Roman" w:hAnsi="Times New Roman" w:cs="Times New Roman"/>
          <w:i/>
          <w:iCs/>
          <w:color w:val="000000" w:themeColor="text1"/>
          <w:kern w:val="0"/>
          <w:sz w:val="24"/>
          <w:szCs w:val="24"/>
          <w:highlight w:val="none"/>
          <w:vertAlign w:val="subscript"/>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cs="Times New Roman"/>
          <w:color w:val="000000" w:themeColor="text1"/>
          <w:kern w:val="0"/>
          <w:sz w:val="24"/>
          <w:szCs w:val="24"/>
          <w:highlight w:val="none"/>
          <w14:textFill>
            <w14:solidFill>
              <w14:schemeClr w14:val="tx1"/>
            </w14:solidFill>
          </w14:textFill>
        </w:rPr>
        <w:t>CH</w:t>
      </w:r>
      <w:r>
        <w:rPr>
          <w:rFonts w:hint="default" w:ascii="Times New Roman" w:hAnsi="Times New Roman" w:cs="Times New Roman"/>
          <w:color w:val="000000" w:themeColor="text1"/>
          <w:kern w:val="0"/>
          <w:sz w:val="24"/>
          <w:szCs w:val="24"/>
          <w:highlight w:val="none"/>
          <w:vertAlign w:val="subscript"/>
          <w14:textFill>
            <w14:solidFill>
              <w14:schemeClr w14:val="tx1"/>
            </w14:solidFill>
          </w14:textFill>
        </w:rPr>
        <w:t>4</w:t>
      </w:r>
    </w:p>
    <w:p w14:paraId="7E37FE99">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根据表中参数，结合公式计算可知，甲烷逃逸排放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14:textFill>
            <w14:solidFill>
              <w14:schemeClr w14:val="tx1"/>
            </w14:solidFill>
          </w14:textFill>
        </w:rPr>
        <w:t>，折算成CO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×21=</w:t>
      </w:r>
      <w:bookmarkStart w:id="1325" w:name="OLE_LINK92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105</w:t>
      </w:r>
      <w:bookmarkEnd w:id="1325"/>
      <w:r>
        <w:rPr>
          <w:rFonts w:hint="eastAsia"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064E1AB">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（3）净购入电力和热力隐含的CO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w:t>
      </w:r>
    </w:p>
    <w:p w14:paraId="4BF38CF7">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①计算公式</w:t>
      </w:r>
    </w:p>
    <w:p w14:paraId="117DEE0F">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a.净购入电力的CO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排放计算公式</w:t>
      </w:r>
    </w:p>
    <w:p w14:paraId="421923CE">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center"/>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drawing>
          <wp:inline distT="0" distB="0" distL="114300" distR="114300">
            <wp:extent cx="1610360" cy="180975"/>
            <wp:effectExtent l="0" t="0" r="508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8"/>
                    <a:stretch>
                      <a:fillRect/>
                    </a:stretch>
                  </pic:blipFill>
                  <pic:spPr>
                    <a:xfrm>
                      <a:off x="0" y="0"/>
                      <a:ext cx="1610360" cy="180975"/>
                    </a:xfrm>
                    <a:prstGeom prst="rect">
                      <a:avLst/>
                    </a:prstGeom>
                    <a:noFill/>
                    <a:ln>
                      <a:noFill/>
                    </a:ln>
                  </pic:spPr>
                </pic:pic>
              </a:graphicData>
            </a:graphic>
          </wp:inline>
        </w:drawing>
      </w:r>
    </w:p>
    <w:p w14:paraId="32399518">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式中：</w:t>
      </w:r>
    </w:p>
    <w:p w14:paraId="5160C24F">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ECO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-净电为报告主体净购入电力隐含的CO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排放量，单位为吨CO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w:t>
      </w:r>
    </w:p>
    <w:p w14:paraId="6217422D">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AD电力为企业净购入的电力消费量，单位为兆瓦时（MWh）；</w:t>
      </w:r>
    </w:p>
    <w:p w14:paraId="6B20F5FC">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EF电力为电力供应的CO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排放因子，单位为吨CO2/MWh。</w:t>
      </w:r>
    </w:p>
    <w:p w14:paraId="0099778B">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b.净购入热力的CO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排放计算公式</w:t>
      </w:r>
    </w:p>
    <w:p w14:paraId="529303C0">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center"/>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drawing>
          <wp:inline distT="0" distB="0" distL="114300" distR="114300">
            <wp:extent cx="1610360" cy="180975"/>
            <wp:effectExtent l="0" t="0" r="508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9"/>
                    <a:stretch>
                      <a:fillRect/>
                    </a:stretch>
                  </pic:blipFill>
                  <pic:spPr>
                    <a:xfrm>
                      <a:off x="0" y="0"/>
                      <a:ext cx="1610360" cy="180975"/>
                    </a:xfrm>
                    <a:prstGeom prst="rect">
                      <a:avLst/>
                    </a:prstGeom>
                    <a:noFill/>
                    <a:ln>
                      <a:noFill/>
                    </a:ln>
                  </pic:spPr>
                </pic:pic>
              </a:graphicData>
            </a:graphic>
          </wp:inline>
        </w:drawing>
      </w:r>
    </w:p>
    <w:p w14:paraId="2663AD22">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式中：</w:t>
      </w:r>
    </w:p>
    <w:p w14:paraId="4E21AE5F">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ECO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-净热为报告主体净购入热力隐含的CO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排放量，单位为吨CO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w:t>
      </w:r>
    </w:p>
    <w:p w14:paraId="41CFF18D">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AD热力为企业净购入的热力消费量，单位为GJ；</w:t>
      </w:r>
    </w:p>
    <w:p w14:paraId="7AFC54A5">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EF热力为热力供应的CO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排放因子，单位为吨CO2/GJ。</w:t>
      </w:r>
    </w:p>
    <w:p w14:paraId="11E32C48">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②计算结果</w:t>
      </w:r>
    </w:p>
    <w:p w14:paraId="599E9C84">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拟建工程生产过程中不涉及使用蒸汽，不涉及发电内容，井场使用的电力消耗量为104MWh，电力排放因子根据《关于发布2022年电力二氧化碳排放因子的公告》（2024年第33号）中新疆电力平均二氧化碳排放因子为0.6231吨CO</w:t>
      </w:r>
      <w:r>
        <w:rPr>
          <w:rFonts w:hint="eastAsia" w:ascii="Times New Roman" w:hAnsi="Times New Roman" w:eastAsia="宋体" w:cs="Times New Roman"/>
          <w:b w:val="0"/>
          <w:color w:val="000000" w:themeColor="text1"/>
          <w:spacing w:val="5"/>
          <w:kern w:val="2"/>
          <w:sz w:val="24"/>
          <w:szCs w:val="24"/>
          <w:highlight w:val="none"/>
          <w:vertAlign w:val="subscript"/>
          <w:lang w:val="en-GB" w:eastAsia="zh-CN" w:bidi="ar-SA"/>
          <w14:textFill>
            <w14:solidFill>
              <w14:schemeClr w14:val="tx1"/>
            </w14:solidFill>
          </w14:textFill>
        </w:rPr>
        <w:t>2</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/MWh。根据前述公式计算可知，核算净购入电力和热力隐含的CO2排放量为</w:t>
      </w:r>
      <w:r>
        <w:rPr>
          <w:rFonts w:hint="eastAsia" w:ascii="Times New Roman" w:hAnsi="Times New Roman" w:eastAsia="宋体" w:cs="Times New Roman"/>
          <w:b w:val="0"/>
          <w:color w:val="000000" w:themeColor="text1"/>
          <w:spacing w:val="5"/>
          <w:kern w:val="2"/>
          <w:sz w:val="24"/>
          <w:szCs w:val="24"/>
          <w:highlight w:val="none"/>
          <w:lang w:val="en-US" w:eastAsia="zh-CN" w:bidi="ar-SA"/>
          <w14:textFill>
            <w14:solidFill>
              <w14:schemeClr w14:val="tx1"/>
            </w14:solidFill>
          </w14:textFill>
        </w:rPr>
        <w:t>64.8</w:t>
      </w:r>
      <w:r>
        <w:rPr>
          <w:rFonts w:hint="eastAsia" w:ascii="Times New Roman" w:hAnsi="Times New Roman" w:eastAsia="宋体" w:cs="Times New Roman"/>
          <w:b w:val="0"/>
          <w:color w:val="000000" w:themeColor="text1"/>
          <w:spacing w:val="5"/>
          <w:kern w:val="2"/>
          <w:sz w:val="24"/>
          <w:szCs w:val="24"/>
          <w:highlight w:val="none"/>
          <w:lang w:val="en-GB" w:eastAsia="zh-CN" w:bidi="ar-SA"/>
          <w14:textFill>
            <w14:solidFill>
              <w14:schemeClr w14:val="tx1"/>
            </w14:solidFill>
          </w14:textFill>
        </w:rPr>
        <w:t>t。</w:t>
      </w:r>
    </w:p>
    <w:p w14:paraId="03F327F1">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）碳排放核算结果汇总</w:t>
      </w:r>
    </w:p>
    <w:p w14:paraId="426E459F">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根据《</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中国石油天然气生产企业温室气体排放核算方法与报告指南（试行）</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报告主体的温室气体</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GHG</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排放总量计算公式为</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5341EBF7">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4010660" cy="739775"/>
            <wp:effectExtent l="0" t="0" r="8890" b="3175"/>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100"/>
                    <a:stretch>
                      <a:fillRect/>
                    </a:stretch>
                  </pic:blipFill>
                  <pic:spPr>
                    <a:xfrm>
                      <a:off x="0" y="0"/>
                      <a:ext cx="4010660" cy="739775"/>
                    </a:xfrm>
                    <a:prstGeom prst="rect">
                      <a:avLst/>
                    </a:prstGeom>
                    <a:noFill/>
                    <a:ln>
                      <a:noFill/>
                    </a:ln>
                  </pic:spPr>
                </pic:pic>
              </a:graphicData>
            </a:graphic>
          </wp:inline>
        </w:drawing>
      </w:r>
    </w:p>
    <w:p w14:paraId="3BB24ACA">
      <w:pPr>
        <w:keepNext w:val="0"/>
        <w:keepLines w:val="0"/>
        <w:pageBreakBefore w:val="0"/>
        <w:kinsoku/>
        <w:wordWrap/>
        <w:overflowPunct/>
        <w:autoSpaceDN/>
        <w:bidi w:val="0"/>
        <w:adjustRightInd w:val="0"/>
        <w:snapToGrid w:val="0"/>
        <w:spacing w:line="360" w:lineRule="auto"/>
        <w:ind w:firstLine="496" w:firstLineChars="2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bookmarkStart w:id="1326" w:name="_Toc180591703"/>
      <w:bookmarkStart w:id="1327" w:name="_Toc24493"/>
      <w:bookmarkStart w:id="1328" w:name="_Toc2278"/>
      <w:bookmarkStart w:id="1329" w:name="_Toc14377"/>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式中</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r>
        <w:rPr>
          <w:rFonts w:hint="default" w:ascii="Times New Roman" w:hAnsi="Times New Roman" w:eastAsia="宋体" w:cs="Times New Roman"/>
          <w:i/>
          <w:iCs/>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GHG</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温室气体排放总量，单位为吨CO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4"/>
          <w:kern w:val="24"/>
          <w:sz w:val="24"/>
          <w:szCs w:val="24"/>
          <w:highlight w:val="none"/>
          <w:vertAlign w:val="baseline"/>
          <w:lang w:val="en-US" w:eastAsia="zh-CN"/>
          <w14:textFill>
            <w14:solidFill>
              <w14:schemeClr w14:val="tx1"/>
            </w14:solidFill>
          </w14:textFill>
        </w:rPr>
        <w:t>当量</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732270BB">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CO2-燃烧</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企业</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由于化石燃料燃烧活动产生的CO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排放量，单位为吨CO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1226117E">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GHG-火炬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企业因火炬燃烧导致的温室气体排放，单位为吨CO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当量；</w:t>
      </w:r>
    </w:p>
    <w:p w14:paraId="695AF771">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GHG-工艺</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企业各业务类型的工艺放空排放，单位为吨CO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当量；</w:t>
      </w:r>
    </w:p>
    <w:p w14:paraId="6B8098E4">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GHG-逃逸</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企业各业务类型的设备逃逸排放，单位为吨CO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当量；</w:t>
      </w:r>
    </w:p>
    <w:p w14:paraId="023C8A3D">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企业涉及的业务类型，包括油气勘探、油气开采、油气处理、油气储运业务；</w:t>
      </w:r>
    </w:p>
    <w:p w14:paraId="6B031C8F">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R</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CH4-回收</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企业的CH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回收利用量，单位为吨CH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63C7EFCC">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GWP</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CH4</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CH</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相比CO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的全球变暖潜势</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GWP</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值。</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根据IPCC第二次评估报告，100年时间尺度内1吨CH</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相当于21吨CO</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的增温能力，因此GWP</w:t>
      </w:r>
      <w:r>
        <w:rPr>
          <w:rFonts w:hint="default" w:ascii="Times New Roman" w:hAnsi="Times New Roman" w:eastAsia="宋体" w:cs="Times New Roman"/>
          <w:color w:val="000000" w:themeColor="text1"/>
          <w:spacing w:val="4"/>
          <w:kern w:val="24"/>
          <w:szCs w:val="22"/>
          <w:highlight w:val="none"/>
          <w:vertAlign w:val="subscript"/>
          <w14:textFill>
            <w14:solidFill>
              <w14:schemeClr w14:val="tx1"/>
            </w14:solidFill>
          </w14:textFill>
        </w:rPr>
        <w:t>CH4</w:t>
      </w:r>
      <w:r>
        <w:rPr>
          <w:rFonts w:hint="default" w:ascii="Times New Roman" w:hAnsi="Times New Roman" w:eastAsia="宋体" w:cs="Times New Roman"/>
          <w:color w:val="000000" w:themeColor="text1"/>
          <w:spacing w:val="4"/>
          <w:kern w:val="24"/>
          <w:szCs w:val="22"/>
          <w:highlight w:val="none"/>
          <w14:textFill>
            <w14:solidFill>
              <w14:schemeClr w14:val="tx1"/>
            </w14:solidFill>
          </w14:textFill>
        </w:rPr>
        <w:t>等于2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1；</w:t>
      </w:r>
    </w:p>
    <w:p w14:paraId="0BBECFD3">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R</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CO2-回收</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企业的CO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回收利用量，单位为吨CO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w:t>
      </w:r>
    </w:p>
    <w:p w14:paraId="2589DC82">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CO2-净电</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企业</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净购入电力隐含的CO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排放量，单位为吨CO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22086709">
      <w:pPr>
        <w:keepNext w:val="0"/>
        <w:keepLines w:val="0"/>
        <w:pageBreakBefore w:val="0"/>
        <w:kinsoku/>
        <w:wordWrap/>
        <w:overflowPunct/>
        <w:autoSpaceDN/>
        <w:bidi w:val="0"/>
        <w:adjustRightInd w:val="0"/>
        <w:snapToGrid w:val="0"/>
        <w:spacing w:line="360" w:lineRule="auto"/>
        <w:ind w:firstLine="1240" w:firstLineChars="500"/>
        <w:jc w:val="both"/>
        <w:textAlignment w:val="auto"/>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E</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CO2-净热</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企业</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净购入热力隐含的CO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排放量，单位为吨CO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w:t>
      </w:r>
    </w:p>
    <w:p w14:paraId="4B8F2F34">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pacing w:val="4"/>
          <w:kern w:val="24"/>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按照上述CO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排放总量计算公式，则</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实施后CO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排放总量见表7.1-</w:t>
      </w:r>
      <w:r>
        <w:rPr>
          <w:rFonts w:hint="eastAsia" w:ascii="Times New Roman" w:hAnsi="Times New Roman" w:eastAsia="宋体" w:cs="Times New Roman"/>
          <w:color w:val="000000" w:themeColor="text1"/>
          <w:spacing w:val="4"/>
          <w:kern w:val="24"/>
          <w:sz w:val="24"/>
          <w:szCs w:val="24"/>
          <w:highlight w:val="none"/>
          <w:lang w:val="en-US" w:eastAsia="zh-CN"/>
          <w14:textFill>
            <w14:solidFill>
              <w14:schemeClr w14:val="tx1"/>
            </w14:solidFill>
          </w14:textFill>
        </w:rPr>
        <w:t>4。</w:t>
      </w:r>
    </w:p>
    <w:bookmarkEnd w:id="1326"/>
    <w:bookmarkEnd w:id="1327"/>
    <w:bookmarkEnd w:id="1328"/>
    <w:bookmarkEnd w:id="1329"/>
    <w:p w14:paraId="40C6FBD3">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bookmarkStart w:id="1330" w:name="OLE_LINK929"/>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bookmarkEnd w:id="1330"/>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排放总量汇总一览表</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75"/>
        <w:gridCol w:w="3001"/>
        <w:gridCol w:w="2243"/>
        <w:gridCol w:w="2243"/>
      </w:tblGrid>
      <w:tr w14:paraId="48C6D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noWrap w:val="0"/>
            <w:vAlign w:val="center"/>
          </w:tcPr>
          <w:p w14:paraId="78D63A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项目</w:t>
            </w:r>
          </w:p>
        </w:tc>
        <w:tc>
          <w:tcPr>
            <w:tcW w:w="1794" w:type="pct"/>
            <w:noWrap w:val="0"/>
            <w:vAlign w:val="center"/>
          </w:tcPr>
          <w:p w14:paraId="68563C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源类别</w:t>
            </w:r>
          </w:p>
        </w:tc>
        <w:tc>
          <w:tcPr>
            <w:tcW w:w="1341" w:type="pct"/>
            <w:noWrap w:val="0"/>
            <w:vAlign w:val="center"/>
          </w:tcPr>
          <w:p w14:paraId="26AD59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排放量</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吨CO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p>
        </w:tc>
        <w:tc>
          <w:tcPr>
            <w:tcW w:w="1341" w:type="pct"/>
            <w:noWrap w:val="0"/>
            <w:vAlign w:val="center"/>
          </w:tcPr>
          <w:p w14:paraId="4FEE60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占比</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w:t>
            </w:r>
            <w:r>
              <w:rPr>
                <w:rFonts w:hint="default" w:ascii="Times New Roman" w:hAnsi="Times New Roman" w:cs="Times New Roman"/>
                <w:color w:val="000000" w:themeColor="text1"/>
                <w:spacing w:val="-10"/>
                <w:sz w:val="21"/>
                <w:szCs w:val="21"/>
                <w:highlight w:val="none"/>
                <w:lang w:eastAsia="zh-CN"/>
                <w14:textFill>
                  <w14:solidFill>
                    <w14:schemeClr w14:val="tx1"/>
                  </w14:solidFill>
                </w14:textFill>
              </w:rPr>
              <w:t>）</w:t>
            </w:r>
          </w:p>
        </w:tc>
      </w:tr>
      <w:tr w14:paraId="7F3A9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restart"/>
            <w:noWrap w:val="0"/>
            <w:vAlign w:val="center"/>
          </w:tcPr>
          <w:p w14:paraId="00D934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工程</w:t>
            </w:r>
          </w:p>
        </w:tc>
        <w:tc>
          <w:tcPr>
            <w:tcW w:w="1794" w:type="pct"/>
            <w:noWrap w:val="0"/>
            <w:vAlign w:val="center"/>
          </w:tcPr>
          <w:p w14:paraId="65B350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燃料燃烧CO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排放</w:t>
            </w:r>
          </w:p>
        </w:tc>
        <w:tc>
          <w:tcPr>
            <w:tcW w:w="1341" w:type="pct"/>
            <w:noWrap w:val="0"/>
            <w:vAlign w:val="center"/>
          </w:tcPr>
          <w:p w14:paraId="3A4088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0</w:t>
            </w:r>
          </w:p>
        </w:tc>
        <w:tc>
          <w:tcPr>
            <w:tcW w:w="1341" w:type="pct"/>
            <w:noWrap w:val="0"/>
            <w:vAlign w:val="center"/>
          </w:tcPr>
          <w:p w14:paraId="507A96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0</w:t>
            </w:r>
          </w:p>
        </w:tc>
      </w:tr>
      <w:tr w14:paraId="2EF06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61A31F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7604C9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火炬燃烧排放</w:t>
            </w:r>
          </w:p>
        </w:tc>
        <w:tc>
          <w:tcPr>
            <w:tcW w:w="1341" w:type="pct"/>
            <w:noWrap w:val="0"/>
            <w:vAlign w:val="center"/>
          </w:tcPr>
          <w:p w14:paraId="0901CA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7.2</w:t>
            </w:r>
          </w:p>
        </w:tc>
        <w:tc>
          <w:tcPr>
            <w:tcW w:w="1341" w:type="pct"/>
            <w:noWrap w:val="0"/>
            <w:vAlign w:val="center"/>
          </w:tcPr>
          <w:p w14:paraId="734F84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4.1</w:t>
            </w:r>
          </w:p>
        </w:tc>
      </w:tr>
      <w:tr w14:paraId="1791F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5AB06B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792E9B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工艺放空排放</w:t>
            </w:r>
          </w:p>
        </w:tc>
        <w:tc>
          <w:tcPr>
            <w:tcW w:w="1341" w:type="pct"/>
            <w:noWrap w:val="0"/>
            <w:vAlign w:val="center"/>
          </w:tcPr>
          <w:p w14:paraId="21A9E2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1341" w:type="pct"/>
            <w:noWrap w:val="0"/>
            <w:vAlign w:val="center"/>
          </w:tcPr>
          <w:p w14:paraId="08C6C5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w:t>
            </w:r>
          </w:p>
        </w:tc>
      </w:tr>
      <w:tr w14:paraId="2A088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0D8F64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1CC0B1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逃逸排放</w:t>
            </w:r>
          </w:p>
        </w:tc>
        <w:tc>
          <w:tcPr>
            <w:tcW w:w="1341" w:type="pct"/>
            <w:noWrap w:val="0"/>
            <w:vAlign w:val="center"/>
          </w:tcPr>
          <w:p w14:paraId="677B87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105</w:t>
            </w:r>
          </w:p>
        </w:tc>
        <w:tc>
          <w:tcPr>
            <w:tcW w:w="1341" w:type="pct"/>
            <w:noWrap w:val="0"/>
            <w:vAlign w:val="center"/>
          </w:tcPr>
          <w:p w14:paraId="4C2403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59.3</w:t>
            </w:r>
          </w:p>
        </w:tc>
      </w:tr>
      <w:tr w14:paraId="2141D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523368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798539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CH</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回收利用量</w:t>
            </w:r>
          </w:p>
        </w:tc>
        <w:tc>
          <w:tcPr>
            <w:tcW w:w="1341" w:type="pct"/>
            <w:noWrap w:val="0"/>
            <w:vAlign w:val="center"/>
          </w:tcPr>
          <w:p w14:paraId="2B8D53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1341" w:type="pct"/>
            <w:noWrap w:val="0"/>
            <w:vAlign w:val="center"/>
          </w:tcPr>
          <w:p w14:paraId="462AE9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w:t>
            </w:r>
          </w:p>
        </w:tc>
      </w:tr>
      <w:tr w14:paraId="148D0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539B9046">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51D7180D">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回收利用量</w:t>
            </w:r>
          </w:p>
        </w:tc>
        <w:tc>
          <w:tcPr>
            <w:tcW w:w="1341" w:type="pct"/>
            <w:noWrap w:val="0"/>
            <w:vAlign w:val="center"/>
          </w:tcPr>
          <w:p w14:paraId="2E0A9C69">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0</w:t>
            </w:r>
          </w:p>
        </w:tc>
        <w:tc>
          <w:tcPr>
            <w:tcW w:w="1341" w:type="pct"/>
            <w:noWrap w:val="0"/>
            <w:vAlign w:val="center"/>
          </w:tcPr>
          <w:p w14:paraId="2D1AE8BC">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w:t>
            </w:r>
          </w:p>
        </w:tc>
      </w:tr>
      <w:tr w14:paraId="654D5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3BBA258D">
            <w:pPr>
              <w:keepNext w:val="0"/>
              <w:keepLines w:val="0"/>
              <w:pageBreakBefore w:val="0"/>
              <w:kinsoku/>
              <w:wordWrap/>
              <w:overflowPunct/>
              <w:topLinePunct w:val="0"/>
              <w:autoSpaceDE/>
              <w:autoSpaceDN/>
              <w:bidi w:val="0"/>
              <w:adjustRightInd w:val="0"/>
              <w:snapToGrid w:val="0"/>
              <w:spacing w:line="0" w:lineRule="atLeast"/>
              <w:textAlignment w:val="auto"/>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5FC3E234">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净购入电力</w:t>
            </w:r>
            <w:r>
              <w:rPr>
                <w:rFonts w:hint="default" w:ascii="Times New Roman" w:hAnsi="Times New Roman" w:eastAsia="宋体" w:cs="Times New Roman"/>
                <w:color w:val="000000" w:themeColor="text1"/>
                <w:spacing w:val="-10"/>
                <w:sz w:val="21"/>
                <w:szCs w:val="21"/>
                <w:highlight w:val="none"/>
                <w:lang w:eastAsia="zh-CN"/>
                <w14:textFill>
                  <w14:solidFill>
                    <w14:schemeClr w14:val="tx1"/>
                  </w14:solidFill>
                </w14:textFill>
              </w:rPr>
              <w:t>和</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热力隐含的CO</w:t>
            </w:r>
            <w:r>
              <w:rPr>
                <w:rFonts w:hint="default" w:ascii="Times New Roman" w:hAnsi="Times New Roman" w:eastAsia="宋体" w:cs="Times New Roman"/>
                <w:color w:val="000000" w:themeColor="text1"/>
                <w:spacing w:val="-1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排放</w:t>
            </w:r>
          </w:p>
        </w:tc>
        <w:tc>
          <w:tcPr>
            <w:tcW w:w="1341" w:type="pct"/>
            <w:noWrap w:val="0"/>
            <w:vAlign w:val="center"/>
          </w:tcPr>
          <w:p w14:paraId="62A92812">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spacing w:val="-10"/>
                <w:sz w:val="21"/>
                <w:szCs w:val="21"/>
                <w:highlight w:val="none"/>
                <w:lang w:val="en-US" w:eastAsia="zh-CN"/>
                <w14:textFill>
                  <w14:solidFill>
                    <w14:schemeClr w14:val="tx1"/>
                  </w14:solidFill>
                </w14:textFill>
              </w:rPr>
              <w:t>64.8</w:t>
            </w:r>
          </w:p>
        </w:tc>
        <w:tc>
          <w:tcPr>
            <w:tcW w:w="1341" w:type="pct"/>
            <w:noWrap w:val="0"/>
            <w:vAlign w:val="center"/>
          </w:tcPr>
          <w:p w14:paraId="61E7A79A">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36.6</w:t>
            </w:r>
          </w:p>
        </w:tc>
      </w:tr>
      <w:tr w14:paraId="71C53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23" w:type="pct"/>
            <w:vMerge w:val="continue"/>
            <w:noWrap w:val="0"/>
            <w:vAlign w:val="center"/>
          </w:tcPr>
          <w:p w14:paraId="7A2B7523">
            <w:pPr>
              <w:keepNext w:val="0"/>
              <w:keepLines w:val="0"/>
              <w:pageBreakBefore w:val="0"/>
              <w:kinsoku/>
              <w:wordWrap/>
              <w:overflowPunct/>
              <w:topLinePunct w:val="0"/>
              <w:autoSpaceDE/>
              <w:autoSpaceDN/>
              <w:bidi w:val="0"/>
              <w:adjustRightInd w:val="0"/>
              <w:snapToGrid w:val="0"/>
              <w:spacing w:line="0" w:lineRule="atLeast"/>
              <w:textAlignment w:val="auto"/>
              <w:rPr>
                <w:rFonts w:hint="default" w:ascii="Times New Roman" w:hAnsi="Times New Roman" w:cs="Times New Roman"/>
                <w:color w:val="000000" w:themeColor="text1"/>
                <w:spacing w:val="-10"/>
                <w:sz w:val="21"/>
                <w:szCs w:val="21"/>
                <w:highlight w:val="none"/>
                <w14:textFill>
                  <w14:solidFill>
                    <w14:schemeClr w14:val="tx1"/>
                  </w14:solidFill>
                </w14:textFill>
              </w:rPr>
            </w:pPr>
          </w:p>
        </w:tc>
        <w:tc>
          <w:tcPr>
            <w:tcW w:w="1794" w:type="pct"/>
            <w:noWrap w:val="0"/>
            <w:vAlign w:val="center"/>
          </w:tcPr>
          <w:p w14:paraId="721A7A72">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合计</w:t>
            </w:r>
          </w:p>
        </w:tc>
        <w:tc>
          <w:tcPr>
            <w:tcW w:w="1341" w:type="pct"/>
            <w:noWrap w:val="0"/>
            <w:vAlign w:val="center"/>
          </w:tcPr>
          <w:p w14:paraId="4F58E597">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177</w:t>
            </w:r>
          </w:p>
        </w:tc>
        <w:tc>
          <w:tcPr>
            <w:tcW w:w="1341" w:type="pct"/>
            <w:noWrap w:val="0"/>
            <w:vAlign w:val="center"/>
          </w:tcPr>
          <w:p w14:paraId="512271B8">
            <w:pPr>
              <w:keepNext w:val="0"/>
              <w:keepLines w:val="0"/>
              <w:pageBreakBefore w:val="0"/>
              <w:widowControl/>
              <w:kinsoku/>
              <w:wordWrap/>
              <w:overflowPunct/>
              <w:topLinePunct w:val="0"/>
              <w:autoSpaceDE/>
              <w:autoSpaceDN/>
              <w:bidi w:val="0"/>
              <w:adjustRightInd w:val="0"/>
              <w:snapToGrid w:val="0"/>
              <w:spacing w:line="0" w:lineRule="atLeast"/>
              <w:ind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100</w:t>
            </w:r>
          </w:p>
        </w:tc>
      </w:tr>
    </w:tbl>
    <w:p w14:paraId="0ACC74C2">
      <w:pPr>
        <w:pStyle w:val="109"/>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4"/>
          <w:kern w:val="24"/>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表</w:t>
      </w:r>
      <w:r>
        <w:rPr>
          <w:rFonts w:hint="default" w:ascii="Times New Roman" w:hAnsi="Times New Roman" w:eastAsia="宋体" w:cs="Times New Roman"/>
          <w:color w:val="000000" w:themeColor="text1"/>
          <w:spacing w:val="4"/>
          <w:kern w:val="24"/>
          <w:sz w:val="24"/>
          <w:szCs w:val="24"/>
          <w:highlight w:val="none"/>
          <w:lang w:val="en-US" w:eastAsia="zh-CN"/>
          <w14:textFill>
            <w14:solidFill>
              <w14:schemeClr w14:val="tx1"/>
            </w14:solidFill>
          </w14:textFill>
        </w:rPr>
        <w:t>7.1-4</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分析可知，</w:t>
      </w:r>
      <w:r>
        <w:rPr>
          <w:rFonts w:hint="default" w:ascii="Times New Roman" w:hAnsi="Times New Roman" w:cs="Times New Roman"/>
          <w:color w:val="000000" w:themeColor="text1"/>
          <w:spacing w:val="4"/>
          <w:kern w:val="24"/>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spacing w:val="4"/>
          <w:kern w:val="24"/>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CO</w:t>
      </w:r>
      <w:r>
        <w:rPr>
          <w:rFonts w:hint="default" w:ascii="Times New Roman" w:hAnsi="Times New Roman" w:eastAsia="宋体" w:cs="Times New Roman"/>
          <w:color w:val="000000" w:themeColor="text1"/>
          <w:spacing w:val="4"/>
          <w:kern w:val="24"/>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总排放量为</w:t>
      </w:r>
      <w:r>
        <w:rPr>
          <w:rFonts w:hint="eastAsia" w:cs="Times New Roman"/>
          <w:color w:val="000000" w:themeColor="text1"/>
          <w:spacing w:val="4"/>
          <w:kern w:val="24"/>
          <w:sz w:val="24"/>
          <w:szCs w:val="24"/>
          <w:highlight w:val="none"/>
          <w:lang w:val="en-US" w:eastAsia="zh-CN"/>
          <w14:textFill>
            <w14:solidFill>
              <w14:schemeClr w14:val="tx1"/>
            </w14:solidFill>
          </w14:textFill>
        </w:rPr>
        <w:t>177</w:t>
      </w:r>
      <w:r>
        <w:rPr>
          <w:rFonts w:hint="default" w:ascii="Times New Roman" w:hAnsi="Times New Roman" w:eastAsia="宋体" w:cs="Times New Roman"/>
          <w:color w:val="000000" w:themeColor="text1"/>
          <w:spacing w:val="4"/>
          <w:kern w:val="24"/>
          <w:sz w:val="24"/>
          <w:szCs w:val="24"/>
          <w:highlight w:val="none"/>
          <w14:textFill>
            <w14:solidFill>
              <w14:schemeClr w14:val="tx1"/>
            </w14:solidFill>
          </w14:textFill>
        </w:rPr>
        <w:t>吨。</w:t>
      </w:r>
    </w:p>
    <w:p w14:paraId="7E2F8AAA">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pPr>
      <w:bookmarkStart w:id="1331" w:name="_Toc31354"/>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_Toc30340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7.2</w:t>
      </w:r>
      <w:bookmarkStart w:id="1332" w:name="OLE_LINK934"/>
      <w:r>
        <w:rPr>
          <w:rFonts w:hint="eastAsia" w:ascii="Times New Roman" w:hAnsi="Times New Roman" w:eastAsia="宋体" w:cs="Times New Roman"/>
          <w:color w:val="000000" w:themeColor="text1"/>
          <w:highlight w:val="none"/>
          <w:lang w:val="en-US" w:eastAsia="en-US"/>
          <w14:textFill>
            <w14:solidFill>
              <w14:schemeClr w14:val="tx1"/>
            </w14:solidFill>
          </w14:textFill>
        </w:rPr>
        <w:t>减污降碳措施</w:t>
      </w:r>
      <w:bookmarkEnd w:id="1332"/>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31"/>
    </w:p>
    <w:p w14:paraId="658894E1">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_Toc15442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7.2.1</w:t>
      </w:r>
      <w:bookmarkStart w:id="1333" w:name="OLE_LINK936"/>
      <w:r>
        <w:rPr>
          <w:rFonts w:hint="eastAsia" w:ascii="Times New Roman" w:hAnsi="Times New Roman" w:eastAsia="宋体" w:cs="Times New Roman"/>
          <w:color w:val="000000" w:themeColor="text1"/>
          <w:highlight w:val="none"/>
          <w:lang w:val="en-US" w:eastAsia="en-US"/>
          <w14:textFill>
            <w14:solidFill>
              <w14:schemeClr w14:val="tx1"/>
            </w14:solidFill>
          </w14:textFill>
        </w:rPr>
        <w:t>清洁运输</w:t>
      </w:r>
      <w:bookmarkEnd w:id="1333"/>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6B2A9D54">
      <w:pPr>
        <w:keepNext w:val="0"/>
        <w:keepLines w:val="0"/>
        <w:pageBreakBefore w:val="0"/>
        <w:widowControl/>
        <w:kinsoku/>
        <w:wordWrap/>
        <w:overflowPunct/>
        <w:topLinePunct w:val="0"/>
        <w:autoSpaceDE/>
        <w:autoSpaceDN/>
        <w:bidi w:val="0"/>
        <w:adjustRightInd w:val="0"/>
        <w:snapToGrid w:val="0"/>
        <w:spacing w:line="360" w:lineRule="auto"/>
        <w:ind w:firstLine="496" w:firstLineChars="200"/>
        <w:textAlignment w:val="auto"/>
        <w:rPr>
          <w:rFonts w:hint="eastAsia" w:cs="Times New Roman"/>
          <w:color w:val="000000" w:themeColor="text1"/>
          <w:spacing w:val="4"/>
          <w:kern w:val="24"/>
          <w:sz w:val="24"/>
          <w:szCs w:val="24"/>
          <w:highlight w:val="none"/>
          <w:lang w:val="en-US" w:eastAsia="zh-CN" w:bidi="ar-SA"/>
          <w14:textFill>
            <w14:solidFill>
              <w14:schemeClr w14:val="tx1"/>
            </w14:solidFill>
          </w14:textFill>
        </w:rPr>
      </w:pPr>
      <w:r>
        <w:rPr>
          <w:rFonts w:hint="eastAsia" w:cs="Times New Roman"/>
          <w:color w:val="000000" w:themeColor="text1"/>
          <w:spacing w:val="4"/>
          <w:kern w:val="24"/>
          <w:sz w:val="24"/>
          <w:szCs w:val="24"/>
          <w:highlight w:val="none"/>
          <w:lang w:val="en-US" w:eastAsia="zh-CN" w:bidi="ar-SA"/>
          <w14:textFill>
            <w14:solidFill>
              <w14:schemeClr w14:val="tx1"/>
            </w14:solidFill>
          </w14:textFill>
        </w:rPr>
        <w:t>油气进行汇集、处理、输送至油气稳定装置的全过程采用密闭工艺流程，定期对井场的设备、阀门等检查、检修，以防止跑、冒、漏现象的发生；加强对密闭管线及密封点的巡检，一旦发生泄漏立即切断控制阀，并尽快完成修复，有效提升温室气体泄漏控制能力。</w:t>
      </w:r>
    </w:p>
    <w:p w14:paraId="44F18C17">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7.2.2挥发性有机物与甲烷协同控制 </w:t>
      </w:r>
    </w:p>
    <w:p w14:paraId="379C01B9">
      <w:pPr>
        <w:pStyle w:val="109"/>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pPr>
      <w:r>
        <w:rPr>
          <w:rFonts w:hint="eastAsia" w:cs="Times New Roman"/>
          <w:color w:val="000000" w:themeColor="text1"/>
          <w:spacing w:val="4"/>
          <w:kern w:val="24"/>
          <w:sz w:val="24"/>
          <w:szCs w:val="24"/>
          <w:highlight w:val="none"/>
          <w:lang w:val="en-US" w:eastAsia="zh-CN" w:bidi="ar-SA"/>
          <w14:textFill>
            <w14:solidFill>
              <w14:schemeClr w14:val="tx1"/>
            </w14:solidFill>
          </w14:textFill>
        </w:rPr>
        <w:t>本项目</w:t>
      </w:r>
      <w:r>
        <w:rPr>
          <w:rFonts w:hint="default" w:cs="Times New Roman"/>
          <w:color w:val="000000" w:themeColor="text1"/>
          <w:spacing w:val="4"/>
          <w:kern w:val="24"/>
          <w:sz w:val="24"/>
          <w:szCs w:val="24"/>
          <w:highlight w:val="none"/>
          <w:lang w:val="en-US" w:eastAsia="en-US" w:bidi="ar-SA"/>
          <w14:textFill>
            <w14:solidFill>
              <w14:schemeClr w14:val="tx1"/>
            </w14:solidFill>
          </w14:textFill>
        </w:rPr>
        <w:t>选择能效等级高的电磁加热器，提高电能转化为热能的效率，减少电能消耗，从而降低因发电产生的二氧化碳排放。</w:t>
      </w:r>
      <w:r>
        <w:rPr>
          <w:rFonts w:hint="eastAsia" w:ascii="Times New Roman" w:hAnsi="Times New Roman" w:eastAsia="宋体" w:cs="Times New Roman"/>
          <w:color w:val="000000" w:themeColor="text1"/>
          <w:spacing w:val="4"/>
          <w:kern w:val="24"/>
          <w:sz w:val="24"/>
          <w:szCs w:val="24"/>
          <w:highlight w:val="none"/>
          <w:lang w:val="en-US" w:eastAsia="zh-CN" w:bidi="ar-SA"/>
          <w14:textFill>
            <w14:solidFill>
              <w14:schemeClr w14:val="tx1"/>
            </w14:solidFill>
          </w14:textFill>
        </w:rPr>
        <w:t>加强企业能源管理，减少甲烷逸散损耗，定期开展能源及碳排放管理培训，提升管理水平；积极开展源头控制，优先选择绿色节能工艺、产品和技术，降低化石燃料消费量；积极开展碳捕获、利用与封存（CCUS）技术，进一步挖掘和提升减污降碳潜力。</w:t>
      </w:r>
    </w:p>
    <w:p w14:paraId="31D1FA82">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_Toc3893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en-US"/>
          <w14:textFill>
            <w14:solidFill>
              <w14:schemeClr w14:val="tx1"/>
            </w14:solidFill>
          </w14:textFill>
        </w:rPr>
        <w:t>节能降耗技术</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0380284F">
      <w:pPr>
        <w:adjustRightInd/>
        <w:snapToGrid/>
        <w:spacing w:line="480" w:lineRule="exact"/>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本工程在电气设备设施上采用多种节能措施，从而间接减少了电力隐含的CO</w:t>
      </w:r>
      <w:r>
        <w:rPr>
          <w:rFonts w:hint="eastAsia" w:ascii="Times New Roman" w:hAnsi="Times New Roman" w:eastAsia="宋体" w:cs="Times New Roman"/>
          <w:color w:val="000000" w:themeColor="text1"/>
          <w:sz w:val="24"/>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排放量。具体措施主要有：</w:t>
      </w:r>
    </w:p>
    <w:p w14:paraId="61D9A6D9">
      <w:pPr>
        <w:adjustRightInd/>
        <w:snapToGrid/>
        <w:spacing w:line="480" w:lineRule="exact"/>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（1）根据项目用电性质、用电容量等选择合理的供电电压和供电方式，有效减少电能损耗。</w:t>
      </w:r>
    </w:p>
    <w:p w14:paraId="05E00E8E">
      <w:pPr>
        <w:adjustRightInd/>
        <w:snapToGrid/>
        <w:spacing w:line="480" w:lineRule="exact"/>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 xml:space="preserve">（2）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 </w:t>
      </w:r>
    </w:p>
    <w:p w14:paraId="454A547A">
      <w:pPr>
        <w:adjustRightInd/>
        <w:snapToGrid/>
        <w:spacing w:line="480" w:lineRule="exact"/>
        <w:ind w:firstLine="480" w:firstLineChars="200"/>
        <w:jc w:val="both"/>
        <w:rPr>
          <w:rFonts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 xml:space="preserve">（3）选用节能型干式变压器，能效等级低的，具有低损耗（空载和负载损耗相对较低）、维护方便等显著特点。 </w:t>
      </w:r>
    </w:p>
    <w:p w14:paraId="61B06DBC">
      <w:pPr>
        <w:adjustRightInd/>
        <w:snapToGrid/>
        <w:spacing w:line="480" w:lineRule="exact"/>
        <w:ind w:firstLine="480" w:firstLineChars="200"/>
        <w:jc w:val="both"/>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（4）各种电力设备均选用能效等级低的节能产品，实际功率和负荷相适应，达到降低能耗，提高工作效率的作用。</w:t>
      </w:r>
    </w:p>
    <w:p w14:paraId="5681D54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_Toc216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4积极</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r>
        <w:rPr>
          <w:rFonts w:hint="eastAsia" w:ascii="Times New Roman" w:hAnsi="Times New Roman" w:eastAsia="宋体" w:cs="Times New Roman"/>
          <w:color w:val="000000" w:themeColor="text1"/>
          <w:highlight w:val="none"/>
          <w:lang w:val="en-US" w:eastAsia="zh-CN"/>
          <w14:textFill>
            <w14:solidFill>
              <w14:schemeClr w14:val="tx1"/>
            </w14:solidFill>
          </w14:textFill>
        </w:rPr>
        <w:t>使用绿电</w:t>
      </w:r>
    </w:p>
    <w:p w14:paraId="7CB9F08D">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本工程井场用电负荷主要由工艺、自控、通信、照明等组成，需消耗电力；电力为二次能源。本工程使用的耗能工质为外部供给的电力。年用电量为104×10</w:t>
      </w:r>
      <w:r>
        <w:rPr>
          <w:rFonts w:hint="eastAsia" w:ascii="Times New Roman" w:hAnsi="Times New Roman" w:eastAsia="宋体" w:cs="宋体"/>
          <w:color w:val="000000" w:themeColor="text1"/>
          <w:sz w:val="24"/>
          <w:szCs w:val="24"/>
          <w:highlight w:val="none"/>
          <w:vertAlign w:val="superscript"/>
          <w:lang w:val="en-US" w:eastAsia="zh-CN" w:bidi="ar-SA"/>
          <w14:textFill>
            <w14:solidFill>
              <w14:schemeClr w14:val="tx1"/>
            </w14:solidFill>
          </w14:textFill>
        </w:rPr>
        <w:t>4</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kW·h。西北油田分公司已有项目方案考虑建设集中式光伏，待该项目实施后用电可考虑接入区块集中式光伏，可每年减排CO</w:t>
      </w:r>
      <w:r>
        <w:rPr>
          <w:rFonts w:hint="eastAsia" w:ascii="Times New Roman" w:hAnsi="Times New Roman" w:eastAsia="宋体" w:cs="宋体"/>
          <w:color w:val="000000" w:themeColor="text1"/>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color w:val="000000" w:themeColor="text1"/>
          <w:spacing w:val="5"/>
          <w:kern w:val="2"/>
          <w:sz w:val="24"/>
          <w:szCs w:val="24"/>
          <w:highlight w:val="none"/>
          <w:lang w:val="en-US" w:eastAsia="zh-CN" w:bidi="ar-SA"/>
          <w14:textFill>
            <w14:solidFill>
              <w14:schemeClr w14:val="tx1"/>
            </w14:solidFill>
          </w14:textFill>
        </w:rPr>
        <w:t>64.8</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t。</w:t>
      </w:r>
    </w:p>
    <w:p w14:paraId="45EB1A7B">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34" w:name="_Toc5134"/>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_Toc20890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7.3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温室气体</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排放评价结论</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34"/>
    </w:p>
    <w:p w14:paraId="72C39C79">
      <w:pPr>
        <w:pStyle w:val="10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本工程实施后，CO</w:t>
      </w:r>
      <w:r>
        <w:rPr>
          <w:rFonts w:hint="eastAsia"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eastAsia="zh-CN"/>
          <w14:textFill>
            <w14:solidFill>
              <w14:schemeClr w14:val="tx1"/>
            </w14:solidFill>
          </w14:textFill>
        </w:rPr>
        <w:t>总排放量为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177</w:t>
      </w:r>
      <w:r>
        <w:rPr>
          <w:rFonts w:hint="eastAsia" w:ascii="Times New Roman" w:hAnsi="Times New Roman" w:cs="Times New Roman"/>
          <w:color w:val="000000" w:themeColor="text1"/>
          <w:sz w:val="24"/>
          <w:szCs w:val="24"/>
          <w:highlight w:val="none"/>
          <w:lang w:eastAsia="zh-CN"/>
          <w14:textFill>
            <w14:solidFill>
              <w14:schemeClr w14:val="tx1"/>
            </w14:solidFill>
          </w14:textFill>
        </w:rPr>
        <w:t>t。在工艺技术、节能设备和能源及碳排放管理等方面均采取了较完善的减污降碳措施，有利于减少二氧化碳排放，对比同类企业碳排放水平，本工程吨产品CO</w:t>
      </w:r>
      <w:r>
        <w:rPr>
          <w:rFonts w:hint="eastAsia"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eastAsia="zh-CN"/>
          <w14:textFill>
            <w14:solidFill>
              <w14:schemeClr w14:val="tx1"/>
            </w14:solidFill>
          </w14:textFill>
        </w:rPr>
        <w:t>排放强度相对较低。</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西北油田分公司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已有项目方案考虑建设集中式光伏，待该项目实施后用电可考虑接入区块集中式光伏，可每年减排</w:t>
      </w:r>
      <w:r>
        <w:rPr>
          <w:rFonts w:hint="eastAsia" w:ascii="Times New Roman" w:hAnsi="Times New Roman" w:cs="Times New Roman"/>
          <w:color w:val="000000" w:themeColor="text1"/>
          <w:sz w:val="24"/>
          <w:szCs w:val="24"/>
          <w:highlight w:val="none"/>
          <w:lang w:eastAsia="zh-CN"/>
          <w14:textFill>
            <w14:solidFill>
              <w14:schemeClr w14:val="tx1"/>
            </w14:solidFill>
          </w14:textFill>
        </w:rPr>
        <w:t>CO</w:t>
      </w:r>
      <w:r>
        <w:rPr>
          <w:rFonts w:hint="eastAsia"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64.8</w:t>
      </w:r>
      <w:r>
        <w:rPr>
          <w:rFonts w:hint="eastAsia" w:ascii="Times New Roman" w:hAnsi="Times New Roman" w:cs="Times New Roman"/>
          <w:color w:val="000000" w:themeColor="text1"/>
          <w:sz w:val="24"/>
          <w:szCs w:val="24"/>
          <w:highlight w:val="none"/>
          <w:lang w:eastAsia="zh-CN"/>
          <w14:textFill>
            <w14:solidFill>
              <w14:schemeClr w14:val="tx1"/>
            </w14:solidFill>
          </w14:textFill>
        </w:rPr>
        <w:t>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减排后本工程</w:t>
      </w:r>
      <w:r>
        <w:rPr>
          <w:rFonts w:hint="eastAsia" w:ascii="Times New Roman" w:hAnsi="Times New Roman" w:cs="Times New Roman"/>
          <w:color w:val="000000" w:themeColor="text1"/>
          <w:sz w:val="24"/>
          <w:szCs w:val="24"/>
          <w:highlight w:val="none"/>
          <w:lang w:eastAsia="zh-CN"/>
          <w14:textFill>
            <w14:solidFill>
              <w14:schemeClr w14:val="tx1"/>
            </w14:solidFill>
          </w14:textFill>
        </w:rPr>
        <w:t>CO</w:t>
      </w:r>
      <w:r>
        <w:rPr>
          <w:rFonts w:hint="eastAsia"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eastAsia="zh-CN"/>
          <w14:textFill>
            <w14:solidFill>
              <w14:schemeClr w14:val="tx1"/>
            </w14:solidFill>
          </w14:textFill>
        </w:rPr>
        <w:t>总排放量为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112.2</w:t>
      </w:r>
      <w:r>
        <w:rPr>
          <w:rFonts w:hint="eastAsia" w:ascii="Times New Roman" w:hAnsi="Times New Roman" w:cs="Times New Roman"/>
          <w:color w:val="000000" w:themeColor="text1"/>
          <w:sz w:val="24"/>
          <w:szCs w:val="24"/>
          <w:highlight w:val="none"/>
          <w:lang w:eastAsia="zh-CN"/>
          <w14:textFill>
            <w14:solidFill>
              <w14:schemeClr w14:val="tx1"/>
            </w14:solidFill>
          </w14:textFill>
        </w:rPr>
        <w:t>t</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1A35BA0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bookmarkStart w:id="1335" w:name="_Toc5065"/>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begin"/>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instrText xml:space="preserve"> HYPERLINK \l _Toc1807 </w:instrTex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separate"/>
      </w:r>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8环境影响经济损益分析</w: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end"/>
      </w:r>
      <w:bookmarkEnd w:id="1335"/>
    </w:p>
    <w:p w14:paraId="4DD5B3E6">
      <w:pPr>
        <w:pStyle w:val="109"/>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336" w:name="OLE_LINK939"/>
      <w:r>
        <w:rPr>
          <w:rFonts w:hint="default" w:ascii="Times New Roman" w:hAnsi="Times New Roman" w:eastAsia="宋体" w:cs="Times New Roman"/>
          <w:color w:val="000000" w:themeColor="text1"/>
          <w:sz w:val="24"/>
          <w:szCs w:val="24"/>
          <w:highlight w:val="none"/>
          <w14:textFill>
            <w14:solidFill>
              <w14:schemeClr w14:val="tx1"/>
            </w14:solidFill>
          </w14:textFill>
        </w:rPr>
        <w:t>一个项目的开发建设，除对国民经济的发展起着促进作用外，同时也在一定程度上</w:t>
      </w:r>
      <w:bookmarkEnd w:id="1336"/>
      <w:r>
        <w:rPr>
          <w:rFonts w:hint="default" w:ascii="Times New Roman" w:hAnsi="Times New Roman" w:eastAsia="宋体" w:cs="Times New Roman"/>
          <w:color w:val="000000" w:themeColor="text1"/>
          <w:sz w:val="24"/>
          <w:szCs w:val="24"/>
          <w:highlight w:val="none"/>
          <w14:textFill>
            <w14:solidFill>
              <w14:schemeClr w14:val="tx1"/>
            </w14:solidFill>
          </w14:textFill>
        </w:rPr>
        <w:t>影响着项目拟建地区环境的变化。环境影响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社会影响、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综合</w:t>
      </w:r>
      <w:r>
        <w:rPr>
          <w:rFonts w:hint="default" w:ascii="Times New Roman" w:hAnsi="Times New Roman" w:eastAsia="宋体" w:cs="Times New Roman"/>
          <w:color w:val="000000" w:themeColor="text1"/>
          <w:sz w:val="24"/>
          <w:szCs w:val="24"/>
          <w:highlight w:val="none"/>
          <w14:textFill>
            <w14:solidFill>
              <w14:schemeClr w14:val="tx1"/>
            </w14:solidFill>
          </w14:textFill>
        </w:rPr>
        <w:t>影响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w:t>
      </w:r>
    </w:p>
    <w:p w14:paraId="02AEEBF1">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37" w:name="_Toc11233"/>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_Toc24944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效益分析</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37"/>
    </w:p>
    <w:p w14:paraId="57354219">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pPr>
      <w:bookmarkStart w:id="1338" w:name="OLE_LINK940"/>
      <w:r>
        <w:rPr>
          <w:rFonts w:hint="eastAsia" w:ascii="Times New Roman" w:hAnsi="Times New Roman" w:cs="Times New Roman"/>
          <w:b/>
          <w:bCs w:val="0"/>
          <w:snapToGrid/>
          <w:color w:val="000000" w:themeColor="text1"/>
          <w:kern w:val="0"/>
          <w:sz w:val="28"/>
          <w:szCs w:val="20"/>
          <w:highlight w:val="none"/>
          <w:lang w:val="en-US" w:eastAsia="zh-CN" w:bidi="ar-SA"/>
          <w14:textFill>
            <w14:solidFill>
              <w14:schemeClr w14:val="tx1"/>
            </w14:solidFill>
          </w14:textFill>
        </w:rPr>
        <w:t>8.1.1</w:t>
      </w:r>
      <w:r>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t>施工期环境效益</w:t>
      </w:r>
    </w:p>
    <w:p w14:paraId="6AFF5178">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施工期</w:t>
      </w:r>
      <w:bookmarkEnd w:id="1338"/>
      <w:r>
        <w:rPr>
          <w:rFonts w:hint="default" w:ascii="Times New Roman" w:hAnsi="Times New Roman" w:cs="Times New Roman"/>
          <w:color w:val="000000" w:themeColor="text1"/>
          <w:sz w:val="24"/>
          <w:szCs w:val="24"/>
          <w:highlight w:val="none"/>
          <w14:textFill>
            <w14:solidFill>
              <w14:schemeClr w14:val="tx1"/>
            </w14:solidFill>
          </w14:textFill>
        </w:rPr>
        <w:t>环境效益分析，油田开发建设对环境造成的直接影响主要表现在：</w:t>
      </w:r>
    </w:p>
    <w:p w14:paraId="033E8AAA">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占地造成的环境损失</w:t>
      </w:r>
      <w:r>
        <w:rPr>
          <w:rFonts w:hint="eastAsia" w:cs="Times New Roman"/>
          <w:color w:val="000000" w:themeColor="text1"/>
          <w:sz w:val="24"/>
          <w:szCs w:val="24"/>
          <w:highlight w:val="none"/>
          <w:lang w:eastAsia="zh-CN"/>
          <w14:textFill>
            <w14:solidFill>
              <w14:schemeClr w14:val="tx1"/>
            </w14:solidFill>
          </w14:textFill>
        </w:rPr>
        <w:t>。</w:t>
      </w:r>
    </w:p>
    <w:p w14:paraId="20AE5EF2">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突发事故状态污染物对土壤、植被的污染造成的环境损失</w:t>
      </w:r>
      <w:r>
        <w:rPr>
          <w:rFonts w:hint="eastAsia" w:cs="Times New Roman"/>
          <w:color w:val="000000" w:themeColor="text1"/>
          <w:sz w:val="24"/>
          <w:szCs w:val="24"/>
          <w:highlight w:val="none"/>
          <w:lang w:eastAsia="zh-CN"/>
          <w14:textFill>
            <w14:solidFill>
              <w14:schemeClr w14:val="tx1"/>
            </w14:solidFill>
          </w14:textFill>
        </w:rPr>
        <w:t>。</w:t>
      </w:r>
    </w:p>
    <w:p w14:paraId="14BA4B9F">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其他环境损失。</w:t>
      </w:r>
    </w:p>
    <w:p w14:paraId="153B0165">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占地主要为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井场</w:t>
      </w:r>
      <w:r>
        <w:rPr>
          <w:rFonts w:hint="default" w:ascii="Times New Roman" w:hAnsi="Times New Roman" w:cs="Times New Roman"/>
          <w:color w:val="000000" w:themeColor="text1"/>
          <w:sz w:val="24"/>
          <w:szCs w:val="24"/>
          <w:highlight w:val="none"/>
          <w14:textFill>
            <w14:solidFill>
              <w14:schemeClr w14:val="tx1"/>
            </w14:solidFill>
          </w14:textFill>
        </w:rPr>
        <w:t>建设。</w:t>
      </w: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14:textFill>
            <w14:solidFill>
              <w14:schemeClr w14:val="tx1"/>
            </w14:solidFill>
          </w14:textFill>
        </w:rPr>
        <w:t>建设对</w:t>
      </w:r>
      <w:bookmarkStart w:id="1339" w:name="OLE_LINK730"/>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本工程所在</w:t>
      </w:r>
      <w:r>
        <w:rPr>
          <w:rFonts w:hint="default" w:ascii="Times New Roman" w:hAnsi="Times New Roman" w:cs="Times New Roman"/>
          <w:color w:val="000000" w:themeColor="text1"/>
          <w:sz w:val="24"/>
          <w:szCs w:val="24"/>
          <w:highlight w:val="none"/>
          <w14:textFill>
            <w14:solidFill>
              <w14:schemeClr w14:val="tx1"/>
            </w14:solidFill>
          </w14:textFill>
        </w:rPr>
        <w:t>区</w:t>
      </w:r>
      <w:r>
        <w:rPr>
          <w:rFonts w:hint="eastAsia" w:cs="Times New Roman"/>
          <w:color w:val="000000" w:themeColor="text1"/>
          <w:sz w:val="24"/>
          <w:szCs w:val="24"/>
          <w:highlight w:val="none"/>
          <w:lang w:eastAsia="zh-CN"/>
          <w14:textFill>
            <w14:solidFill>
              <w14:schemeClr w14:val="tx1"/>
            </w14:solidFill>
          </w14:textFill>
        </w:rPr>
        <w:t>域的</w:t>
      </w:r>
      <w:bookmarkEnd w:id="1339"/>
      <w:r>
        <w:rPr>
          <w:rFonts w:hint="default" w:ascii="Times New Roman" w:hAnsi="Times New Roman" w:cs="Times New Roman"/>
          <w:color w:val="000000" w:themeColor="text1"/>
          <w:sz w:val="24"/>
          <w:szCs w:val="24"/>
          <w:highlight w:val="none"/>
          <w14:textFill>
            <w14:solidFill>
              <w14:schemeClr w14:val="tx1"/>
            </w14:solidFill>
          </w14:textFill>
        </w:rPr>
        <w:t>直接影响是生态影响，包括植被破坏后由于地表裸露导致水土流失和土壤环境质量下降。但在加强施工管理和采取生态恢复等措施后，施工影响是可以接受的。在正常情况下，基本上不会对周围环境产生影响。但在事故状态下，将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本工程所在</w:t>
      </w:r>
      <w:r>
        <w:rPr>
          <w:rFonts w:hint="default" w:ascii="Times New Roman" w:hAnsi="Times New Roman" w:cs="Times New Roman"/>
          <w:color w:val="000000" w:themeColor="text1"/>
          <w:sz w:val="24"/>
          <w:szCs w:val="24"/>
          <w:highlight w:val="none"/>
          <w14:textFill>
            <w14:solidFill>
              <w14:schemeClr w14:val="tx1"/>
            </w14:solidFill>
          </w14:textFill>
        </w:rPr>
        <w:t>区域生态环境和地下水环境产生影响。由于事故程度不同，对环境造成的损失也不同，损失量的估算只能在事故发生后通过各项补偿费用来体现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9E08BB2">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pPr>
      <w:bookmarkStart w:id="1340" w:name="OLE_LINK944"/>
      <w:r>
        <w:rPr>
          <w:rFonts w:hint="eastAsia" w:ascii="Times New Roman" w:hAnsi="Times New Roman" w:cs="Times New Roman"/>
          <w:b/>
          <w:bCs w:val="0"/>
          <w:snapToGrid/>
          <w:color w:val="000000" w:themeColor="text1"/>
          <w:kern w:val="0"/>
          <w:sz w:val="28"/>
          <w:szCs w:val="20"/>
          <w:highlight w:val="none"/>
          <w:lang w:val="en-US" w:eastAsia="zh-CN" w:bidi="ar-SA"/>
          <w14:textFill>
            <w14:solidFill>
              <w14:schemeClr w14:val="tx1"/>
            </w14:solidFill>
          </w14:textFill>
        </w:rPr>
        <w:t>8.1.2</w:t>
      </w:r>
      <w:r>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t>运营期环境效益</w:t>
      </w:r>
    </w:p>
    <w:bookmarkEnd w:id="1340"/>
    <w:p w14:paraId="573685C3">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）废气</w:t>
      </w:r>
    </w:p>
    <w:p w14:paraId="1EE9F4DC">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本工程</w:t>
      </w:r>
      <w:r>
        <w:rPr>
          <w:color w:val="000000" w:themeColor="text1"/>
          <w:sz w:val="24"/>
          <w:szCs w:val="24"/>
          <w:highlight w:val="none"/>
          <w14:textFill>
            <w14:solidFill>
              <w14:schemeClr w14:val="tx1"/>
            </w14:solidFill>
          </w14:textFill>
        </w:rPr>
        <w:t>采出液密闭拉运输送</w:t>
      </w:r>
      <w:r>
        <w:rPr>
          <w:rFonts w:hint="eastAsia"/>
          <w:color w:val="000000" w:themeColor="text1"/>
          <w:sz w:val="24"/>
          <w:szCs w:val="24"/>
          <w:highlight w:val="none"/>
          <w14:textFill>
            <w14:solidFill>
              <w14:schemeClr w14:val="tx1"/>
            </w14:solidFill>
          </w14:textFill>
        </w:rPr>
        <w:t>，</w:t>
      </w:r>
      <w:r>
        <w:rPr>
          <w:rFonts w:hint="eastAsia"/>
          <w:bCs/>
          <w:color w:val="000000" w:themeColor="text1"/>
          <w:sz w:val="24"/>
          <w:szCs w:val="24"/>
          <w:highlight w:val="none"/>
          <w:lang w:val="en-US" w:eastAsia="zh-CN"/>
          <w14:textFill>
            <w14:solidFill>
              <w14:schemeClr w14:val="tx1"/>
            </w14:solidFill>
          </w14:textFill>
        </w:rPr>
        <w:t>凝析油</w:t>
      </w:r>
      <w:r>
        <w:rPr>
          <w:bCs/>
          <w:color w:val="000000" w:themeColor="text1"/>
          <w:sz w:val="24"/>
          <w:szCs w:val="24"/>
          <w:highlight w:val="none"/>
          <w14:textFill>
            <w14:solidFill>
              <w14:schemeClr w14:val="tx1"/>
            </w14:solidFill>
          </w14:textFill>
        </w:rPr>
        <w:t>采用装车拉运，</w:t>
      </w:r>
      <w:r>
        <w:rPr>
          <w:rFonts w:hint="eastAsia"/>
          <w:color w:val="000000" w:themeColor="text1"/>
          <w:sz w:val="24"/>
          <w:szCs w:val="24"/>
          <w:highlight w:val="none"/>
          <w14:textFill>
            <w14:solidFill>
              <w14:schemeClr w14:val="tx1"/>
            </w14:solidFill>
          </w14:textFill>
        </w:rPr>
        <w:t>储罐采用固定顶罐，污染物能达标排放，对周围环境的影响可接受。</w:t>
      </w:r>
    </w:p>
    <w:p w14:paraId="5E470626">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（2）废水</w:t>
      </w:r>
    </w:p>
    <w:p w14:paraId="723846B0">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废水经专用罐</w:t>
      </w:r>
      <w:r>
        <w:rPr>
          <w:color w:val="000000" w:themeColor="text1"/>
          <w:kern w:val="24"/>
          <w:sz w:val="24"/>
          <w:szCs w:val="24"/>
          <w:highlight w:val="none"/>
          <w14:textFill>
            <w14:solidFill>
              <w14:schemeClr w14:val="tx1"/>
            </w14:solidFill>
          </w14:textFill>
        </w:rPr>
        <w:t>收集后</w:t>
      </w:r>
      <w:r>
        <w:rPr>
          <w:color w:val="000000" w:themeColor="text1"/>
          <w:sz w:val="24"/>
          <w:szCs w:val="24"/>
          <w:highlight w:val="none"/>
          <w14:textFill>
            <w14:solidFill>
              <w14:schemeClr w14:val="tx1"/>
            </w14:solidFill>
          </w14:textFill>
        </w:rPr>
        <w:t>输送至</w:t>
      </w:r>
      <w:r>
        <w:rPr>
          <w:rFonts w:hint="default" w:ascii="Times New Roman" w:hAnsi="Times New Roman" w:cs="Times New Roman"/>
          <w:color w:val="000000" w:themeColor="text1"/>
          <w:sz w:val="24"/>
          <w:szCs w:val="24"/>
          <w:highlight w:val="none"/>
          <w14:textFill>
            <w14:solidFill>
              <w14:schemeClr w14:val="tx1"/>
            </w14:solidFill>
          </w14:textFill>
        </w:rPr>
        <w:t>阿克苏塔河环保工程有限公司绿色环保工作站</w:t>
      </w:r>
      <w:r>
        <w:rPr>
          <w:color w:val="000000" w:themeColor="text1"/>
          <w:sz w:val="24"/>
          <w:szCs w:val="24"/>
          <w:highlight w:val="none"/>
          <w14:textFill>
            <w14:solidFill>
              <w14:schemeClr w14:val="tx1"/>
            </w14:solidFill>
          </w14:textFill>
        </w:rPr>
        <w:t>处理</w:t>
      </w: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运营期工作人员由雅克拉采气厂内部调剂解决，故不新增生活污水</w:t>
      </w:r>
      <w:r>
        <w:rPr>
          <w:rFonts w:hint="eastAsia"/>
          <w:color w:val="000000" w:themeColor="text1"/>
          <w:sz w:val="24"/>
          <w:szCs w:val="24"/>
          <w:highlight w:val="none"/>
          <w14:textFill>
            <w14:solidFill>
              <w14:schemeClr w14:val="tx1"/>
            </w14:solidFill>
          </w14:textFill>
        </w:rPr>
        <w:t>。</w:t>
      </w:r>
    </w:p>
    <w:p w14:paraId="77827B0F">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（3）固体废弃物</w:t>
      </w:r>
    </w:p>
    <w:p w14:paraId="03132942">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本工程产生的</w:t>
      </w:r>
      <w:r>
        <w:rPr>
          <w:color w:val="000000" w:themeColor="text1"/>
          <w:sz w:val="24"/>
          <w:szCs w:val="24"/>
          <w:highlight w:val="none"/>
          <w14:textFill>
            <w14:solidFill>
              <w14:schemeClr w14:val="tx1"/>
            </w14:solidFill>
          </w14:textFill>
        </w:rPr>
        <w:t>落地油、废防渗材料</w:t>
      </w:r>
      <w:r>
        <w:rPr>
          <w:rFonts w:hint="eastAsia"/>
          <w:color w:val="000000" w:themeColor="text1"/>
          <w:sz w:val="24"/>
          <w:szCs w:val="24"/>
          <w:highlight w:val="none"/>
          <w14:textFill>
            <w14:solidFill>
              <w14:schemeClr w14:val="tx1"/>
            </w14:solidFill>
          </w14:textFill>
        </w:rPr>
        <w:t>、清罐底泥</w:t>
      </w:r>
      <w:r>
        <w:rPr>
          <w:rFonts w:hint="eastAsia"/>
          <w:color w:val="000000" w:themeColor="text1"/>
          <w:sz w:val="24"/>
          <w:szCs w:val="24"/>
          <w:highlight w:val="none"/>
          <w:lang w:val="en-US" w:eastAsia="zh-CN"/>
          <w14:textFill>
            <w14:solidFill>
              <w14:schemeClr w14:val="tx1"/>
            </w14:solidFill>
          </w14:textFill>
        </w:rPr>
        <w:t>和废润滑油</w:t>
      </w:r>
      <w:r>
        <w:rPr>
          <w:color w:val="000000" w:themeColor="text1"/>
          <w:sz w:val="24"/>
          <w:szCs w:val="24"/>
          <w:highlight w:val="none"/>
          <w14:textFill>
            <w14:solidFill>
              <w14:schemeClr w14:val="tx1"/>
            </w14:solidFill>
          </w14:textFill>
        </w:rPr>
        <w:t>属于危险废物，由</w:t>
      </w:r>
      <w:r>
        <w:rPr>
          <w:rFonts w:hint="default" w:eastAsia="宋体" w:cs="Times New Roman"/>
          <w:color w:val="000000" w:themeColor="text1"/>
          <w:sz w:val="24"/>
          <w:szCs w:val="24"/>
          <w:highlight w:val="none"/>
          <w:lang w:val="en-US" w:eastAsia="zh-CN"/>
          <w14:textFill>
            <w14:solidFill>
              <w14:schemeClr w14:val="tx1"/>
            </w14:solidFill>
          </w14:textFill>
        </w:rPr>
        <w:t>持有危险废物经营许可证的</w:t>
      </w:r>
      <w:r>
        <w:rPr>
          <w:rFonts w:hint="eastAsia" w:eastAsia="宋体" w:cs="Times New Roman"/>
          <w:color w:val="000000" w:themeColor="text1"/>
          <w:sz w:val="24"/>
          <w:szCs w:val="24"/>
          <w:highlight w:val="none"/>
          <w:lang w:val="en-US" w:eastAsia="zh-CN"/>
          <w14:textFill>
            <w14:solidFill>
              <w14:schemeClr w14:val="tx1"/>
            </w14:solidFill>
          </w14:textFill>
        </w:rPr>
        <w:t>单位利用处置</w:t>
      </w: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运营期工作人员由</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雅克拉采气厂内部调剂解决</w:t>
      </w:r>
      <w:r>
        <w:rPr>
          <w:rFonts w:hint="default" w:ascii="Times New Roman" w:hAnsi="Times New Roman" w:cs="Times New Roman"/>
          <w:color w:val="000000" w:themeColor="text1"/>
          <w:sz w:val="24"/>
          <w:szCs w:val="24"/>
          <w:highlight w:val="none"/>
          <w14:textFill>
            <w14:solidFill>
              <w14:schemeClr w14:val="tx1"/>
            </w14:solidFill>
          </w14:textFill>
        </w:rPr>
        <w:t>，故不新增生活垃圾</w:t>
      </w:r>
      <w:r>
        <w:rPr>
          <w:color w:val="000000" w:themeColor="text1"/>
          <w:sz w:val="24"/>
          <w:szCs w:val="24"/>
          <w:highlight w:val="none"/>
          <w14:textFill>
            <w14:solidFill>
              <w14:schemeClr w14:val="tx1"/>
            </w14:solidFill>
          </w14:textFill>
        </w:rPr>
        <w:t>。</w:t>
      </w:r>
    </w:p>
    <w:p w14:paraId="5A1FBE18">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（4）噪声</w:t>
      </w:r>
    </w:p>
    <w:p w14:paraId="7B8C9C2F">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本工程通过采取选用低噪声设备、减振等措施，减低了噪声污染。</w:t>
      </w:r>
    </w:p>
    <w:p w14:paraId="4FAD719A">
      <w:pPr>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color w:val="000000" w:themeColor="text1"/>
          <w:sz w:val="24"/>
          <w:szCs w:val="24"/>
          <w:highlight w:val="none"/>
          <w:lang w:eastAsia="zh-CN"/>
          <w14:textFill>
            <w14:solidFill>
              <w14:schemeClr w14:val="tx1"/>
            </w14:solidFill>
          </w14:textFill>
        </w:rPr>
      </w:pPr>
      <w:bookmarkStart w:id="1341" w:name="OLE_LINK943"/>
      <w:r>
        <w:rPr>
          <w:rFonts w:hint="eastAsia"/>
          <w:color w:val="000000" w:themeColor="text1"/>
          <w:sz w:val="24"/>
          <w:szCs w:val="24"/>
          <w:highlight w:val="none"/>
          <w14:textFill>
            <w14:solidFill>
              <w14:schemeClr w14:val="tx1"/>
            </w14:solidFill>
          </w14:textFill>
        </w:rPr>
        <w:t>本工程</w:t>
      </w:r>
      <w:bookmarkEnd w:id="1341"/>
      <w:r>
        <w:rPr>
          <w:rFonts w:hint="eastAsia"/>
          <w:color w:val="000000" w:themeColor="text1"/>
          <w:sz w:val="24"/>
          <w:szCs w:val="24"/>
          <w:highlight w:val="none"/>
          <w14:textFill>
            <w14:solidFill>
              <w14:schemeClr w14:val="tx1"/>
            </w14:solidFill>
          </w14:textFill>
        </w:rPr>
        <w:t>各项环保措施通过充分有效地实施，可以使污染物的排放在生产过程中得到有效</w:t>
      </w:r>
      <w:r>
        <w:rPr>
          <w:rFonts w:hint="eastAsia"/>
          <w:color w:val="000000" w:themeColor="text1"/>
          <w:sz w:val="24"/>
          <w:szCs w:val="24"/>
          <w:highlight w:val="none"/>
          <w:lang w:eastAsia="zh-CN"/>
          <w14:textFill>
            <w14:solidFill>
              <w14:schemeClr w14:val="tx1"/>
            </w14:solidFill>
          </w14:textFill>
        </w:rPr>
        <w:t>地</w:t>
      </w:r>
      <w:r>
        <w:rPr>
          <w:rFonts w:hint="eastAsia"/>
          <w:color w:val="000000" w:themeColor="text1"/>
          <w:sz w:val="24"/>
          <w:szCs w:val="24"/>
          <w:highlight w:val="none"/>
          <w14:textFill>
            <w14:solidFill>
              <w14:schemeClr w14:val="tx1"/>
            </w14:solidFill>
          </w14:textFill>
        </w:rPr>
        <w:t>控制。工程选用先进、成熟、可靠、具有节能和环保效果的技术，使各种污染物在排放前得以尽可能大</w:t>
      </w:r>
      <w:r>
        <w:rPr>
          <w:rFonts w:hint="eastAsia"/>
          <w:color w:val="000000" w:themeColor="text1"/>
          <w:sz w:val="24"/>
          <w:szCs w:val="24"/>
          <w:highlight w:val="none"/>
          <w:lang w:eastAsia="zh-CN"/>
          <w14:textFill>
            <w14:solidFill>
              <w14:schemeClr w14:val="tx1"/>
            </w14:solidFill>
          </w14:textFill>
        </w:rPr>
        <w:t>地</w:t>
      </w:r>
      <w:r>
        <w:rPr>
          <w:rFonts w:hint="eastAsia"/>
          <w:color w:val="000000" w:themeColor="text1"/>
          <w:sz w:val="24"/>
          <w:szCs w:val="24"/>
          <w:highlight w:val="none"/>
          <w14:textFill>
            <w14:solidFill>
              <w14:schemeClr w14:val="tx1"/>
            </w14:solidFill>
          </w14:textFill>
        </w:rPr>
        <w:t>削减。在生产过程中充分、有效地利用了资源，减少各种资源的损失，大大降低其对周围环境的影响</w:t>
      </w:r>
      <w:r>
        <w:rPr>
          <w:rFonts w:hint="eastAsia"/>
          <w:color w:val="000000" w:themeColor="text1"/>
          <w:sz w:val="24"/>
          <w:szCs w:val="24"/>
          <w:highlight w:val="none"/>
          <w:lang w:eastAsia="zh-CN"/>
          <w14:textFill>
            <w14:solidFill>
              <w14:schemeClr w14:val="tx1"/>
            </w14:solidFill>
          </w14:textFill>
        </w:rPr>
        <w:t>。</w:t>
      </w:r>
    </w:p>
    <w:p w14:paraId="7156EEFF">
      <w:pPr>
        <w:pStyle w:val="4"/>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pPr>
      <w:r>
        <w:rPr>
          <w:rFonts w:hint="eastAsia" w:ascii="Times New Roman" w:hAnsi="Times New Roman" w:cs="Times New Roman"/>
          <w:b/>
          <w:bCs w:val="0"/>
          <w:snapToGrid/>
          <w:color w:val="000000" w:themeColor="text1"/>
          <w:kern w:val="0"/>
          <w:sz w:val="28"/>
          <w:szCs w:val="20"/>
          <w:highlight w:val="none"/>
          <w:lang w:val="en-US" w:eastAsia="zh-CN" w:bidi="ar-SA"/>
          <w14:textFill>
            <w14:solidFill>
              <w14:schemeClr w14:val="tx1"/>
            </w14:solidFill>
          </w14:textFill>
        </w:rPr>
        <w:t>8.1.3</w:t>
      </w:r>
      <w:r>
        <w:rPr>
          <w:rFonts w:hint="eastAsia" w:ascii="Times New Roman" w:hAnsi="Times New Roman" w:eastAsia="宋体" w:cs="Times New Roman"/>
          <w:b/>
          <w:bCs w:val="0"/>
          <w:snapToGrid/>
          <w:color w:val="000000" w:themeColor="text1"/>
          <w:kern w:val="0"/>
          <w:sz w:val="28"/>
          <w:szCs w:val="20"/>
          <w:highlight w:val="none"/>
          <w:lang w:val="en-US" w:eastAsia="zh-CN" w:bidi="ar-SA"/>
          <w14:textFill>
            <w14:solidFill>
              <w14:schemeClr w14:val="tx1"/>
            </w14:solidFill>
          </w14:textFill>
        </w:rPr>
        <w:t>环保投资估算</w:t>
      </w:r>
    </w:p>
    <w:p w14:paraId="446EFDA4">
      <w:pPr>
        <w:widowControl/>
        <w:spacing w:line="360" w:lineRule="auto"/>
        <w:ind w:firstLine="480"/>
        <w:jc w:val="left"/>
        <w:rPr>
          <w:rFonts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总投资为</w:t>
      </w:r>
      <w:r>
        <w:rPr>
          <w:rFonts w:hint="eastAsia" w:cs="Times New Roman"/>
          <w:color w:val="000000" w:themeColor="text1"/>
          <w:highlight w:val="none"/>
          <w:lang w:val="en-US" w:eastAsia="zh-CN"/>
          <w14:textFill>
            <w14:solidFill>
              <w14:schemeClr w14:val="tx1"/>
            </w14:solidFill>
          </w14:textFill>
        </w:rPr>
        <w:t>6329.31</w:t>
      </w:r>
      <w:r>
        <w:rPr>
          <w:rFonts w:hint="default" w:ascii="Times New Roman" w:hAnsi="Times New Roman" w:cs="Times New Roman"/>
          <w:color w:val="000000" w:themeColor="text1"/>
          <w:szCs w:val="22"/>
          <w:highlight w:val="none"/>
          <w14:textFill>
            <w14:solidFill>
              <w14:schemeClr w14:val="tx1"/>
            </w14:solidFill>
          </w14:textFill>
        </w:rPr>
        <w:t>万元</w:t>
      </w:r>
      <w:r>
        <w:rPr>
          <w:rFonts w:hint="default" w:ascii="Times New Roman" w:hAnsi="Times New Roman" w:cs="Times New Roman"/>
          <w:color w:val="000000" w:themeColor="text1"/>
          <w:highlight w:val="none"/>
          <w14:textFill>
            <w14:solidFill>
              <w14:schemeClr w14:val="tx1"/>
            </w14:solidFill>
          </w14:textFill>
        </w:rPr>
        <w:t>，其中环保投资</w:t>
      </w:r>
      <w:r>
        <w:rPr>
          <w:rFonts w:hint="eastAsia" w:cs="Times New Roman"/>
          <w:color w:val="000000" w:themeColor="text1"/>
          <w:highlight w:val="none"/>
          <w:lang w:val="en-US" w:eastAsia="zh-CN"/>
          <w14:textFill>
            <w14:solidFill>
              <w14:schemeClr w14:val="tx1"/>
            </w14:solidFill>
          </w14:textFill>
        </w:rPr>
        <w:t>126</w:t>
      </w:r>
      <w:r>
        <w:rPr>
          <w:rFonts w:hint="default" w:ascii="Times New Roman" w:hAnsi="Times New Roman" w:cs="Times New Roman"/>
          <w:color w:val="000000" w:themeColor="text1"/>
          <w:highlight w:val="none"/>
          <w:lang w:eastAsia="zh-CN"/>
          <w14:textFill>
            <w14:solidFill>
              <w14:schemeClr w14:val="tx1"/>
            </w14:solidFill>
          </w14:textFill>
        </w:rPr>
        <w:t>万元，占总投资的</w:t>
      </w:r>
      <w:r>
        <w:rPr>
          <w:rFonts w:hint="eastAsia" w:cs="Times New Roman"/>
          <w:color w:val="000000" w:themeColor="text1"/>
          <w:highlight w:val="none"/>
          <w:lang w:val="en-US" w:eastAsia="zh-CN"/>
          <w14:textFill>
            <w14:solidFill>
              <w14:schemeClr w14:val="tx1"/>
            </w14:solidFill>
          </w14:textFill>
        </w:rPr>
        <w:t>2.0</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。估算见</w:t>
      </w:r>
      <w:r>
        <w:rPr>
          <w:rFonts w:ascii="Times New Roman" w:hAnsi="Times New Roman" w:cs="Times New Roman"/>
          <w:color w:val="000000" w:themeColor="text1"/>
          <w:kern w:val="0"/>
          <w:sz w:val="24"/>
          <w:szCs w:val="24"/>
          <w:highlight w:val="none"/>
          <w14:textFill>
            <w14:solidFill>
              <w14:schemeClr w14:val="tx1"/>
            </w14:solidFill>
          </w14:textFill>
        </w:rPr>
        <w:t>表</w:t>
      </w:r>
      <w:bookmarkStart w:id="1342" w:name="OLE_LINK946"/>
      <w:r>
        <w:rPr>
          <w:rFonts w:hint="eastAsia" w:cs="Times New Roman"/>
          <w:color w:val="000000" w:themeColor="text1"/>
          <w:kern w:val="0"/>
          <w:sz w:val="24"/>
          <w:szCs w:val="24"/>
          <w:highlight w:val="none"/>
          <w:lang w:val="en-US" w:eastAsia="zh-CN"/>
          <w14:textFill>
            <w14:solidFill>
              <w14:schemeClr w14:val="tx1"/>
            </w14:solidFill>
          </w14:textFill>
        </w:rPr>
        <w:t>8.1-1</w:t>
      </w:r>
      <w:bookmarkEnd w:id="1342"/>
      <w:r>
        <w:rPr>
          <w:rFonts w:ascii="Times New Roman" w:hAnsi="Times New Roman" w:cs="Times New Roman"/>
          <w:color w:val="000000" w:themeColor="text1"/>
          <w:kern w:val="0"/>
          <w:sz w:val="24"/>
          <w:szCs w:val="24"/>
          <w:highlight w:val="none"/>
          <w14:textFill>
            <w14:solidFill>
              <w14:schemeClr w14:val="tx1"/>
            </w14:solidFill>
          </w14:textFill>
        </w:rPr>
        <w:t>。</w:t>
      </w:r>
    </w:p>
    <w:p w14:paraId="4997E70E">
      <w:pPr>
        <w:pStyle w:val="84"/>
        <w:keepNext w:val="0"/>
        <w:keepLines w:val="0"/>
        <w:pageBreakBefore w:val="0"/>
        <w:kinsoku/>
        <w:wordWrap/>
        <w:topLinePunct w:val="0"/>
        <w:bidi w:val="0"/>
        <w:spacing w:line="240" w:lineRule="auto"/>
        <w:ind w:left="0" w:leftChars="0" w:firstLine="0" w:firstLineChars="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8.1-1   </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环保投资估算</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2"/>
        <w:gridCol w:w="597"/>
        <w:gridCol w:w="1043"/>
        <w:gridCol w:w="3687"/>
        <w:gridCol w:w="1694"/>
        <w:gridCol w:w="858"/>
      </w:tblGrid>
      <w:tr w14:paraId="5B6A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288" w:type="pct"/>
            <w:vAlign w:val="center"/>
          </w:tcPr>
          <w:p w14:paraId="23623FD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bookmarkStart w:id="1343" w:name="OLE_LINK971"/>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980" w:type="pct"/>
            <w:gridSpan w:val="2"/>
            <w:vAlign w:val="center"/>
          </w:tcPr>
          <w:p w14:paraId="289A236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2204" w:type="pct"/>
            <w:vAlign w:val="center"/>
          </w:tcPr>
          <w:p w14:paraId="2B43EDCA">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环保措施</w:t>
            </w:r>
          </w:p>
        </w:tc>
        <w:tc>
          <w:tcPr>
            <w:tcW w:w="1013" w:type="pct"/>
            <w:vAlign w:val="center"/>
          </w:tcPr>
          <w:p w14:paraId="401B2074">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治理效果</w:t>
            </w:r>
          </w:p>
        </w:tc>
        <w:tc>
          <w:tcPr>
            <w:tcW w:w="513" w:type="pct"/>
            <w:vAlign w:val="center"/>
          </w:tcPr>
          <w:p w14:paraId="1A54CA9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投资</w:t>
            </w:r>
          </w:p>
          <w:p w14:paraId="6BBCF82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万元</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tc>
      </w:tr>
      <w:tr w14:paraId="5191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restart"/>
            <w:vAlign w:val="center"/>
          </w:tcPr>
          <w:p w14:paraId="18BCC1E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344" w:name="OLE_LINK945" w:colFirst="4" w:colLast="4"/>
            <w:bookmarkStart w:id="1345" w:name="OLE_LINK950" w:colFirst="4" w:colLast="5"/>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980" w:type="pct"/>
            <w:gridSpan w:val="2"/>
            <w:vAlign w:val="center"/>
          </w:tcPr>
          <w:p w14:paraId="6D7E253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施工扬尘</w:t>
            </w:r>
          </w:p>
        </w:tc>
        <w:tc>
          <w:tcPr>
            <w:tcW w:w="2204" w:type="pct"/>
            <w:vAlign w:val="center"/>
          </w:tcPr>
          <w:p w14:paraId="56FC4EDC">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临时抑尘覆盖物</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草包、帆布等</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、洒水</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防尘、洒水等</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1013" w:type="pct"/>
            <w:vAlign w:val="center"/>
          </w:tcPr>
          <w:p w14:paraId="04044FE1">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13" w:type="pct"/>
            <w:vAlign w:val="center"/>
          </w:tcPr>
          <w:p w14:paraId="19338395">
            <w:pPr>
              <w:keepNext w:val="0"/>
              <w:keepLines w:val="0"/>
              <w:pageBreakBefore w:val="0"/>
              <w:widowControl/>
              <w:kinsoku/>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r>
      <w:tr w14:paraId="6290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6FF9791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shd w:val="clear" w:color="auto" w:fill="auto"/>
            <w:vAlign w:val="center"/>
          </w:tcPr>
          <w:p w14:paraId="21094D3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w:t>
            </w:r>
          </w:p>
        </w:tc>
        <w:tc>
          <w:tcPr>
            <w:tcW w:w="2204" w:type="pct"/>
            <w:shd w:val="clear" w:color="auto" w:fill="auto"/>
            <w:vAlign w:val="center"/>
          </w:tcPr>
          <w:p w14:paraId="59E0F0B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装置做好日常维护，做好密闭措施</w:t>
            </w:r>
          </w:p>
        </w:tc>
        <w:tc>
          <w:tcPr>
            <w:tcW w:w="1013" w:type="pct"/>
            <w:shd w:val="clear" w:color="auto" w:fill="auto"/>
            <w:vAlign w:val="center"/>
          </w:tcPr>
          <w:p w14:paraId="0FB05D4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非甲烷总烃≤4.0mg/m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513" w:type="pct"/>
            <w:shd w:val="clear" w:color="auto" w:fill="auto"/>
            <w:vAlign w:val="center"/>
          </w:tcPr>
          <w:p w14:paraId="2760297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r>
      <w:tr w14:paraId="4809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8" w:hRule="atLeast"/>
        </w:trPr>
        <w:tc>
          <w:tcPr>
            <w:tcW w:w="288" w:type="pct"/>
            <w:vAlign w:val="center"/>
          </w:tcPr>
          <w:p w14:paraId="4C544902">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980" w:type="pct"/>
            <w:gridSpan w:val="2"/>
            <w:vAlign w:val="center"/>
          </w:tcPr>
          <w:p w14:paraId="65F93C6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设备噪声</w:t>
            </w:r>
          </w:p>
        </w:tc>
        <w:tc>
          <w:tcPr>
            <w:tcW w:w="2204" w:type="pct"/>
            <w:vAlign w:val="center"/>
          </w:tcPr>
          <w:p w14:paraId="521E0F72">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选择低噪声设备、加强设备维护，基础减振</w:t>
            </w:r>
          </w:p>
        </w:tc>
        <w:tc>
          <w:tcPr>
            <w:tcW w:w="1013" w:type="pct"/>
            <w:vAlign w:val="center"/>
          </w:tcPr>
          <w:p w14:paraId="5FCED97F">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场界：</w:t>
            </w:r>
          </w:p>
          <w:p w14:paraId="7D9FCEC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14:paraId="42847180">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3" w:type="pct"/>
            <w:vAlign w:val="center"/>
          </w:tcPr>
          <w:p w14:paraId="2CA7430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5067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restart"/>
            <w:vAlign w:val="center"/>
          </w:tcPr>
          <w:p w14:paraId="0CE6E55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980" w:type="pct"/>
            <w:gridSpan w:val="2"/>
            <w:vAlign w:val="center"/>
          </w:tcPr>
          <w:p w14:paraId="3C344B2E">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地面工程施工</w:t>
            </w:r>
          </w:p>
        </w:tc>
        <w:tc>
          <w:tcPr>
            <w:tcW w:w="2204" w:type="pct"/>
            <w:vAlign w:val="center"/>
          </w:tcPr>
          <w:p w14:paraId="5BFB8B8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施工废料应首先考虑回收利用，不可回收利用部分拉运至工业固废填埋场合规处置</w:t>
            </w:r>
          </w:p>
        </w:tc>
        <w:tc>
          <w:tcPr>
            <w:tcW w:w="1013" w:type="pct"/>
            <w:vAlign w:val="center"/>
          </w:tcPr>
          <w:p w14:paraId="0E7D70F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362B054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r>
      <w:tr w14:paraId="326A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1478D0BA">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vAlign w:val="center"/>
          </w:tcPr>
          <w:p w14:paraId="368989F4">
            <w:pPr>
              <w:keepNext w:val="0"/>
              <w:keepLines w:val="0"/>
              <w:pageBreakBefore w:val="0"/>
              <w:widowControl/>
              <w:kinsoku/>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钻井泥浆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、岩屑</w:t>
            </w:r>
          </w:p>
        </w:tc>
        <w:tc>
          <w:tcPr>
            <w:tcW w:w="2204" w:type="pct"/>
            <w:vAlign w:val="center"/>
          </w:tcPr>
          <w:p w14:paraId="6CDAEB3E">
            <w:pPr>
              <w:keepNext w:val="0"/>
              <w:keepLines w:val="0"/>
              <w:pageBreakBefore w:val="0"/>
              <w:widowControl/>
              <w:kinsoku/>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本工程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w:t>
            </w:r>
          </w:p>
          <w:p w14:paraId="2657C7F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废弃油基泥浆和废弃油基岩屑在钻井井场配置储罐集中储存，委托有危废处置资质单位处置。</w:t>
            </w:r>
          </w:p>
        </w:tc>
        <w:tc>
          <w:tcPr>
            <w:tcW w:w="1013" w:type="pct"/>
            <w:vAlign w:val="center"/>
          </w:tcPr>
          <w:p w14:paraId="19830BD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2CBA2284">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w:t>
            </w:r>
          </w:p>
        </w:tc>
      </w:tr>
      <w:bookmarkEnd w:id="1344"/>
      <w:tr w14:paraId="2BC0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140EC50C">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346" w:name="OLE_LINK967" w:colFirst="1" w:colLast="2"/>
            <w:bookmarkStart w:id="1347" w:name="OLE_LINK1120" w:colFirst="4" w:colLast="4"/>
            <w:bookmarkStart w:id="1348" w:name="OLE_LINK1119" w:colFirst="4" w:colLast="4"/>
          </w:p>
        </w:tc>
        <w:tc>
          <w:tcPr>
            <w:tcW w:w="980" w:type="pct"/>
            <w:gridSpan w:val="2"/>
            <w:vAlign w:val="center"/>
          </w:tcPr>
          <w:p w14:paraId="50D0E95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落地油</w:t>
            </w:r>
          </w:p>
        </w:tc>
        <w:tc>
          <w:tcPr>
            <w:tcW w:w="2204" w:type="pct"/>
            <w:vAlign w:val="center"/>
          </w:tcPr>
          <w:p w14:paraId="65D2BBE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落地油由阿克苏塔河环保工程有限公司绿色环保工作站清运处置</w:t>
            </w:r>
          </w:p>
        </w:tc>
        <w:tc>
          <w:tcPr>
            <w:tcW w:w="1013" w:type="pct"/>
            <w:vAlign w:val="center"/>
          </w:tcPr>
          <w:p w14:paraId="7A3AC3B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55380DD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6271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7410CAA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vAlign w:val="center"/>
          </w:tcPr>
          <w:p w14:paraId="6D44F1B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清罐底泥、</w:t>
            </w:r>
            <w:r>
              <w:rPr>
                <w:rFonts w:hint="eastAsia" w:cs="Times New Roman"/>
                <w:color w:val="000000" w:themeColor="text1"/>
                <w:sz w:val="21"/>
                <w:szCs w:val="21"/>
                <w:highlight w:val="none"/>
                <w:lang w:val="en-US" w:eastAsia="zh-CN"/>
                <w14:textFill>
                  <w14:solidFill>
                    <w14:schemeClr w14:val="tx1"/>
                  </w14:solidFill>
                </w14:textFill>
              </w:rPr>
              <w:t>废烧碱包装袋、</w:t>
            </w:r>
            <w:r>
              <w:rPr>
                <w:rFonts w:hint="default" w:ascii="Times New Roman" w:hAnsi="Times New Roman" w:eastAsia="宋体" w:cs="Times New Roman"/>
                <w:color w:val="000000" w:themeColor="text1"/>
                <w:sz w:val="21"/>
                <w:szCs w:val="21"/>
                <w:highlight w:val="none"/>
                <w14:textFill>
                  <w14:solidFill>
                    <w14:schemeClr w14:val="tx1"/>
                  </w14:solidFill>
                </w14:textFill>
              </w:rPr>
              <w:t>废润滑油</w:t>
            </w:r>
          </w:p>
        </w:tc>
        <w:tc>
          <w:tcPr>
            <w:tcW w:w="2204" w:type="pct"/>
            <w:vAlign w:val="center"/>
          </w:tcPr>
          <w:p w14:paraId="482CF68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回收至密闭的专用罐车内，委托持有危险废物经营许可证的单位利用处置</w:t>
            </w:r>
          </w:p>
        </w:tc>
        <w:tc>
          <w:tcPr>
            <w:tcW w:w="1013" w:type="pct"/>
            <w:vAlign w:val="center"/>
          </w:tcPr>
          <w:p w14:paraId="6BE07A6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349" w:name="OLE_LINK948"/>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bookmarkEnd w:id="1349"/>
          </w:p>
        </w:tc>
        <w:tc>
          <w:tcPr>
            <w:tcW w:w="513" w:type="pct"/>
            <w:vAlign w:val="center"/>
          </w:tcPr>
          <w:p w14:paraId="6DE493AF">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r>
      <w:bookmarkEnd w:id="1346"/>
      <w:tr w14:paraId="24AE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restart"/>
            <w:vAlign w:val="center"/>
          </w:tcPr>
          <w:p w14:paraId="05020DF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980" w:type="pct"/>
            <w:gridSpan w:val="2"/>
            <w:vAlign w:val="center"/>
          </w:tcPr>
          <w:p w14:paraId="58D10490">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w:t>
            </w:r>
          </w:p>
        </w:tc>
        <w:tc>
          <w:tcPr>
            <w:tcW w:w="2204" w:type="pct"/>
            <w:vAlign w:val="center"/>
          </w:tcPr>
          <w:p w14:paraId="4A6223F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施工结束后进行场地平整；控制施工作业带宽度；水土保持措施、防沙治沙等</w:t>
            </w:r>
          </w:p>
        </w:tc>
        <w:tc>
          <w:tcPr>
            <w:tcW w:w="1013" w:type="pct"/>
            <w:vAlign w:val="center"/>
          </w:tcPr>
          <w:p w14:paraId="4568204E">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施工结束后场地平整</w:t>
            </w:r>
          </w:p>
        </w:tc>
        <w:tc>
          <w:tcPr>
            <w:tcW w:w="513" w:type="pct"/>
            <w:vAlign w:val="center"/>
          </w:tcPr>
          <w:p w14:paraId="357FAF50">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r>
      <w:tr w14:paraId="65AE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56D7556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vAlign w:val="center"/>
          </w:tcPr>
          <w:p w14:paraId="3C1C92D6">
            <w:pPr>
              <w:overflowPunct w:val="0"/>
              <w:autoSpaceDE w:val="0"/>
              <w:autoSpaceDN w:val="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水土流失</w:t>
            </w:r>
          </w:p>
        </w:tc>
        <w:tc>
          <w:tcPr>
            <w:tcW w:w="2204" w:type="pct"/>
            <w:vAlign w:val="center"/>
          </w:tcPr>
          <w:p w14:paraId="6EDD07A5">
            <w:pPr>
              <w:overflowPunct w:val="0"/>
              <w:autoSpaceDE w:val="0"/>
              <w:autoSpaceDN w:val="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防沙治沙和水土保持措施</w:t>
            </w:r>
          </w:p>
        </w:tc>
        <w:tc>
          <w:tcPr>
            <w:tcW w:w="1013" w:type="pct"/>
            <w:vAlign w:val="center"/>
          </w:tcPr>
          <w:p w14:paraId="6AA2274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防止水土流失</w:t>
            </w:r>
          </w:p>
        </w:tc>
        <w:tc>
          <w:tcPr>
            <w:tcW w:w="513" w:type="pct"/>
            <w:vAlign w:val="center"/>
          </w:tcPr>
          <w:p w14:paraId="649EB6D4">
            <w:pPr>
              <w:keepNext w:val="0"/>
              <w:keepLines w:val="0"/>
              <w:pageBreakBefore w:val="0"/>
              <w:widowControl/>
              <w:kinsoku/>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r>
      <w:tr w14:paraId="191F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restart"/>
            <w:vAlign w:val="center"/>
          </w:tcPr>
          <w:p w14:paraId="25F7C12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环境风险管理</w:t>
            </w:r>
          </w:p>
        </w:tc>
        <w:tc>
          <w:tcPr>
            <w:tcW w:w="980" w:type="pct"/>
            <w:gridSpan w:val="2"/>
            <w:vAlign w:val="center"/>
          </w:tcPr>
          <w:p w14:paraId="0BEC405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w:t>
            </w:r>
          </w:p>
          <w:p w14:paraId="67EA9CDC">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防范措施</w:t>
            </w:r>
          </w:p>
        </w:tc>
        <w:tc>
          <w:tcPr>
            <w:tcW w:w="2204" w:type="pct"/>
            <w:vAlign w:val="center"/>
          </w:tcPr>
          <w:p w14:paraId="4B5BFC4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消防器材、警戒标语标牌、设置可燃气体检测报警仪等防范设施</w:t>
            </w:r>
          </w:p>
        </w:tc>
        <w:tc>
          <w:tcPr>
            <w:tcW w:w="1013" w:type="pct"/>
            <w:vAlign w:val="center"/>
          </w:tcPr>
          <w:p w14:paraId="7FC65EC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风险防范设施数量按照消防、安全等相关要求设置</w:t>
            </w:r>
          </w:p>
        </w:tc>
        <w:tc>
          <w:tcPr>
            <w:tcW w:w="513" w:type="pct"/>
            <w:vAlign w:val="center"/>
          </w:tcPr>
          <w:p w14:paraId="157EECAE">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r>
      <w:tr w14:paraId="2315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2AF9420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vAlign w:val="center"/>
          </w:tcPr>
          <w:p w14:paraId="4FC7C0B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应急预案</w:t>
            </w:r>
          </w:p>
        </w:tc>
        <w:tc>
          <w:tcPr>
            <w:tcW w:w="2204" w:type="pct"/>
            <w:vAlign w:val="center"/>
          </w:tcPr>
          <w:p w14:paraId="399CFA7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根据</w:t>
            </w:r>
            <w:r>
              <w:rPr>
                <w:rFonts w:hint="eastAsia"/>
                <w:color w:val="000000" w:themeColor="text1"/>
                <w:sz w:val="21"/>
                <w:szCs w:val="21"/>
                <w:highlight w:val="none"/>
                <w:lang w:bidi="ar"/>
                <w14:textFill>
                  <w14:solidFill>
                    <w14:schemeClr w14:val="tx1"/>
                  </w14:solidFill>
                </w14:textFill>
              </w:rPr>
              <w:t>油罐</w:t>
            </w:r>
            <w:r>
              <w:rPr>
                <w:rFonts w:hint="eastAsia"/>
                <w:color w:val="000000" w:themeColor="text1"/>
                <w:sz w:val="21"/>
                <w:szCs w:val="21"/>
                <w:highlight w:val="none"/>
                <w:lang w:eastAsia="zh-CN" w:bidi="ar"/>
                <w14:textFill>
                  <w14:solidFill>
                    <w14:schemeClr w14:val="tx1"/>
                  </w14:solidFill>
                </w14:textFill>
              </w:rPr>
              <w:t>泄漏</w:t>
            </w:r>
            <w:r>
              <w:rPr>
                <w:color w:val="000000" w:themeColor="text1"/>
                <w:sz w:val="21"/>
                <w:szCs w:val="21"/>
                <w:highlight w:val="none"/>
                <w:lang w:bidi="ar"/>
                <w14:textFill>
                  <w14:solidFill>
                    <w14:schemeClr w14:val="tx1"/>
                  </w14:solidFill>
                </w14:textFill>
              </w:rPr>
              <w:t>应急处理经验，完善现有突发环境事件应急预案</w:t>
            </w:r>
          </w:p>
        </w:tc>
        <w:tc>
          <w:tcPr>
            <w:tcW w:w="1013" w:type="pct"/>
            <w:vAlign w:val="center"/>
          </w:tcPr>
          <w:p w14:paraId="3C88668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修改完善，并定期演练</w:t>
            </w:r>
          </w:p>
        </w:tc>
        <w:tc>
          <w:tcPr>
            <w:tcW w:w="513" w:type="pct"/>
            <w:vAlign w:val="center"/>
          </w:tcPr>
          <w:p w14:paraId="28CE6FD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4715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288" w:type="pct"/>
            <w:vMerge w:val="restart"/>
            <w:vAlign w:val="center"/>
          </w:tcPr>
          <w:p w14:paraId="569926DA">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废水处理</w:t>
            </w:r>
          </w:p>
        </w:tc>
        <w:tc>
          <w:tcPr>
            <w:tcW w:w="980" w:type="pct"/>
            <w:gridSpan w:val="2"/>
            <w:vAlign w:val="center"/>
          </w:tcPr>
          <w:p w14:paraId="6FB24B01">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2204" w:type="pct"/>
            <w:vAlign w:val="center"/>
          </w:tcPr>
          <w:p w14:paraId="57514A4C">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生活污水经井场一体化污水处理装置处理后，水质达到《农村生活污水处理排放标准》（DB65 4275-2019）表二的B级标准、《农田灌溉水质标准》（GB 5084-2021）表一旱地作物标准后用于井场及道路降尘</w:t>
            </w:r>
          </w:p>
        </w:tc>
        <w:tc>
          <w:tcPr>
            <w:tcW w:w="1013" w:type="pct"/>
            <w:vAlign w:val="center"/>
          </w:tcPr>
          <w:p w14:paraId="1B06270E">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28760E3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r>
      <w:tr w14:paraId="18AE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288" w:type="pct"/>
            <w:vMerge w:val="continue"/>
            <w:vAlign w:val="center"/>
          </w:tcPr>
          <w:p w14:paraId="7ACACAC3">
            <w:pPr>
              <w:keepNext w:val="0"/>
              <w:keepLines w:val="0"/>
              <w:pageBreakBefore w:val="0"/>
              <w:widowControl/>
              <w:kinsoku/>
              <w:wordWrap/>
              <w:topLinePunct w:val="0"/>
              <w:bidi w:val="0"/>
              <w:adjustRightInd w:val="0"/>
              <w:snapToGrid w:val="0"/>
              <w:spacing w:line="240" w:lineRule="auto"/>
              <w:ind w:firstLine="0" w:firstLineChars="0"/>
              <w:jc w:val="center"/>
              <w:rPr>
                <w:color w:val="000000" w:themeColor="text1"/>
                <w:highlight w:val="none"/>
                <w14:textFill>
                  <w14:solidFill>
                    <w14:schemeClr w14:val="tx1"/>
                  </w14:solidFill>
                </w14:textFill>
              </w:rPr>
            </w:pPr>
          </w:p>
        </w:tc>
        <w:tc>
          <w:tcPr>
            <w:tcW w:w="980" w:type="pct"/>
            <w:gridSpan w:val="2"/>
            <w:vAlign w:val="center"/>
          </w:tcPr>
          <w:p w14:paraId="1B7933F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酸化压裂废水</w:t>
            </w:r>
          </w:p>
        </w:tc>
        <w:tc>
          <w:tcPr>
            <w:tcW w:w="2204" w:type="pct"/>
            <w:vAlign w:val="center"/>
          </w:tcPr>
          <w:p w14:paraId="6B0D142E">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专用废液收集罐收集后运至阿克苏塔河环保工程有限公司绿色环保工作站处理</w:t>
            </w:r>
          </w:p>
        </w:tc>
        <w:tc>
          <w:tcPr>
            <w:tcW w:w="1013" w:type="pct"/>
            <w:vAlign w:val="center"/>
          </w:tcPr>
          <w:p w14:paraId="03AE79D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5F17CC1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57C8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288" w:type="pct"/>
            <w:vMerge w:val="continue"/>
            <w:vAlign w:val="center"/>
          </w:tcPr>
          <w:p w14:paraId="590CBDC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0" w:type="pct"/>
            <w:gridSpan w:val="2"/>
            <w:vAlign w:val="center"/>
          </w:tcPr>
          <w:p w14:paraId="37A7DD5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井下作业废水</w:t>
            </w:r>
          </w:p>
        </w:tc>
        <w:tc>
          <w:tcPr>
            <w:tcW w:w="2204" w:type="pct"/>
            <w:vAlign w:val="center"/>
          </w:tcPr>
          <w:p w14:paraId="2BEB484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回收罐回收井下作业废水，依托阿克苏塔河环保工程有限公司绿色环保工作站处理</w:t>
            </w:r>
          </w:p>
        </w:tc>
        <w:tc>
          <w:tcPr>
            <w:tcW w:w="1013" w:type="pct"/>
            <w:vAlign w:val="center"/>
          </w:tcPr>
          <w:p w14:paraId="54E3F17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妥善处理</w:t>
            </w:r>
          </w:p>
        </w:tc>
        <w:tc>
          <w:tcPr>
            <w:tcW w:w="513" w:type="pct"/>
            <w:vAlign w:val="center"/>
          </w:tcPr>
          <w:p w14:paraId="09E7A935">
            <w:pPr>
              <w:keepNext w:val="0"/>
              <w:keepLines w:val="0"/>
              <w:pageBreakBefore w:val="0"/>
              <w:widowControl/>
              <w:kinsoku/>
              <w:wordWrap/>
              <w:topLinePunct w:val="0"/>
              <w:bidi w:val="0"/>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048C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restart"/>
            <w:vAlign w:val="center"/>
          </w:tcPr>
          <w:p w14:paraId="23E9BF2F">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地下水、土壤</w:t>
            </w:r>
          </w:p>
        </w:tc>
        <w:tc>
          <w:tcPr>
            <w:tcW w:w="357" w:type="pct"/>
            <w:vAlign w:val="center"/>
          </w:tcPr>
          <w:p w14:paraId="4E2D2FA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一般防渗区</w:t>
            </w:r>
          </w:p>
        </w:tc>
        <w:tc>
          <w:tcPr>
            <w:tcW w:w="623" w:type="pct"/>
            <w:vAlign w:val="center"/>
          </w:tcPr>
          <w:p w14:paraId="09C83FCC">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多功能集油器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等</w:t>
            </w:r>
          </w:p>
        </w:tc>
        <w:tc>
          <w:tcPr>
            <w:tcW w:w="2204" w:type="pct"/>
            <w:vAlign w:val="center"/>
          </w:tcPr>
          <w:p w14:paraId="78380844">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防渗层防渗性能不应低于1.5m厚渗透系数为1×10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 黏土层的防渗性能</w:t>
            </w:r>
          </w:p>
        </w:tc>
        <w:tc>
          <w:tcPr>
            <w:tcW w:w="1013" w:type="pct"/>
            <w:vAlign w:val="center"/>
          </w:tcPr>
          <w:p w14:paraId="7E7954DF">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渗透系数小于1.0×10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513" w:type="pct"/>
            <w:vAlign w:val="center"/>
          </w:tcPr>
          <w:p w14:paraId="06ACD595">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r>
      <w:bookmarkEnd w:id="1345"/>
      <w:tr w14:paraId="5B0F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88" w:type="pct"/>
            <w:vMerge w:val="continue"/>
            <w:vAlign w:val="center"/>
          </w:tcPr>
          <w:p w14:paraId="7F75531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350" w:name="OLE_LINK949" w:colFirst="5" w:colLast="5"/>
          </w:p>
        </w:tc>
        <w:tc>
          <w:tcPr>
            <w:tcW w:w="357" w:type="pct"/>
            <w:vAlign w:val="center"/>
          </w:tcPr>
          <w:p w14:paraId="3D31F35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简单防渗区</w:t>
            </w:r>
          </w:p>
        </w:tc>
        <w:tc>
          <w:tcPr>
            <w:tcW w:w="623" w:type="pct"/>
            <w:vAlign w:val="center"/>
          </w:tcPr>
          <w:p w14:paraId="35698C74">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z w:val="21"/>
                <w:szCs w:val="21"/>
                <w:highlight w:val="none"/>
                <w14:textFill>
                  <w14:solidFill>
                    <w14:schemeClr w14:val="tx1"/>
                  </w14:solidFill>
                </w14:textFill>
              </w:rPr>
              <w:t>永久占地</w:t>
            </w:r>
          </w:p>
        </w:tc>
        <w:tc>
          <w:tcPr>
            <w:tcW w:w="2204" w:type="pct"/>
            <w:vAlign w:val="center"/>
          </w:tcPr>
          <w:p w14:paraId="5F8BBF30">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实施地面硬化</w:t>
            </w:r>
          </w:p>
        </w:tc>
        <w:tc>
          <w:tcPr>
            <w:tcW w:w="1013" w:type="pct"/>
            <w:vAlign w:val="center"/>
          </w:tcPr>
          <w:p w14:paraId="778A368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地面硬化</w:t>
            </w:r>
          </w:p>
        </w:tc>
        <w:tc>
          <w:tcPr>
            <w:tcW w:w="513" w:type="pct"/>
            <w:vAlign w:val="center"/>
          </w:tcPr>
          <w:p w14:paraId="04B38703">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r>
      <w:tr w14:paraId="416B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68" w:type="pct"/>
            <w:gridSpan w:val="3"/>
            <w:vMerge w:val="restart"/>
            <w:vAlign w:val="center"/>
          </w:tcPr>
          <w:p w14:paraId="0E278D20">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环境管理</w:t>
            </w:r>
          </w:p>
        </w:tc>
        <w:tc>
          <w:tcPr>
            <w:tcW w:w="3217" w:type="pct"/>
            <w:gridSpan w:val="2"/>
            <w:vAlign w:val="center"/>
          </w:tcPr>
          <w:p w14:paraId="2A560DB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环境影响评价、环境保护竣工验收、运营期环境监测</w:t>
            </w:r>
          </w:p>
        </w:tc>
        <w:tc>
          <w:tcPr>
            <w:tcW w:w="513" w:type="pct"/>
            <w:vAlign w:val="center"/>
          </w:tcPr>
          <w:p w14:paraId="06ABDD9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2</w:t>
            </w:r>
          </w:p>
        </w:tc>
      </w:tr>
      <w:tr w14:paraId="4609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68" w:type="pct"/>
            <w:gridSpan w:val="3"/>
            <w:vMerge w:val="continue"/>
            <w:vAlign w:val="center"/>
          </w:tcPr>
          <w:p w14:paraId="3FFE61E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17" w:type="pct"/>
            <w:gridSpan w:val="2"/>
            <w:vAlign w:val="center"/>
          </w:tcPr>
          <w:p w14:paraId="7CE0854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环保培训，演练</w:t>
            </w:r>
          </w:p>
        </w:tc>
        <w:tc>
          <w:tcPr>
            <w:tcW w:w="513" w:type="pct"/>
            <w:vAlign w:val="center"/>
          </w:tcPr>
          <w:p w14:paraId="0EB1CB0D">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r>
      <w:bookmarkEnd w:id="1347"/>
      <w:bookmarkEnd w:id="1348"/>
      <w:bookmarkEnd w:id="1350"/>
      <w:tr w14:paraId="3F64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486" w:type="pct"/>
            <w:gridSpan w:val="5"/>
            <w:vAlign w:val="center"/>
          </w:tcPr>
          <w:p w14:paraId="193A3ADA">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环保投资合计</w:t>
            </w:r>
          </w:p>
        </w:tc>
        <w:tc>
          <w:tcPr>
            <w:tcW w:w="513" w:type="pct"/>
            <w:vAlign w:val="center"/>
          </w:tcPr>
          <w:p w14:paraId="3A861DB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126</w:t>
            </w:r>
          </w:p>
        </w:tc>
      </w:tr>
      <w:bookmarkEnd w:id="1343"/>
    </w:tbl>
    <w:p w14:paraId="2316E796">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51" w:name="_Toc26541"/>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_Toc24443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8.2社会效益分析</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51"/>
    </w:p>
    <w:p w14:paraId="560E61FA">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eastAsia" w:ascii="Times New Roman" w:hAnsi="Times New Roman" w:eastAsia="宋体" w:cs="宋体"/>
          <w:color w:val="000000" w:themeColor="text1"/>
          <w:sz w:val="24"/>
          <w:szCs w:val="24"/>
          <w:highlight w:val="none"/>
          <w:lang w:val="en-US" w:eastAsia="en-US"/>
          <w14:textFill>
            <w14:solidFill>
              <w14:schemeClr w14:val="tx1"/>
            </w14:solidFill>
          </w14:textFill>
        </w:rPr>
      </w:pPr>
      <w:r>
        <w:rPr>
          <w:rFonts w:hint="default" w:ascii="Times New Roman" w:hAnsi="Times New Roman" w:eastAsia="宋体" w:cs="宋体"/>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宋体"/>
          <w:color w:val="000000" w:themeColor="text1"/>
          <w:sz w:val="24"/>
          <w:szCs w:val="24"/>
          <w:highlight w:val="none"/>
          <w14:textFill>
            <w14:solidFill>
              <w14:schemeClr w14:val="tx1"/>
            </w14:solidFill>
          </w14:textFill>
        </w:rPr>
        <w:t>的实施可以支持国家的经济建设，缓解当前天然气供应紧张、与时俱进的形势</w:t>
      </w:r>
      <w:r>
        <w:rPr>
          <w:rFonts w:hint="default" w:ascii="Times New Roman" w:hAnsi="Times New Roman" w:eastAsia="宋体" w:cs="宋体"/>
          <w:color w:val="000000" w:themeColor="text1"/>
          <w:sz w:val="24"/>
          <w:szCs w:val="24"/>
          <w:highlight w:val="none"/>
          <w:lang w:eastAsia="zh-CN"/>
          <w14:textFill>
            <w14:solidFill>
              <w14:schemeClr w14:val="tx1"/>
            </w14:solidFill>
          </w14:textFill>
        </w:rPr>
        <w:t>。</w:t>
      </w:r>
      <w:r>
        <w:rPr>
          <w:rFonts w:hint="default" w:ascii="Times New Roman" w:hAnsi="Times New Roman" w:eastAsia="宋体" w:cs="宋体"/>
          <w:color w:val="000000" w:themeColor="text1"/>
          <w:sz w:val="24"/>
          <w:szCs w:val="24"/>
          <w:highlight w:val="none"/>
          <w14:textFill>
            <w14:solidFill>
              <w14:schemeClr w14:val="tx1"/>
            </w14:solidFill>
          </w14:textFill>
        </w:rPr>
        <w:t>同时，油田开发对当地工业和经济的发展具有明显的促进作用，能够带动一批相关工业、第三产业的发展，给当地经济发展注入新的活力。</w:t>
      </w:r>
      <w:r>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t>本工程的实施补充和加快了油田基础设施的建设，具有良好的社会效益</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w:t>
      </w:r>
    </w:p>
    <w:p w14:paraId="4E89E62F">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52" w:name="_Toc2623"/>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_Toc1409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8.3综合效益分析</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52"/>
    </w:p>
    <w:p w14:paraId="2852AB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val="en-US" w:eastAsia="en-US" w:bidi="ar-SA"/>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本工程在设计中充分考虑了环境保护的要求，严格执行各项环境保护标准。同时还针对在生产运行过程中产生的“三废”，从实际出发采取多种相应的治理措施。由此看来，本工程采取的环保措施保护了环境，但未产生明显的经济效益。</w:t>
      </w:r>
    </w:p>
    <w:p w14:paraId="4ED3A6E8">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bookmarkStart w:id="1353" w:name="_Toc14866"/>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_Toc9644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8.4环境经济损益分析结论</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53"/>
    </w:p>
    <w:p w14:paraId="10BDD5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color w:val="000000" w:themeColor="text1"/>
          <w:sz w:val="24"/>
          <w:szCs w:val="24"/>
          <w:highlight w:val="none"/>
          <w:lang w:val="en-US" w:eastAsia="en-US" w:bidi="ar-SA"/>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本工程经分析具有良好的环境效益、社会效益</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和综合</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效益。在建设过程中，由于地面设施建设等都需要占用一定量的土地，并因此带来一定的环境损失。因而在气田开发过程中，需要投入必要的资金用于污染防治和恢复地貌等，经估算该项目环境保护投资约</w:t>
      </w:r>
      <w:r>
        <w:rPr>
          <w:rFonts w:hint="eastAsia" w:cs="宋体"/>
          <w:color w:val="000000" w:themeColor="text1"/>
          <w:sz w:val="24"/>
          <w:szCs w:val="24"/>
          <w:highlight w:val="none"/>
          <w:lang w:val="en-US" w:eastAsia="zh-CN" w:bidi="ar-SA"/>
          <w14:textFill>
            <w14:solidFill>
              <w14:schemeClr w14:val="tx1"/>
            </w14:solidFill>
          </w14:textFill>
        </w:rPr>
        <w:t>126</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万元，环境保护投资占总投资的</w:t>
      </w:r>
      <w:r>
        <w:rPr>
          <w:rFonts w:hint="eastAsia" w:cs="宋体"/>
          <w:color w:val="000000" w:themeColor="text1"/>
          <w:sz w:val="24"/>
          <w:szCs w:val="24"/>
          <w:highlight w:val="none"/>
          <w:lang w:val="en-US" w:eastAsia="zh-CN" w:bidi="ar-SA"/>
          <w14:textFill>
            <w14:solidFill>
              <w14:schemeClr w14:val="tx1"/>
            </w14:solidFill>
          </w14:textFill>
        </w:rPr>
        <w:t>2.0</w:t>
      </w:r>
      <w:r>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t>%。实施相应的环保措施后，可以起到保护环境的效果</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w:t>
      </w:r>
    </w:p>
    <w:p w14:paraId="373DC02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bookmarkStart w:id="1354" w:name="_Toc22446"/>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begin"/>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instrText xml:space="preserve"> HYPERLINK \l _Toc32640 </w:instrTex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separate"/>
      </w:r>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9环境管理与监测计划</w: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end"/>
      </w:r>
      <w:bookmarkEnd w:id="1354"/>
    </w:p>
    <w:p w14:paraId="46E9B47D">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55" w:name="_Toc23693"/>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_Toc26206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9.1环境管理</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55"/>
    </w:p>
    <w:p w14:paraId="77750767">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_Toc24931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管理机构及职责</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5B1D4E05">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本工程由中国石油化工股份有限公司西北油田分公司</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lang w:eastAsia="zh-CN"/>
          <w14:textFill>
            <w14:solidFill>
              <w14:schemeClr w14:val="tx1"/>
            </w14:solidFill>
          </w14:textFill>
        </w:rPr>
        <w:t>运营管理。</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lang w:eastAsia="zh-CN"/>
          <w14:textFill>
            <w14:solidFill>
              <w14:schemeClr w14:val="tx1"/>
            </w14:solidFill>
          </w14:textFill>
        </w:rPr>
        <w:t>建立了三级环境保护管理机构，形成了环境管理网络。</w:t>
      </w:r>
      <w:bookmarkStart w:id="1356" w:name="OLE_LINK1527"/>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bookmarkEnd w:id="1356"/>
      <w:r>
        <w:rPr>
          <w:rFonts w:hint="default" w:ascii="Times New Roman" w:hAnsi="Times New Roman" w:cs="Times New Roman"/>
          <w:color w:val="000000" w:themeColor="text1"/>
          <w:highlight w:val="none"/>
          <w:lang w:eastAsia="zh-CN"/>
          <w14:textFill>
            <w14:solidFill>
              <w14:schemeClr w14:val="tx1"/>
            </w14:solidFill>
          </w14:textFill>
        </w:rPr>
        <w:t>HSE管理委员会及其办公室为一级管理职能机构，</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雅克拉采气厂安全环保</w:t>
      </w:r>
      <w:r>
        <w:rPr>
          <w:rFonts w:hint="default" w:ascii="Times New Roman" w:hAnsi="Times New Roman" w:cs="Times New Roman"/>
          <w:color w:val="000000" w:themeColor="text1"/>
          <w:highlight w:val="none"/>
          <w:lang w:eastAsia="zh-CN"/>
          <w14:textFill>
            <w14:solidFill>
              <w14:schemeClr w14:val="tx1"/>
            </w14:solidFill>
          </w14:textFill>
        </w:rPr>
        <w:t xml:space="preserve">小组为二级管理职能机构，班组为三级管理职能机构。 </w:t>
      </w:r>
    </w:p>
    <w:p w14:paraId="79FD31E5">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lang w:eastAsia="zh-CN"/>
          <w14:textFill>
            <w14:solidFill>
              <w14:schemeClr w14:val="tx1"/>
            </w14:solidFill>
          </w14:textFill>
        </w:rPr>
        <w:t>设置安全环保室，负责</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lang w:eastAsia="zh-CN"/>
          <w14:textFill>
            <w14:solidFill>
              <w14:schemeClr w14:val="tx1"/>
            </w14:solidFill>
          </w14:textFill>
        </w:rPr>
        <w:t>工业现场“三标”、HSE管理体系执行、环境保护、井控管理、劳动保护等工作的管理，为采油厂有效地开展环保工作提供了依据。本工程日常环境管理工作纳入中国石油化工股份有限公司西北油田分公司</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lang w:eastAsia="zh-CN"/>
          <w14:textFill>
            <w14:solidFill>
              <w14:schemeClr w14:val="tx1"/>
            </w14:solidFill>
          </w14:textFill>
        </w:rPr>
        <w:t>现有</w:t>
      </w:r>
      <w:bookmarkStart w:id="1357" w:name="OLE_LINK1521"/>
      <w:r>
        <w:rPr>
          <w:rFonts w:hint="default" w:ascii="Times New Roman" w:hAnsi="Times New Roman" w:cs="Times New Roman"/>
          <w:color w:val="000000" w:themeColor="text1"/>
          <w:highlight w:val="none"/>
          <w:lang w:eastAsia="zh-CN"/>
          <w14:textFill>
            <w14:solidFill>
              <w14:schemeClr w14:val="tx1"/>
            </w14:solidFill>
          </w14:textFill>
        </w:rPr>
        <w:t>HSE</w:t>
      </w:r>
      <w:bookmarkEnd w:id="1357"/>
      <w:r>
        <w:rPr>
          <w:rFonts w:hint="default" w:ascii="Times New Roman" w:hAnsi="Times New Roman" w:cs="Times New Roman"/>
          <w:color w:val="000000" w:themeColor="text1"/>
          <w:highlight w:val="none"/>
          <w:lang w:eastAsia="zh-CN"/>
          <w14:textFill>
            <w14:solidFill>
              <w14:schemeClr w14:val="tx1"/>
            </w14:solidFill>
          </w14:textFill>
        </w:rPr>
        <w:t>管理体系</w:t>
      </w:r>
      <w:r>
        <w:rPr>
          <w:rFonts w:hint="default" w:ascii="Times New Roman" w:hAnsi="Times New Roman" w:cs="Times New Roman"/>
          <w:color w:val="000000" w:themeColor="text1"/>
          <w:highlight w:val="none"/>
          <w14:textFill>
            <w14:solidFill>
              <w14:schemeClr w14:val="tx1"/>
            </w14:solidFill>
          </w14:textFill>
        </w:rPr>
        <w:t>。</w:t>
      </w:r>
    </w:p>
    <w:p w14:paraId="0FD16E1D">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雅克拉采气厂安全环保室</w:t>
      </w:r>
      <w:r>
        <w:rPr>
          <w:rFonts w:hint="default" w:ascii="Times New Roman" w:hAnsi="Times New Roman" w:cs="Times New Roman"/>
          <w:color w:val="000000" w:themeColor="text1"/>
          <w:highlight w:val="none"/>
          <w14:textFill>
            <w14:solidFill>
              <w14:schemeClr w14:val="tx1"/>
            </w14:solidFill>
          </w14:textFill>
        </w:rPr>
        <w:t>职责：</w:t>
      </w:r>
    </w:p>
    <w:p w14:paraId="5E1317E4">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负责领导采气厂HSE工作，负责审查批准采气厂HSE管理体系及内审报告。</w:t>
      </w:r>
    </w:p>
    <w:p w14:paraId="2D4B0FF5">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每季度召开HSE管理委员会会议，听取各专业部门、小组汇报，分析解决HSE重点问题，研究和决定采气厂HSE工作重大事项，保证HSE投入的有效实施。</w:t>
      </w:r>
    </w:p>
    <w:p w14:paraId="0839E66B">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负责采气厂HSE目标管理、培训和考核工作，决定对集体和个人的奖惩。</w:t>
      </w:r>
    </w:p>
    <w:p w14:paraId="5E0CF5E4">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负责组织制定突发事件应急预案，组织开展应急演练，组织开展事故应急处置工作。</w:t>
      </w:r>
    </w:p>
    <w:p w14:paraId="28A11925">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负责协助国家、地方政府、集团公司及油田公司对事故进行调查处理。</w:t>
      </w:r>
    </w:p>
    <w:p w14:paraId="7C71513A">
      <w:pPr>
        <w:pageBreakBefore w:val="0"/>
        <w:widowControl/>
        <w:kinsoku/>
        <w:wordWrap/>
        <w:overflowPunct/>
        <w:topLinePunct w:val="0"/>
        <w:autoSpaceDE/>
        <w:autoSpaceDN/>
        <w:bidi w:val="0"/>
        <w:adjustRightInd w:val="0"/>
        <w:snapToGrid w:val="0"/>
        <w:spacing w:line="360" w:lineRule="auto"/>
        <w:ind w:firstLine="480"/>
        <w:jc w:val="both"/>
        <w:textAlignment w:val="auto"/>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建立健全全员</w:t>
      </w:r>
      <w:r>
        <w:rPr>
          <w:rFonts w:hint="eastAsia" w:cs="Times New Roman"/>
          <w:color w:val="000000" w:themeColor="text1"/>
          <w:highlight w:val="none"/>
          <w:lang w:eastAsia="zh-CN"/>
          <w14:textFill>
            <w14:solidFill>
              <w14:schemeClr w14:val="tx1"/>
            </w14:solidFill>
          </w14:textFill>
        </w:rPr>
        <w:t>安全生产责任制</w:t>
      </w:r>
      <w:r>
        <w:rPr>
          <w:rFonts w:hint="default" w:ascii="Times New Roman" w:hAnsi="Times New Roman" w:cs="Times New Roman"/>
          <w:color w:val="000000" w:themeColor="text1"/>
          <w:highlight w:val="none"/>
          <w14:textFill>
            <w14:solidFill>
              <w14:schemeClr w14:val="tx1"/>
            </w14:solidFill>
          </w14:textFill>
        </w:rPr>
        <w:t>并监督落实；及时调整各领导小组成员；明确安全生产职能与职权；依法设置安全管理机构，配备专（兼）职安全生产管理人员</w:t>
      </w:r>
      <w:r>
        <w:rPr>
          <w:rFonts w:hint="eastAsia" w:ascii="Times New Roman" w:hAnsi="Times New Roman" w:cs="Times New Roman"/>
          <w:color w:val="000000" w:themeColor="text1"/>
          <w:highlight w:val="none"/>
          <w:lang w:eastAsia="zh-CN"/>
          <w14:textFill>
            <w14:solidFill>
              <w14:schemeClr w14:val="tx1"/>
            </w14:solidFill>
          </w14:textFill>
        </w:rPr>
        <w:t>。</w:t>
      </w:r>
    </w:p>
    <w:p w14:paraId="0D0339BE">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_Toc27752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9.1.2施工期的环境管理任务</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69EDB586">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建立和实施施工作业队伍的HSE管理体系。</w:t>
      </w:r>
    </w:p>
    <w:p w14:paraId="022D652D">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工程建设单位应将项目建设计划表呈报环境管理部门，以便对工程建设全过程进行环境保护措施和环境保护工程的监督和检查。</w:t>
      </w:r>
    </w:p>
    <w:p w14:paraId="2D366718">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实施施工作业环境监理制度，以确保施工作业</w:t>
      </w:r>
      <w:r>
        <w:rPr>
          <w:rFonts w:hint="eastAsia" w:cs="Times New Roman"/>
          <w:color w:val="000000" w:themeColor="text1"/>
          <w:highlight w:val="none"/>
          <w:lang w:eastAsia="zh-CN"/>
          <w14:textFill>
            <w14:solidFill>
              <w14:schemeClr w14:val="tx1"/>
            </w14:solidFill>
          </w14:textFill>
        </w:rPr>
        <w:t>对</w:t>
      </w:r>
      <w:r>
        <w:rPr>
          <w:rFonts w:hint="default" w:ascii="Times New Roman" w:hAnsi="Times New Roman" w:cs="Times New Roman"/>
          <w:color w:val="000000" w:themeColor="text1"/>
          <w:highlight w:val="none"/>
          <w14:textFill>
            <w14:solidFill>
              <w14:schemeClr w14:val="tx1"/>
            </w14:solidFill>
          </w14:textFill>
        </w:rPr>
        <w:t>生态环境造成的破坏降到最低限度。</w:t>
      </w:r>
    </w:p>
    <w:p w14:paraId="746BD6FA">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_Toc13371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9.1.3运营期的环境管理任务</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5D3F525E">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本</w:t>
      </w:r>
      <w:r>
        <w:rPr>
          <w:rFonts w:hint="default" w:ascii="Times New Roman" w:hAnsi="Times New Roman" w:cs="Times New Roman"/>
          <w:color w:val="000000" w:themeColor="text1"/>
          <w:highlight w:val="none"/>
          <w:lang w:val="en-US" w:eastAsia="zh-CN"/>
          <w14:textFill>
            <w14:solidFill>
              <w14:schemeClr w14:val="tx1"/>
            </w14:solidFill>
          </w14:textFill>
        </w:rPr>
        <w:t>工程运营</w:t>
      </w:r>
      <w:r>
        <w:rPr>
          <w:rFonts w:hint="default" w:ascii="Times New Roman" w:hAnsi="Times New Roman" w:cs="Times New Roman"/>
          <w:color w:val="000000" w:themeColor="text1"/>
          <w:highlight w:val="none"/>
          <w14:textFill>
            <w14:solidFill>
              <w14:schemeClr w14:val="tx1"/>
            </w14:solidFill>
          </w14:textFill>
        </w:rPr>
        <w:t>期的HSE管理体系纳入</w:t>
      </w:r>
      <w:r>
        <w:rPr>
          <w:rFonts w:hint="eastAsia"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cs="Times New Roman"/>
          <w:color w:val="000000" w:themeColor="text1"/>
          <w:highlight w:val="none"/>
          <w14:textFill>
            <w14:solidFill>
              <w14:schemeClr w14:val="tx1"/>
            </w14:solidFill>
          </w14:textFill>
        </w:rPr>
        <w:t>HSE</w:t>
      </w:r>
      <w:bookmarkStart w:id="1358" w:name="OLE_LINK1523"/>
      <w:r>
        <w:rPr>
          <w:rFonts w:hint="default" w:ascii="Times New Roman" w:hAnsi="Times New Roman" w:cs="Times New Roman"/>
          <w:color w:val="000000" w:themeColor="text1"/>
          <w:highlight w:val="none"/>
          <w14:textFill>
            <w14:solidFill>
              <w14:schemeClr w14:val="tx1"/>
            </w14:solidFill>
          </w14:textFill>
        </w:rPr>
        <w:t>系统统一管理</w:t>
      </w:r>
      <w:bookmarkEnd w:id="1358"/>
      <w:r>
        <w:rPr>
          <w:rFonts w:hint="default" w:ascii="Times New Roman" w:hAnsi="Times New Roman" w:cs="Times New Roman"/>
          <w:color w:val="000000" w:themeColor="text1"/>
          <w:highlight w:val="none"/>
          <w14:textFill>
            <w14:solidFill>
              <w14:schemeClr w14:val="tx1"/>
            </w14:solidFill>
          </w14:textFill>
        </w:rPr>
        <w:t>。</w:t>
      </w:r>
    </w:p>
    <w:p w14:paraId="16DE7B61">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bookmarkStart w:id="1359" w:name="OLE_LINK1524"/>
      <w:r>
        <w:rPr>
          <w:rFonts w:hint="eastAsia" w:cs="Times New Roman"/>
          <w:color w:val="000000" w:themeColor="text1"/>
          <w:highlight w:val="none"/>
          <w:lang w:val="en-US" w:eastAsia="zh-CN"/>
          <w14:textFill>
            <w14:solidFill>
              <w14:schemeClr w14:val="tx1"/>
            </w14:solidFill>
          </w14:textFill>
        </w:rPr>
        <w:t>根据</w:t>
      </w:r>
      <w:r>
        <w:rPr>
          <w:rFonts w:hint="default" w:ascii="Times New Roman" w:hAnsi="Times New Roman" w:cs="Times New Roman"/>
          <w:color w:val="000000" w:themeColor="text1"/>
          <w:highlight w:val="none"/>
          <w14:textFill>
            <w14:solidFill>
              <w14:schemeClr w14:val="tx1"/>
            </w14:solidFill>
          </w14:textFill>
        </w:rPr>
        <w:t>《建设项目竣工环境保护验收技术规范 石油天然气开采》（HJ612-2011）</w:t>
      </w:r>
      <w:bookmarkEnd w:id="1359"/>
      <w:r>
        <w:rPr>
          <w:rFonts w:hint="eastAsia" w:cs="Times New Roman"/>
          <w:color w:val="000000" w:themeColor="text1"/>
          <w:highlight w:val="none"/>
          <w:lang w:val="en-US" w:eastAsia="zh-CN"/>
          <w14:textFill>
            <w14:solidFill>
              <w14:schemeClr w14:val="tx1"/>
            </w14:solidFill>
          </w14:textFill>
        </w:rPr>
        <w:t>要求，开展企业自主验收，</w:t>
      </w:r>
      <w:r>
        <w:rPr>
          <w:rFonts w:hint="default" w:ascii="Times New Roman" w:hAnsi="Times New Roman" w:cs="Times New Roman"/>
          <w:color w:val="000000" w:themeColor="text1"/>
          <w:highlight w:val="none"/>
          <w14:textFill>
            <w14:solidFill>
              <w14:schemeClr w14:val="tx1"/>
            </w14:solidFill>
          </w14:textFill>
        </w:rPr>
        <w:t>贯彻执行国家、地方及上级部门有关环境保护方针、政策、</w:t>
      </w:r>
      <w:r>
        <w:rPr>
          <w:rFonts w:hint="eastAsia" w:cs="Times New Roman"/>
          <w:color w:val="000000" w:themeColor="text1"/>
          <w:highlight w:val="none"/>
          <w:lang w:eastAsia="zh-CN"/>
          <w14:textFill>
            <w14:solidFill>
              <w14:schemeClr w14:val="tx1"/>
            </w14:solidFill>
          </w14:textFill>
        </w:rPr>
        <w:t>法律法规</w:t>
      </w:r>
      <w:r>
        <w:rPr>
          <w:rFonts w:hint="default" w:ascii="Times New Roman" w:hAnsi="Times New Roman" w:cs="Times New Roman"/>
          <w:color w:val="000000" w:themeColor="text1"/>
          <w:highlight w:val="none"/>
          <w14:textFill>
            <w14:solidFill>
              <w14:schemeClr w14:val="tx1"/>
            </w14:solidFill>
          </w14:textFill>
        </w:rPr>
        <w:t>。</w:t>
      </w:r>
    </w:p>
    <w:p w14:paraId="5DDFFF63">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bookmarkStart w:id="1360" w:name="OLE_LINK956"/>
      <w:r>
        <w:rPr>
          <w:rFonts w:hint="default" w:ascii="Times New Roman" w:hAnsi="Times New Roman" w:cs="Times New Roman"/>
          <w:color w:val="000000" w:themeColor="text1"/>
          <w:highlight w:val="none"/>
          <w14:textFill>
            <w14:solidFill>
              <w14:schemeClr w14:val="tx1"/>
            </w14:solidFill>
          </w14:textFill>
        </w:rPr>
        <w:t>负责</w:t>
      </w:r>
      <w:r>
        <w:rPr>
          <w:rFonts w:hint="eastAsia" w:ascii="Times New Roman" w:hAnsi="Times New Roman" w:cs="Times New Roman"/>
          <w:color w:val="000000" w:themeColor="text1"/>
          <w:highlight w:val="none"/>
          <w:lang w:val="en-US" w:eastAsia="zh-CN"/>
          <w14:textFill>
            <w14:solidFill>
              <w14:schemeClr w14:val="tx1"/>
            </w14:solidFill>
          </w14:textFill>
        </w:rPr>
        <w:t>井</w:t>
      </w:r>
      <w:r>
        <w:rPr>
          <w:rFonts w:hint="default" w:ascii="Times New Roman" w:hAnsi="Times New Roman" w:cs="Times New Roman"/>
          <w:color w:val="000000" w:themeColor="text1"/>
          <w:highlight w:val="none"/>
          <w:lang w:val="en-US" w:eastAsia="zh-CN"/>
          <w14:textFill>
            <w14:solidFill>
              <w14:schemeClr w14:val="tx1"/>
            </w14:solidFill>
          </w14:textFill>
        </w:rPr>
        <w:t>场</w:t>
      </w:r>
      <w:r>
        <w:rPr>
          <w:rFonts w:hint="default" w:ascii="Times New Roman" w:hAnsi="Times New Roman" w:cs="Times New Roman"/>
          <w:color w:val="000000" w:themeColor="text1"/>
          <w:highlight w:val="none"/>
          <w14:textFill>
            <w14:solidFill>
              <w14:schemeClr w14:val="tx1"/>
            </w14:solidFill>
          </w14:textFill>
        </w:rPr>
        <w:t>的日常环境保护管理工作及定期进行</w:t>
      </w:r>
      <w:bookmarkEnd w:id="1360"/>
      <w:r>
        <w:rPr>
          <w:rFonts w:hint="default" w:ascii="Times New Roman" w:hAnsi="Times New Roman" w:cs="Times New Roman"/>
          <w:color w:val="000000" w:themeColor="text1"/>
          <w:highlight w:val="none"/>
          <w14:textFill>
            <w14:solidFill>
              <w14:schemeClr w14:val="tx1"/>
            </w14:solidFill>
          </w14:textFill>
        </w:rPr>
        <w:t>环保安全检查，如生态恢复、环境监测等。</w:t>
      </w:r>
    </w:p>
    <w:p w14:paraId="57494CC0">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根据《企业事业单位突发环境事件应急预案备案管理办法（试行）》（环发〔2015〕4号）</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及时更新</w:t>
      </w:r>
      <w:r>
        <w:rPr>
          <w:rFonts w:hint="default" w:ascii="Times New Roman" w:hAnsi="Times New Roman" w:cs="Times New Roman"/>
          <w:color w:val="000000" w:themeColor="text1"/>
          <w:highlight w:val="none"/>
          <w14:textFill>
            <w14:solidFill>
              <w14:schemeClr w14:val="tx1"/>
            </w14:solidFill>
          </w14:textFill>
        </w:rPr>
        <w:t>企业事业单位突发环境事件应急预案备案表。</w:t>
      </w:r>
    </w:p>
    <w:p w14:paraId="535BD0AF">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组织开展环境保护宣传教育、技术和经验交流活动，推广先进技术和科研成果，对全体员工组织开展环境保护培训。</w:t>
      </w:r>
    </w:p>
    <w:p w14:paraId="43FB0640">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强化基础工作，建立完整、规范、准确</w:t>
      </w:r>
      <w:r>
        <w:rPr>
          <w:rFonts w:hint="eastAsia" w:cs="Times New Roman"/>
          <w:color w:val="000000" w:themeColor="text1"/>
          <w:highlight w:val="none"/>
          <w:lang w:eastAsia="zh-CN"/>
          <w14:textFill>
            <w14:solidFill>
              <w14:schemeClr w14:val="tx1"/>
            </w14:solidFill>
          </w14:textFill>
        </w:rPr>
        <w:t>的</w:t>
      </w:r>
      <w:r>
        <w:rPr>
          <w:rFonts w:hint="default" w:ascii="Times New Roman" w:hAnsi="Times New Roman" w:cs="Times New Roman"/>
          <w:color w:val="000000" w:themeColor="text1"/>
          <w:highlight w:val="none"/>
          <w14:textFill>
            <w14:solidFill>
              <w14:schemeClr w14:val="tx1"/>
            </w14:solidFill>
          </w14:textFill>
        </w:rPr>
        <w:t>环境基础资料，环境统计报表和环境保护技术档案。</w:t>
      </w:r>
    </w:p>
    <w:p w14:paraId="62980DF6">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1361" w:name="OLE_LINK955"/>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参</w:t>
      </w:r>
      <w:bookmarkEnd w:id="1361"/>
      <w:r>
        <w:rPr>
          <w:rFonts w:hint="default" w:ascii="Times New Roman" w:hAnsi="Times New Roman" w:cs="Times New Roman"/>
          <w:color w:val="000000" w:themeColor="text1"/>
          <w:highlight w:val="none"/>
          <w14:textFill>
            <w14:solidFill>
              <w14:schemeClr w14:val="tx1"/>
            </w14:solidFill>
          </w14:textFill>
        </w:rPr>
        <w:t>加调查、分析、处理环境污染事故，并负责统计上报事故的基本情况及处理结果，协同有关部门制定防治污染事故的措施，并监督实施。</w:t>
      </w:r>
    </w:p>
    <w:p w14:paraId="36EDCE41">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_Toc13371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bookmarkStart w:id="1362" w:name="OLE_LINK954"/>
      <w:bookmarkStart w:id="1363" w:name="OLE_LINK953"/>
      <w:r>
        <w:rPr>
          <w:rFonts w:hint="eastAsia" w:ascii="Times New Roman" w:hAnsi="Times New Roman" w:eastAsia="宋体" w:cs="Times New Roman"/>
          <w:color w:val="000000" w:themeColor="text1"/>
          <w:highlight w:val="none"/>
          <w:lang w:val="en-US" w:eastAsia="zh-CN"/>
          <w14:textFill>
            <w14:solidFill>
              <w14:schemeClr w14:val="tx1"/>
            </w14:solidFill>
          </w14:textFill>
        </w:rPr>
        <w:t>退役</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期</w:t>
      </w:r>
      <w:bookmarkEnd w:id="1362"/>
      <w:r>
        <w:rPr>
          <w:rFonts w:hint="eastAsia" w:ascii="Times New Roman" w:hAnsi="Times New Roman" w:eastAsia="宋体" w:cs="Times New Roman"/>
          <w:color w:val="000000" w:themeColor="text1"/>
          <w:highlight w:val="none"/>
          <w:lang w:val="en-US" w:eastAsia="en-US"/>
          <w14:textFill>
            <w14:solidFill>
              <w14:schemeClr w14:val="tx1"/>
            </w14:solidFill>
          </w14:textFill>
        </w:rPr>
        <w:t>的环境管理任务</w:t>
      </w:r>
      <w:bookmarkEnd w:id="1363"/>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64225CEA">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加强施工质量管理，避免出现封井不严等非正常工况的泄漏</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p w14:paraId="73B0BEA8">
      <w:pPr>
        <w:keepNext w:val="0"/>
        <w:keepLines w:val="0"/>
        <w:pageBreakBefore w:val="0"/>
        <w:kinsoku/>
        <w:wordWrap/>
        <w:overflowPunct/>
        <w:topLinePunct w:val="0"/>
        <w:autoSpaceDE/>
        <w:autoSpaceDN/>
        <w:bidi w:val="0"/>
        <w:adjustRightInd w:val="0"/>
        <w:snapToGrid w:val="0"/>
        <w:spacing w:line="360" w:lineRule="auto"/>
        <w:ind w:firstLine="522"/>
        <w:jc w:val="both"/>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负责</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场</w:t>
      </w:r>
      <w:r>
        <w:rPr>
          <w:rFonts w:hint="default" w:ascii="Times New Roman" w:hAnsi="Times New Roman" w:eastAsia="宋体" w:cs="Times New Roman"/>
          <w:color w:val="000000" w:themeColor="text1"/>
          <w:highlight w:val="none"/>
          <w14:textFill>
            <w14:solidFill>
              <w14:schemeClr w14:val="tx1"/>
            </w14:solidFill>
          </w14:textFill>
        </w:rPr>
        <w:t>的定期进行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检查，清除各种固体废弃物，不得遗留在场地内。</w:t>
      </w:r>
    </w:p>
    <w:p w14:paraId="0A966570">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_Toc4059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 环境管理计划</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284BE92F">
      <w:pPr>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采用行政、经济、技术、教育等环境管理手段进行</w:t>
      </w:r>
      <w:r>
        <w:rPr>
          <w:rFonts w:hint="default" w:ascii="Times New Roman" w:hAnsi="Times New Roman" w:cs="Times New Roman"/>
          <w:color w:val="000000" w:themeColor="text1"/>
          <w:highlight w:val="none"/>
          <w:lang w:eastAsia="zh-CN"/>
          <w14:textFill>
            <w14:solidFill>
              <w14:schemeClr w14:val="tx1"/>
            </w14:solidFill>
          </w14:textFill>
        </w:rPr>
        <w:t>本</w:t>
      </w:r>
      <w:r>
        <w:rPr>
          <w:rFonts w:hint="default"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14:textFill>
            <w14:solidFill>
              <w14:schemeClr w14:val="tx1"/>
            </w14:solidFill>
          </w14:textFill>
        </w:rPr>
        <w:t>的环境管理工作。</w:t>
      </w:r>
    </w:p>
    <w:p w14:paraId="2D6563AD">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行政手段</w:t>
      </w:r>
    </w:p>
    <w:p w14:paraId="07A04038">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制定环境保护目标责任制，将环境保护列入岗位责任制及生产调度当中，不定期检查环境保护状况，以行政手段督促、检查、奖惩，促使生产岗位按要求完成环保任务。</w:t>
      </w:r>
    </w:p>
    <w:p w14:paraId="1A61C5D8">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技术手段</w:t>
      </w:r>
    </w:p>
    <w:p w14:paraId="3B1E268D">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从项目设计、施工到运营全过程采取先进的工艺、设备，同环境保护措施密切结合，积极推广应用新技术，解决环境问题，实现清洁生产。</w:t>
      </w:r>
    </w:p>
    <w:p w14:paraId="02F5A30C">
      <w:pPr>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经济手段</w:t>
      </w:r>
    </w:p>
    <w:p w14:paraId="276AC073">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制定并严格按照《环境保护奖惩办法》开展工作，促进环保工作的定量考核，切实将防治污染和保护环境</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落实到油田生产管理建设的各个工作环节，做到奖优罚劣，将环境保护与经济效益结合起来。</w:t>
      </w:r>
    </w:p>
    <w:p w14:paraId="72F73722">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）教育手段</w:t>
      </w:r>
    </w:p>
    <w:p w14:paraId="1AECF184">
      <w:pPr>
        <w:pageBreakBefore w:val="0"/>
        <w:widowControl/>
        <w:numPr>
          <w:ilvl w:val="0"/>
          <w:numId w:val="0"/>
        </w:numPr>
        <w:kinsoku/>
        <w:wordWrap/>
        <w:overflowPunct/>
        <w:topLinePunct w:val="0"/>
        <w:autoSpaceDE/>
        <w:autoSpaceDN/>
        <w:bidi w:val="0"/>
        <w:adjustRightInd w:val="0"/>
        <w:snapToGrid w:val="0"/>
        <w:spacing w:line="360" w:lineRule="auto"/>
        <w:ind w:firstLine="522" w:firstLineChars="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气藏开发、生产过程中造成的环境污染部分与人为因素有关，要加强教育，通过环境保护宣传和教育提高全体职工的环保意识，做到自觉保护环境。</w:t>
      </w:r>
    </w:p>
    <w:p w14:paraId="77E3DCC5">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环境</w:t>
      </w:r>
      <w:r>
        <w:rPr>
          <w:rFonts w:hint="eastAsia" w:cs="Times New Roman"/>
          <w:color w:val="000000" w:themeColor="text1"/>
          <w:highlight w:val="none"/>
          <w:lang w:val="en-US" w:eastAsia="zh-CN"/>
          <w14:textFill>
            <w14:solidFill>
              <w14:schemeClr w14:val="tx1"/>
            </w14:solidFill>
          </w14:textFill>
        </w:rPr>
        <w:t>管理</w:t>
      </w:r>
      <w:r>
        <w:rPr>
          <w:rFonts w:hint="default" w:ascii="Times New Roman" w:hAnsi="Times New Roman" w:cs="Times New Roman"/>
          <w:color w:val="000000" w:themeColor="text1"/>
          <w:highlight w:val="none"/>
          <w14:textFill>
            <w14:solidFill>
              <w14:schemeClr w14:val="tx1"/>
            </w14:solidFill>
          </w14:textFill>
        </w:rPr>
        <w:t xml:space="preserve">内容 </w:t>
      </w:r>
    </w:p>
    <w:p w14:paraId="7FF22658">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①施工期环境</w:t>
      </w:r>
      <w:r>
        <w:rPr>
          <w:rFonts w:hint="eastAsia" w:cs="Times New Roman"/>
          <w:color w:val="000000" w:themeColor="text1"/>
          <w:highlight w:val="none"/>
          <w:lang w:val="en-US" w:eastAsia="zh-CN"/>
          <w14:textFill>
            <w14:solidFill>
              <w14:schemeClr w14:val="tx1"/>
            </w14:solidFill>
          </w14:textFill>
        </w:rPr>
        <w:t>管理</w:t>
      </w:r>
      <w:r>
        <w:rPr>
          <w:rFonts w:hint="default" w:ascii="Times New Roman" w:hAnsi="Times New Roman" w:cs="Times New Roman"/>
          <w:color w:val="000000" w:themeColor="text1"/>
          <w:highlight w:val="none"/>
          <w14:textFill>
            <w14:solidFill>
              <w14:schemeClr w14:val="tx1"/>
            </w14:solidFill>
          </w14:textFill>
        </w:rPr>
        <w:t xml:space="preserve">主要内容 </w:t>
      </w:r>
    </w:p>
    <w:p w14:paraId="5AB8ED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针对施工期生活污水</w:t>
      </w:r>
      <w:r>
        <w:rPr>
          <w:rFonts w:hint="eastAsia" w:ascii="Times New Roman" w:hAnsi="Times New Roman" w:cs="Times New Roman"/>
          <w:color w:val="000000" w:themeColor="text1"/>
          <w:highlight w:val="none"/>
          <w:lang w:eastAsia="zh-CN"/>
          <w14:textFill>
            <w14:solidFill>
              <w14:schemeClr w14:val="tx1"/>
            </w14:solidFill>
          </w14:textFill>
        </w:rPr>
        <w:t>、钻井废水、酸化压裂废水</w:t>
      </w:r>
      <w:r>
        <w:rPr>
          <w:rFonts w:hint="default" w:ascii="Times New Roman" w:hAnsi="Times New Roman" w:cs="Times New Roman"/>
          <w:color w:val="000000" w:themeColor="text1"/>
          <w:highlight w:val="none"/>
          <w14:textFill>
            <w14:solidFill>
              <w14:schemeClr w14:val="tx1"/>
            </w14:solidFill>
          </w14:textFill>
        </w:rPr>
        <w:t>的环境保护处理措施</w:t>
      </w:r>
      <w:r>
        <w:rPr>
          <w:rFonts w:hint="eastAsia" w:ascii="Times New Roman" w:hAnsi="Times New Roman" w:cs="Times New Roman"/>
          <w:color w:val="000000" w:themeColor="text1"/>
          <w:highlight w:val="none"/>
          <w:lang w:eastAsia="zh-CN"/>
          <w14:textFill>
            <w14:solidFill>
              <w14:schemeClr w14:val="tx1"/>
            </w14:solidFill>
          </w14:textFill>
        </w:rPr>
        <w:t>；钻井泥浆</w:t>
      </w:r>
      <w:r>
        <w:rPr>
          <w:rFonts w:hint="eastAsia" w:ascii="Times New Roman" w:hAnsi="Times New Roman" w:cs="Times New Roman"/>
          <w:color w:val="000000" w:themeColor="text1"/>
          <w:highlight w:val="none"/>
          <w:lang w:val="en-US" w:eastAsia="zh-CN"/>
          <w14:textFill>
            <w14:solidFill>
              <w14:schemeClr w14:val="tx1"/>
            </w14:solidFill>
          </w14:textFill>
        </w:rPr>
        <w:t>和岩屑、施工废料、落地油、废润滑油、生活垃圾</w:t>
      </w:r>
      <w:r>
        <w:rPr>
          <w:rFonts w:hint="default" w:ascii="Times New Roman" w:hAnsi="Times New Roman" w:cs="Times New Roman"/>
          <w:color w:val="000000" w:themeColor="text1"/>
          <w:highlight w:val="none"/>
          <w14:textFill>
            <w14:solidFill>
              <w14:schemeClr w14:val="tx1"/>
            </w14:solidFill>
          </w14:textFill>
        </w:rPr>
        <w:t>主要</w:t>
      </w:r>
      <w:r>
        <w:rPr>
          <w:rFonts w:hint="default" w:ascii="Times New Roman" w:hAnsi="Times New Roman" w:cs="Times New Roman"/>
          <w:color w:val="000000" w:themeColor="text1"/>
          <w:highlight w:val="none"/>
          <w:lang w:val="en-US" w:eastAsia="zh-CN"/>
          <w14:textFill>
            <w14:solidFill>
              <w14:schemeClr w14:val="tx1"/>
            </w14:solidFill>
          </w14:textFill>
        </w:rPr>
        <w:t>处理</w:t>
      </w:r>
      <w:r>
        <w:rPr>
          <w:rFonts w:hint="default" w:ascii="Times New Roman" w:hAnsi="Times New Roman" w:cs="Times New Roman"/>
          <w:color w:val="000000" w:themeColor="text1"/>
          <w:highlight w:val="none"/>
          <w14:textFill>
            <w14:solidFill>
              <w14:schemeClr w14:val="tx1"/>
            </w14:solidFill>
          </w14:textFill>
        </w:rPr>
        <w:t>措施</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钻井废气、</w:t>
      </w:r>
      <w:r>
        <w:rPr>
          <w:rFonts w:hint="default" w:ascii="Times New Roman" w:hAnsi="Times New Roman" w:eastAsia="宋体" w:cs="Times New Roman"/>
          <w:color w:val="000000" w:themeColor="text1"/>
          <w:highlight w:val="none"/>
          <w14:textFill>
            <w14:solidFill>
              <w14:schemeClr w14:val="tx1"/>
            </w14:solidFill>
          </w14:textFill>
        </w:rPr>
        <w:t>施工扬尘</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sz w:val="24"/>
          <w:szCs w:val="20"/>
          <w:highlight w:val="none"/>
          <w:lang w:val="en-US" w:eastAsia="zh-CN" w:bidi="ar-SA"/>
          <w14:textFill>
            <w14:solidFill>
              <w14:schemeClr w14:val="tx1"/>
            </w14:solidFill>
          </w14:textFill>
        </w:rPr>
        <w:t>施工机械废气</w:t>
      </w:r>
      <w:r>
        <w:rPr>
          <w:rFonts w:hint="eastAsia" w:cs="Times New Roman"/>
          <w:color w:val="000000" w:themeColor="text1"/>
          <w:sz w:val="24"/>
          <w:szCs w:val="20"/>
          <w:highlight w:val="none"/>
          <w:lang w:val="en-US" w:eastAsia="zh-CN" w:bidi="ar-SA"/>
          <w14:textFill>
            <w14:solidFill>
              <w14:schemeClr w14:val="tx1"/>
            </w14:solidFill>
          </w14:textFill>
        </w:rPr>
        <w:t>及</w:t>
      </w:r>
      <w:r>
        <w:rPr>
          <w:rFonts w:hint="default" w:ascii="Times New Roman" w:hAnsi="Times New Roman" w:eastAsia="宋体" w:cs="Times New Roman"/>
          <w:color w:val="000000" w:themeColor="text1"/>
          <w:sz w:val="24"/>
          <w:szCs w:val="20"/>
          <w:highlight w:val="none"/>
          <w:lang w:val="en-US" w:eastAsia="zh-CN" w:bidi="ar-SA"/>
          <w14:textFill>
            <w14:solidFill>
              <w14:schemeClr w14:val="tx1"/>
            </w14:solidFill>
          </w14:textFill>
        </w:rPr>
        <w:t>运输车辆尾气</w:t>
      </w:r>
      <w:r>
        <w:rPr>
          <w:rFonts w:hint="default" w:ascii="Times New Roman" w:hAnsi="Times New Roman" w:cs="Times New Roman"/>
          <w:color w:val="000000" w:themeColor="text1"/>
          <w:highlight w:val="none"/>
          <w14:textFill>
            <w14:solidFill>
              <w14:schemeClr w14:val="tx1"/>
            </w14:solidFill>
          </w14:textFill>
        </w:rPr>
        <w:t>的大气环境影响控制措施</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土方施工、</w:t>
      </w:r>
      <w:r>
        <w:rPr>
          <w:rFonts w:hint="default" w:ascii="Times New Roman" w:hAnsi="Times New Roman" w:eastAsia="宋体" w:cs="Times New Roman"/>
          <w:bCs/>
          <w:color w:val="000000" w:themeColor="text1"/>
          <w:kern w:val="2"/>
          <w:sz w:val="24"/>
          <w:szCs w:val="24"/>
          <w:highlight w:val="none"/>
          <w:lang w:val="zh-CN" w:eastAsia="zh-CN" w:bidi="ar-SA"/>
          <w14:textFill>
            <w14:solidFill>
              <w14:schemeClr w14:val="tx1"/>
            </w14:solidFill>
          </w14:textFill>
        </w:rPr>
        <w:t>各类施工机械和运输车辆</w:t>
      </w:r>
      <w:r>
        <w:rPr>
          <w:rFonts w:hint="default" w:ascii="Times New Roman" w:hAnsi="Times New Roman" w:cs="Times New Roman"/>
          <w:color w:val="000000" w:themeColor="text1"/>
          <w:highlight w:val="none"/>
          <w14:textFill>
            <w14:solidFill>
              <w14:schemeClr w14:val="tx1"/>
            </w14:solidFill>
          </w14:textFill>
        </w:rPr>
        <w:t>的声环境控制措施，进行环境</w:t>
      </w:r>
      <w:r>
        <w:rPr>
          <w:rFonts w:hint="eastAsia" w:cs="Times New Roman"/>
          <w:color w:val="000000" w:themeColor="text1"/>
          <w:highlight w:val="none"/>
          <w:lang w:val="en-US" w:eastAsia="zh-CN"/>
          <w14:textFill>
            <w14:solidFill>
              <w14:schemeClr w14:val="tx1"/>
            </w14:solidFill>
          </w14:textFill>
        </w:rPr>
        <w:t>管理工作</w:t>
      </w:r>
      <w:r>
        <w:rPr>
          <w:rFonts w:hint="default" w:ascii="Times New Roman" w:hAnsi="Times New Roman" w:cs="Times New Roman"/>
          <w:color w:val="000000" w:themeColor="text1"/>
          <w:highlight w:val="none"/>
          <w14:textFill>
            <w14:solidFill>
              <w14:schemeClr w14:val="tx1"/>
            </w14:solidFill>
          </w14:textFill>
        </w:rPr>
        <w:t>。另外，还应对</w:t>
      </w:r>
      <w:r>
        <w:rPr>
          <w:rFonts w:hint="eastAsia" w:ascii="Times New Roman" w:hAnsi="Times New Roman" w:cs="Times New Roman"/>
          <w:color w:val="000000" w:themeColor="text1"/>
          <w:highlight w:val="none"/>
          <w:lang w:val="en-US" w:eastAsia="zh-CN"/>
          <w14:textFill>
            <w14:solidFill>
              <w14:schemeClr w14:val="tx1"/>
            </w14:solidFill>
          </w14:textFill>
        </w:rPr>
        <w:t>井场</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进场道路</w:t>
      </w:r>
      <w:r>
        <w:rPr>
          <w:rFonts w:hint="default" w:ascii="Times New Roman" w:hAnsi="Times New Roman" w:cs="Times New Roman"/>
          <w:color w:val="000000" w:themeColor="text1"/>
          <w:highlight w:val="none"/>
          <w14:textFill>
            <w14:solidFill>
              <w14:schemeClr w14:val="tx1"/>
            </w14:solidFill>
          </w14:textFill>
        </w:rPr>
        <w:t>等施工期的生态保护措施及恢复方案进行</w:t>
      </w:r>
      <w:r>
        <w:rPr>
          <w:rFonts w:hint="eastAsia" w:cs="Times New Roman"/>
          <w:color w:val="000000" w:themeColor="text1"/>
          <w:highlight w:val="none"/>
          <w:lang w:val="en-US" w:eastAsia="zh-CN"/>
          <w14:textFill>
            <w14:solidFill>
              <w14:schemeClr w14:val="tx1"/>
            </w14:solidFill>
          </w14:textFill>
        </w:rPr>
        <w:t>环境管理工作</w:t>
      </w:r>
      <w:r>
        <w:rPr>
          <w:rFonts w:hint="default" w:ascii="Times New Roman" w:hAnsi="Times New Roman" w:cs="Times New Roman"/>
          <w:color w:val="000000" w:themeColor="text1"/>
          <w:highlight w:val="none"/>
          <w14:textFill>
            <w14:solidFill>
              <w14:schemeClr w14:val="tx1"/>
            </w14:solidFill>
          </w14:textFill>
        </w:rPr>
        <w:t xml:space="preserve">。 </w:t>
      </w:r>
    </w:p>
    <w:p w14:paraId="0DED9F1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②运营期环境监理主要内容 </w:t>
      </w:r>
    </w:p>
    <w:p w14:paraId="17E5F5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按照竣工环境保护验收有关要求逐项核查环保措施、设施落实情况、效果，重点关注生态保护措施及作业带地貌恢复的情况。 </w:t>
      </w:r>
    </w:p>
    <w:p w14:paraId="0C7B8DE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本工程</w:t>
      </w:r>
      <w:bookmarkStart w:id="1364" w:name="OLE_LINK957"/>
      <w:r>
        <w:rPr>
          <w:rFonts w:hint="eastAsia" w:ascii="Times New Roman" w:hAnsi="Times New Roman" w:cs="Times New Roman"/>
          <w:color w:val="000000" w:themeColor="text1"/>
          <w:highlight w:val="none"/>
          <w:lang w:val="en-US" w:eastAsia="zh-CN"/>
          <w14:textFill>
            <w14:solidFill>
              <w14:schemeClr w14:val="tx1"/>
            </w14:solidFill>
          </w14:textFill>
        </w:rPr>
        <w:t>运营期环境监督管理计划</w:t>
      </w:r>
      <w:bookmarkEnd w:id="1364"/>
      <w:r>
        <w:rPr>
          <w:rFonts w:hint="default" w:ascii="Times New Roman" w:hAnsi="Times New Roman" w:cs="Times New Roman"/>
          <w:color w:val="000000" w:themeColor="text1"/>
          <w:highlight w:val="none"/>
          <w14:textFill>
            <w14:solidFill>
              <w14:schemeClr w14:val="tx1"/>
            </w14:solidFill>
          </w14:textFill>
        </w:rPr>
        <w:t>见表</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-1。</w:t>
      </w:r>
    </w:p>
    <w:p w14:paraId="6645BC1A">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w:t>
      </w:r>
      <w:r>
        <w:rPr>
          <w:rFonts w:hint="eastAsia" w:ascii="Times New Roman" w:hAnsi="Times New Roman" w:eastAsia="黑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-1</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运营期环境监督管理计划</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9"/>
        <w:gridCol w:w="3371"/>
        <w:gridCol w:w="1086"/>
        <w:gridCol w:w="1750"/>
      </w:tblGrid>
      <w:tr w14:paraId="665C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0" w:type="pct"/>
            <w:tcBorders>
              <w:top w:val="single" w:color="auto" w:sz="4" w:space="0"/>
              <w:left w:val="single" w:color="auto" w:sz="4" w:space="0"/>
              <w:bottom w:val="single" w:color="auto" w:sz="4" w:space="0"/>
              <w:right w:val="single" w:color="auto" w:sz="4" w:space="0"/>
            </w:tcBorders>
            <w:noWrap w:val="0"/>
            <w:vAlign w:val="center"/>
          </w:tcPr>
          <w:p w14:paraId="3681BA55">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766E592C">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监督管理项目</w:t>
            </w:r>
          </w:p>
        </w:tc>
        <w:tc>
          <w:tcPr>
            <w:tcW w:w="1977" w:type="pct"/>
            <w:tcBorders>
              <w:top w:val="single" w:color="auto" w:sz="4" w:space="0"/>
              <w:left w:val="single" w:color="auto" w:sz="4" w:space="0"/>
              <w:bottom w:val="single" w:color="auto" w:sz="4" w:space="0"/>
              <w:right w:val="single" w:color="auto" w:sz="4" w:space="0"/>
            </w:tcBorders>
            <w:noWrap w:val="0"/>
            <w:vAlign w:val="center"/>
          </w:tcPr>
          <w:p w14:paraId="2FF4092B">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监督检查具体内容</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65103735">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实施单位</w:t>
            </w:r>
          </w:p>
        </w:tc>
        <w:tc>
          <w:tcPr>
            <w:tcW w:w="1026" w:type="pct"/>
            <w:tcBorders>
              <w:top w:val="single" w:color="auto" w:sz="4" w:space="0"/>
              <w:left w:val="single" w:color="auto" w:sz="4" w:space="0"/>
              <w:bottom w:val="single" w:color="auto" w:sz="4" w:space="0"/>
              <w:right w:val="single" w:color="auto" w:sz="4" w:space="0"/>
            </w:tcBorders>
            <w:noWrap w:val="0"/>
            <w:vAlign w:val="center"/>
          </w:tcPr>
          <w:p w14:paraId="17087D0B">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监督单位</w:t>
            </w:r>
          </w:p>
        </w:tc>
      </w:tr>
      <w:tr w14:paraId="7665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tcBorders>
              <w:top w:val="single" w:color="auto" w:sz="4" w:space="0"/>
              <w:left w:val="single" w:color="auto" w:sz="4" w:space="0"/>
              <w:bottom w:val="single" w:color="auto" w:sz="4" w:space="0"/>
              <w:right w:val="single" w:color="auto" w:sz="4" w:space="0"/>
            </w:tcBorders>
            <w:noWrap w:val="0"/>
            <w:vAlign w:val="center"/>
          </w:tcPr>
          <w:p w14:paraId="38CA48C8">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1B067A64">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环境计划管理</w:t>
            </w:r>
          </w:p>
        </w:tc>
        <w:tc>
          <w:tcPr>
            <w:tcW w:w="1977" w:type="pct"/>
            <w:tcBorders>
              <w:top w:val="single" w:color="auto" w:sz="4" w:space="0"/>
              <w:left w:val="single" w:color="auto" w:sz="4" w:space="0"/>
              <w:bottom w:val="single" w:color="auto" w:sz="4" w:space="0"/>
              <w:right w:val="single" w:color="auto" w:sz="4" w:space="0"/>
            </w:tcBorders>
            <w:noWrap w:val="0"/>
            <w:vAlign w:val="center"/>
          </w:tcPr>
          <w:p w14:paraId="1B25DA83">
            <w:pPr>
              <w:pStyle w:val="155"/>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环境管理计划的实施情况，包括井区环境整治、排污口规范化整治、环保治理方案的落实情况等</w:t>
            </w:r>
            <w:r>
              <w:rPr>
                <w:rFonts w:hint="eastAsia"/>
                <w:color w:val="000000" w:themeColor="text1"/>
                <w:highlight w:val="none"/>
                <w:lang w:eastAsia="zh-CN"/>
                <w14:textFill>
                  <w14:solidFill>
                    <w14:schemeClr w14:val="tx1"/>
                  </w14:solidFill>
                </w14:textFill>
              </w:rPr>
              <w:t>。</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5032F0CD">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w:t>
            </w:r>
          </w:p>
        </w:tc>
        <w:tc>
          <w:tcPr>
            <w:tcW w:w="1026" w:type="pct"/>
            <w:tcBorders>
              <w:top w:val="single" w:color="auto" w:sz="4" w:space="0"/>
              <w:left w:val="single" w:color="auto" w:sz="4" w:space="0"/>
              <w:bottom w:val="single" w:color="auto" w:sz="4" w:space="0"/>
              <w:right w:val="single" w:color="auto" w:sz="4" w:space="0"/>
            </w:tcBorders>
            <w:noWrap w:val="0"/>
            <w:vAlign w:val="center"/>
          </w:tcPr>
          <w:p w14:paraId="4A2759BE">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阿克苏地区生态环境局、阿克苏地区生态环境局</w:t>
            </w:r>
            <w:r>
              <w:rPr>
                <w:rFonts w:hint="eastAsia"/>
                <w:color w:val="000000" w:themeColor="text1"/>
                <w:highlight w:val="none"/>
                <w14:textFill>
                  <w14:solidFill>
                    <w14:schemeClr w14:val="tx1"/>
                  </w14:solidFill>
                </w14:textFill>
              </w:rPr>
              <w:t>新和</w:t>
            </w:r>
            <w:r>
              <w:rPr>
                <w:color w:val="000000" w:themeColor="text1"/>
                <w:highlight w:val="none"/>
                <w14:textFill>
                  <w14:solidFill>
                    <w14:schemeClr w14:val="tx1"/>
                  </w14:solidFill>
                </w14:textFill>
              </w:rPr>
              <w:t>县分局</w:t>
            </w:r>
          </w:p>
        </w:tc>
      </w:tr>
      <w:tr w14:paraId="16E7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tcBorders>
              <w:top w:val="single" w:color="auto" w:sz="4" w:space="0"/>
              <w:left w:val="single" w:color="auto" w:sz="4" w:space="0"/>
              <w:bottom w:val="single" w:color="auto" w:sz="4" w:space="0"/>
              <w:right w:val="single" w:color="auto" w:sz="4" w:space="0"/>
            </w:tcBorders>
            <w:noWrap w:val="0"/>
            <w:vAlign w:val="center"/>
          </w:tcPr>
          <w:p w14:paraId="23B4EF0C">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24C6EA90">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污染源管理</w:t>
            </w:r>
          </w:p>
        </w:tc>
        <w:tc>
          <w:tcPr>
            <w:tcW w:w="1977" w:type="pct"/>
            <w:tcBorders>
              <w:top w:val="single" w:color="auto" w:sz="4" w:space="0"/>
              <w:left w:val="single" w:color="auto" w:sz="4" w:space="0"/>
              <w:bottom w:val="single" w:color="auto" w:sz="4" w:space="0"/>
              <w:right w:val="single" w:color="auto" w:sz="4" w:space="0"/>
            </w:tcBorders>
            <w:noWrap w:val="0"/>
            <w:vAlign w:val="center"/>
          </w:tcPr>
          <w:p w14:paraId="33ED4BDB">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环保设施的运行情况，防止闲置和不正常运行</w:t>
            </w:r>
            <w:r>
              <w:rPr>
                <w:rFonts w:hint="eastAsia"/>
                <w:color w:val="000000" w:themeColor="text1"/>
                <w:highlight w:val="none"/>
                <w:lang w:eastAsia="zh-CN"/>
                <w14:textFill>
                  <w14:solidFill>
                    <w14:schemeClr w14:val="tx1"/>
                  </w14:solidFill>
                </w14:textFill>
              </w:rPr>
              <w:t>。</w:t>
            </w:r>
          </w:p>
          <w:p w14:paraId="02F05301">
            <w:pPr>
              <w:pStyle w:val="155"/>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各废气排放源的排放情况，掌握排污动态，防止直接排放</w:t>
            </w:r>
            <w:r>
              <w:rPr>
                <w:rFonts w:hint="eastAsia"/>
                <w:color w:val="000000" w:themeColor="text1"/>
                <w:highlight w:val="none"/>
                <w:lang w:eastAsia="zh-CN"/>
                <w14:textFill>
                  <w14:solidFill>
                    <w14:schemeClr w14:val="tx1"/>
                  </w14:solidFill>
                </w14:textFill>
              </w:rPr>
              <w:t>。</w:t>
            </w:r>
          </w:p>
          <w:p w14:paraId="6BC66B17">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检查固废的堆放、运输、处置措施的执行情况，防止造成环境污染</w:t>
            </w:r>
            <w:r>
              <w:rPr>
                <w:rFonts w:hint="eastAsia"/>
                <w:color w:val="000000" w:themeColor="text1"/>
                <w:highlight w:val="none"/>
                <w:lang w:eastAsia="zh-CN"/>
                <w14:textFill>
                  <w14:solidFill>
                    <w14:schemeClr w14:val="tx1"/>
                  </w14:solidFill>
                </w14:textFill>
              </w:rPr>
              <w:t>。</w:t>
            </w:r>
          </w:p>
          <w:p w14:paraId="79283750">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检查噪声排放源治理措施的消声、隔声效果，防止超标排放</w:t>
            </w:r>
            <w:r>
              <w:rPr>
                <w:rFonts w:hint="eastAsia"/>
                <w:color w:val="000000" w:themeColor="text1"/>
                <w:highlight w:val="none"/>
                <w:lang w:eastAsia="zh-CN"/>
                <w14:textFill>
                  <w14:solidFill>
                    <w14:schemeClr w14:val="tx1"/>
                  </w14:solidFill>
                </w14:textFill>
              </w:rPr>
              <w:t>。</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17029F87">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w:t>
            </w:r>
          </w:p>
        </w:tc>
        <w:tc>
          <w:tcPr>
            <w:tcW w:w="1026" w:type="pct"/>
            <w:tcBorders>
              <w:top w:val="single" w:color="auto" w:sz="4" w:space="0"/>
              <w:left w:val="single" w:color="auto" w:sz="4" w:space="0"/>
              <w:bottom w:val="single" w:color="auto" w:sz="4" w:space="0"/>
              <w:right w:val="single" w:color="auto" w:sz="4" w:space="0"/>
            </w:tcBorders>
            <w:noWrap w:val="0"/>
            <w:vAlign w:val="center"/>
          </w:tcPr>
          <w:p w14:paraId="1E96B448">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阿克苏地区生态环境局、阿克苏地区生态环境局</w:t>
            </w:r>
            <w:r>
              <w:rPr>
                <w:rFonts w:hint="eastAsia"/>
                <w:color w:val="000000" w:themeColor="text1"/>
                <w:highlight w:val="none"/>
                <w14:textFill>
                  <w14:solidFill>
                    <w14:schemeClr w14:val="tx1"/>
                  </w14:solidFill>
                </w14:textFill>
              </w:rPr>
              <w:t>新和</w:t>
            </w:r>
            <w:r>
              <w:rPr>
                <w:color w:val="000000" w:themeColor="text1"/>
                <w:highlight w:val="none"/>
                <w14:textFill>
                  <w14:solidFill>
                    <w14:schemeClr w14:val="tx1"/>
                  </w14:solidFill>
                </w14:textFill>
              </w:rPr>
              <w:t>县分局</w:t>
            </w:r>
          </w:p>
        </w:tc>
      </w:tr>
      <w:tr w14:paraId="292B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tcBorders>
              <w:top w:val="single" w:color="auto" w:sz="4" w:space="0"/>
              <w:left w:val="single" w:color="auto" w:sz="4" w:space="0"/>
              <w:bottom w:val="single" w:color="auto" w:sz="4" w:space="0"/>
              <w:right w:val="single" w:color="auto" w:sz="4" w:space="0"/>
            </w:tcBorders>
            <w:noWrap w:val="0"/>
            <w:vAlign w:val="center"/>
          </w:tcPr>
          <w:p w14:paraId="484DB0D6">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510A58B3">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环境监测管理</w:t>
            </w:r>
          </w:p>
        </w:tc>
        <w:tc>
          <w:tcPr>
            <w:tcW w:w="1977" w:type="pct"/>
            <w:tcBorders>
              <w:top w:val="single" w:color="auto" w:sz="4" w:space="0"/>
              <w:left w:val="single" w:color="auto" w:sz="4" w:space="0"/>
              <w:bottom w:val="single" w:color="auto" w:sz="4" w:space="0"/>
              <w:right w:val="single" w:color="auto" w:sz="4" w:space="0"/>
            </w:tcBorders>
            <w:noWrap w:val="0"/>
            <w:vAlign w:val="center"/>
          </w:tcPr>
          <w:p w14:paraId="7631E515">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组织废气污染源</w:t>
            </w:r>
            <w:r>
              <w:rPr>
                <w:rFonts w:hint="eastAsia"/>
                <w:color w:val="000000" w:themeColor="text1"/>
                <w:highlight w:val="none"/>
                <w14:textFill>
                  <w14:solidFill>
                    <w14:schemeClr w14:val="tx1"/>
                  </w14:solidFill>
                </w14:textFill>
              </w:rPr>
              <w:t>无组织排放厂界</w:t>
            </w:r>
            <w:r>
              <w:rPr>
                <w:color w:val="000000" w:themeColor="text1"/>
                <w:highlight w:val="none"/>
                <w14:textFill>
                  <w14:solidFill>
                    <w14:schemeClr w14:val="tx1"/>
                  </w14:solidFill>
                </w14:textFill>
              </w:rPr>
              <w:t>监测，防止废气影响</w:t>
            </w:r>
            <w:r>
              <w:rPr>
                <w:rFonts w:hint="eastAsia"/>
                <w:color w:val="000000" w:themeColor="text1"/>
                <w:highlight w:val="none"/>
                <w:lang w:eastAsia="zh-CN"/>
                <w14:textFill>
                  <w14:solidFill>
                    <w14:schemeClr w14:val="tx1"/>
                  </w14:solidFill>
                </w14:textFill>
              </w:rPr>
              <w:t>。</w:t>
            </w:r>
          </w:p>
          <w:p w14:paraId="1A4256CB">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组织地下水环境监测，防止水环境污染</w:t>
            </w:r>
            <w:r>
              <w:rPr>
                <w:rFonts w:hint="eastAsia"/>
                <w:color w:val="000000" w:themeColor="text1"/>
                <w:highlight w:val="none"/>
                <w:lang w:eastAsia="zh-CN"/>
                <w14:textFill>
                  <w14:solidFill>
                    <w14:schemeClr w14:val="tx1"/>
                  </w14:solidFill>
                </w14:textFill>
              </w:rPr>
              <w:t>。</w:t>
            </w:r>
          </w:p>
          <w:p w14:paraId="58B96CCB">
            <w:pPr>
              <w:pStyle w:val="155"/>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组织厂界环境噪声监测，防止</w:t>
            </w:r>
            <w:r>
              <w:rPr>
                <w:rFonts w:hint="eastAsia"/>
                <w:color w:val="000000" w:themeColor="text1"/>
                <w:highlight w:val="none"/>
                <w14:textFill>
                  <w14:solidFill>
                    <w14:schemeClr w14:val="tx1"/>
                  </w14:solidFill>
                </w14:textFill>
              </w:rPr>
              <w:t>厂界超标</w:t>
            </w:r>
            <w:r>
              <w:rPr>
                <w:rFonts w:hint="eastAsia"/>
                <w:color w:val="000000" w:themeColor="text1"/>
                <w:highlight w:val="none"/>
                <w:lang w:eastAsia="zh-CN"/>
                <w14:textFill>
                  <w14:solidFill>
                    <w14:schemeClr w14:val="tx1"/>
                  </w14:solidFill>
                </w14:textFill>
              </w:rPr>
              <w:t>。</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14755489">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w:t>
            </w:r>
          </w:p>
        </w:tc>
        <w:tc>
          <w:tcPr>
            <w:tcW w:w="1026" w:type="pct"/>
            <w:tcBorders>
              <w:top w:val="single" w:color="auto" w:sz="4" w:space="0"/>
              <w:left w:val="single" w:color="auto" w:sz="4" w:space="0"/>
              <w:bottom w:val="single" w:color="auto" w:sz="4" w:space="0"/>
              <w:right w:val="single" w:color="auto" w:sz="4" w:space="0"/>
            </w:tcBorders>
            <w:noWrap w:val="0"/>
            <w:vAlign w:val="center"/>
          </w:tcPr>
          <w:p w14:paraId="7431CCDD">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阿克苏地区生态环境局、阿克苏地区生态环境局</w:t>
            </w:r>
            <w:r>
              <w:rPr>
                <w:rFonts w:hint="eastAsia"/>
                <w:color w:val="000000" w:themeColor="text1"/>
                <w:highlight w:val="none"/>
                <w14:textFill>
                  <w14:solidFill>
                    <w14:schemeClr w14:val="tx1"/>
                  </w14:solidFill>
                </w14:textFill>
              </w:rPr>
              <w:t>新和</w:t>
            </w:r>
            <w:r>
              <w:rPr>
                <w:color w:val="000000" w:themeColor="text1"/>
                <w:highlight w:val="none"/>
                <w14:textFill>
                  <w14:solidFill>
                    <w14:schemeClr w14:val="tx1"/>
                  </w14:solidFill>
                </w14:textFill>
              </w:rPr>
              <w:t>县分局</w:t>
            </w:r>
          </w:p>
        </w:tc>
      </w:tr>
      <w:tr w14:paraId="45A1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tcBorders>
              <w:top w:val="single" w:color="auto" w:sz="4" w:space="0"/>
              <w:left w:val="single" w:color="auto" w:sz="4" w:space="0"/>
              <w:bottom w:val="single" w:color="auto" w:sz="4" w:space="0"/>
              <w:right w:val="single" w:color="auto" w:sz="4" w:space="0"/>
            </w:tcBorders>
            <w:noWrap w:val="0"/>
            <w:vAlign w:val="center"/>
          </w:tcPr>
          <w:p w14:paraId="0381B30D">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4EE6A9EE">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生态环境管理</w:t>
            </w:r>
          </w:p>
        </w:tc>
        <w:tc>
          <w:tcPr>
            <w:tcW w:w="1977" w:type="pct"/>
            <w:tcBorders>
              <w:top w:val="single" w:color="auto" w:sz="4" w:space="0"/>
              <w:left w:val="single" w:color="auto" w:sz="4" w:space="0"/>
              <w:bottom w:val="single" w:color="auto" w:sz="4" w:space="0"/>
              <w:right w:val="single" w:color="auto" w:sz="4" w:space="0"/>
            </w:tcBorders>
            <w:noWrap w:val="0"/>
            <w:vAlign w:val="center"/>
          </w:tcPr>
          <w:p w14:paraId="504B84AD">
            <w:pPr>
              <w:pStyle w:val="155"/>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定期检查受影响范围内生态系统的动态变化情况</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58241ADE">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w:t>
            </w:r>
          </w:p>
        </w:tc>
        <w:tc>
          <w:tcPr>
            <w:tcW w:w="1026" w:type="pct"/>
            <w:tcBorders>
              <w:top w:val="single" w:color="auto" w:sz="4" w:space="0"/>
              <w:left w:val="single" w:color="auto" w:sz="4" w:space="0"/>
              <w:bottom w:val="single" w:color="auto" w:sz="4" w:space="0"/>
              <w:right w:val="single" w:color="auto" w:sz="4" w:space="0"/>
            </w:tcBorders>
            <w:noWrap w:val="0"/>
            <w:vAlign w:val="center"/>
          </w:tcPr>
          <w:p w14:paraId="5781DC7F">
            <w:pPr>
              <w:pStyle w:val="15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阿克苏地区生态环境局、阿克苏地区生态环境局</w:t>
            </w:r>
            <w:r>
              <w:rPr>
                <w:rFonts w:hint="eastAsia"/>
                <w:color w:val="000000" w:themeColor="text1"/>
                <w:highlight w:val="none"/>
                <w14:textFill>
                  <w14:solidFill>
                    <w14:schemeClr w14:val="tx1"/>
                  </w14:solidFill>
                </w14:textFill>
              </w:rPr>
              <w:t>新和</w:t>
            </w:r>
            <w:r>
              <w:rPr>
                <w:color w:val="000000" w:themeColor="text1"/>
                <w:highlight w:val="none"/>
                <w14:textFill>
                  <w14:solidFill>
                    <w14:schemeClr w14:val="tx1"/>
                  </w14:solidFill>
                </w14:textFill>
              </w:rPr>
              <w:t>县分局</w:t>
            </w:r>
          </w:p>
        </w:tc>
      </w:tr>
    </w:tbl>
    <w:p w14:paraId="05EF9745">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_Toc4862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 </w:t>
      </w:r>
      <w:bookmarkStart w:id="1365" w:name="OLE_LINK952"/>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环境影响后评价</w:t>
      </w:r>
      <w:bookmarkEnd w:id="1365"/>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6E7F72E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根据《中华人民共和国环境影响评价法》《建设项目环境影响后评价管理办法（试行）》《关于进一步加强和规范油气田开发项目环境保护管理工作的通知》《关于进一步加强石油天然气行业环境影响评价管理的通知》《关于加强建设项目环境影响后评价管理的通知</w:t>
      </w:r>
      <w:r>
        <w:rPr>
          <w:rFonts w:hint="eastAsia" w:cs="Times New Roman"/>
          <w:bCs/>
          <w:color w:val="000000" w:themeColor="text1"/>
          <w:sz w:val="24"/>
          <w:szCs w:val="24"/>
          <w:highlight w:val="none"/>
          <w:lang w:eastAsia="zh-CN"/>
          <w14:textFill>
            <w14:solidFill>
              <w14:schemeClr w14:val="tx1"/>
            </w14:solidFill>
          </w14:textFill>
        </w:rPr>
        <w:t>》的</w:t>
      </w:r>
      <w:r>
        <w:rPr>
          <w:rFonts w:hint="default" w:ascii="Times New Roman" w:hAnsi="Times New Roman" w:eastAsia="宋体" w:cs="Times New Roman"/>
          <w:bCs/>
          <w:color w:val="000000" w:themeColor="text1"/>
          <w:sz w:val="24"/>
          <w:szCs w:val="24"/>
          <w:highlight w:val="none"/>
          <w14:textFill>
            <w14:solidFill>
              <w14:schemeClr w14:val="tx1"/>
            </w14:solidFill>
          </w14:textFill>
        </w:rPr>
        <w:t>要求，油气田开发业主单位对区域内通过环境影响评价审批并通过环境保护设施竣工验收</w:t>
      </w:r>
      <w:r>
        <w:rPr>
          <w:rFonts w:hint="eastAsia" w:cs="Times New Roman"/>
          <w:bCs/>
          <w:color w:val="000000" w:themeColor="text1"/>
          <w:sz w:val="24"/>
          <w:szCs w:val="24"/>
          <w:highlight w:val="none"/>
          <w:lang w:eastAsia="zh-CN"/>
          <w14:textFill>
            <w14:solidFill>
              <w14:schemeClr w14:val="tx1"/>
            </w14:solidFill>
          </w14:textFill>
        </w:rPr>
        <w:t>且</w:t>
      </w:r>
      <w:r>
        <w:rPr>
          <w:rFonts w:hint="default" w:ascii="Times New Roman" w:hAnsi="Times New Roman" w:eastAsia="宋体" w:cs="Times New Roman"/>
          <w:bCs/>
          <w:color w:val="000000" w:themeColor="text1"/>
          <w:sz w:val="24"/>
          <w:szCs w:val="24"/>
          <w:highlight w:val="none"/>
          <w14:textFill>
            <w14:solidFill>
              <w14:schemeClr w14:val="tx1"/>
            </w14:solidFill>
          </w14:textFill>
        </w:rPr>
        <w:t>稳定运行满5年的建设项目，须组织开展环境影响后评价工作。</w:t>
      </w:r>
    </w:p>
    <w:p w14:paraId="1753CC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bCs/>
          <w:color w:val="000000" w:themeColor="text1"/>
          <w:sz w:val="24"/>
          <w:szCs w:val="24"/>
          <w:highlight w:val="none"/>
          <w14:textFill>
            <w14:solidFill>
              <w14:schemeClr w14:val="tx1"/>
            </w14:solidFill>
          </w14:textFill>
        </w:rPr>
        <w:t>实施后，应在5年内开展环境影响后评价工作，对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本工程</w:t>
      </w:r>
      <w:r>
        <w:rPr>
          <w:rFonts w:hint="default" w:ascii="Times New Roman" w:hAnsi="Times New Roman" w:eastAsia="宋体" w:cs="Times New Roman"/>
          <w:bCs/>
          <w:color w:val="000000" w:themeColor="text1"/>
          <w:sz w:val="24"/>
          <w:szCs w:val="24"/>
          <w:highlight w:val="none"/>
          <w14:textFill>
            <w14:solidFill>
              <w14:schemeClr w14:val="tx1"/>
            </w14:solidFill>
          </w14:textFill>
        </w:rPr>
        <w:t>实际产生的环境影响以及污染防治、生态保护和风险防范措施的有效性进行跟踪监测和验证评价，对存在问题提出补救方案或者改进措施，不断完善和提高建设项目环境影响评价的有效性，切实落实各项环境保护措施接受生态环境部门的监督检查。</w:t>
      </w:r>
    </w:p>
    <w:p w14:paraId="0A22D000">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_Toc14563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9.1.</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 </w:t>
      </w:r>
      <w:bookmarkStart w:id="1366" w:name="OLE_LINK951"/>
      <w:r>
        <w:rPr>
          <w:rFonts w:hint="eastAsia" w:ascii="Times New Roman" w:hAnsi="Times New Roman" w:eastAsia="宋体" w:cs="Times New Roman"/>
          <w:color w:val="000000" w:themeColor="text1"/>
          <w:highlight w:val="none"/>
          <w:lang w:val="en-US" w:eastAsia="en-US"/>
          <w14:textFill>
            <w14:solidFill>
              <w14:schemeClr w14:val="tx1"/>
            </w14:solidFill>
          </w14:textFill>
        </w:rPr>
        <w:t>排污许可</w:t>
      </w:r>
      <w:bookmarkEnd w:id="1366"/>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7B36E47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排污口是否规范，是项目验收的前提条件之一。从评价调查及收集资料可以看出，</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基本能做到排污口规范化。固体废物、危险废物贮存场所均设置有标志牌，废气排放口、噪声排放口规范化管理较规范，废气监测口的设置、噪声排放口标志牌设置符合国家和自治区的相关要求进行规范管理，并自行开展了相关监测。</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按照《固定污染源排污许可分类管理名录（2019版）》规定的范围，已对加热炉等固定污染源办理了排污许可证。根据《排污口规范化整治技术要求（试行）》</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bookmarkStart w:id="1367" w:name="OLE_LINK1333"/>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环境保护图形标志〉实施细则</w:t>
      </w:r>
      <w:bookmarkEnd w:id="1367"/>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》《环境保护图形标志》《排污单位自行监测技术指南 总则》（HJ819-2017），</w:t>
      </w:r>
      <w:bookmarkStart w:id="1368" w:name="OLE_LINK959"/>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bookmarkEnd w:id="1368"/>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进一步建立完善了自行监测制度及排污口规范化管理制度。</w:t>
      </w:r>
      <w:bookmarkStart w:id="1369" w:name="OLE_LINK958"/>
      <w:bookmarkStart w:id="1370" w:name="OLE_LINK1150"/>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bookmarkEnd w:id="1369"/>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已取得排污</w:t>
      </w:r>
      <w:r>
        <w:rPr>
          <w:rFonts w:hint="eastAsia" w:cs="Times New Roman"/>
          <w:bCs/>
          <w:color w:val="000000" w:themeColor="text1"/>
          <w:sz w:val="24"/>
          <w:szCs w:val="24"/>
          <w:highlight w:val="none"/>
          <w:lang w:val="en-US" w:eastAsia="zh-CN"/>
          <w14:textFill>
            <w14:solidFill>
              <w14:schemeClr w14:val="tx1"/>
            </w14:solidFill>
          </w14:textFill>
        </w:rPr>
        <w:t>登记回执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登记</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编号为：</w:t>
      </w:r>
      <w:bookmarkStart w:id="1371" w:name="OLE_LINK1149"/>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91650000742248144Q031X</w:t>
      </w:r>
      <w:bookmarkEnd w:id="1371"/>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bookmarkEnd w:id="1370"/>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4AFB6FE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随着国家、自治区环境管理要求的提高，</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eastAsia="宋体" w:cs="Times New Roman"/>
          <w:bCs/>
          <w:color w:val="000000" w:themeColor="text1"/>
          <w:sz w:val="24"/>
          <w:szCs w:val="24"/>
          <w:highlight w:val="none"/>
          <w14:textFill>
            <w14:solidFill>
              <w14:schemeClr w14:val="tx1"/>
            </w14:solidFill>
          </w14:textFill>
        </w:rPr>
        <w:t>围绕HSE制度体系，逐步健全了环境保护法律法规汇编、建设项目环境管理、污染防治设施运行管理、固体废弃物处置利用管理、环境安全隐患治理与风险管控、环境管理依法合规情况检查与整改等环境管理档案。根据《环境保护档案管理规范 环境监察</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排污单位环境管理台账及排污许可证执行报告技术规范 总则》，</w:t>
      </w:r>
      <w:r>
        <w:rPr>
          <w:rFonts w:hint="eastAsia" w:ascii="Times New Roman" w:hAnsi="Times New Roman" w:cs="Times New Roman"/>
          <w:color w:val="000000" w:themeColor="text1"/>
          <w:highlight w:val="none"/>
          <w:lang w:val="en-US" w:eastAsia="zh-CN"/>
          <w14:textFill>
            <w14:solidFill>
              <w14:schemeClr w14:val="tx1"/>
            </w14:solidFill>
          </w14:textFill>
        </w:rPr>
        <w:t>雅克拉采气厂</w:t>
      </w:r>
      <w:r>
        <w:rPr>
          <w:rFonts w:hint="default" w:ascii="Times New Roman" w:hAnsi="Times New Roman" w:eastAsia="宋体" w:cs="Times New Roman"/>
          <w:bCs/>
          <w:color w:val="000000" w:themeColor="text1"/>
          <w:sz w:val="24"/>
          <w:szCs w:val="24"/>
          <w:highlight w:val="none"/>
          <w14:textFill>
            <w14:solidFill>
              <w14:schemeClr w14:val="tx1"/>
            </w14:solidFill>
          </w14:textFill>
        </w:rPr>
        <w:t>建立并完善环境管理文件和档案管理制度，明确责任部门、人员、流程、形式、权限及各类环境管理档案及保存要求等，确保企业环境管理规章制度和操作规程编制、使用、评审、修订符合有关要求</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14:paraId="149CB9DC">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72" w:name="_Toc17928"/>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_Toc6952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9.2 企业环境信息披露</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72"/>
    </w:p>
    <w:p w14:paraId="6E560982">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_Toc4802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9.2.1 披露内容</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569519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（1）基础信息</w:t>
      </w:r>
    </w:p>
    <w:p w14:paraId="7CA1A85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企业名称：</w:t>
      </w:r>
      <w:bookmarkStart w:id="1373" w:name="OLE_LINK960"/>
      <w:r>
        <w:rPr>
          <w:color w:val="000000" w:themeColor="text1"/>
          <w:sz w:val="24"/>
          <w:szCs w:val="24"/>
          <w:highlight w:val="none"/>
          <w14:textFill>
            <w14:solidFill>
              <w14:schemeClr w14:val="tx1"/>
            </w14:solidFill>
          </w14:textFill>
        </w:rPr>
        <w:t>中国石油化工股份有限公司西北油田分公司</w:t>
      </w:r>
      <w:bookmarkEnd w:id="1373"/>
      <w:r>
        <w:rPr>
          <w:rFonts w:hint="default" w:ascii="Times New Roman" w:hAnsi="Times New Roman" w:eastAsia="宋体" w:cs="Times New Roman"/>
          <w:bCs/>
          <w:color w:val="000000" w:themeColor="text1"/>
          <w:sz w:val="24"/>
          <w:szCs w:val="24"/>
          <w:highlight w:val="none"/>
          <w14:textFill>
            <w14:solidFill>
              <w14:schemeClr w14:val="tx1"/>
            </w14:solidFill>
          </w14:textFill>
        </w:rPr>
        <w:t xml:space="preserve"> </w:t>
      </w:r>
    </w:p>
    <w:p w14:paraId="337C723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法人代表：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王世洁</w:t>
      </w:r>
    </w:p>
    <w:p w14:paraId="3C53C10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生产地址：新</w:t>
      </w:r>
      <w:bookmarkStart w:id="1374" w:name="_Hlk75973576"/>
      <w:r>
        <w:rPr>
          <w:rFonts w:hint="default" w:ascii="Times New Roman" w:hAnsi="Times New Roman" w:eastAsia="宋体" w:cs="Times New Roman"/>
          <w:bCs/>
          <w:color w:val="000000" w:themeColor="text1"/>
          <w:sz w:val="24"/>
          <w:szCs w:val="24"/>
          <w:highlight w:val="none"/>
          <w14:textFill>
            <w14:solidFill>
              <w14:schemeClr w14:val="tx1"/>
            </w14:solidFill>
          </w14:textFill>
        </w:rPr>
        <w:t>疆</w:t>
      </w:r>
      <w:r>
        <w:rPr>
          <w:rFonts w:hint="eastAsia" w:ascii="Times New Roman" w:hAnsi="Times New Roman" w:eastAsia="宋体" w:cs="Times New Roman"/>
          <w:bCs/>
          <w:color w:val="000000" w:themeColor="text1"/>
          <w:sz w:val="24"/>
          <w:szCs w:val="24"/>
          <w:highlight w:val="none"/>
          <w14:textFill>
            <w14:solidFill>
              <w14:schemeClr w14:val="tx1"/>
            </w14:solidFill>
          </w14:textFill>
        </w:rPr>
        <w:t>维吾尔自治区</w:t>
      </w:r>
      <w:bookmarkEnd w:id="1374"/>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阿克苏</w:t>
      </w:r>
      <w:r>
        <w:rPr>
          <w:rFonts w:hint="default" w:ascii="Times New Roman" w:hAnsi="Times New Roman" w:eastAsia="宋体" w:cs="Times New Roman"/>
          <w:bCs/>
          <w:color w:val="000000" w:themeColor="text1"/>
          <w:sz w:val="24"/>
          <w:szCs w:val="24"/>
          <w:highlight w:val="none"/>
          <w14:textFill>
            <w14:solidFill>
              <w14:schemeClr w14:val="tx1"/>
            </w14:solidFill>
          </w14:textFill>
        </w:rPr>
        <w:t>地区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新和县</w:t>
      </w:r>
      <w:r>
        <w:rPr>
          <w:rFonts w:hint="default" w:ascii="Times New Roman" w:hAnsi="Times New Roman" w:eastAsia="宋体" w:cs="Times New Roman"/>
          <w:bCs/>
          <w:color w:val="000000" w:themeColor="text1"/>
          <w:sz w:val="24"/>
          <w:szCs w:val="24"/>
          <w:highlight w:val="none"/>
          <w14:textFill>
            <w14:solidFill>
              <w14:schemeClr w14:val="tx1"/>
            </w14:solidFill>
          </w14:textFill>
        </w:rPr>
        <w:t>境内。</w:t>
      </w:r>
    </w:p>
    <w:p w14:paraId="09210C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主要产品及规模：</w:t>
      </w:r>
      <w:r>
        <w:rPr>
          <w:rFonts w:hint="default" w:ascii="Times New Roman" w:hAnsi="Times New Roman" w:cs="Times New Roman"/>
          <w:color w:val="000000" w:themeColor="text1"/>
          <w:sz w:val="24"/>
          <w:szCs w:val="24"/>
          <w:highlight w:val="none"/>
          <w:lang w:eastAsia="zh-CN"/>
          <w14:textFill>
            <w14:solidFill>
              <w14:schemeClr w14:val="tx1"/>
            </w14:solidFill>
          </w14:textFill>
        </w:rPr>
        <w:t>①</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建设拉油流程1座</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新建电磁加热器1台、计量分离器</w:t>
      </w:r>
      <w:r>
        <w:rPr>
          <w:rFonts w:hint="eastAsia" w:cs="Times New Roman"/>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台、多功能储集器</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台，配套火炬及装车实现原油装车外运，天然气经油气计量分离器分离后，湿气销售至第三方公司，由第三方公司处理后装车外销。</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油气分离后凝析油装车外运至雅克拉集气处理站处理。</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4"/>
          <w:szCs w:val="24"/>
          <w:highlight w:val="none"/>
          <w14:textFill>
            <w14:solidFill>
              <w14:schemeClr w14:val="tx1"/>
            </w14:solidFill>
          </w14:textFill>
        </w:rPr>
        <w:t>建设电力、自控、</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构、通信、消防等公辅工程。</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本工程产能规模为凝析油</w:t>
      </w:r>
      <w:r>
        <w:rPr>
          <w:rFonts w:hint="eastAsia" w:cs="Times New Roman"/>
          <w:color w:val="000000" w:themeColor="text1"/>
          <w:sz w:val="24"/>
          <w:szCs w:val="24"/>
          <w:highlight w:val="none"/>
          <w:lang w:val="en-US" w:eastAsia="zh-CN" w:bidi="ar-SA"/>
          <w14:textFill>
            <w14:solidFill>
              <w14:schemeClr w14:val="tx1"/>
            </w14:solidFill>
          </w14:textFill>
        </w:rPr>
        <w:t>33.9</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d，天然气</w:t>
      </w:r>
      <w:r>
        <w:rPr>
          <w:rFonts w:hint="eastAsia" w:cs="Times New Roman"/>
          <w:color w:val="000000" w:themeColor="text1"/>
          <w:sz w:val="24"/>
          <w:szCs w:val="24"/>
          <w:highlight w:val="none"/>
          <w:lang w:val="en-US" w:eastAsia="zh-CN" w:bidi="ar-SA"/>
          <w14:textFill>
            <w14:solidFill>
              <w14:schemeClr w14:val="tx1"/>
            </w14:solidFill>
          </w14:textFill>
        </w:rPr>
        <w:t>18.2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0EA7D6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（2）排污信息</w:t>
      </w:r>
    </w:p>
    <w:p w14:paraId="347D0A2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本工程拟采取的环境保护措施、排放的污染物种类、排放浓度见</w:t>
      </w:r>
      <w:r>
        <w:rPr>
          <w:rFonts w:hint="eastAsia" w:cs="Times New Roman"/>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3.3-12 </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408906C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（3）环境风险防范措施</w:t>
      </w:r>
    </w:p>
    <w:p w14:paraId="54193A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本工程环境风险防范措施见</w:t>
      </w:r>
      <w:r>
        <w:rPr>
          <w:color w:val="000000" w:themeColor="text1"/>
          <w:sz w:val="24"/>
          <w:szCs w:val="24"/>
          <w:highlight w:val="none"/>
          <w14:textFill>
            <w14:solidFill>
              <w14:schemeClr w14:val="tx1"/>
            </w14:solidFill>
          </w14:textFill>
        </w:rPr>
        <w:t>中国石油化工股份有限公司西北油田分公司</w:t>
      </w:r>
      <w:r>
        <w:rPr>
          <w:rFonts w:hint="default" w:ascii="Times New Roman" w:hAnsi="Times New Roman" w:eastAsia="宋体" w:cs="Times New Roman"/>
          <w:bCs/>
          <w:color w:val="000000" w:themeColor="text1"/>
          <w:sz w:val="24"/>
          <w:szCs w:val="24"/>
          <w:highlight w:val="none"/>
          <w14:textFill>
            <w14:solidFill>
              <w14:schemeClr w14:val="tx1"/>
            </w14:solidFill>
          </w14:textFill>
        </w:rPr>
        <w:t>现行突发环境风险应急预案。</w:t>
      </w:r>
    </w:p>
    <w:p w14:paraId="349308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（4）环境监测计划</w:t>
      </w:r>
    </w:p>
    <w:p w14:paraId="73876B5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本工程环境监测计划见表</w:t>
      </w:r>
      <w:bookmarkStart w:id="1375" w:name="OLE_LINK961"/>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sz w:val="24"/>
          <w:szCs w:val="24"/>
          <w:highlight w:val="none"/>
          <w14:textFill>
            <w14:solidFill>
              <w14:schemeClr w14:val="tx1"/>
            </w14:solidFill>
          </w14:textFill>
        </w:rPr>
        <w:t>.4-1</w:t>
      </w:r>
      <w:bookmarkEnd w:id="1375"/>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14:paraId="7B2540A7">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_Toc14760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9.2.2 披露方式及时间要求</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712768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Cs/>
          <w:color w:val="000000" w:themeColor="text1"/>
          <w:sz w:val="24"/>
          <w:szCs w:val="24"/>
          <w:highlight w:val="none"/>
          <w14:textFill>
            <w14:solidFill>
              <w14:schemeClr w14:val="tx1"/>
            </w14:solidFill>
          </w14:textFill>
        </w:rPr>
        <w:t>公式方式</w:t>
      </w:r>
    </w:p>
    <w:p w14:paraId="6902325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通过公司网站、信息公开平台或当地报刊等便于公众知晓的方式公开。</w:t>
      </w:r>
    </w:p>
    <w:p w14:paraId="38995D27">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公开时间要求</w:t>
      </w:r>
    </w:p>
    <w:p w14:paraId="5668A48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en-US"/>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环境信息有新生成或者发生变更情形的，应当自环境信息生成或者变更之日起三十日内予以公开。</w:t>
      </w:r>
      <w:r>
        <w:rPr>
          <w:rFonts w:hint="eastAsia" w:cs="Times New Roman"/>
          <w:bCs/>
          <w:color w:val="000000" w:themeColor="text1"/>
          <w:sz w:val="24"/>
          <w:szCs w:val="24"/>
          <w:highlight w:val="none"/>
          <w:lang w:eastAsia="zh-CN"/>
          <w14:textFill>
            <w14:solidFill>
              <w14:schemeClr w14:val="tx1"/>
            </w14:solidFill>
          </w14:textFill>
        </w:rPr>
        <w:t>法律法规</w:t>
      </w:r>
      <w:r>
        <w:rPr>
          <w:rFonts w:hint="default" w:ascii="Times New Roman" w:hAnsi="Times New Roman" w:eastAsia="宋体" w:cs="Times New Roman"/>
          <w:bCs/>
          <w:color w:val="000000" w:themeColor="text1"/>
          <w:sz w:val="24"/>
          <w:szCs w:val="24"/>
          <w:highlight w:val="none"/>
          <w14:textFill>
            <w14:solidFill>
              <w14:schemeClr w14:val="tx1"/>
            </w14:solidFill>
          </w14:textFill>
        </w:rPr>
        <w:t>另有规定的，从其规定。</w:t>
      </w:r>
    </w:p>
    <w:p w14:paraId="4AE0B793">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76" w:name="_Toc11710"/>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_Toc8677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9.3污染物排放清单</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76"/>
    </w:p>
    <w:p w14:paraId="2060E0C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snapToGrid/>
          <w:color w:val="000000" w:themeColor="text1"/>
          <w:highlight w:val="none"/>
          <w:lang w:eastAsia="zh-CN"/>
          <w14:textFill>
            <w14:solidFill>
              <w14:schemeClr w14:val="tx1"/>
            </w14:solidFill>
          </w14:textFill>
        </w:rPr>
        <w:t>本</w:t>
      </w:r>
      <w:r>
        <w:rPr>
          <w:rFonts w:hint="default" w:ascii="Times New Roman" w:hAnsi="Times New Roman" w:cs="Times New Roman"/>
          <w:snapToGrid/>
          <w:color w:val="000000" w:themeColor="text1"/>
          <w:highlight w:val="none"/>
          <w:lang w:val="en-US" w:eastAsia="zh-CN"/>
          <w14:textFill>
            <w14:solidFill>
              <w14:schemeClr w14:val="tx1"/>
            </w14:solidFill>
          </w14:textFill>
        </w:rPr>
        <w:t>工程</w:t>
      </w:r>
      <w:r>
        <w:rPr>
          <w:rFonts w:hint="default" w:ascii="Times New Roman" w:hAnsi="Times New Roman" w:cs="Times New Roman"/>
          <w:snapToGrid/>
          <w:color w:val="000000" w:themeColor="text1"/>
          <w:highlight w:val="none"/>
          <w14:textFill>
            <w14:solidFill>
              <w14:schemeClr w14:val="tx1"/>
            </w14:solidFill>
          </w14:textFill>
        </w:rPr>
        <w:t>运营期污染物产生及排放情况详见</w:t>
      </w:r>
      <w:r>
        <w:rPr>
          <w:rFonts w:hint="default" w:ascii="Times New Roman" w:hAnsi="Times New Roman" w:cs="Times New Roman"/>
          <w:color w:val="000000" w:themeColor="text1"/>
          <w:sz w:val="24"/>
          <w:szCs w:val="24"/>
          <w:highlight w:val="none"/>
          <w14:textFill>
            <w14:solidFill>
              <w14:schemeClr w14:val="tx1"/>
            </w14:solidFill>
          </w14:textFill>
        </w:rPr>
        <w:t>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-1。</w:t>
      </w:r>
    </w:p>
    <w:p w14:paraId="7A81D978">
      <w:pPr>
        <w:keepNext w:val="0"/>
        <w:keepLines w:val="0"/>
        <w:pageBreakBefore w:val="0"/>
        <w:kinsoku/>
        <w:wordWrap/>
        <w:topLinePunct w:val="0"/>
        <w:bidi w:val="0"/>
        <w:adjustRightInd w:val="0"/>
        <w:snapToGrid w:val="0"/>
        <w:spacing w:line="240" w:lineRule="auto"/>
        <w:ind w:firstLine="422" w:firstLineChars="20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9.3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   污染源排放清单</w:t>
      </w:r>
    </w:p>
    <w:tbl>
      <w:tblPr>
        <w:tblStyle w:val="37"/>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609"/>
        <w:gridCol w:w="1735"/>
        <w:gridCol w:w="1372"/>
        <w:gridCol w:w="1314"/>
        <w:gridCol w:w="2048"/>
      </w:tblGrid>
      <w:tr w14:paraId="3CC8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64" w:type="dxa"/>
            <w:vAlign w:val="center"/>
          </w:tcPr>
          <w:p w14:paraId="65C3C91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工段</w:t>
            </w:r>
          </w:p>
        </w:tc>
        <w:tc>
          <w:tcPr>
            <w:tcW w:w="1609" w:type="dxa"/>
            <w:vAlign w:val="center"/>
          </w:tcPr>
          <w:p w14:paraId="25C75FB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污染源</w:t>
            </w:r>
          </w:p>
        </w:tc>
        <w:tc>
          <w:tcPr>
            <w:tcW w:w="1735" w:type="dxa"/>
            <w:vAlign w:val="center"/>
          </w:tcPr>
          <w:p w14:paraId="6E89623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主要污染物</w:t>
            </w:r>
          </w:p>
        </w:tc>
        <w:tc>
          <w:tcPr>
            <w:tcW w:w="1372" w:type="dxa"/>
            <w:vAlign w:val="center"/>
          </w:tcPr>
          <w:p w14:paraId="03C71A4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产生量</w:t>
            </w:r>
          </w:p>
        </w:tc>
        <w:tc>
          <w:tcPr>
            <w:tcW w:w="1314" w:type="dxa"/>
            <w:vAlign w:val="center"/>
          </w:tcPr>
          <w:p w14:paraId="6607363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排放量</w:t>
            </w:r>
          </w:p>
        </w:tc>
        <w:tc>
          <w:tcPr>
            <w:tcW w:w="2048" w:type="dxa"/>
            <w:vAlign w:val="center"/>
          </w:tcPr>
          <w:p w14:paraId="281D271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排放去向</w:t>
            </w:r>
          </w:p>
        </w:tc>
      </w:tr>
      <w:tr w14:paraId="3652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restart"/>
            <w:vAlign w:val="center"/>
          </w:tcPr>
          <w:p w14:paraId="3D295AB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废气</w:t>
            </w:r>
          </w:p>
        </w:tc>
        <w:tc>
          <w:tcPr>
            <w:tcW w:w="1609" w:type="dxa"/>
            <w:vMerge w:val="restart"/>
            <w:vAlign w:val="center"/>
          </w:tcPr>
          <w:p w14:paraId="0383601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无组织排放</w:t>
            </w:r>
          </w:p>
        </w:tc>
        <w:tc>
          <w:tcPr>
            <w:tcW w:w="1735" w:type="dxa"/>
            <w:shd w:val="clear" w:color="auto" w:fill="auto"/>
            <w:vAlign w:val="center"/>
          </w:tcPr>
          <w:p w14:paraId="7159763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1372" w:type="dxa"/>
            <w:shd w:val="clear" w:color="auto" w:fill="auto"/>
            <w:vAlign w:val="center"/>
          </w:tcPr>
          <w:p w14:paraId="66234B6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0.467</w:t>
            </w:r>
            <w:r>
              <w:rPr>
                <w:rFonts w:hint="default"/>
                <w:color w:val="000000" w:themeColor="text1"/>
                <w:sz w:val="21"/>
                <w:szCs w:val="21"/>
                <w:highlight w:val="none"/>
                <w14:textFill>
                  <w14:solidFill>
                    <w14:schemeClr w14:val="tx1"/>
                  </w14:solidFill>
                </w14:textFill>
              </w:rPr>
              <w:t>t/a</w:t>
            </w:r>
          </w:p>
        </w:tc>
        <w:tc>
          <w:tcPr>
            <w:tcW w:w="1314" w:type="dxa"/>
            <w:shd w:val="clear" w:color="auto" w:fill="auto"/>
            <w:vAlign w:val="center"/>
          </w:tcPr>
          <w:p w14:paraId="186B64C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0.467</w:t>
            </w:r>
            <w:r>
              <w:rPr>
                <w:rFonts w:hint="default"/>
                <w:color w:val="000000" w:themeColor="text1"/>
                <w:sz w:val="21"/>
                <w:szCs w:val="21"/>
                <w:highlight w:val="none"/>
                <w14:textFill>
                  <w14:solidFill>
                    <w14:schemeClr w14:val="tx1"/>
                  </w14:solidFill>
                </w14:textFill>
              </w:rPr>
              <w:t>t/a</w:t>
            </w:r>
          </w:p>
        </w:tc>
        <w:tc>
          <w:tcPr>
            <w:tcW w:w="2048" w:type="dxa"/>
            <w:shd w:val="clear" w:color="auto" w:fill="auto"/>
            <w:vAlign w:val="center"/>
          </w:tcPr>
          <w:p w14:paraId="3DBB4FF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大气</w:t>
            </w:r>
          </w:p>
        </w:tc>
      </w:tr>
      <w:tr w14:paraId="5D23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BB585A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Merge w:val="continue"/>
            <w:vAlign w:val="center"/>
          </w:tcPr>
          <w:p w14:paraId="3615122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735" w:type="dxa"/>
            <w:shd w:val="clear" w:color="auto" w:fill="auto"/>
            <w:vAlign w:val="center"/>
          </w:tcPr>
          <w:p w14:paraId="2F38469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硫化氢</w:t>
            </w:r>
          </w:p>
        </w:tc>
        <w:tc>
          <w:tcPr>
            <w:tcW w:w="1372" w:type="dxa"/>
            <w:shd w:val="clear" w:color="auto" w:fill="auto"/>
            <w:vAlign w:val="center"/>
          </w:tcPr>
          <w:p w14:paraId="60C2375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0.0054</w:t>
            </w:r>
            <w:r>
              <w:rPr>
                <w:rFonts w:hint="default"/>
                <w:color w:val="000000" w:themeColor="text1"/>
                <w:sz w:val="21"/>
                <w:szCs w:val="21"/>
                <w:highlight w:val="none"/>
                <w14:textFill>
                  <w14:solidFill>
                    <w14:schemeClr w14:val="tx1"/>
                  </w14:solidFill>
                </w14:textFill>
              </w:rPr>
              <w:t>t/a</w:t>
            </w:r>
          </w:p>
        </w:tc>
        <w:tc>
          <w:tcPr>
            <w:tcW w:w="1314" w:type="dxa"/>
            <w:shd w:val="clear" w:color="auto" w:fill="auto"/>
            <w:vAlign w:val="center"/>
          </w:tcPr>
          <w:p w14:paraId="4478839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0.0054</w:t>
            </w:r>
            <w:r>
              <w:rPr>
                <w:rFonts w:hint="default"/>
                <w:color w:val="000000" w:themeColor="text1"/>
                <w:sz w:val="21"/>
                <w:szCs w:val="21"/>
                <w:highlight w:val="none"/>
                <w14:textFill>
                  <w14:solidFill>
                    <w14:schemeClr w14:val="tx1"/>
                  </w14:solidFill>
                </w14:textFill>
              </w:rPr>
              <w:t>t/a</w:t>
            </w:r>
          </w:p>
        </w:tc>
        <w:tc>
          <w:tcPr>
            <w:tcW w:w="2048" w:type="dxa"/>
            <w:shd w:val="clear" w:color="auto" w:fill="auto"/>
            <w:vAlign w:val="center"/>
          </w:tcPr>
          <w:p w14:paraId="783AF8D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大气</w:t>
            </w:r>
          </w:p>
        </w:tc>
      </w:tr>
      <w:tr w14:paraId="51BD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4" w:type="dxa"/>
            <w:vMerge w:val="restart"/>
            <w:vAlign w:val="center"/>
          </w:tcPr>
          <w:p w14:paraId="24212E4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废水</w:t>
            </w:r>
          </w:p>
        </w:tc>
        <w:tc>
          <w:tcPr>
            <w:tcW w:w="1609" w:type="dxa"/>
            <w:vAlign w:val="center"/>
          </w:tcPr>
          <w:p w14:paraId="5276454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生产废水</w:t>
            </w:r>
          </w:p>
        </w:tc>
        <w:tc>
          <w:tcPr>
            <w:tcW w:w="1735" w:type="dxa"/>
            <w:vAlign w:val="center"/>
          </w:tcPr>
          <w:p w14:paraId="6823E71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采出水</w:t>
            </w:r>
          </w:p>
        </w:tc>
        <w:tc>
          <w:tcPr>
            <w:tcW w:w="1372" w:type="dxa"/>
            <w:vAlign w:val="center"/>
          </w:tcPr>
          <w:p w14:paraId="60C37DB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开采初期不含水</w:t>
            </w:r>
          </w:p>
        </w:tc>
        <w:tc>
          <w:tcPr>
            <w:tcW w:w="1314" w:type="dxa"/>
            <w:vAlign w:val="center"/>
          </w:tcPr>
          <w:p w14:paraId="526F746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32C121C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开采初期不含水，后期若产生采出水，随凝析油一同运至雅克拉集气处理站处理。</w:t>
            </w:r>
          </w:p>
        </w:tc>
      </w:tr>
      <w:tr w14:paraId="655C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4" w:type="dxa"/>
            <w:vMerge w:val="continue"/>
            <w:vAlign w:val="center"/>
          </w:tcPr>
          <w:p w14:paraId="7373766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7A79885F">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井下作业废水</w:t>
            </w:r>
          </w:p>
        </w:tc>
        <w:tc>
          <w:tcPr>
            <w:tcW w:w="1735" w:type="dxa"/>
            <w:vAlign w:val="center"/>
          </w:tcPr>
          <w:p w14:paraId="5D6054F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废洗井液</w:t>
            </w:r>
          </w:p>
        </w:tc>
        <w:tc>
          <w:tcPr>
            <w:tcW w:w="1372" w:type="dxa"/>
            <w:vAlign w:val="center"/>
          </w:tcPr>
          <w:p w14:paraId="57DC889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151.935t/a</w:t>
            </w:r>
          </w:p>
        </w:tc>
        <w:tc>
          <w:tcPr>
            <w:tcW w:w="1314" w:type="dxa"/>
            <w:vAlign w:val="center"/>
          </w:tcPr>
          <w:p w14:paraId="029CCBA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7BBF097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井下作业废水自带回收罐回收井下作业废水，依托阿克苏塔河环保工程有限公司绿色环保工作站处理</w:t>
            </w:r>
            <w:r>
              <w:rPr>
                <w:rFonts w:hint="default"/>
                <w:color w:val="000000" w:themeColor="text1"/>
                <w:sz w:val="21"/>
                <w:szCs w:val="21"/>
                <w:highlight w:val="none"/>
                <w:lang w:eastAsia="zh-CN"/>
                <w14:textFill>
                  <w14:solidFill>
                    <w14:schemeClr w14:val="tx1"/>
                  </w14:solidFill>
                </w14:textFill>
              </w:rPr>
              <w:t>。</w:t>
            </w:r>
          </w:p>
        </w:tc>
      </w:tr>
      <w:tr w14:paraId="3407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vMerge w:val="restart"/>
            <w:vAlign w:val="center"/>
          </w:tcPr>
          <w:p w14:paraId="6B4307F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固体废物</w:t>
            </w:r>
          </w:p>
        </w:tc>
        <w:tc>
          <w:tcPr>
            <w:tcW w:w="1609" w:type="dxa"/>
            <w:vAlign w:val="center"/>
          </w:tcPr>
          <w:p w14:paraId="0808C0E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落地油</w:t>
            </w:r>
          </w:p>
        </w:tc>
        <w:tc>
          <w:tcPr>
            <w:tcW w:w="1735" w:type="dxa"/>
            <w:vAlign w:val="center"/>
          </w:tcPr>
          <w:p w14:paraId="09BA0F6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650EEF2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3</w:t>
            </w:r>
            <w:r>
              <w:rPr>
                <w:rFonts w:hint="default"/>
                <w:color w:val="000000" w:themeColor="text1"/>
                <w:sz w:val="21"/>
                <w:szCs w:val="21"/>
                <w:highlight w:val="none"/>
                <w14:textFill>
                  <w14:solidFill>
                    <w14:schemeClr w14:val="tx1"/>
                  </w14:solidFill>
                </w14:textFill>
              </w:rPr>
              <w:t>t/a</w:t>
            </w:r>
          </w:p>
        </w:tc>
        <w:tc>
          <w:tcPr>
            <w:tcW w:w="1314" w:type="dxa"/>
            <w:vAlign w:val="center"/>
          </w:tcPr>
          <w:p w14:paraId="35CCEF7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5A06C4A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落地油不在施工井场储存，直接在作业施工现场由施工人员回收至密闭的专用罐车内，统一由阿克苏塔河环保工程有限公司绿色环保工作站进行无害化处理。</w:t>
            </w:r>
          </w:p>
        </w:tc>
      </w:tr>
      <w:tr w14:paraId="39FB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127D155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73123EF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废防渗材料</w:t>
            </w:r>
          </w:p>
        </w:tc>
        <w:tc>
          <w:tcPr>
            <w:tcW w:w="1735" w:type="dxa"/>
            <w:vAlign w:val="center"/>
          </w:tcPr>
          <w:p w14:paraId="2A8B7B2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4B830825">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75</w:t>
            </w:r>
            <w:r>
              <w:rPr>
                <w:rFonts w:hint="default"/>
                <w:color w:val="000000" w:themeColor="text1"/>
                <w:sz w:val="21"/>
                <w:szCs w:val="21"/>
                <w:highlight w:val="none"/>
                <w:lang w:val="en-US" w:eastAsia="zh-CN"/>
                <w14:textFill>
                  <w14:solidFill>
                    <w14:schemeClr w14:val="tx1"/>
                  </w14:solidFill>
                </w14:textFill>
              </w:rPr>
              <w:t>t/a</w:t>
            </w:r>
          </w:p>
        </w:tc>
        <w:tc>
          <w:tcPr>
            <w:tcW w:w="1314" w:type="dxa"/>
            <w:vAlign w:val="center"/>
          </w:tcPr>
          <w:p w14:paraId="25C0CA6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40384680">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施工单位将废弃的废防渗材料集中收集，不在井场贮存，委托持有危险废物经营许可证的单位利用处置</w:t>
            </w:r>
            <w:r>
              <w:rPr>
                <w:rFonts w:hint="eastAsia"/>
                <w:color w:val="000000" w:themeColor="text1"/>
                <w:sz w:val="21"/>
                <w:szCs w:val="21"/>
                <w:highlight w:val="none"/>
                <w:lang w:val="en-US" w:eastAsia="zh-CN"/>
                <w14:textFill>
                  <w14:solidFill>
                    <w14:schemeClr w14:val="tx1"/>
                  </w14:solidFill>
                </w14:textFill>
              </w:rPr>
              <w:t>。</w:t>
            </w:r>
          </w:p>
        </w:tc>
      </w:tr>
      <w:tr w14:paraId="5571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664" w:type="dxa"/>
            <w:vMerge w:val="continue"/>
            <w:vAlign w:val="center"/>
          </w:tcPr>
          <w:p w14:paraId="743EE869">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6EBAD9F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清罐底泥</w:t>
            </w:r>
          </w:p>
        </w:tc>
        <w:tc>
          <w:tcPr>
            <w:tcW w:w="1735" w:type="dxa"/>
            <w:vAlign w:val="center"/>
          </w:tcPr>
          <w:p w14:paraId="2D1EBFA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4643789E">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0.1t/a</w:t>
            </w:r>
          </w:p>
        </w:tc>
        <w:tc>
          <w:tcPr>
            <w:tcW w:w="1314" w:type="dxa"/>
            <w:vAlign w:val="center"/>
          </w:tcPr>
          <w:p w14:paraId="12B02E7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2048" w:type="dxa"/>
            <w:vAlign w:val="center"/>
          </w:tcPr>
          <w:p w14:paraId="60B6FB6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施工人员回收至密闭的专用罐车内，委托持有危险废物经营许可证的单位利用处置</w:t>
            </w:r>
            <w:r>
              <w:rPr>
                <w:rFonts w:hint="default"/>
                <w:color w:val="000000" w:themeColor="text1"/>
                <w:sz w:val="21"/>
                <w:szCs w:val="21"/>
                <w:highlight w:val="none"/>
                <w14:textFill>
                  <w14:solidFill>
                    <w14:schemeClr w14:val="tx1"/>
                  </w14:solidFill>
                </w14:textFill>
              </w:rPr>
              <w:t>。</w:t>
            </w:r>
          </w:p>
        </w:tc>
      </w:tr>
      <w:tr w14:paraId="621A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Merge w:val="continue"/>
            <w:vAlign w:val="center"/>
          </w:tcPr>
          <w:p w14:paraId="4CFF0A0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p>
        </w:tc>
        <w:tc>
          <w:tcPr>
            <w:tcW w:w="1609" w:type="dxa"/>
            <w:vAlign w:val="center"/>
          </w:tcPr>
          <w:p w14:paraId="26311B8A">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废润滑油</w:t>
            </w:r>
          </w:p>
        </w:tc>
        <w:tc>
          <w:tcPr>
            <w:tcW w:w="1735" w:type="dxa"/>
            <w:vAlign w:val="center"/>
          </w:tcPr>
          <w:p w14:paraId="7BF4BAF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石油类</w:t>
            </w:r>
          </w:p>
        </w:tc>
        <w:tc>
          <w:tcPr>
            <w:tcW w:w="1372" w:type="dxa"/>
            <w:vAlign w:val="center"/>
          </w:tcPr>
          <w:p w14:paraId="5C526B84">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0.5t/a</w:t>
            </w:r>
          </w:p>
        </w:tc>
        <w:tc>
          <w:tcPr>
            <w:tcW w:w="1314" w:type="dxa"/>
            <w:vAlign w:val="center"/>
          </w:tcPr>
          <w:p w14:paraId="7A57342D">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2048" w:type="dxa"/>
            <w:vAlign w:val="center"/>
          </w:tcPr>
          <w:p w14:paraId="07932C26">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自行利用回注系统或委托持有危险废物经营许可证的单位利用处置</w:t>
            </w:r>
          </w:p>
        </w:tc>
      </w:tr>
    </w:tbl>
    <w:p w14:paraId="6277773D">
      <w:pPr>
        <w:pStyle w:val="3"/>
        <w:pageBreakBefore w:val="0"/>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77" w:name="_Toc9433"/>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_Toc32167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监测</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77"/>
    </w:p>
    <w:p w14:paraId="73767470">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_Toc21410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9.4.1监测目的</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100A03B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环境监测是企业环境管理体系的重要组成部分，也是环境管理规范化的主要手段，通过对企业主要污染物进行分析、资料整理、编制报表、建立技术文件档案，可以为生态环境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14:paraId="4B9259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en-US" w:bidi="ar-SA"/>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通过对本工程运行中环保设施进行监控，掌握废气、废水、噪声等污染源排放是否符合国家或地方排放标准的要求，做到达标排放，同时对废水、噪声防治设施进行监督检查，保证正常运行</w:t>
      </w:r>
      <w:r>
        <w:rPr>
          <w:rFonts w:hint="eastAsia"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w:t>
      </w:r>
    </w:p>
    <w:p w14:paraId="21A01D19">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_Toc25052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9.4.2环境监测机构及设备配置</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26DBF14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en-US" w:bidi="ar-SA"/>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环境监测是环境保护的基础，是进行污染治理和监督管理的依据。本工程的环境监测工作可委托当地有资质的环境监测机构承担</w:t>
      </w:r>
      <w:r>
        <w:rPr>
          <w:rFonts w:hint="eastAsia"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w:t>
      </w:r>
    </w:p>
    <w:p w14:paraId="6BDBAFB5">
      <w:pPr>
        <w:pStyle w:val="4"/>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_Toc25314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9.4.3监测计划</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p>
    <w:p w14:paraId="5465969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zh-CN"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根据《排污单位自行监测技术指南陆上石油天然气开采工业》（HJ1248-2022）、《排污单位自行监测技术指南 总则》（HJ 819-2017）和《工业企业土壤和地下水自行监测技术指南（试行）》（HJ 1209-2021）等标准规范，制定本工程的监测计划和工作方案。</w:t>
      </w:r>
      <w:r>
        <w:rPr>
          <w:rFonts w:hint="default" w:ascii="Times New Roman" w:hAnsi="Times New Roman" w:eastAsia="宋体" w:cs="Times New Roman"/>
          <w:bCs/>
          <w:color w:val="000000" w:themeColor="text1"/>
          <w:sz w:val="24"/>
          <w:szCs w:val="24"/>
          <w:highlight w:val="none"/>
          <w:lang w:val="zh-CN" w:eastAsia="zh-CN" w:bidi="ar-SA"/>
          <w14:textFill>
            <w14:solidFill>
              <w14:schemeClr w14:val="tx1"/>
            </w14:solidFill>
          </w14:textFill>
        </w:rPr>
        <w:t>监测工作委托具有计量认证资质和环境监测资质的监测单位。环境监测计划见表</w:t>
      </w:r>
      <w:r>
        <w:rPr>
          <w:rFonts w:hint="eastAsia"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9.4-1</w:t>
      </w:r>
      <w:r>
        <w:rPr>
          <w:rFonts w:hint="default" w:ascii="Times New Roman" w:hAnsi="Times New Roman" w:eastAsia="宋体" w:cs="Times New Roman"/>
          <w:bCs/>
          <w:color w:val="000000" w:themeColor="text1"/>
          <w:sz w:val="24"/>
          <w:szCs w:val="24"/>
          <w:highlight w:val="none"/>
          <w:lang w:val="zh-CN" w:eastAsia="zh-CN" w:bidi="ar-SA"/>
          <w14:textFill>
            <w14:solidFill>
              <w14:schemeClr w14:val="tx1"/>
            </w14:solidFill>
          </w14:textFill>
        </w:rPr>
        <w:t>。</w:t>
      </w:r>
    </w:p>
    <w:p w14:paraId="584F5288">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表9</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4-1</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 xml:space="preserve">        环境监测计划</w:t>
      </w:r>
    </w:p>
    <w:tbl>
      <w:tblPr>
        <w:tblStyle w:val="1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595"/>
        <w:gridCol w:w="431"/>
        <w:gridCol w:w="1905"/>
        <w:gridCol w:w="1725"/>
        <w:gridCol w:w="1827"/>
      </w:tblGrid>
      <w:tr w14:paraId="6F0D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Align w:val="center"/>
          </w:tcPr>
          <w:p w14:paraId="761E1B45">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监测类别</w:t>
            </w:r>
          </w:p>
        </w:tc>
        <w:tc>
          <w:tcPr>
            <w:tcW w:w="2307" w:type="pct"/>
            <w:gridSpan w:val="3"/>
            <w:vAlign w:val="center"/>
          </w:tcPr>
          <w:p w14:paraId="7C092D89">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监测点位置</w:t>
            </w:r>
          </w:p>
        </w:tc>
        <w:tc>
          <w:tcPr>
            <w:tcW w:w="1012" w:type="pct"/>
            <w:vAlign w:val="center"/>
          </w:tcPr>
          <w:p w14:paraId="0724CA33">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监测因子</w:t>
            </w:r>
          </w:p>
        </w:tc>
        <w:tc>
          <w:tcPr>
            <w:tcW w:w="1072" w:type="pct"/>
            <w:vAlign w:val="center"/>
          </w:tcPr>
          <w:p w14:paraId="296DA985">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14:textFill>
                  <w14:solidFill>
                    <w14:schemeClr w14:val="tx1"/>
                  </w14:solidFill>
                </w14:textFill>
              </w:rPr>
              <w:t>监测频率</w:t>
            </w:r>
          </w:p>
        </w:tc>
      </w:tr>
      <w:tr w14:paraId="16FC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Merge w:val="restart"/>
            <w:vAlign w:val="center"/>
          </w:tcPr>
          <w:p w14:paraId="32E75E70">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无组织废气</w:t>
            </w:r>
          </w:p>
        </w:tc>
        <w:tc>
          <w:tcPr>
            <w:tcW w:w="1189" w:type="pct"/>
            <w:gridSpan w:val="2"/>
            <w:vMerge w:val="restart"/>
            <w:vAlign w:val="center"/>
          </w:tcPr>
          <w:p w14:paraId="711EC6BA">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设备与管线组件密封点</w:t>
            </w:r>
          </w:p>
        </w:tc>
        <w:tc>
          <w:tcPr>
            <w:tcW w:w="1118" w:type="pct"/>
            <w:vAlign w:val="center"/>
          </w:tcPr>
          <w:p w14:paraId="44BAB7D2">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泵、压缩机、阀门、开口阀或开口管线、泄压设备、取样连接系统</w:t>
            </w:r>
          </w:p>
        </w:tc>
        <w:tc>
          <w:tcPr>
            <w:tcW w:w="1012" w:type="pct"/>
            <w:vMerge w:val="restart"/>
            <w:vAlign w:val="center"/>
          </w:tcPr>
          <w:p w14:paraId="4A2ABCA5">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设备泄漏检测</w:t>
            </w:r>
          </w:p>
        </w:tc>
        <w:tc>
          <w:tcPr>
            <w:tcW w:w="1072" w:type="pct"/>
            <w:vAlign w:val="center"/>
          </w:tcPr>
          <w:p w14:paraId="6493D91C">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1次/半年</w:t>
            </w:r>
          </w:p>
        </w:tc>
      </w:tr>
      <w:tr w14:paraId="45EE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Merge w:val="continue"/>
            <w:vAlign w:val="center"/>
          </w:tcPr>
          <w:p w14:paraId="01E318A4">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89" w:type="pct"/>
            <w:gridSpan w:val="2"/>
            <w:vMerge w:val="continue"/>
            <w:vAlign w:val="center"/>
          </w:tcPr>
          <w:p w14:paraId="0034F877">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p>
        </w:tc>
        <w:tc>
          <w:tcPr>
            <w:tcW w:w="1118" w:type="pct"/>
            <w:vAlign w:val="center"/>
          </w:tcPr>
          <w:p w14:paraId="0B2C9925">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法兰及其他连接件、其他密封设备</w:t>
            </w:r>
          </w:p>
        </w:tc>
        <w:tc>
          <w:tcPr>
            <w:tcW w:w="1012" w:type="pct"/>
            <w:vMerge w:val="continue"/>
            <w:vAlign w:val="center"/>
          </w:tcPr>
          <w:p w14:paraId="48FBD57C">
            <w:pPr>
              <w:pStyle w:val="47"/>
              <w:adjustRightInd w:val="0"/>
              <w:snapToGrid w:val="0"/>
              <w:spacing w:line="240" w:lineRule="auto"/>
              <w:jc w:val="both"/>
              <w:rPr>
                <w:rFonts w:hint="default" w:ascii="Times New Roman" w:hAnsi="Times New Roman" w:eastAsia="宋体" w:cs="Times New Roman"/>
                <w:color w:val="000000" w:themeColor="text1"/>
                <w:spacing w:val="-10"/>
                <w:kern w:val="2"/>
                <w:highlight w:val="none"/>
                <w14:textFill>
                  <w14:solidFill>
                    <w14:schemeClr w14:val="tx1"/>
                  </w14:solidFill>
                </w14:textFill>
              </w:rPr>
            </w:pPr>
          </w:p>
        </w:tc>
        <w:tc>
          <w:tcPr>
            <w:tcW w:w="1072" w:type="pct"/>
            <w:vAlign w:val="center"/>
          </w:tcPr>
          <w:p w14:paraId="0039D6B8">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1次/</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p>
        </w:tc>
      </w:tr>
      <w:tr w14:paraId="01BB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Align w:val="center"/>
          </w:tcPr>
          <w:p w14:paraId="7BE1E257">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噪声</w:t>
            </w:r>
          </w:p>
        </w:tc>
        <w:tc>
          <w:tcPr>
            <w:tcW w:w="2307" w:type="pct"/>
            <w:gridSpan w:val="3"/>
            <w:vAlign w:val="center"/>
          </w:tcPr>
          <w:p w14:paraId="23B5259C">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井场</w:t>
            </w:r>
          </w:p>
        </w:tc>
        <w:tc>
          <w:tcPr>
            <w:tcW w:w="1012" w:type="pct"/>
            <w:vAlign w:val="center"/>
          </w:tcPr>
          <w:p w14:paraId="77708AD7">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等效连续 A 声级</w:t>
            </w:r>
          </w:p>
        </w:tc>
        <w:tc>
          <w:tcPr>
            <w:tcW w:w="1072" w:type="pct"/>
            <w:vAlign w:val="center"/>
          </w:tcPr>
          <w:p w14:paraId="338B4AA6">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采油气井场、计量站周边 2 km 范围内无噪声敏感建筑物的场站，可不开展厂界环境噪声监测。</w:t>
            </w:r>
          </w:p>
        </w:tc>
      </w:tr>
      <w:tr w14:paraId="2026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Align w:val="center"/>
          </w:tcPr>
          <w:p w14:paraId="1465147F">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地下水</w:t>
            </w:r>
          </w:p>
        </w:tc>
        <w:tc>
          <w:tcPr>
            <w:tcW w:w="936" w:type="pct"/>
            <w:vAlign w:val="center"/>
          </w:tcPr>
          <w:p w14:paraId="04D0108D">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项目区地下水井</w:t>
            </w:r>
          </w:p>
        </w:tc>
        <w:tc>
          <w:tcPr>
            <w:tcW w:w="1371" w:type="pct"/>
            <w:gridSpan w:val="2"/>
            <w:vAlign w:val="center"/>
          </w:tcPr>
          <w:p w14:paraId="42143FE2">
            <w:pPr>
              <w:adjustRightInd w:val="0"/>
              <w:snapToGrid w:val="0"/>
              <w:spacing w:line="240" w:lineRule="auto"/>
              <w:ind w:firstLine="0" w:firstLineChars="0"/>
              <w:jc w:val="center"/>
              <w:rPr>
                <w:rFonts w:hint="eastAsia" w:cs="Times New Roman"/>
                <w:color w:val="000000" w:themeColor="text1"/>
                <w:kern w:val="2"/>
                <w:sz w:val="21"/>
                <w:szCs w:val="21"/>
                <w:highlight w:val="none"/>
                <w:lang w:val="en-US" w:eastAsia="zh-CN"/>
                <w14:textFill>
                  <w14:solidFill>
                    <w14:schemeClr w14:val="tx1"/>
                  </w14:solidFill>
                </w14:textFill>
              </w:rPr>
            </w:pPr>
          </w:p>
        </w:tc>
        <w:tc>
          <w:tcPr>
            <w:tcW w:w="1012" w:type="pct"/>
            <w:vAlign w:val="center"/>
          </w:tcPr>
          <w:p w14:paraId="3D17B57C">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 xml:space="preserve">石油类、石油烃（C6~C9）、石油烃（C10~C40）、汞、砷、六价铬 </w:t>
            </w:r>
          </w:p>
        </w:tc>
        <w:tc>
          <w:tcPr>
            <w:tcW w:w="1072" w:type="pct"/>
            <w:vAlign w:val="center"/>
          </w:tcPr>
          <w:p w14:paraId="519A1BBB">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1次/半年</w:t>
            </w:r>
          </w:p>
        </w:tc>
      </w:tr>
      <w:tr w14:paraId="5AEB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8" w:type="pct"/>
            <w:vAlign w:val="center"/>
          </w:tcPr>
          <w:p w14:paraId="069E7885">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土壤</w:t>
            </w:r>
          </w:p>
        </w:tc>
        <w:tc>
          <w:tcPr>
            <w:tcW w:w="2307" w:type="pct"/>
            <w:gridSpan w:val="3"/>
            <w:vAlign w:val="center"/>
          </w:tcPr>
          <w:p w14:paraId="08823C7E">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井场</w:t>
            </w:r>
          </w:p>
        </w:tc>
        <w:tc>
          <w:tcPr>
            <w:tcW w:w="1012" w:type="pct"/>
            <w:vAlign w:val="center"/>
          </w:tcPr>
          <w:p w14:paraId="07576DC4">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 xml:space="preserve">石油类、石油烃（C6~C9）、石油烃（C10~C40）、汞、砷、六价铬 </w:t>
            </w:r>
          </w:p>
        </w:tc>
        <w:tc>
          <w:tcPr>
            <w:tcW w:w="1072" w:type="pct"/>
            <w:vAlign w:val="center"/>
          </w:tcPr>
          <w:p w14:paraId="401AB053">
            <w:pPr>
              <w:adjustRightInd w:val="0"/>
              <w:snapToGrid w:val="0"/>
              <w:spacing w:line="240" w:lineRule="auto"/>
              <w:ind w:firstLine="0" w:firstLineChars="0"/>
              <w:jc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1次/</w:t>
            </w:r>
            <w:r>
              <w:rPr>
                <w:rFonts w:hint="default" w:ascii="Times New Roman" w:hAnsi="Times New Roman" w:eastAsia="宋体" w:cs="Times New Roman"/>
                <w:color w:val="000000" w:themeColor="text1"/>
                <w:spacing w:val="-10"/>
                <w:kern w:val="2"/>
                <w:sz w:val="21"/>
                <w:szCs w:val="21"/>
                <w:highlight w:val="none"/>
                <w14:textFill>
                  <w14:solidFill>
                    <w14:schemeClr w14:val="tx1"/>
                  </w14:solidFill>
                </w14:textFill>
              </w:rPr>
              <w:t>年</w:t>
            </w:r>
          </w:p>
        </w:tc>
      </w:tr>
    </w:tbl>
    <w:p w14:paraId="7A68C96E">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p>
    <w:p w14:paraId="0D6473B7">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管线泄漏检测与控制：参照《陆上石油天然气开采工业大气污染物排放标准》（GB39728-2020）和《挥发性有机物无组织排放控制标准》（GB37822-2019）中挥发性有机物控</w:t>
      </w:r>
      <w:r>
        <w:rPr>
          <w:rFonts w:hint="eastAsia" w:hAnsi="Times New Roman" w:cs="Times New Roman"/>
          <w:color w:val="000000" w:themeColor="text1"/>
          <w:kern w:val="2"/>
          <w:highlight w:val="none"/>
          <w:lang w:eastAsia="zh-CN"/>
          <w14:textFill>
            <w14:solidFill>
              <w14:schemeClr w14:val="tx1"/>
            </w14:solidFill>
          </w14:textFill>
        </w:rPr>
        <w:t>制的</w:t>
      </w:r>
      <w:r>
        <w:rPr>
          <w:rFonts w:hint="default" w:ascii="Times New Roman" w:hAnsi="Times New Roman" w:eastAsia="宋体" w:cs="Times New Roman"/>
          <w:color w:val="000000" w:themeColor="text1"/>
          <w:kern w:val="2"/>
          <w:highlight w:val="none"/>
          <w14:textFill>
            <w14:solidFill>
              <w14:schemeClr w14:val="tx1"/>
            </w14:solidFill>
          </w14:textFill>
        </w:rPr>
        <w:t xml:space="preserve">有关要求，挥发性有机物流经以下设备与管线组件时，应进行泄漏检测与控制：泵、阀门、开口阀或开口管线、法兰及其他连接件、泄压设备、取样连接系统、其他密闭设备等。 </w:t>
      </w:r>
    </w:p>
    <w:p w14:paraId="61B7F292">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（1）泄漏检测周期 </w:t>
      </w:r>
    </w:p>
    <w:p w14:paraId="68E1A2A1">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①对设备与管线组件的密封点每周进行目视观察，检查其密封处是否出现可见泄漏现象： </w:t>
      </w:r>
    </w:p>
    <w:p w14:paraId="3328E14A">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②阀门、开口阀或开口管线、取样连接系统至少每6个月检测一次；法兰及其他连接件、其他密封设备每12个月检测一次； </w:t>
      </w:r>
    </w:p>
    <w:p w14:paraId="4257B5D0">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④设备和管线组件初次启动或检维修后，应在90d内进行泄漏检测； </w:t>
      </w:r>
    </w:p>
    <w:p w14:paraId="39E6D5EA">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（2）泄漏修复 </w:t>
      </w:r>
    </w:p>
    <w:p w14:paraId="67A93451">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①当检测到泄漏时，对泄漏源应予以标识并及时修复。发现泄漏之日起5d内应进行首次修复，应在发现泄漏之日起15d内完成修复。 </w:t>
      </w:r>
    </w:p>
    <w:p w14:paraId="6148FE1C">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②符合下列条件之一的设备与管线组件可延迟修复。企业应将延迟修复方案报生态环境主管部门备案，并于下次停车（工）检修期间完成修复。 </w:t>
      </w:r>
    </w:p>
    <w:p w14:paraId="48496D96">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a.装置停车（工）条件下才能修复； </w:t>
      </w:r>
    </w:p>
    <w:p w14:paraId="43FDDF2B">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b.立即修复存在安全风险； </w:t>
      </w:r>
    </w:p>
    <w:p w14:paraId="7D675FFD">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c.其他特殊情况 </w:t>
      </w:r>
    </w:p>
    <w:p w14:paraId="01DA7848">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（3）记录要求 </w:t>
      </w:r>
    </w:p>
    <w:p w14:paraId="35450FF0">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泄漏检测应建立台账，记录检测时间、检测仪器读数、修复时间、采取的修复措施、修复后检测仪器读数等，台账保存期限不少于3年。</w:t>
      </w:r>
    </w:p>
    <w:p w14:paraId="3581435B">
      <w:pPr>
        <w:pStyle w:val="9"/>
        <w:ind w:firstLine="48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企业应根据《中华人民共和国环境保护法》及《企业事业单位环境信息公开办法》，定期公开企业环境管理信息，积极通过网站、信息平台或当地报刊等便于公众知晓。将自行监测工作开展情况及监测结果向社会公众公开。</w:t>
      </w:r>
    </w:p>
    <w:p w14:paraId="74BE97F9">
      <w:pPr>
        <w:pageBreakBefore w:val="0"/>
        <w:widowControl/>
        <w:kinsoku/>
        <w:wordWrap/>
        <w:overflowPunct/>
        <w:topLinePunct w:val="0"/>
        <w:autoSpaceDE/>
        <w:autoSpaceDN/>
        <w:bidi w:val="0"/>
        <w:adjustRightInd w:val="0"/>
        <w:snapToGrid w:val="0"/>
        <w:spacing w:line="360" w:lineRule="auto"/>
        <w:ind w:firstLine="522"/>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1378" w:name="OLE_LINK935"/>
      <w:r>
        <w:rPr>
          <w:rFonts w:hint="eastAsia" w:cs="Times New Roman"/>
          <w:color w:val="000000" w:themeColor="text1"/>
          <w:highlight w:val="none"/>
          <w:lang w:val="en-US" w:eastAsia="zh-CN"/>
          <w14:textFill>
            <w14:solidFill>
              <w14:schemeClr w14:val="tx1"/>
            </w14:solidFill>
          </w14:textFill>
        </w:rPr>
        <w:t>本工程</w:t>
      </w:r>
      <w:bookmarkEnd w:id="1378"/>
      <w:r>
        <w:rPr>
          <w:rFonts w:hint="default" w:ascii="Times New Roman" w:hAnsi="Times New Roman" w:cs="Times New Roman"/>
          <w:color w:val="000000" w:themeColor="text1"/>
          <w:highlight w:val="none"/>
          <w14:textFill>
            <w14:solidFill>
              <w14:schemeClr w14:val="tx1"/>
            </w14:solidFill>
          </w14:textFill>
        </w:rPr>
        <w:t>事故预案中需包括应急监测程序，</w:t>
      </w:r>
      <w:r>
        <w:rPr>
          <w:rFonts w:hint="eastAsia" w:cs="Times New Roman"/>
          <w:color w:val="000000" w:themeColor="text1"/>
          <w:highlight w:val="none"/>
          <w:lang w:val="en-US"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运行过程中一旦发生事故，应立即启动应急监测程序，直至事故影响根本消除，事故应急监测方案应与地方环境监测站共同制订和实施。</w:t>
      </w:r>
    </w:p>
    <w:p w14:paraId="168B3A12">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en-US"/>
          <w14:textFill>
            <w14:solidFill>
              <w14:schemeClr w14:val="tx1"/>
            </w14:solidFill>
          </w14:textFill>
        </w:rPr>
      </w:pPr>
      <w:bookmarkStart w:id="1379" w:name="_Toc9415"/>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_Toc2082 </w:instrTex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9.5 环保设施“三同时”验收</w:t>
      </w:r>
      <w:r>
        <w:rPr>
          <w:rFonts w:hint="default"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79"/>
    </w:p>
    <w:p w14:paraId="769FED7A">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建设单位按照国务院</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生态环境</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部门规定的标准和程序，如实查验、监测、记载建设项目环境保护设施的建设和调试情况，对配套建设的环境保护设施进行验收，编制验收报告。</w:t>
      </w:r>
    </w:p>
    <w:p w14:paraId="2EDA0122">
      <w:pPr>
        <w:pStyle w:val="5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pPr>
      <w:bookmarkStart w:id="1380" w:name="_Toc3576"/>
      <w:bookmarkStart w:id="1381" w:name="_Toc25137"/>
      <w:r>
        <w:rPr>
          <w:rFonts w:hint="eastAsia"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t>.5.1验收调查范围</w:t>
      </w:r>
      <w:bookmarkEnd w:id="1380"/>
      <w:bookmarkEnd w:id="1381"/>
      <w:r>
        <w:rPr>
          <w:rFonts w:hint="default"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t xml:space="preserve"> </w:t>
      </w:r>
    </w:p>
    <w:p w14:paraId="3916F4C1">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根据《建设项目竣工环境保护验收技术规范 生态影响类》（HJ/T394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2007）和《建设项目竣工环境保护验收技术规范 石油天然气开采》（HJ612-2011），确定本工程竣工环境保护验收调查范围为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57D2723E">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①与项目有关的各项环保设施，包括为防治污染和保护环境所配套建成的治理工程、设备、装置和监测手段，以及各项生态保护设施等。</w:t>
      </w:r>
    </w:p>
    <w:p w14:paraId="72E0129F">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②环境影响报告书及批复文件和有关设计文件规定应采取的环保措施。</w:t>
      </w:r>
    </w:p>
    <w:p w14:paraId="398F5076">
      <w:pPr>
        <w:pStyle w:val="59"/>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pPr>
      <w:bookmarkStart w:id="1382" w:name="_Toc25187"/>
      <w:bookmarkStart w:id="1383" w:name="_Toc23445"/>
      <w:r>
        <w:rPr>
          <w:rFonts w:hint="eastAsia" w:ascii="Times New Roman" w:hAnsi="Times New Roman" w:eastAsia="宋体" w:cs="Times New Roman"/>
          <w:b/>
          <w:bCs/>
          <w:color w:val="000000" w:themeColor="text1"/>
          <w:sz w:val="28"/>
          <w:szCs w:val="28"/>
          <w:highlight w:val="none"/>
          <w:lang w:val="en-US" w:eastAsia="zh-CN" w:bidi="ar-SA"/>
          <w14:textFill>
            <w14:solidFill>
              <w14:schemeClr w14:val="tx1"/>
            </w14:solidFill>
          </w14:textFill>
        </w:rPr>
        <w:t>9.5.2验收调查建议</w:t>
      </w:r>
      <w:bookmarkEnd w:id="1382"/>
      <w:bookmarkEnd w:id="1383"/>
    </w:p>
    <w:p w14:paraId="3463CBA8">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按照《建设项目竣工环境保护验收技术规范 石油天然气开采》中有关规定开展验收。环保验收建议清单见表9.5-1。</w:t>
      </w:r>
    </w:p>
    <w:p w14:paraId="173B7F4B">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.5-1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三同时验收一览表（建议）</w:t>
      </w:r>
    </w:p>
    <w:tbl>
      <w:tblPr>
        <w:tblStyle w:val="37"/>
        <w:tblW w:w="505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6"/>
        <w:gridCol w:w="265"/>
        <w:gridCol w:w="505"/>
        <w:gridCol w:w="934"/>
        <w:gridCol w:w="3015"/>
        <w:gridCol w:w="1514"/>
        <w:gridCol w:w="1950"/>
      </w:tblGrid>
      <w:tr w14:paraId="4BDC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44016E9C">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156" w:type="pct"/>
            <w:vAlign w:val="center"/>
          </w:tcPr>
          <w:p w14:paraId="477969FB">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851" w:type="pct"/>
            <w:gridSpan w:val="2"/>
            <w:vAlign w:val="center"/>
          </w:tcPr>
          <w:p w14:paraId="19D50DF1">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污染源</w:t>
            </w:r>
          </w:p>
        </w:tc>
        <w:tc>
          <w:tcPr>
            <w:tcW w:w="1784" w:type="pct"/>
            <w:vAlign w:val="center"/>
          </w:tcPr>
          <w:p w14:paraId="226106B9">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环保措施</w:t>
            </w:r>
          </w:p>
        </w:tc>
        <w:tc>
          <w:tcPr>
            <w:tcW w:w="895" w:type="pct"/>
            <w:vAlign w:val="center"/>
          </w:tcPr>
          <w:p w14:paraId="11397D9F">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治理效果</w:t>
            </w:r>
          </w:p>
        </w:tc>
        <w:tc>
          <w:tcPr>
            <w:tcW w:w="1153" w:type="pct"/>
            <w:vAlign w:val="center"/>
          </w:tcPr>
          <w:p w14:paraId="4F9D279E">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验收标准</w:t>
            </w:r>
          </w:p>
        </w:tc>
      </w:tr>
      <w:tr w14:paraId="166C0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251422A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156" w:type="pct"/>
            <w:vAlign w:val="center"/>
          </w:tcPr>
          <w:p w14:paraId="51BBDD6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7108474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施工扬尘</w:t>
            </w:r>
          </w:p>
        </w:tc>
        <w:tc>
          <w:tcPr>
            <w:tcW w:w="1784" w:type="pct"/>
            <w:vAlign w:val="center"/>
          </w:tcPr>
          <w:p w14:paraId="52D99D3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洒水抑尘、车辆减速慢行、物料苫盖</w:t>
            </w:r>
          </w:p>
        </w:tc>
        <w:tc>
          <w:tcPr>
            <w:tcW w:w="895" w:type="pct"/>
            <w:vAlign w:val="center"/>
          </w:tcPr>
          <w:p w14:paraId="7DEDE20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0647B00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372A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464DBC83">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4946A4E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851" w:type="pct"/>
            <w:gridSpan w:val="2"/>
            <w:vAlign w:val="center"/>
          </w:tcPr>
          <w:p w14:paraId="4BAF202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施工机械废气及运输车辆尾气</w:t>
            </w:r>
          </w:p>
        </w:tc>
        <w:tc>
          <w:tcPr>
            <w:tcW w:w="1784" w:type="pct"/>
            <w:vAlign w:val="center"/>
          </w:tcPr>
          <w:p w14:paraId="26AA8A0A">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使用合格燃料，加强施工管理</w:t>
            </w:r>
          </w:p>
        </w:tc>
        <w:tc>
          <w:tcPr>
            <w:tcW w:w="895" w:type="pct"/>
            <w:vAlign w:val="center"/>
          </w:tcPr>
          <w:p w14:paraId="5B7E103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2F1E45E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5379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1FC3806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156" w:type="pct"/>
            <w:vAlign w:val="center"/>
          </w:tcPr>
          <w:p w14:paraId="6DBF173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shd w:val="clear" w:color="auto" w:fill="auto"/>
            <w:vAlign w:val="center"/>
          </w:tcPr>
          <w:p w14:paraId="7F950965">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钻井废水</w:t>
            </w:r>
          </w:p>
        </w:tc>
        <w:tc>
          <w:tcPr>
            <w:tcW w:w="1784" w:type="pct"/>
            <w:shd w:val="clear" w:color="auto" w:fill="auto"/>
            <w:vAlign w:val="center"/>
          </w:tcPr>
          <w:p w14:paraId="0A981C80">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进入泥浆不落地处理系统处理，</w:t>
            </w:r>
          </w:p>
        </w:tc>
        <w:tc>
          <w:tcPr>
            <w:tcW w:w="895" w:type="pct"/>
            <w:shd w:val="clear" w:color="auto" w:fill="auto"/>
            <w:vAlign w:val="center"/>
          </w:tcPr>
          <w:p w14:paraId="2F783612">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不外排</w:t>
            </w:r>
          </w:p>
        </w:tc>
        <w:tc>
          <w:tcPr>
            <w:tcW w:w="1153" w:type="pct"/>
            <w:vAlign w:val="center"/>
          </w:tcPr>
          <w:p w14:paraId="714D8DB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0C96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35DB508E">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4" w:name="OLE_LINK962" w:colFirst="4" w:colLast="6"/>
          </w:p>
        </w:tc>
        <w:tc>
          <w:tcPr>
            <w:tcW w:w="156" w:type="pct"/>
            <w:vAlign w:val="center"/>
          </w:tcPr>
          <w:p w14:paraId="2E73CB2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851" w:type="pct"/>
            <w:gridSpan w:val="2"/>
            <w:vAlign w:val="center"/>
          </w:tcPr>
          <w:p w14:paraId="25754AF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生活污水</w:t>
            </w:r>
          </w:p>
        </w:tc>
        <w:tc>
          <w:tcPr>
            <w:tcW w:w="1784" w:type="pct"/>
            <w:vAlign w:val="center"/>
          </w:tcPr>
          <w:p w14:paraId="29D29C3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经井场一体化污水处理装置处理后，水质达到《农村生活污水处理排放标准》（DB65 4275-2019）表二的B级标准、《农田灌溉水质标准》（GB 5084-2021）表一旱地作物标准后用于井场及道路降尘</w:t>
            </w:r>
          </w:p>
        </w:tc>
        <w:tc>
          <w:tcPr>
            <w:tcW w:w="895" w:type="pct"/>
            <w:vAlign w:val="center"/>
          </w:tcPr>
          <w:p w14:paraId="2C3028F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不外排</w:t>
            </w:r>
          </w:p>
        </w:tc>
        <w:tc>
          <w:tcPr>
            <w:tcW w:w="1153" w:type="pct"/>
            <w:vAlign w:val="center"/>
          </w:tcPr>
          <w:p w14:paraId="4A808A1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bookmarkEnd w:id="1384"/>
      <w:tr w14:paraId="7FB70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365E5F7A">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5" w:name="OLE_LINK963" w:colFirst="4" w:colLast="6"/>
          </w:p>
        </w:tc>
        <w:tc>
          <w:tcPr>
            <w:tcW w:w="156" w:type="pct"/>
            <w:vAlign w:val="center"/>
          </w:tcPr>
          <w:p w14:paraId="40299B0B">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851" w:type="pct"/>
            <w:gridSpan w:val="2"/>
            <w:shd w:val="clear" w:color="auto" w:fill="auto"/>
            <w:vAlign w:val="center"/>
          </w:tcPr>
          <w:p w14:paraId="4908BF32">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酸化压裂废水</w:t>
            </w:r>
          </w:p>
        </w:tc>
        <w:tc>
          <w:tcPr>
            <w:tcW w:w="1784" w:type="pct"/>
            <w:shd w:val="clear" w:color="auto" w:fill="auto"/>
            <w:vAlign w:val="center"/>
          </w:tcPr>
          <w:p w14:paraId="5C141363">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采用专用废液收集罐收集后运至阿克苏塔河环保工程有限公司绿色环保工作站处理</w:t>
            </w:r>
          </w:p>
        </w:tc>
        <w:tc>
          <w:tcPr>
            <w:tcW w:w="895" w:type="pct"/>
            <w:shd w:val="clear" w:color="auto" w:fill="auto"/>
            <w:vAlign w:val="center"/>
          </w:tcPr>
          <w:p w14:paraId="76877784">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不外排</w:t>
            </w:r>
          </w:p>
        </w:tc>
        <w:tc>
          <w:tcPr>
            <w:tcW w:w="1153" w:type="pct"/>
            <w:vAlign w:val="center"/>
          </w:tcPr>
          <w:p w14:paraId="232A58A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bookmarkEnd w:id="1385"/>
      <w:tr w14:paraId="2BA63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6FCF8D9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156" w:type="pct"/>
            <w:vAlign w:val="center"/>
          </w:tcPr>
          <w:p w14:paraId="703AA70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0F102B7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土方施工、各类施工机械和运输车辆</w:t>
            </w:r>
          </w:p>
        </w:tc>
        <w:tc>
          <w:tcPr>
            <w:tcW w:w="1784" w:type="pct"/>
            <w:vAlign w:val="center"/>
          </w:tcPr>
          <w:p w14:paraId="0A8E51E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选用低噪声设备、合理安排施工作业时间</w:t>
            </w:r>
          </w:p>
        </w:tc>
        <w:tc>
          <w:tcPr>
            <w:tcW w:w="895" w:type="pct"/>
            <w:vAlign w:val="center"/>
          </w:tcPr>
          <w:p w14:paraId="4634A6E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332F7D7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4368F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5623FC7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156" w:type="pct"/>
            <w:vAlign w:val="center"/>
          </w:tcPr>
          <w:p w14:paraId="6287B6AF">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5BB3F64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钻井泥浆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岩屑</w:t>
            </w:r>
          </w:p>
        </w:tc>
        <w:tc>
          <w:tcPr>
            <w:tcW w:w="1784" w:type="pct"/>
            <w:vAlign w:val="center"/>
          </w:tcPr>
          <w:p w14:paraId="35B3454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废弃油基泥浆委托有资质单位拉运处置。</w:t>
            </w:r>
          </w:p>
        </w:tc>
        <w:tc>
          <w:tcPr>
            <w:tcW w:w="895" w:type="pct"/>
            <w:vAlign w:val="center"/>
          </w:tcPr>
          <w:p w14:paraId="3B46EDD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不外排</w:t>
            </w:r>
          </w:p>
        </w:tc>
        <w:tc>
          <w:tcPr>
            <w:tcW w:w="1153" w:type="pct"/>
            <w:vAlign w:val="center"/>
          </w:tcPr>
          <w:p w14:paraId="58E1178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2717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6A9511C0">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5B0857DC">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851" w:type="pct"/>
            <w:gridSpan w:val="2"/>
            <w:vAlign w:val="center"/>
          </w:tcPr>
          <w:p w14:paraId="2A64E29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落地油</w:t>
            </w:r>
          </w:p>
        </w:tc>
        <w:tc>
          <w:tcPr>
            <w:tcW w:w="1784" w:type="pct"/>
            <w:vAlign w:val="center"/>
          </w:tcPr>
          <w:p w14:paraId="2F40924F">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回收至罐车内，由阿克苏塔河环保工程有限公司绿色环保工作站进行无害化处理</w:t>
            </w:r>
          </w:p>
        </w:tc>
        <w:tc>
          <w:tcPr>
            <w:tcW w:w="895" w:type="pct"/>
            <w:vAlign w:val="center"/>
          </w:tcPr>
          <w:p w14:paraId="40D8869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0B73B3A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0CDA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1CC58A5F">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6D87C231">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851" w:type="pct"/>
            <w:gridSpan w:val="2"/>
            <w:vAlign w:val="center"/>
          </w:tcPr>
          <w:p w14:paraId="652BBBD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废润滑油</w:t>
            </w:r>
          </w:p>
        </w:tc>
        <w:tc>
          <w:tcPr>
            <w:tcW w:w="1784" w:type="pct"/>
            <w:vAlign w:val="center"/>
          </w:tcPr>
          <w:p w14:paraId="37B1E4B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自行利用回注系统或委托持有危险废物经营许可证的单位利用处置</w:t>
            </w:r>
          </w:p>
        </w:tc>
        <w:tc>
          <w:tcPr>
            <w:tcW w:w="895" w:type="pct"/>
            <w:vAlign w:val="center"/>
          </w:tcPr>
          <w:p w14:paraId="721B87A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5D37F74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7B84A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218DB70A">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6" w:name="OLE_LINK965" w:colFirst="4" w:colLast="6"/>
          </w:p>
        </w:tc>
        <w:tc>
          <w:tcPr>
            <w:tcW w:w="156" w:type="pct"/>
            <w:vAlign w:val="center"/>
          </w:tcPr>
          <w:p w14:paraId="4021C69D">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851" w:type="pct"/>
            <w:gridSpan w:val="2"/>
            <w:vAlign w:val="center"/>
          </w:tcPr>
          <w:p w14:paraId="70A42B8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施工土方</w:t>
            </w:r>
          </w:p>
        </w:tc>
        <w:tc>
          <w:tcPr>
            <w:tcW w:w="1784" w:type="pct"/>
            <w:vAlign w:val="center"/>
          </w:tcPr>
          <w:p w14:paraId="04F77F1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全部用于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14:textFill>
                  <w14:solidFill>
                    <w14:schemeClr w14:val="tx1"/>
                  </w14:solidFill>
                </w14:textFill>
              </w:rPr>
              <w:t>场回填，场地平整</w:t>
            </w:r>
          </w:p>
        </w:tc>
        <w:tc>
          <w:tcPr>
            <w:tcW w:w="895" w:type="pct"/>
            <w:vAlign w:val="center"/>
          </w:tcPr>
          <w:p w14:paraId="58E282E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11FA710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bookmarkEnd w:id="1386"/>
      <w:tr w14:paraId="54B52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35C7A940">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6FDDE430">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851" w:type="pct"/>
            <w:gridSpan w:val="2"/>
            <w:vAlign w:val="center"/>
          </w:tcPr>
          <w:p w14:paraId="7B5C8B2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施工废料</w:t>
            </w:r>
          </w:p>
        </w:tc>
        <w:tc>
          <w:tcPr>
            <w:tcW w:w="1784" w:type="pct"/>
            <w:vAlign w:val="center"/>
          </w:tcPr>
          <w:p w14:paraId="4DC77FB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首先考虑回收利用，不可回收利用部分由库车绿能环保科技有限公司拉运至库车经济开发区工业固废填埋场合规处置</w:t>
            </w:r>
          </w:p>
        </w:tc>
        <w:tc>
          <w:tcPr>
            <w:tcW w:w="895" w:type="pct"/>
            <w:vAlign w:val="center"/>
          </w:tcPr>
          <w:p w14:paraId="107D10B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7732FC7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8246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4954FB7B">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77C95BB1">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851" w:type="pct"/>
            <w:gridSpan w:val="2"/>
            <w:vAlign w:val="center"/>
          </w:tcPr>
          <w:p w14:paraId="14B0A35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1784" w:type="pct"/>
            <w:vAlign w:val="center"/>
          </w:tcPr>
          <w:p w14:paraId="57399F2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集中收集后，委托库车绿能环保科技有限公司清运处置</w:t>
            </w:r>
          </w:p>
        </w:tc>
        <w:tc>
          <w:tcPr>
            <w:tcW w:w="895" w:type="pct"/>
            <w:vAlign w:val="center"/>
          </w:tcPr>
          <w:p w14:paraId="63FB692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204ACE1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0A0A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280DA7B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w:t>
            </w:r>
          </w:p>
        </w:tc>
        <w:tc>
          <w:tcPr>
            <w:tcW w:w="156" w:type="pct"/>
            <w:vAlign w:val="center"/>
          </w:tcPr>
          <w:p w14:paraId="5E4E640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018C832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生态恢复</w:t>
            </w:r>
          </w:p>
        </w:tc>
        <w:tc>
          <w:tcPr>
            <w:tcW w:w="1784" w:type="pct"/>
            <w:vAlign w:val="center"/>
          </w:tcPr>
          <w:p w14:paraId="5B84056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检查道路沿线生态恢复及水土保持措施落实情况</w:t>
            </w:r>
          </w:p>
        </w:tc>
        <w:tc>
          <w:tcPr>
            <w:tcW w:w="895" w:type="pct"/>
            <w:vAlign w:val="center"/>
          </w:tcPr>
          <w:p w14:paraId="556162E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0DA84D4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13B39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764FE285">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7" w:name="OLE_LINK968" w:colFirst="4" w:colLast="5"/>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156" w:type="pct"/>
            <w:vAlign w:val="center"/>
          </w:tcPr>
          <w:p w14:paraId="14F54D1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shd w:val="clear" w:color="auto" w:fill="auto"/>
            <w:vAlign w:val="center"/>
          </w:tcPr>
          <w:p w14:paraId="4C376E6B">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采出水</w:t>
            </w:r>
          </w:p>
        </w:tc>
        <w:tc>
          <w:tcPr>
            <w:tcW w:w="1784" w:type="pct"/>
            <w:shd w:val="clear" w:color="auto" w:fill="auto"/>
            <w:vAlign w:val="center"/>
          </w:tcPr>
          <w:p w14:paraId="07894061">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开采初期不含水，后期若产生采出水，随凝析油一同运至雅克拉集气处理站处理。</w:t>
            </w:r>
          </w:p>
        </w:tc>
        <w:tc>
          <w:tcPr>
            <w:tcW w:w="895" w:type="pct"/>
            <w:shd w:val="clear" w:color="auto" w:fill="auto"/>
            <w:vAlign w:val="center"/>
          </w:tcPr>
          <w:p w14:paraId="5D0D6FBB">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shd w:val="clear" w:color="auto" w:fill="auto"/>
            <w:vAlign w:val="center"/>
          </w:tcPr>
          <w:p w14:paraId="0C2A4EAC">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处理达到《</w:t>
            </w:r>
            <w:r>
              <w:rPr>
                <w:rFonts w:hint="eastAsia" w:cs="Times New Roman"/>
                <w:color w:val="000000" w:themeColor="text1"/>
                <w:sz w:val="21"/>
                <w:szCs w:val="21"/>
                <w:highlight w:val="none"/>
                <w:lang w:eastAsia="zh-CN"/>
                <w14:textFill>
                  <w14:solidFill>
                    <w14:schemeClr w14:val="tx1"/>
                  </w14:solidFill>
                </w14:textFill>
              </w:rPr>
              <w:t>碎屑岩油藏注水水质指标技术要求及分析方法</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SY/T 5329-2022</w:t>
            </w:r>
            <w:r>
              <w:rPr>
                <w:rFonts w:hint="default" w:ascii="Times New Roman" w:hAnsi="Times New Roman" w:cs="Times New Roman"/>
                <w:color w:val="000000" w:themeColor="text1"/>
                <w:sz w:val="21"/>
                <w:szCs w:val="21"/>
                <w:highlight w:val="none"/>
                <w14:textFill>
                  <w14:solidFill>
                    <w14:schemeClr w14:val="tx1"/>
                  </w14:solidFill>
                </w14:textFill>
              </w:rPr>
              <w:t>）中推荐水质标准要求后回注。</w:t>
            </w:r>
          </w:p>
        </w:tc>
      </w:tr>
      <w:bookmarkEnd w:id="1387"/>
      <w:tr w14:paraId="01F2F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7AC1E86C">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745DDBC3">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851" w:type="pct"/>
            <w:gridSpan w:val="2"/>
            <w:vAlign w:val="center"/>
          </w:tcPr>
          <w:p w14:paraId="767A189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井下作业废水</w:t>
            </w:r>
          </w:p>
        </w:tc>
        <w:tc>
          <w:tcPr>
            <w:tcW w:w="1784" w:type="pct"/>
            <w:vAlign w:val="center"/>
          </w:tcPr>
          <w:p w14:paraId="0A0ADC7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自带回收罐回收井下作业废水，依托阿克苏塔河环保工程有限公司绿色环保工作站处理</w:t>
            </w:r>
          </w:p>
        </w:tc>
        <w:tc>
          <w:tcPr>
            <w:tcW w:w="895" w:type="pct"/>
            <w:vAlign w:val="center"/>
          </w:tcPr>
          <w:p w14:paraId="4890CDBF">
            <w:pPr>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153" w:type="pct"/>
            <w:vAlign w:val="center"/>
          </w:tcPr>
          <w:p w14:paraId="3D72587E">
            <w:pPr>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67932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3" w:hRule="atLeast"/>
        </w:trPr>
        <w:tc>
          <w:tcPr>
            <w:tcW w:w="157" w:type="pct"/>
            <w:vAlign w:val="center"/>
          </w:tcPr>
          <w:p w14:paraId="0E8834E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156" w:type="pct"/>
            <w:vAlign w:val="center"/>
          </w:tcPr>
          <w:p w14:paraId="2D4A59F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shd w:val="clear" w:color="auto" w:fill="auto"/>
            <w:vAlign w:val="center"/>
          </w:tcPr>
          <w:p w14:paraId="07A98612">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井场无组织废气</w:t>
            </w:r>
          </w:p>
        </w:tc>
        <w:tc>
          <w:tcPr>
            <w:tcW w:w="1784" w:type="pct"/>
            <w:shd w:val="clear" w:color="auto" w:fill="auto"/>
            <w:vAlign w:val="center"/>
          </w:tcPr>
          <w:p w14:paraId="2C2E6DF1">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凝析油</w:t>
            </w:r>
            <w:r>
              <w:rPr>
                <w:rFonts w:hint="default" w:ascii="Times New Roman" w:hAnsi="Times New Roman" w:cs="Times New Roman"/>
                <w:color w:val="000000" w:themeColor="text1"/>
                <w:sz w:val="21"/>
                <w:szCs w:val="21"/>
                <w:highlight w:val="none"/>
                <w14:textFill>
                  <w14:solidFill>
                    <w14:schemeClr w14:val="tx1"/>
                  </w14:solidFill>
                </w14:textFill>
              </w:rPr>
              <w:t>装车设置气体回收处理装置、阀门的检修和维护。</w:t>
            </w:r>
          </w:p>
        </w:tc>
        <w:tc>
          <w:tcPr>
            <w:tcW w:w="895" w:type="pct"/>
            <w:shd w:val="clear" w:color="auto" w:fill="auto"/>
            <w:vAlign w:val="center"/>
          </w:tcPr>
          <w:p w14:paraId="2BE2C683">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厂界非甲烷总烃≤4.0mg/m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153" w:type="pct"/>
            <w:shd w:val="clear" w:color="auto" w:fill="auto"/>
            <w:vAlign w:val="center"/>
          </w:tcPr>
          <w:p w14:paraId="05E95C0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《陆上石油天然气开采工业大气污染物排放标准》（GB39728-</w:t>
            </w:r>
          </w:p>
          <w:p w14:paraId="2C378F88">
            <w:pPr>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2020</w:t>
            </w:r>
            <w:r>
              <w:rPr>
                <w:rFonts w:hint="eastAsia" w:cs="Times New Roman"/>
                <w:color w:val="000000" w:themeColor="text1"/>
                <w:sz w:val="21"/>
                <w:szCs w:val="21"/>
                <w:highlight w:val="none"/>
                <w:lang w:eastAsia="zh-CN"/>
                <w14:textFill>
                  <w14:solidFill>
                    <w14:schemeClr w14:val="tx1"/>
                  </w14:solidFill>
                </w14:textFill>
              </w:rPr>
              <w:t>）</w:t>
            </w:r>
          </w:p>
        </w:tc>
      </w:tr>
      <w:tr w14:paraId="70B9E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0713CA5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156" w:type="pct"/>
            <w:vAlign w:val="center"/>
          </w:tcPr>
          <w:p w14:paraId="7A1CA9E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08F2863F">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井场</w:t>
            </w:r>
          </w:p>
        </w:tc>
        <w:tc>
          <w:tcPr>
            <w:tcW w:w="1784" w:type="pct"/>
            <w:vAlign w:val="center"/>
          </w:tcPr>
          <w:p w14:paraId="418D162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基础减震</w:t>
            </w:r>
          </w:p>
        </w:tc>
        <w:tc>
          <w:tcPr>
            <w:tcW w:w="895" w:type="pct"/>
            <w:vAlign w:val="center"/>
          </w:tcPr>
          <w:p w14:paraId="72AF33AE">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昼间≤60dB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w:t>
            </w:r>
          </w:p>
          <w:p w14:paraId="165654BA">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夜间≤50dB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w:t>
            </w:r>
          </w:p>
        </w:tc>
        <w:tc>
          <w:tcPr>
            <w:tcW w:w="1153" w:type="pct"/>
            <w:vAlign w:val="center"/>
          </w:tcPr>
          <w:p w14:paraId="078F4AA0">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《工业企业厂界环境噪声排放标准》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GB12348-2008</w:t>
            </w:r>
            <w:r>
              <w:rPr>
                <w:rFonts w:hint="eastAsia" w:cs="Times New Roman"/>
                <w:color w:val="000000" w:themeColor="text1"/>
                <w:sz w:val="21"/>
                <w:szCs w:val="21"/>
                <w:highlight w:val="none"/>
                <w:lang w:eastAsia="zh-CN"/>
                <w14:textFill>
                  <w14:solidFill>
                    <w14:schemeClr w14:val="tx1"/>
                  </w14:solidFill>
                </w14:textFill>
              </w:rPr>
              <w:t>）</w:t>
            </w:r>
          </w:p>
          <w:p w14:paraId="2B612D9F">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2类区排放限值</w:t>
            </w:r>
          </w:p>
        </w:tc>
      </w:tr>
      <w:tr w14:paraId="0C364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6DE3E3FA">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156" w:type="pct"/>
            <w:vAlign w:val="center"/>
          </w:tcPr>
          <w:p w14:paraId="4CE4A74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3DEB17C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落地油</w:t>
            </w:r>
          </w:p>
        </w:tc>
        <w:tc>
          <w:tcPr>
            <w:tcW w:w="1784" w:type="pct"/>
            <w:vAlign w:val="center"/>
          </w:tcPr>
          <w:p w14:paraId="0001117F">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w:t>
            </w:r>
            <w:r>
              <w:rPr>
                <w:rFonts w:hint="default" w:ascii="Times New Roman" w:hAnsi="Times New Roman" w:eastAsia="宋体" w:cs="Times New Roman"/>
                <w:color w:val="000000" w:themeColor="text1"/>
                <w:sz w:val="21"/>
                <w:szCs w:val="21"/>
                <w:highlight w:val="none"/>
                <w14:textFill>
                  <w14:solidFill>
                    <w14:schemeClr w14:val="tx1"/>
                  </w14:solidFill>
                </w14:textFill>
              </w:rPr>
              <w:t>阿克苏塔河环保工程有限公司绿色环保工作站清运处置</w:t>
            </w:r>
          </w:p>
        </w:tc>
        <w:tc>
          <w:tcPr>
            <w:tcW w:w="895" w:type="pct"/>
            <w:vAlign w:val="center"/>
          </w:tcPr>
          <w:p w14:paraId="44235C0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Merge w:val="restart"/>
            <w:vAlign w:val="center"/>
          </w:tcPr>
          <w:p w14:paraId="65B4C30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《危险废物贮存污染控制标准》（GB18597-2023）</w:t>
            </w:r>
          </w:p>
        </w:tc>
      </w:tr>
      <w:tr w14:paraId="1BB70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5E0CB976">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486FD01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851" w:type="pct"/>
            <w:gridSpan w:val="2"/>
            <w:vAlign w:val="center"/>
          </w:tcPr>
          <w:p w14:paraId="409AB6E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废润滑油</w:t>
            </w:r>
          </w:p>
        </w:tc>
        <w:tc>
          <w:tcPr>
            <w:tcW w:w="1784" w:type="pct"/>
            <w:vAlign w:val="center"/>
          </w:tcPr>
          <w:p w14:paraId="622F5557">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自行利用回注系统或委托持有危险废物经营许可证的单位利用处置</w:t>
            </w:r>
          </w:p>
        </w:tc>
        <w:tc>
          <w:tcPr>
            <w:tcW w:w="895" w:type="pct"/>
            <w:vAlign w:val="center"/>
          </w:tcPr>
          <w:p w14:paraId="24F855E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Merge w:val="continue"/>
            <w:vAlign w:val="center"/>
          </w:tcPr>
          <w:p w14:paraId="1D367ECF">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50C3F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09D47B71">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09ED1F9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851" w:type="pct"/>
            <w:gridSpan w:val="2"/>
            <w:vAlign w:val="center"/>
          </w:tcPr>
          <w:p w14:paraId="74602D8A">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清罐底泥</w:t>
            </w:r>
          </w:p>
        </w:tc>
        <w:tc>
          <w:tcPr>
            <w:tcW w:w="1784" w:type="pct"/>
            <w:vAlign w:val="center"/>
          </w:tcPr>
          <w:p w14:paraId="14F1D5D9">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回收至密闭的专用罐车内，委托持有危险废物经营许可证的单位利用处置</w:t>
            </w:r>
          </w:p>
        </w:tc>
        <w:tc>
          <w:tcPr>
            <w:tcW w:w="895" w:type="pct"/>
            <w:vAlign w:val="center"/>
          </w:tcPr>
          <w:p w14:paraId="488A880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Merge w:val="continue"/>
            <w:vAlign w:val="center"/>
          </w:tcPr>
          <w:p w14:paraId="4B6CCE9F">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435CF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6F7AB311">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172540F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851" w:type="pct"/>
            <w:gridSpan w:val="2"/>
            <w:vAlign w:val="center"/>
          </w:tcPr>
          <w:p w14:paraId="52B8AC8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废防渗材料</w:t>
            </w:r>
          </w:p>
        </w:tc>
        <w:tc>
          <w:tcPr>
            <w:tcW w:w="1784" w:type="pct"/>
            <w:vAlign w:val="center"/>
          </w:tcPr>
          <w:p w14:paraId="0C22B19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委托持有危险废物经营许可证的单位利用处置</w:t>
            </w:r>
          </w:p>
        </w:tc>
        <w:tc>
          <w:tcPr>
            <w:tcW w:w="895" w:type="pct"/>
            <w:vAlign w:val="center"/>
          </w:tcPr>
          <w:p w14:paraId="3D09403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Merge w:val="continue"/>
            <w:vAlign w:val="center"/>
          </w:tcPr>
          <w:p w14:paraId="4B89B8D1">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3C72B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4C12C801">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4C61D6A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851" w:type="pct"/>
            <w:gridSpan w:val="2"/>
            <w:vAlign w:val="center"/>
          </w:tcPr>
          <w:p w14:paraId="102D396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钻井泥浆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岩屑</w:t>
            </w:r>
          </w:p>
        </w:tc>
        <w:tc>
          <w:tcPr>
            <w:tcW w:w="1784" w:type="pct"/>
            <w:vAlign w:val="center"/>
          </w:tcPr>
          <w:p w14:paraId="4609B50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废弃油基泥浆委托有资质单位拉运处置。</w:t>
            </w:r>
          </w:p>
        </w:tc>
        <w:tc>
          <w:tcPr>
            <w:tcW w:w="895" w:type="pct"/>
            <w:vAlign w:val="center"/>
          </w:tcPr>
          <w:p w14:paraId="6CDA835C">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8" w:name="OLE_LINK970"/>
            <w:r>
              <w:rPr>
                <w:rFonts w:hint="default" w:ascii="Times New Roman" w:hAnsi="Times New Roman" w:cs="Times New Roman"/>
                <w:color w:val="000000" w:themeColor="text1"/>
                <w:sz w:val="21"/>
                <w:szCs w:val="21"/>
                <w:highlight w:val="none"/>
                <w14:textFill>
                  <w14:solidFill>
                    <w14:schemeClr w14:val="tx1"/>
                  </w14:solidFill>
                </w14:textFill>
              </w:rPr>
              <w:t>-</w:t>
            </w:r>
            <w:bookmarkEnd w:id="1388"/>
          </w:p>
        </w:tc>
        <w:tc>
          <w:tcPr>
            <w:tcW w:w="1153" w:type="pct"/>
            <w:vAlign w:val="center"/>
          </w:tcPr>
          <w:p w14:paraId="37DAE54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101C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9" w:hRule="atLeast"/>
        </w:trPr>
        <w:tc>
          <w:tcPr>
            <w:tcW w:w="157" w:type="pct"/>
            <w:vMerge w:val="restart"/>
            <w:vAlign w:val="center"/>
          </w:tcPr>
          <w:p w14:paraId="2C62E043">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89" w:name="OLE_LINK973" w:colFirst="6" w:colLast="7"/>
            <w:r>
              <w:rPr>
                <w:rFonts w:hint="default" w:ascii="Times New Roman" w:hAnsi="Times New Roman" w:cs="Times New Roman"/>
                <w:color w:val="000000" w:themeColor="text1"/>
                <w:sz w:val="21"/>
                <w:szCs w:val="21"/>
                <w:highlight w:val="none"/>
                <w14:textFill>
                  <w14:solidFill>
                    <w14:schemeClr w14:val="tx1"/>
                  </w14:solidFill>
                </w14:textFill>
              </w:rPr>
              <w:t>防渗</w:t>
            </w:r>
          </w:p>
        </w:tc>
        <w:tc>
          <w:tcPr>
            <w:tcW w:w="156" w:type="pct"/>
            <w:vMerge w:val="restart"/>
            <w:vAlign w:val="center"/>
          </w:tcPr>
          <w:p w14:paraId="7768842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298" w:type="pct"/>
            <w:vAlign w:val="center"/>
          </w:tcPr>
          <w:p w14:paraId="6B8B56C8">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一般防渗区</w:t>
            </w:r>
          </w:p>
        </w:tc>
        <w:tc>
          <w:tcPr>
            <w:tcW w:w="552" w:type="pct"/>
            <w:vAlign w:val="center"/>
          </w:tcPr>
          <w:p w14:paraId="3560617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多功能集油器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等</w:t>
            </w:r>
          </w:p>
        </w:tc>
        <w:tc>
          <w:tcPr>
            <w:tcW w:w="1784" w:type="pct"/>
            <w:vAlign w:val="center"/>
          </w:tcPr>
          <w:p w14:paraId="725E93FB">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防渗层防渗性能不应低于1.5m厚渗透系数为1×10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 黏土层的防渗性能</w:t>
            </w:r>
          </w:p>
        </w:tc>
        <w:tc>
          <w:tcPr>
            <w:tcW w:w="895" w:type="pct"/>
            <w:vAlign w:val="center"/>
          </w:tcPr>
          <w:p w14:paraId="3FCF95C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满足防渗要求</w:t>
            </w:r>
          </w:p>
        </w:tc>
        <w:tc>
          <w:tcPr>
            <w:tcW w:w="1153" w:type="pct"/>
            <w:vAlign w:val="center"/>
          </w:tcPr>
          <w:p w14:paraId="2C09D436">
            <w:pPr>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90" w:name="OLE_LINK972"/>
            <w:r>
              <w:rPr>
                <w:rFonts w:hint="default" w:ascii="Times New Roman" w:hAnsi="Times New Roman" w:cs="Times New Roman"/>
                <w:color w:val="000000" w:themeColor="text1"/>
                <w:sz w:val="21"/>
                <w:szCs w:val="21"/>
                <w:highlight w:val="none"/>
                <w14:textFill>
                  <w14:solidFill>
                    <w14:schemeClr w14:val="tx1"/>
                  </w14:solidFill>
                </w14:textFill>
              </w:rPr>
              <w:t>-</w:t>
            </w:r>
            <w:bookmarkEnd w:id="1390"/>
          </w:p>
        </w:tc>
      </w:tr>
      <w:bookmarkEnd w:id="1389"/>
      <w:tr w14:paraId="34ED1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9" w:hRule="atLeast"/>
        </w:trPr>
        <w:tc>
          <w:tcPr>
            <w:tcW w:w="157" w:type="pct"/>
            <w:vMerge w:val="continue"/>
            <w:vAlign w:val="center"/>
          </w:tcPr>
          <w:p w14:paraId="5EDC1046">
            <w:pPr>
              <w:jc w:val="center"/>
              <w:rPr>
                <w:color w:val="000000" w:themeColor="text1"/>
                <w:highlight w:val="none"/>
                <w14:textFill>
                  <w14:solidFill>
                    <w14:schemeClr w14:val="tx1"/>
                  </w14:solidFill>
                </w14:textFill>
              </w:rPr>
            </w:pPr>
          </w:p>
        </w:tc>
        <w:tc>
          <w:tcPr>
            <w:tcW w:w="156" w:type="pct"/>
            <w:vMerge w:val="continue"/>
            <w:vAlign w:val="center"/>
          </w:tcPr>
          <w:p w14:paraId="2157CE1D">
            <w:pPr>
              <w:jc w:val="center"/>
              <w:rPr>
                <w:color w:val="000000" w:themeColor="text1"/>
                <w:highlight w:val="none"/>
                <w14:textFill>
                  <w14:solidFill>
                    <w14:schemeClr w14:val="tx1"/>
                  </w14:solidFill>
                </w14:textFill>
              </w:rPr>
            </w:pPr>
          </w:p>
        </w:tc>
        <w:tc>
          <w:tcPr>
            <w:tcW w:w="298" w:type="pct"/>
            <w:vAlign w:val="center"/>
          </w:tcPr>
          <w:p w14:paraId="29542A8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简单防渗区</w:t>
            </w:r>
          </w:p>
        </w:tc>
        <w:tc>
          <w:tcPr>
            <w:tcW w:w="552" w:type="pct"/>
            <w:vAlign w:val="center"/>
          </w:tcPr>
          <w:p w14:paraId="4AB96746">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z w:val="21"/>
                <w:szCs w:val="21"/>
                <w:highlight w:val="none"/>
                <w14:textFill>
                  <w14:solidFill>
                    <w14:schemeClr w14:val="tx1"/>
                  </w14:solidFill>
                </w14:textFill>
              </w:rPr>
              <w:t>永久占地</w:t>
            </w:r>
          </w:p>
        </w:tc>
        <w:tc>
          <w:tcPr>
            <w:tcW w:w="1784" w:type="pct"/>
            <w:vAlign w:val="center"/>
          </w:tcPr>
          <w:p w14:paraId="0F5FFA22">
            <w:pPr>
              <w:keepNext w:val="0"/>
              <w:keepLines w:val="0"/>
              <w:pageBreakBefore w:val="0"/>
              <w:widowControl/>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实施地面硬化</w:t>
            </w:r>
          </w:p>
        </w:tc>
        <w:tc>
          <w:tcPr>
            <w:tcW w:w="895" w:type="pct"/>
            <w:vAlign w:val="center"/>
          </w:tcPr>
          <w:p w14:paraId="673A3A0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满足防渗要求</w:t>
            </w:r>
          </w:p>
        </w:tc>
        <w:tc>
          <w:tcPr>
            <w:tcW w:w="1153" w:type="pct"/>
            <w:vAlign w:val="center"/>
          </w:tcPr>
          <w:p w14:paraId="68A6AC7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4C30B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14" w:type="pct"/>
            <w:gridSpan w:val="2"/>
            <w:vAlign w:val="center"/>
          </w:tcPr>
          <w:p w14:paraId="02B2A95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风险防范措施</w:t>
            </w:r>
          </w:p>
        </w:tc>
        <w:tc>
          <w:tcPr>
            <w:tcW w:w="851" w:type="pct"/>
            <w:gridSpan w:val="2"/>
            <w:vAlign w:val="center"/>
          </w:tcPr>
          <w:p w14:paraId="0D8B3AC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井场</w:t>
            </w:r>
          </w:p>
        </w:tc>
        <w:tc>
          <w:tcPr>
            <w:tcW w:w="1784" w:type="pct"/>
            <w:vAlign w:val="center"/>
          </w:tcPr>
          <w:p w14:paraId="1F257AE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消防器材、警戒标语标牌、设置可燃气体检测报警仪等防范设施</w:t>
            </w:r>
          </w:p>
        </w:tc>
        <w:tc>
          <w:tcPr>
            <w:tcW w:w="895" w:type="pct"/>
            <w:vAlign w:val="center"/>
          </w:tcPr>
          <w:p w14:paraId="79BA5FD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风险防范设施数量按照消防、安全等相关要求设置</w:t>
            </w:r>
          </w:p>
        </w:tc>
        <w:tc>
          <w:tcPr>
            <w:tcW w:w="1153" w:type="pct"/>
            <w:vAlign w:val="center"/>
          </w:tcPr>
          <w:p w14:paraId="2F6FF23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98B8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234BD1F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环境管理与监测</w:t>
            </w:r>
          </w:p>
        </w:tc>
        <w:tc>
          <w:tcPr>
            <w:tcW w:w="156" w:type="pct"/>
            <w:vAlign w:val="center"/>
          </w:tcPr>
          <w:p w14:paraId="2D73BE1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194B3F2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排污口规范化</w:t>
            </w:r>
          </w:p>
        </w:tc>
        <w:tc>
          <w:tcPr>
            <w:tcW w:w="1784" w:type="pct"/>
            <w:vAlign w:val="center"/>
          </w:tcPr>
          <w:p w14:paraId="2517A8C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按照《排污口规范化整治技术要求（试行）》《环境保护图形标志》及排污许可技术规范等文件规范排污口设置。</w:t>
            </w:r>
          </w:p>
        </w:tc>
        <w:tc>
          <w:tcPr>
            <w:tcW w:w="895" w:type="pct"/>
            <w:vAlign w:val="center"/>
          </w:tcPr>
          <w:p w14:paraId="64764BD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3ABFDF3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保证实施</w:t>
            </w:r>
          </w:p>
        </w:tc>
      </w:tr>
      <w:tr w14:paraId="663A6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3CA37D89">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42037F0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851" w:type="pct"/>
            <w:gridSpan w:val="2"/>
            <w:vAlign w:val="center"/>
          </w:tcPr>
          <w:p w14:paraId="22EA240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井场</w:t>
            </w:r>
          </w:p>
        </w:tc>
        <w:tc>
          <w:tcPr>
            <w:tcW w:w="1784" w:type="pct"/>
            <w:vAlign w:val="center"/>
          </w:tcPr>
          <w:p w14:paraId="1288BD3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按照监测计划，委托有监测资质的单位开展监测。</w:t>
            </w:r>
          </w:p>
        </w:tc>
        <w:tc>
          <w:tcPr>
            <w:tcW w:w="895" w:type="pct"/>
            <w:vAlign w:val="center"/>
          </w:tcPr>
          <w:p w14:paraId="7AC06C6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5BC996FA">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污染源达标排放</w:t>
            </w:r>
          </w:p>
        </w:tc>
      </w:tr>
      <w:tr w14:paraId="5B12A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02CAC553">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3EA6F6E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851" w:type="pct"/>
            <w:gridSpan w:val="2"/>
            <w:vAlign w:val="center"/>
          </w:tcPr>
          <w:p w14:paraId="4DAABE3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环境影响</w:t>
            </w:r>
          </w:p>
          <w:p w14:paraId="65D9003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后评价</w:t>
            </w:r>
          </w:p>
        </w:tc>
        <w:tc>
          <w:tcPr>
            <w:tcW w:w="1784" w:type="pct"/>
            <w:vAlign w:val="center"/>
          </w:tcPr>
          <w:p w14:paraId="30D6251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根据《建设项目环境影响后评价管理办法（试行）》《关于进一步加强和规范油气田开发项目环境保护管理工作的通知》等文件组织开展环境影响后评价。</w:t>
            </w:r>
          </w:p>
        </w:tc>
        <w:tc>
          <w:tcPr>
            <w:tcW w:w="895" w:type="pct"/>
            <w:vAlign w:val="center"/>
          </w:tcPr>
          <w:p w14:paraId="18D7C26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7BDED45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保证实施</w:t>
            </w:r>
          </w:p>
        </w:tc>
      </w:tr>
      <w:tr w14:paraId="581D9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58C8431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156" w:type="pct"/>
            <w:vAlign w:val="center"/>
          </w:tcPr>
          <w:p w14:paraId="4DC2331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4FEC9DF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施工扬尘</w:t>
            </w:r>
          </w:p>
        </w:tc>
        <w:tc>
          <w:tcPr>
            <w:tcW w:w="1784" w:type="pct"/>
            <w:vAlign w:val="center"/>
          </w:tcPr>
          <w:p w14:paraId="2CA2D65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洒水抑尘</w:t>
            </w:r>
          </w:p>
        </w:tc>
        <w:tc>
          <w:tcPr>
            <w:tcW w:w="895" w:type="pct"/>
            <w:vAlign w:val="center"/>
          </w:tcPr>
          <w:p w14:paraId="48C3930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6D77B75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3BD81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1D7B155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156" w:type="pct"/>
            <w:vAlign w:val="center"/>
          </w:tcPr>
          <w:p w14:paraId="517CD85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76DCCE3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车辆</w:t>
            </w:r>
          </w:p>
        </w:tc>
        <w:tc>
          <w:tcPr>
            <w:tcW w:w="1784" w:type="pct"/>
            <w:vAlign w:val="center"/>
          </w:tcPr>
          <w:p w14:paraId="20F8209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合理安排作业时间。</w:t>
            </w:r>
          </w:p>
        </w:tc>
        <w:tc>
          <w:tcPr>
            <w:tcW w:w="895" w:type="pct"/>
            <w:vAlign w:val="center"/>
          </w:tcPr>
          <w:p w14:paraId="2A1B363F">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53" w:type="pct"/>
            <w:vAlign w:val="center"/>
          </w:tcPr>
          <w:p w14:paraId="74BDF831">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6709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restart"/>
            <w:vAlign w:val="center"/>
          </w:tcPr>
          <w:p w14:paraId="012F9E4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156" w:type="pct"/>
            <w:vAlign w:val="center"/>
          </w:tcPr>
          <w:p w14:paraId="0579017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2F467F4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废弃建筑垃圾</w:t>
            </w:r>
          </w:p>
        </w:tc>
        <w:tc>
          <w:tcPr>
            <w:tcW w:w="1784" w:type="pct"/>
            <w:vAlign w:val="center"/>
          </w:tcPr>
          <w:p w14:paraId="2F86B7B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收集后委托手续完备的处置场所合规处置</w:t>
            </w:r>
          </w:p>
        </w:tc>
        <w:tc>
          <w:tcPr>
            <w:tcW w:w="895" w:type="pct"/>
            <w:vAlign w:val="center"/>
          </w:tcPr>
          <w:p w14:paraId="523FE2C0">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妥善处置</w:t>
            </w:r>
          </w:p>
        </w:tc>
        <w:tc>
          <w:tcPr>
            <w:tcW w:w="1153" w:type="pct"/>
            <w:vAlign w:val="center"/>
          </w:tcPr>
          <w:p w14:paraId="7D52AB7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61987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Merge w:val="continue"/>
            <w:vAlign w:val="center"/>
          </w:tcPr>
          <w:p w14:paraId="1978934A">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6" w:type="pct"/>
            <w:vAlign w:val="center"/>
          </w:tcPr>
          <w:p w14:paraId="589A0EE9">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851" w:type="pct"/>
            <w:gridSpan w:val="2"/>
            <w:vAlign w:val="center"/>
          </w:tcPr>
          <w:p w14:paraId="50AD4D16">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设施拆除过程产生的油泥</w:t>
            </w:r>
          </w:p>
        </w:tc>
        <w:tc>
          <w:tcPr>
            <w:tcW w:w="1784" w:type="pct"/>
            <w:vAlign w:val="center"/>
          </w:tcPr>
          <w:p w14:paraId="6CA5604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委托持有危险废物经营许可证的单位利用处置</w:t>
            </w:r>
          </w:p>
        </w:tc>
        <w:tc>
          <w:tcPr>
            <w:tcW w:w="895" w:type="pct"/>
            <w:vAlign w:val="center"/>
          </w:tcPr>
          <w:p w14:paraId="616AB7B8">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妥善处置</w:t>
            </w:r>
          </w:p>
        </w:tc>
        <w:tc>
          <w:tcPr>
            <w:tcW w:w="1153" w:type="pct"/>
            <w:vAlign w:val="center"/>
          </w:tcPr>
          <w:p w14:paraId="67E816E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8127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157" w:type="pct"/>
            <w:vAlign w:val="center"/>
          </w:tcPr>
          <w:p w14:paraId="52E78C8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w:t>
            </w:r>
          </w:p>
        </w:tc>
        <w:tc>
          <w:tcPr>
            <w:tcW w:w="156" w:type="pct"/>
            <w:vAlign w:val="center"/>
          </w:tcPr>
          <w:p w14:paraId="42C9BD5C">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851" w:type="pct"/>
            <w:gridSpan w:val="2"/>
            <w:vAlign w:val="center"/>
          </w:tcPr>
          <w:p w14:paraId="061AE20E">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生态恢复</w:t>
            </w:r>
          </w:p>
        </w:tc>
        <w:tc>
          <w:tcPr>
            <w:tcW w:w="1784" w:type="pct"/>
            <w:vAlign w:val="center"/>
          </w:tcPr>
          <w:p w14:paraId="68B08B42">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地面设施拆除、水泥条清理，恢复原有自然状况。</w:t>
            </w:r>
          </w:p>
        </w:tc>
        <w:tc>
          <w:tcPr>
            <w:tcW w:w="895" w:type="pct"/>
            <w:vAlign w:val="center"/>
          </w:tcPr>
          <w:p w14:paraId="74858D5D">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恢复原貌</w:t>
            </w:r>
          </w:p>
        </w:tc>
        <w:tc>
          <w:tcPr>
            <w:tcW w:w="1153" w:type="pct"/>
            <w:vAlign w:val="center"/>
          </w:tcPr>
          <w:p w14:paraId="3C4F2B6A">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《废弃井封井回填技术指南（试行）》</w:t>
            </w:r>
          </w:p>
        </w:tc>
      </w:tr>
    </w:tbl>
    <w:p w14:paraId="1E0CADB3">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p>
    <w:p w14:paraId="116A198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2D7333">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pPr>
      <w:bookmarkStart w:id="1391" w:name="_Toc25970"/>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begin"/>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instrText xml:space="preserve"> HYPERLINK \l _Toc23833 </w:instrTex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separate"/>
      </w:r>
      <w:r>
        <w:rPr>
          <w:rFonts w:hint="eastAsia" w:ascii="Times New Roman" w:hAnsi="Times New Roman" w:eastAsia="宋体" w:cs="Times New Roman"/>
          <w:b/>
          <w:bCs/>
          <w:color w:val="000000" w:themeColor="text1"/>
          <w:sz w:val="36"/>
          <w:szCs w:val="36"/>
          <w:highlight w:val="none"/>
          <w:lang w:val="en-US" w:eastAsia="en-US"/>
          <w14:textFill>
            <w14:solidFill>
              <w14:schemeClr w14:val="tx1"/>
            </w14:solidFill>
          </w14:textFill>
        </w:rPr>
        <w:t>10结论</w:t>
      </w:r>
      <w:r>
        <w:rPr>
          <w:rFonts w:hint="default" w:ascii="Times New Roman" w:hAnsi="Times New Roman" w:eastAsia="宋体" w:cs="Times New Roman"/>
          <w:b/>
          <w:bCs/>
          <w:color w:val="000000" w:themeColor="text1"/>
          <w:sz w:val="36"/>
          <w:szCs w:val="36"/>
          <w:highlight w:val="none"/>
          <w:lang w:val="en-US" w:eastAsia="en-US"/>
          <w14:textFill>
            <w14:solidFill>
              <w14:schemeClr w14:val="tx1"/>
            </w14:solidFill>
          </w14:textFill>
        </w:rPr>
        <w:fldChar w:fldCharType="end"/>
      </w:r>
      <w:bookmarkEnd w:id="1391"/>
    </w:p>
    <w:p w14:paraId="22BE1DC8">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92" w:name="_Toc20865"/>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_Toc5893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10.1建设项目情况</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92"/>
    </w:p>
    <w:p w14:paraId="7681ADFC">
      <w:pPr>
        <w:pStyle w:val="12"/>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eastAsia"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lang w:eastAsia="zh-CN"/>
          <w14:textFill>
            <w14:solidFill>
              <w14:schemeClr w14:val="tx1"/>
            </w14:solidFill>
          </w14:textFill>
        </w:rPr>
        <w:t>主要建设内容包括：①</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采</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气</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口（包括星火7斜井、星火701斜井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其中</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星火7-2斜井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为新钻井，星火7斜井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星火701斜井</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为勘探井转为生产井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建设拉油流程1座</w:t>
      </w:r>
      <w:r>
        <w:rPr>
          <w:rFonts w:hint="eastAsia" w:ascii="Times New Roman" w:hAnsi="Times New Roman"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新建电磁加热器1台、计量分离器</w:t>
      </w:r>
      <w:r>
        <w:rPr>
          <w:rFonts w:hint="eastAsia" w:cs="Times New Roman"/>
          <w:color w:val="000000" w:themeColor="text1"/>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台、多功能储集器</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台，配套火炬及装车实现原油装车外运，天然气经油气计量分离器分离后，湿气销售至第三方公司，由第三方公司处理后装车外销。</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油气分离后凝析油装车外运至雅克拉集气处理站处理。</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2"/>
          <w:sz w:val="24"/>
          <w:szCs w:val="24"/>
          <w:highlight w:val="none"/>
          <w14:textFill>
            <w14:solidFill>
              <w14:schemeClr w14:val="tx1"/>
            </w14:solidFill>
          </w14:textFill>
        </w:rPr>
        <w:t>建设电力、自控、</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构、通信、消防等公辅工程。</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本工程产能规模为凝析油</w:t>
      </w:r>
      <w:r>
        <w:rPr>
          <w:rFonts w:hint="eastAsia" w:cs="Times New Roman"/>
          <w:color w:val="000000" w:themeColor="text1"/>
          <w:sz w:val="24"/>
          <w:szCs w:val="24"/>
          <w:highlight w:val="none"/>
          <w:lang w:val="en-US" w:eastAsia="zh-CN" w:bidi="ar-SA"/>
          <w14:textFill>
            <w14:solidFill>
              <w14:schemeClr w14:val="tx1"/>
            </w14:solidFill>
          </w14:textFill>
        </w:rPr>
        <w:t>33.9</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d，天然气</w:t>
      </w:r>
      <w:r>
        <w:rPr>
          <w:rFonts w:hint="eastAsia" w:cs="Times New Roman"/>
          <w:color w:val="000000" w:themeColor="text1"/>
          <w:sz w:val="24"/>
          <w:szCs w:val="24"/>
          <w:highlight w:val="none"/>
          <w:lang w:val="en-US" w:eastAsia="zh-CN" w:bidi="ar-SA"/>
          <w14:textFill>
            <w14:solidFill>
              <w14:schemeClr w14:val="tx1"/>
            </w14:solidFill>
          </w14:textFill>
        </w:rPr>
        <w:t>18.2</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d。</w:t>
      </w:r>
    </w:p>
    <w:p w14:paraId="2132B292">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93" w:name="_Toc29905"/>
      <w:r>
        <w:rPr>
          <w:rFonts w:hint="eastAsia" w:ascii="Times New Roman" w:hAnsi="Times New Roman" w:eastAsia="宋体" w:cs="Times New Roman"/>
          <w:color w:val="000000" w:themeColor="text1"/>
          <w:highlight w:val="none"/>
          <w:lang w:val="en-US" w:eastAsia="zh-CN"/>
          <w14:textFill>
            <w14:solidFill>
              <w14:schemeClr w14:val="tx1"/>
            </w14:solidFill>
          </w14:textFill>
        </w:rPr>
        <w:t>10.2</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_Toc13157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产业政策</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、选址</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符合性</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93"/>
    </w:p>
    <w:p w14:paraId="3B4BED9D">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zh-CN"/>
          <w14:textFill>
            <w14:solidFill>
              <w14:schemeClr w14:val="tx1"/>
            </w14:solidFill>
          </w14:textFill>
        </w:rPr>
        <w:t>本</w:t>
      </w:r>
      <w:r>
        <w:rPr>
          <w:rFonts w:hint="eastAsia"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color w:val="000000" w:themeColor="text1"/>
          <w:sz w:val="24"/>
          <w:szCs w:val="24"/>
          <w:highlight w:val="none"/>
          <w:lang w:val="zh-CN"/>
          <w14:textFill>
            <w14:solidFill>
              <w14:schemeClr w14:val="tx1"/>
            </w14:solidFill>
          </w14:textFill>
        </w:rPr>
        <w:t>属于</w:t>
      </w:r>
      <w:r>
        <w:rPr>
          <w:rFonts w:hint="default" w:ascii="Times New Roman" w:hAnsi="Times New Roman" w:cs="Times New Roman"/>
          <w:bCs/>
          <w:color w:val="000000" w:themeColor="text1"/>
          <w:sz w:val="24"/>
          <w:szCs w:val="24"/>
          <w:highlight w:val="none"/>
          <w14:textFill>
            <w14:solidFill>
              <w14:schemeClr w14:val="tx1"/>
            </w14:solidFill>
          </w14:textFill>
        </w:rPr>
        <w:t>天然气开采项目</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color w:val="000000" w:themeColor="text1"/>
          <w:sz w:val="24"/>
          <w:szCs w:val="24"/>
          <w:highlight w:val="none"/>
          <w14:textFill>
            <w14:solidFill>
              <w14:schemeClr w14:val="tx1"/>
            </w14:solidFill>
          </w14:textFill>
        </w:rPr>
        <w:t>属于</w:t>
      </w:r>
      <w:r>
        <w:rPr>
          <w:rFonts w:hint="default" w:ascii="Times New Roman" w:hAnsi="Times New Roman" w:cs="Times New Roman"/>
          <w:color w:val="000000" w:themeColor="text1"/>
          <w:sz w:val="24"/>
          <w:szCs w:val="24"/>
          <w:highlight w:val="none"/>
          <w:lang w:val="zh-CN"/>
          <w14:textFill>
            <w14:solidFill>
              <w14:schemeClr w14:val="tx1"/>
            </w14:solidFill>
          </w14:textFill>
        </w:rPr>
        <w:t>《产业结构调整指导目录（20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lang w:val="zh-CN"/>
          <w14:textFill>
            <w14:solidFill>
              <w14:schemeClr w14:val="tx1"/>
            </w14:solidFill>
          </w14:textFill>
        </w:rPr>
        <w:t>年本）》</w:t>
      </w:r>
      <w:r>
        <w:rPr>
          <w:color w:val="000000" w:themeColor="text1"/>
          <w:sz w:val="24"/>
          <w:szCs w:val="24"/>
          <w:highlight w:val="none"/>
          <w14:textFill>
            <w14:solidFill>
              <w14:schemeClr w14:val="tx1"/>
            </w14:solidFill>
          </w14:textFill>
        </w:rPr>
        <w:t>中国家鼓励发展的产业，项目建设</w:t>
      </w:r>
      <w:r>
        <w:rPr>
          <w:rFonts w:hint="eastAsia"/>
          <w:color w:val="000000" w:themeColor="text1"/>
          <w:sz w:val="24"/>
          <w:szCs w:val="24"/>
          <w:highlight w:val="none"/>
          <w14:textFill>
            <w14:solidFill>
              <w14:schemeClr w14:val="tx1"/>
            </w14:solidFill>
          </w14:textFill>
        </w:rPr>
        <w:t>符合《</w:t>
      </w:r>
      <w:bookmarkStart w:id="1394" w:name="OLE_LINK966"/>
      <w:r>
        <w:rPr>
          <w:rFonts w:hint="eastAsia"/>
          <w:color w:val="000000" w:themeColor="text1"/>
          <w:sz w:val="24"/>
          <w:szCs w:val="24"/>
          <w:highlight w:val="none"/>
          <w14:textFill>
            <w14:solidFill>
              <w14:schemeClr w14:val="tx1"/>
            </w14:solidFill>
          </w14:textFill>
        </w:rPr>
        <w:t>新疆维吾尔自治区重点行业生态环境准入条件</w:t>
      </w:r>
      <w:bookmarkEnd w:id="1394"/>
      <w:r>
        <w:rPr>
          <w:rFonts w:hint="eastAsia"/>
          <w:color w:val="000000" w:themeColor="text1"/>
          <w:sz w:val="24"/>
          <w:szCs w:val="24"/>
          <w:highlight w:val="none"/>
          <w14:textFill>
            <w14:solidFill>
              <w14:schemeClr w14:val="tx1"/>
            </w14:solidFill>
          </w14:textFill>
        </w:rPr>
        <w:t>（2024年）》（新环环评发〔2024〕93号）要求，</w:t>
      </w:r>
      <w:r>
        <w:rPr>
          <w:color w:val="000000" w:themeColor="text1"/>
          <w:sz w:val="24"/>
          <w:szCs w:val="24"/>
          <w:highlight w:val="none"/>
          <w14:textFill>
            <w14:solidFill>
              <w14:schemeClr w14:val="tx1"/>
            </w14:solidFill>
          </w14:textFill>
        </w:rPr>
        <w:t>符合国家</w:t>
      </w:r>
      <w:r>
        <w:rPr>
          <w:rFonts w:hint="eastAsia"/>
          <w:color w:val="000000" w:themeColor="text1"/>
          <w:sz w:val="24"/>
          <w:szCs w:val="24"/>
          <w:highlight w:val="none"/>
          <w14:textFill>
            <w14:solidFill>
              <w14:schemeClr w14:val="tx1"/>
            </w14:solidFill>
          </w14:textFill>
        </w:rPr>
        <w:t>和自治区</w:t>
      </w:r>
      <w:r>
        <w:rPr>
          <w:color w:val="000000" w:themeColor="text1"/>
          <w:sz w:val="24"/>
          <w:szCs w:val="24"/>
          <w:highlight w:val="none"/>
          <w14:textFill>
            <w14:solidFill>
              <w14:schemeClr w14:val="tx1"/>
            </w14:solidFill>
          </w14:textFill>
        </w:rPr>
        <w:t>的相关产业政策。</w:t>
      </w:r>
      <w:r>
        <w:rPr>
          <w:rFonts w:hint="default" w:ascii="Times New Roman" w:hAnsi="Times New Roman" w:cs="Times New Roman"/>
          <w:b w:val="0"/>
          <w:bCs w:val="0"/>
          <w:color w:val="000000" w:themeColor="text1"/>
          <w:sz w:val="24"/>
          <w:szCs w:val="24"/>
          <w:highlight w:val="none"/>
          <w:lang w:val="zh-CN"/>
          <w14:textFill>
            <w14:solidFill>
              <w14:schemeClr w14:val="tx1"/>
            </w14:solidFill>
          </w14:textFill>
        </w:rPr>
        <w:t>本</w:t>
      </w:r>
      <w:r>
        <w:rPr>
          <w:rFonts w:hint="eastAsia" w:cs="Times New Roman"/>
          <w:b w:val="0"/>
          <w:bCs w:val="0"/>
          <w:color w:val="000000" w:themeColor="text1"/>
          <w:sz w:val="24"/>
          <w:szCs w:val="24"/>
          <w:highlight w:val="none"/>
          <w:lang w:val="en-US" w:eastAsia="zh-CN"/>
          <w14:textFill>
            <w14:solidFill>
              <w14:schemeClr w14:val="tx1"/>
            </w14:solidFill>
          </w14:textFill>
        </w:rPr>
        <w:t>工程</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选址符合生态环境分区管控要求</w:t>
      </w:r>
      <w:r>
        <w:rPr>
          <w:rFonts w:hint="eastAsia"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建成后所在区域的环境功能不会降低，对环境的影响属可接受的范围，选址基本合理</w:t>
      </w:r>
      <w:r>
        <w:rPr>
          <w:rFonts w:hint="default" w:ascii="Times New Roman" w:hAnsi="Times New Roman" w:cs="Times New Roman"/>
          <w:color w:val="000000" w:themeColor="text1"/>
          <w:sz w:val="24"/>
          <w:szCs w:val="24"/>
          <w:highlight w:val="none"/>
          <w14:textFill>
            <w14:solidFill>
              <w14:schemeClr w14:val="tx1"/>
            </w14:solidFill>
          </w14:textFill>
        </w:rPr>
        <w:t>。</w:t>
      </w:r>
    </w:p>
    <w:p w14:paraId="1AB58C76">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395" w:name="_Toc16216"/>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_Toc14513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质量</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现状</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395"/>
    </w:p>
    <w:p w14:paraId="01319F1E">
      <w:pPr>
        <w:pStyle w:val="109"/>
        <w:pageBreakBefore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cs="Times New Roman"/>
          <w:color w:val="000000" w:themeColor="text1"/>
          <w:sz w:val="24"/>
          <w:szCs w:val="24"/>
          <w:highlight w:val="none"/>
          <w14:textFill>
            <w14:solidFill>
              <w14:schemeClr w14:val="tx1"/>
            </w14:solidFill>
          </w14:textFill>
        </w:rPr>
      </w:pPr>
      <w:bookmarkStart w:id="1396" w:name="_Toc2759"/>
      <w:bookmarkStart w:id="1397" w:name="_Toc3240"/>
      <w:r>
        <w:rPr>
          <w:rFonts w:hint="default" w:ascii="Times New Roman" w:hAnsi="Times New Roman" w:cs="Times New Roman"/>
          <w:color w:val="000000" w:themeColor="text1"/>
          <w:sz w:val="24"/>
          <w:szCs w:val="24"/>
          <w:highlight w:val="none"/>
          <w14:textFill>
            <w14:solidFill>
              <w14:schemeClr w14:val="tx1"/>
            </w14:solidFill>
          </w14:textFill>
        </w:rPr>
        <w:t>（1）环境空气质量现状</w:t>
      </w:r>
      <w:bookmarkEnd w:id="1396"/>
      <w:bookmarkEnd w:id="1397"/>
    </w:p>
    <w:p w14:paraId="4963AE88">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本工程所在区域为非达标区，监测期间非甲烷总烃1小时平均浓度未超过《大气污染物综合排放标准详解》中参考限值，H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S 1小时平均浓度未超过《环境影响评价技术导则大气环境》（HJ2.2-2018）附录D中的浓度限值。</w:t>
      </w:r>
    </w:p>
    <w:p w14:paraId="7894253E">
      <w:pPr>
        <w:pStyle w:val="109"/>
        <w:pageBreakBefore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cs="Times New Roman"/>
          <w:color w:val="000000" w:themeColor="text1"/>
          <w:sz w:val="24"/>
          <w:szCs w:val="24"/>
          <w:highlight w:val="none"/>
          <w14:textFill>
            <w14:solidFill>
              <w14:schemeClr w14:val="tx1"/>
            </w14:solidFill>
          </w14:textFill>
        </w:rPr>
      </w:pPr>
      <w:bookmarkStart w:id="1398" w:name="_Toc26296"/>
      <w:bookmarkStart w:id="1399" w:name="_Toc22392"/>
      <w:r>
        <w:rPr>
          <w:rFonts w:hint="default" w:ascii="Times New Roman" w:hAnsi="Times New Roman" w:cs="Times New Roman"/>
          <w:color w:val="000000" w:themeColor="text1"/>
          <w:sz w:val="24"/>
          <w:szCs w:val="24"/>
          <w:highlight w:val="none"/>
          <w14:textFill>
            <w14:solidFill>
              <w14:schemeClr w14:val="tx1"/>
            </w14:solidFill>
          </w14:textFill>
        </w:rPr>
        <w:t>（2）水环境质量现状</w:t>
      </w:r>
      <w:bookmarkEnd w:id="1398"/>
      <w:bookmarkEnd w:id="1399"/>
    </w:p>
    <w:p w14:paraId="42FA92DE">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地下水监测结果表明：在监测期，评价范围的各水井各项监测均符合《地下水质量标准》（GB/T14848-2017）中Ⅲ类标准限值的要求</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bidi="ar"/>
          <w14:textFill>
            <w14:solidFill>
              <w14:schemeClr w14:val="tx1"/>
            </w14:solidFill>
          </w14:textFill>
        </w:rPr>
        <w:t>石油类符合《地表水环境质量标准》（GB3838-2002）中的Ⅲ类标准</w:t>
      </w:r>
      <w:r>
        <w:rPr>
          <w:rFonts w:hint="default" w:ascii="Times New Roman" w:hAnsi="Times New Roman" w:cs="Times New Roman"/>
          <w:color w:val="000000" w:themeColor="text1"/>
          <w:sz w:val="24"/>
          <w:szCs w:val="24"/>
          <w:highlight w:val="none"/>
          <w14:textFill>
            <w14:solidFill>
              <w14:schemeClr w14:val="tx1"/>
            </w14:solidFill>
          </w14:textFill>
        </w:rPr>
        <w:t>。</w:t>
      </w:r>
    </w:p>
    <w:p w14:paraId="1E72793D">
      <w:pPr>
        <w:pStyle w:val="109"/>
        <w:pageBreakBefore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cs="Times New Roman"/>
          <w:color w:val="000000" w:themeColor="text1"/>
          <w:sz w:val="24"/>
          <w:szCs w:val="24"/>
          <w:highlight w:val="none"/>
          <w14:textFill>
            <w14:solidFill>
              <w14:schemeClr w14:val="tx1"/>
            </w14:solidFill>
          </w14:textFill>
        </w:rPr>
      </w:pPr>
      <w:bookmarkStart w:id="1400" w:name="_Toc19228"/>
      <w:bookmarkStart w:id="1401" w:name="_Toc32166"/>
      <w:r>
        <w:rPr>
          <w:rFonts w:hint="default" w:ascii="Times New Roman" w:hAnsi="Times New Roman" w:cs="Times New Roman"/>
          <w:color w:val="000000" w:themeColor="text1"/>
          <w:sz w:val="24"/>
          <w:szCs w:val="24"/>
          <w:highlight w:val="none"/>
          <w14:textFill>
            <w14:solidFill>
              <w14:schemeClr w14:val="tx1"/>
            </w14:solidFill>
          </w14:textFill>
        </w:rPr>
        <w:t>（3）声环境质量现状</w:t>
      </w:r>
      <w:bookmarkEnd w:id="1400"/>
      <w:bookmarkEnd w:id="1401"/>
    </w:p>
    <w:p w14:paraId="6CBEA576">
      <w:pPr>
        <w:pStyle w:val="109"/>
        <w:pageBreakBefore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在评价期内，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本工程</w:t>
      </w:r>
      <w:r>
        <w:rPr>
          <w:rFonts w:hint="default" w:ascii="Times New Roman" w:hAnsi="Times New Roman" w:cs="Times New Roman"/>
          <w:color w:val="000000" w:themeColor="text1"/>
          <w:sz w:val="24"/>
          <w:szCs w:val="24"/>
          <w:highlight w:val="none"/>
          <w14:textFill>
            <w14:solidFill>
              <w14:schemeClr w14:val="tx1"/>
            </w14:solidFill>
          </w14:textFill>
        </w:rPr>
        <w:t>所在区域声环境质量均满足《声环境质量标准》（GB3096-2008）中2类标准要求，已建井场的厂界噪声能满足《工业企业厂界环境噪声排放标准》（GB 12348-2008）中2类标准要求。</w:t>
      </w:r>
    </w:p>
    <w:p w14:paraId="33BBB23E">
      <w:pPr>
        <w:pStyle w:val="109"/>
        <w:pageBreakBefore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cs="Times New Roman"/>
          <w:color w:val="000000" w:themeColor="text1"/>
          <w:sz w:val="24"/>
          <w:szCs w:val="24"/>
          <w:highlight w:val="none"/>
          <w14:textFill>
            <w14:solidFill>
              <w14:schemeClr w14:val="tx1"/>
            </w14:solidFill>
          </w14:textFill>
        </w:rPr>
      </w:pPr>
      <w:bookmarkStart w:id="1402" w:name="_Toc17164"/>
      <w:bookmarkStart w:id="1403" w:name="_Toc29414"/>
      <w:r>
        <w:rPr>
          <w:rFonts w:hint="default" w:ascii="Times New Roman" w:hAnsi="Times New Roman" w:cs="Times New Roman"/>
          <w:color w:val="000000" w:themeColor="text1"/>
          <w:sz w:val="24"/>
          <w:szCs w:val="24"/>
          <w:highlight w:val="none"/>
          <w14:textFill>
            <w14:solidFill>
              <w14:schemeClr w14:val="tx1"/>
            </w14:solidFill>
          </w14:textFill>
        </w:rPr>
        <w:t>（4）土壤环境质量现状</w:t>
      </w:r>
      <w:bookmarkEnd w:id="1402"/>
      <w:bookmarkEnd w:id="1403"/>
    </w:p>
    <w:p w14:paraId="5BA088A5">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土壤环境质量监测结果表明，本工程占地范围内各监测点位的所有监测因子的污染指数均小于1，满足《土壤环境质量 建设用地土壤污染风险管控标准</w:t>
      </w:r>
      <w:r>
        <w:rPr>
          <w:rFonts w:hint="eastAsia" w:cs="Times New Roman"/>
          <w:color w:val="000000" w:themeColor="text1"/>
          <w:sz w:val="24"/>
          <w:szCs w:val="24"/>
          <w:highlight w:val="none"/>
          <w:lang w:eastAsia="zh-CN"/>
          <w14:textFill>
            <w14:solidFill>
              <w14:schemeClr w14:val="tx1"/>
            </w14:solidFill>
          </w14:textFill>
        </w:rPr>
        <w:t>（试行）》</w:t>
      </w:r>
      <w:r>
        <w:rPr>
          <w:rFonts w:hint="default" w:ascii="Times New Roman" w:hAnsi="Times New Roman" w:cs="Times New Roman"/>
          <w:color w:val="000000" w:themeColor="text1"/>
          <w:sz w:val="24"/>
          <w:szCs w:val="24"/>
          <w:highlight w:val="none"/>
          <w14:textFill>
            <w14:solidFill>
              <w14:schemeClr w14:val="tx1"/>
            </w14:solidFill>
          </w14:textFill>
        </w:rPr>
        <w:t>第二类用地筛选值标准；项目区占地范围外各监测点小于《土壤环境质量农用地土壤污染风险管控标准（试行）》（GB156 18-2018）中“表1农用地土壤污染风险筛选值（基本工程）”的6.5&lt;pH≤7.5所列标准；土壤中石油烃含量较低，满足《土壤环境质量建设用地土壤污染风险管控标准（试行）》（GB36600-2018）第二类用地风险筛选值要求。</w:t>
      </w:r>
    </w:p>
    <w:p w14:paraId="3B1F4D49">
      <w:pPr>
        <w:pStyle w:val="109"/>
        <w:pageBreakBefore w:val="0"/>
        <w:kinsoku/>
        <w:wordWrap/>
        <w:overflowPunct/>
        <w:topLinePunct w:val="0"/>
        <w:autoSpaceDE/>
        <w:autoSpaceDN/>
        <w:bidi w:val="0"/>
        <w:adjustRightInd w:val="0"/>
        <w:snapToGrid w:val="0"/>
        <w:spacing w:before="0" w:beforeLines="0" w:after="0" w:afterLines="0" w:line="360" w:lineRule="auto"/>
        <w:textAlignment w:val="auto"/>
        <w:outlineLvl w:val="2"/>
        <w:rPr>
          <w:rFonts w:hint="default" w:ascii="Times New Roman" w:hAnsi="Times New Roman" w:cs="Times New Roman"/>
          <w:color w:val="000000" w:themeColor="text1"/>
          <w:sz w:val="24"/>
          <w:szCs w:val="24"/>
          <w:highlight w:val="none"/>
          <w14:textFill>
            <w14:solidFill>
              <w14:schemeClr w14:val="tx1"/>
            </w14:solidFill>
          </w14:textFill>
        </w:rPr>
      </w:pPr>
      <w:bookmarkStart w:id="1404" w:name="_Toc29944"/>
      <w:bookmarkStart w:id="1405" w:name="_Toc13971"/>
      <w:r>
        <w:rPr>
          <w:rFonts w:hint="default" w:ascii="Times New Roman" w:hAnsi="Times New Roman" w:cs="Times New Roman"/>
          <w:color w:val="000000" w:themeColor="text1"/>
          <w:sz w:val="24"/>
          <w:szCs w:val="24"/>
          <w:highlight w:val="none"/>
          <w14:textFill>
            <w14:solidFill>
              <w14:schemeClr w14:val="tx1"/>
            </w14:solidFill>
          </w14:textFill>
        </w:rPr>
        <w:t>（5）生态环境质量现状</w:t>
      </w:r>
      <w:bookmarkEnd w:id="1404"/>
      <w:bookmarkEnd w:id="1405"/>
    </w:p>
    <w:p w14:paraId="3F3ACEA1">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所在区域地势较为平坦，属于渭干河三角洲绿洲农业盐渍化敏感生态功能区。评价区域内不涉及国家公园、自然保护区、自然公园等自然保护地、世界自然遗产、生态保护红线等法定生态保护区域，也没有重要物种的天然集中分布区、栖息地等重要生境，项目距离最近的生态保护红线是南侧22.8km的塔里木河流域土地沙化防控与生物多样性维护生态保护红线区。生态保护目标主要为区域重要野生动植物、评价范围内的永久基本农田及水土流失重点治理区等</w:t>
      </w:r>
      <w:r>
        <w:rPr>
          <w:rFonts w:hint="default" w:ascii="Times New Roman" w:hAnsi="Times New Roman" w:cs="Times New Roman"/>
          <w:color w:val="000000" w:themeColor="text1"/>
          <w:sz w:val="24"/>
          <w:szCs w:val="24"/>
          <w:highlight w:val="none"/>
          <w14:textFill>
            <w14:solidFill>
              <w14:schemeClr w14:val="tx1"/>
            </w14:solidFill>
          </w14:textFill>
        </w:rPr>
        <w:t>。</w:t>
      </w:r>
    </w:p>
    <w:p w14:paraId="70287575">
      <w:pPr>
        <w:pStyle w:val="3"/>
        <w:pageBreakBefore w:val="0"/>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406" w:name="_Toc16785"/>
      <w:r>
        <w:rPr>
          <w:rFonts w:hint="eastAsia" w:ascii="Times New Roman" w:hAnsi="Times New Roman" w:eastAsia="宋体" w:cs="Times New Roman"/>
          <w:color w:val="000000" w:themeColor="text1"/>
          <w:highlight w:val="none"/>
          <w:lang w:val="en-US" w:eastAsia="zh-CN"/>
          <w14:textFill>
            <w14:solidFill>
              <w14:schemeClr w14:val="tx1"/>
            </w14:solidFill>
          </w14:textFill>
        </w:rPr>
        <w:t>10.4</w:t>
      </w:r>
      <w:r>
        <w:rPr>
          <w:rFonts w:hint="eastAsia" w:ascii="Times New Roman" w:hAnsi="Times New Roman" w:eastAsia="宋体" w:cs="Times New Roman"/>
          <w:color w:val="000000" w:themeColor="text1"/>
          <w:highlight w:val="none"/>
          <w:lang w:val="en-US" w:eastAsia="en-US"/>
          <w14:textFill>
            <w14:solidFill>
              <w14:schemeClr w14:val="tx1"/>
            </w14:solidFill>
          </w14:textFill>
        </w:rPr>
        <w:t>污染物排放情况</w:t>
      </w:r>
      <w:bookmarkEnd w:id="1406"/>
    </w:p>
    <w:p w14:paraId="126317FD">
      <w:pPr>
        <w:pStyle w:val="109"/>
        <w:pageBreakBefore w:val="0"/>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本工程运营期污染物产生及排放情况详见</w:t>
      </w:r>
      <w:r>
        <w:rPr>
          <w:rFonts w:hint="default"/>
          <w:color w:val="000000" w:themeColor="text1"/>
          <w:sz w:val="24"/>
          <w:szCs w:val="24"/>
          <w:highlight w:val="none"/>
          <w14:textFill>
            <w14:solidFill>
              <w14:schemeClr w14:val="tx1"/>
            </w14:solidFill>
          </w14:textFill>
        </w:rPr>
        <w:t>表</w:t>
      </w:r>
      <w:r>
        <w:rPr>
          <w:rFonts w:hint="default"/>
          <w:color w:val="000000" w:themeColor="text1"/>
          <w:sz w:val="24"/>
          <w:szCs w:val="24"/>
          <w:highlight w:val="none"/>
          <w:lang w:val="en-US" w:eastAsia="zh-CN"/>
          <w14:textFill>
            <w14:solidFill>
              <w14:schemeClr w14:val="tx1"/>
            </w14:solidFill>
          </w14:textFill>
        </w:rPr>
        <w:t>9.3</w:t>
      </w:r>
      <w:r>
        <w:rPr>
          <w:rFonts w:hint="default"/>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w:t>
      </w:r>
    </w:p>
    <w:p w14:paraId="72320E26">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1407" w:name="_Toc22509"/>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_Toc12467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en-US"/>
          <w14:textFill>
            <w14:solidFill>
              <w14:schemeClr w14:val="tx1"/>
            </w14:solidFill>
          </w14:textFill>
        </w:rPr>
        <w:t xml:space="preserve">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主要</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环境影响</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及保护措施</w:t>
      </w:r>
      <w:bookmarkEnd w:id="1407"/>
    </w:p>
    <w:p w14:paraId="5722AA06">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rFonts w:hint="default" w:eastAsia="宋体"/>
          <w:color w:val="000000" w:themeColor="text1"/>
          <w:sz w:val="24"/>
          <w:szCs w:val="24"/>
          <w:highlight w:val="none"/>
          <w:lang w:val="en-US" w:eastAsia="zh-CN"/>
          <w14:textFill>
            <w14:solidFill>
              <w14:schemeClr w14:val="tx1"/>
            </w14:solidFill>
          </w14:textFill>
        </w:rPr>
      </w:pPr>
      <w:bookmarkStart w:id="1408" w:name="_Toc22871"/>
      <w:bookmarkStart w:id="1409" w:name="_Toc12776"/>
      <w:r>
        <w:rPr>
          <w:color w:val="000000" w:themeColor="text1"/>
          <w:sz w:val="24"/>
          <w:szCs w:val="24"/>
          <w:highlight w:val="none"/>
          <w14:textFill>
            <w14:solidFill>
              <w14:schemeClr w14:val="tx1"/>
            </w14:solidFill>
          </w14:textFill>
        </w:rPr>
        <w:t>（1）生态环境影响</w:t>
      </w:r>
      <w:bookmarkEnd w:id="1408"/>
      <w:bookmarkEnd w:id="1409"/>
      <w:r>
        <w:rPr>
          <w:rFonts w:hint="eastAsia"/>
          <w:color w:val="000000" w:themeColor="text1"/>
          <w:sz w:val="24"/>
          <w:szCs w:val="24"/>
          <w:highlight w:val="none"/>
          <w:lang w:val="en-US" w:eastAsia="zh-CN"/>
          <w14:textFill>
            <w14:solidFill>
              <w14:schemeClr w14:val="tx1"/>
            </w14:solidFill>
          </w14:textFill>
        </w:rPr>
        <w:t>及保护措施</w:t>
      </w:r>
    </w:p>
    <w:p w14:paraId="55760D6E">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本工程对生态环境的影响主要在施工期，为永久占地平整及地面工程建设等带来的生态环境影响。本工程永久占地约</w:t>
      </w:r>
      <w:r>
        <w:rPr>
          <w:rFonts w:hint="eastAsia" w:cs="Times New Roman"/>
          <w:color w:val="000000" w:themeColor="text1"/>
          <w:sz w:val="24"/>
          <w:szCs w:val="21"/>
          <w:highlight w:val="none"/>
          <w:lang w:val="en-US" w:eastAsia="zh-CN" w:bidi="ar-SA"/>
          <w14:textFill>
            <w14:solidFill>
              <w14:schemeClr w14:val="tx1"/>
            </w14:solidFill>
          </w14:textFill>
        </w:rPr>
        <w:t>1.4328</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，永久性工程占地对工程区的土地利用影响较小。临时占地</w:t>
      </w:r>
      <w:r>
        <w:rPr>
          <w:rFonts w:hint="eastAsia" w:cs="Times New Roman"/>
          <w:color w:val="000000" w:themeColor="text1"/>
          <w:sz w:val="24"/>
          <w:szCs w:val="21"/>
          <w:highlight w:val="none"/>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hm</w:t>
      </w:r>
      <w:r>
        <w:rPr>
          <w:rFonts w:hint="eastAsia" w:ascii="Times New Roman" w:hAnsi="Times New Roman" w:eastAsia="宋体" w:cs="Times New Roman"/>
          <w:color w:val="000000" w:themeColor="text1"/>
          <w:sz w:val="24"/>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临时性工程占地仅在施工阶段对工程区及周边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14:paraId="03513467">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pacing w:val="4"/>
          <w:kern w:val="24"/>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bidi="ar-SA"/>
          <w14:textFill>
            <w14:solidFill>
              <w14:schemeClr w14:val="tx1"/>
            </w14:solidFill>
          </w14:textFill>
        </w:rPr>
        <w:t>本工程位于阿克苏地区新和县境内，项目评价范围和占地范围内均不涉及法定生态保护区域、重要生境以及其他具有重要生态功能、对保护生物多样性具有重要意义的区域等生态敏感区。由于本区域的野生动物种类较少，少有大型野生动物在本区域出现，项目对野生动物的影响较小</w:t>
      </w:r>
      <w:r>
        <w:rPr>
          <w:color w:val="000000" w:themeColor="text1"/>
          <w:spacing w:val="4"/>
          <w:kern w:val="24"/>
          <w:sz w:val="24"/>
          <w:szCs w:val="24"/>
          <w:highlight w:val="none"/>
          <w14:textFill>
            <w14:solidFill>
              <w14:schemeClr w14:val="tx1"/>
            </w14:solidFill>
          </w14:textFill>
        </w:rPr>
        <w:t>。</w:t>
      </w:r>
    </w:p>
    <w:p w14:paraId="5BD8EFC8">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rFonts w:hint="eastAsia"/>
          <w:color w:val="000000" w:themeColor="text1"/>
          <w:sz w:val="24"/>
          <w:szCs w:val="24"/>
          <w:highlight w:val="none"/>
          <w14:textFill>
            <w14:solidFill>
              <w14:schemeClr w14:val="tx1"/>
            </w14:solidFill>
          </w14:textFill>
        </w:rPr>
      </w:pPr>
      <w:bookmarkStart w:id="1410" w:name="_Toc15407"/>
      <w:bookmarkStart w:id="1411" w:name="_Toc23130"/>
      <w:r>
        <w:rPr>
          <w:color w:val="000000" w:themeColor="text1"/>
          <w:sz w:val="24"/>
          <w:szCs w:val="24"/>
          <w:highlight w:val="none"/>
          <w14:textFill>
            <w14:solidFill>
              <w14:schemeClr w14:val="tx1"/>
            </w14:solidFill>
          </w14:textFill>
        </w:rPr>
        <w:t>施工期严格控制占地面积；占地及补偿应按照地方有关工程征地及补偿要求进行，由相关部门许可后方可开工建设；施工期充分利用现有油田道路，尽可能减少道路临时占地，降低对地表和植被的破坏，施工</w:t>
      </w:r>
      <w:r>
        <w:rPr>
          <w:rFonts w:hint="eastAsia"/>
          <w:color w:val="000000" w:themeColor="text1"/>
          <w:sz w:val="24"/>
          <w:szCs w:val="24"/>
          <w:highlight w:val="none"/>
          <w14:textFill>
            <w14:solidFill>
              <w14:schemeClr w14:val="tx1"/>
            </w14:solidFill>
          </w14:textFill>
        </w:rPr>
        <w:t>机械</w:t>
      </w:r>
      <w:r>
        <w:rPr>
          <w:color w:val="000000" w:themeColor="text1"/>
          <w:sz w:val="24"/>
          <w:szCs w:val="24"/>
          <w:highlight w:val="none"/>
          <w14:textFill>
            <w14:solidFill>
              <w14:schemeClr w14:val="tx1"/>
            </w14:solidFill>
          </w14:textFill>
        </w:rPr>
        <w:t>不得在道路以外行驶和作业，保持地表不被扰动，不得随意取弃土。施工结束后，及时对临时占地区域进行平整、恢复</w:t>
      </w:r>
      <w:r>
        <w:rPr>
          <w:rFonts w:hint="eastAsia"/>
          <w:color w:val="000000" w:themeColor="text1"/>
          <w:sz w:val="24"/>
          <w:szCs w:val="24"/>
          <w:highlight w:val="none"/>
          <w14:textFill>
            <w14:solidFill>
              <w14:schemeClr w14:val="tx1"/>
            </w14:solidFill>
          </w14:textFill>
        </w:rPr>
        <w:t>原貌。</w:t>
      </w:r>
    </w:p>
    <w:p w14:paraId="547A0107">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运营期，对于永久占地地面采取砾石覆盖措施，减少风蚀量</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定时巡查井场，及时清理落地</w:t>
      </w:r>
      <w:r>
        <w:rPr>
          <w:rFonts w:hint="eastAsia"/>
          <w:color w:val="000000" w:themeColor="text1"/>
          <w:sz w:val="24"/>
          <w:szCs w:val="24"/>
          <w:highlight w:val="none"/>
          <w:lang w:val="en-US" w:eastAsia="zh-CN"/>
          <w14:textFill>
            <w14:solidFill>
              <w14:schemeClr w14:val="tx1"/>
            </w14:solidFill>
          </w14:textFill>
        </w:rPr>
        <w:t>凝析油</w:t>
      </w:r>
      <w:r>
        <w:rPr>
          <w:color w:val="000000" w:themeColor="text1"/>
          <w:sz w:val="24"/>
          <w:szCs w:val="24"/>
          <w:highlight w:val="none"/>
          <w14:textFill>
            <w14:solidFill>
              <w14:schemeClr w14:val="tx1"/>
            </w14:solidFill>
          </w14:textFill>
        </w:rPr>
        <w:t>；开展生态环境恢复治理工作；设置“保护生态环境、保护野生动植物”等警示牌。</w:t>
      </w:r>
    </w:p>
    <w:p w14:paraId="6F17AEDA">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退役期，拆除地面设施、清理井场等，拆除的报废设备和建筑废料等由施工单位运至指定位置进行处理；及时清理作业现场，做到“工完、料尽、场地清”，恢复原有地貌；按规范要求对废弃井采取固井、封井措施。</w:t>
      </w:r>
    </w:p>
    <w:p w14:paraId="3CA4C567">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（2）大气环境影响分析</w:t>
      </w:r>
      <w:bookmarkEnd w:id="1410"/>
      <w:bookmarkEnd w:id="1411"/>
      <w:r>
        <w:rPr>
          <w:rFonts w:hint="eastAsia"/>
          <w:color w:val="000000" w:themeColor="text1"/>
          <w:sz w:val="24"/>
          <w:szCs w:val="24"/>
          <w:highlight w:val="none"/>
          <w:lang w:val="en-US" w:eastAsia="zh-CN"/>
          <w14:textFill>
            <w14:solidFill>
              <w14:schemeClr w14:val="tx1"/>
            </w14:solidFill>
          </w14:textFill>
        </w:rPr>
        <w:t>及保护措施</w:t>
      </w:r>
    </w:p>
    <w:p w14:paraId="739C2490">
      <w:pPr>
        <w:pStyle w:val="109"/>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96" w:firstLineChars="200"/>
        <w:textAlignment w:val="auto"/>
        <w:rPr>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位于环境质量不达标区，污染源正常排放下非甲烷总烃短期浓度贡献值的最大浓度占标率均小于10%，污染物的贡献浓度较低，且出现距离较近，影响范围较小。本工程废气污染源对井场四周的贡献浓度均满足相应标准要求</w:t>
      </w:r>
      <w:r>
        <w:rPr>
          <w:color w:val="000000" w:themeColor="text1"/>
          <w:sz w:val="24"/>
          <w:szCs w:val="24"/>
          <w:highlight w:val="none"/>
          <w14:textFill>
            <w14:solidFill>
              <w14:schemeClr w14:val="tx1"/>
            </w14:solidFill>
          </w14:textFill>
        </w:rPr>
        <w:t>。</w:t>
      </w:r>
    </w:p>
    <w:p w14:paraId="222E7CC3">
      <w:pPr>
        <w:pStyle w:val="109"/>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本工程采用技术质量可靠的设备、阀门等；定期对</w:t>
      </w:r>
      <w:r>
        <w:rPr>
          <w:rFonts w:hint="eastAsia"/>
          <w:color w:val="000000" w:themeColor="text1"/>
          <w:sz w:val="24"/>
          <w:szCs w:val="24"/>
          <w:highlight w:val="none"/>
          <w14:textFill>
            <w14:solidFill>
              <w14:schemeClr w14:val="tx1"/>
            </w14:solidFill>
          </w14:textFill>
        </w:rPr>
        <w:t>油气生产设施、设备</w:t>
      </w:r>
      <w:r>
        <w:rPr>
          <w:color w:val="000000" w:themeColor="text1"/>
          <w:sz w:val="24"/>
          <w:szCs w:val="24"/>
          <w:highlight w:val="none"/>
          <w14:textFill>
            <w14:solidFill>
              <w14:schemeClr w14:val="tx1"/>
            </w14:solidFill>
          </w14:textFill>
        </w:rPr>
        <w:t>等进行定期的检查、检修，以防止跑、冒、滴、漏的发生。</w:t>
      </w:r>
      <w:r>
        <w:rPr>
          <w:rFonts w:hint="eastAsia"/>
          <w:color w:val="000000" w:themeColor="text1"/>
          <w:sz w:val="24"/>
          <w:szCs w:val="24"/>
          <w:highlight w:val="none"/>
          <w14:textFill>
            <w14:solidFill>
              <w14:schemeClr w14:val="tx1"/>
            </w14:solidFill>
          </w14:textFill>
        </w:rPr>
        <w:t>井场</w:t>
      </w:r>
      <w:r>
        <w:rPr>
          <w:rFonts w:hint="eastAsia"/>
          <w:snapToGrid w:val="0"/>
          <w:color w:val="000000" w:themeColor="text1"/>
          <w:kern w:val="24"/>
          <w:sz w:val="24"/>
          <w:szCs w:val="24"/>
          <w:highlight w:val="none"/>
          <w14:textFill>
            <w14:solidFill>
              <w14:schemeClr w14:val="tx1"/>
            </w14:solidFill>
          </w14:textFill>
        </w:rPr>
        <w:t>储罐上部设有安全阀，挥发的油气超过安全阀设定压力后，经安全阀后的管线输至放空区放空燃烧。</w:t>
      </w:r>
      <w:r>
        <w:rPr>
          <w:rFonts w:hint="eastAsia"/>
          <w:color w:val="000000" w:themeColor="text1"/>
          <w:sz w:val="24"/>
          <w:szCs w:val="24"/>
          <w:highlight w:val="none"/>
          <w:lang w:val="en-US" w:eastAsia="zh-CN"/>
          <w14:textFill>
            <w14:solidFill>
              <w14:schemeClr w14:val="tx1"/>
            </w14:solidFill>
          </w14:textFill>
        </w:rPr>
        <w:t>凝析油</w:t>
      </w:r>
      <w:r>
        <w:rPr>
          <w:rFonts w:hint="eastAsia"/>
          <w:snapToGrid w:val="0"/>
          <w:color w:val="000000" w:themeColor="text1"/>
          <w:sz w:val="24"/>
          <w:szCs w:val="24"/>
          <w:highlight w:val="none"/>
          <w14:textFill>
            <w14:solidFill>
              <w14:schemeClr w14:val="tx1"/>
            </w14:solidFill>
          </w14:textFill>
        </w:rPr>
        <w:t>、混烃</w:t>
      </w:r>
      <w:r>
        <w:rPr>
          <w:snapToGrid w:val="0"/>
          <w:color w:val="000000" w:themeColor="text1"/>
          <w:sz w:val="24"/>
          <w:szCs w:val="24"/>
          <w:highlight w:val="none"/>
          <w14:textFill>
            <w14:solidFill>
              <w14:schemeClr w14:val="tx1"/>
            </w14:solidFill>
          </w14:textFill>
        </w:rPr>
        <w:t>通过装车泵、鹤管装车外运，采用密闭装车工艺</w:t>
      </w:r>
      <w:r>
        <w:rPr>
          <w:rFonts w:hint="eastAsia"/>
          <w:snapToGrid w:val="0"/>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定期进行巡检，以便及时发现问题，消除事故隐患，防止油气</w:t>
      </w:r>
      <w:r>
        <w:rPr>
          <w:rFonts w:hint="eastAsia"/>
          <w:color w:val="000000" w:themeColor="text1"/>
          <w:sz w:val="24"/>
          <w:szCs w:val="24"/>
          <w:highlight w:val="none"/>
          <w14:textFill>
            <w14:solidFill>
              <w14:schemeClr w14:val="tx1"/>
            </w14:solidFill>
          </w14:textFill>
        </w:rPr>
        <w:t>泄漏</w:t>
      </w:r>
      <w:r>
        <w:rPr>
          <w:color w:val="000000" w:themeColor="text1"/>
          <w:sz w:val="24"/>
          <w:szCs w:val="24"/>
          <w:highlight w:val="none"/>
          <w14:textFill>
            <w14:solidFill>
              <w14:schemeClr w14:val="tx1"/>
            </w14:solidFill>
          </w14:textFill>
        </w:rPr>
        <w:t>进入大气环境。</w:t>
      </w:r>
    </w:p>
    <w:p w14:paraId="4EB30118">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bookmarkStart w:id="1412" w:name="_Toc23629"/>
      <w:bookmarkStart w:id="1413" w:name="_Toc14610"/>
      <w:r>
        <w:rPr>
          <w:color w:val="000000" w:themeColor="text1"/>
          <w:sz w:val="24"/>
          <w:szCs w:val="24"/>
          <w:highlight w:val="none"/>
          <w14:textFill>
            <w14:solidFill>
              <w14:schemeClr w14:val="tx1"/>
            </w14:solidFill>
          </w14:textFill>
        </w:rPr>
        <w:t>（3）声环境影响分析</w:t>
      </w:r>
      <w:bookmarkEnd w:id="1412"/>
      <w:bookmarkEnd w:id="1413"/>
      <w:r>
        <w:rPr>
          <w:rFonts w:hint="eastAsia"/>
          <w:color w:val="000000" w:themeColor="text1"/>
          <w:sz w:val="24"/>
          <w:szCs w:val="24"/>
          <w:highlight w:val="none"/>
          <w:lang w:val="en-US" w:eastAsia="zh-CN"/>
          <w14:textFill>
            <w14:solidFill>
              <w14:schemeClr w14:val="tx1"/>
            </w14:solidFill>
          </w14:textFill>
        </w:rPr>
        <w:t>及保护措施</w:t>
      </w:r>
    </w:p>
    <w:p w14:paraId="3EBAF250">
      <w:pPr>
        <w:shd w:val="clear" w:color="auto" w:fill="auto"/>
        <w:spacing w:line="360" w:lineRule="auto"/>
        <w:ind w:firstLine="496" w:firstLineChars="200"/>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本工程施工期噪声源主要是各类施工机械和运输车辆。施工期噪声影响是短暂的，随施工结束即消失。</w:t>
      </w:r>
    </w:p>
    <w:p w14:paraId="357EE5E4">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本工程运营期产生的噪声主要包括井口装置等设备产生的噪声，以及井下作业噪声等。井场设备噪声源强较低，影响范围有限，类比同类井场，正常生产时，单井井场厂界噪声值较低，能够满足</w:t>
      </w:r>
      <w:r>
        <w:rPr>
          <w:rFonts w:hint="eastAsia" w:ascii="Times New Roman" w:hAnsi="Times New Roman" w:eastAsia="宋体" w:cs="Times New Roman"/>
          <w:color w:val="000000" w:themeColor="text1"/>
          <w:spacing w:val="4"/>
          <w:kern w:val="24"/>
          <w:sz w:val="24"/>
          <w:highlight w:val="none"/>
          <w:lang w:val="zh-CN" w:eastAsia="zh-CN" w:bidi="ar-SA"/>
          <w14:textFill>
            <w14:solidFill>
              <w14:schemeClr w14:val="tx1"/>
            </w14:solidFill>
          </w14:textFill>
        </w:rPr>
        <w:t>《工业企业厂界环境噪声排放标准》（GB12348-2008）中的2类区标准要求；井下作业将产生高强度噪声，厂界噪声会出现短期超标现象，但井下作业具有阶段性特征，井下作业结束其噪声影响即消失。井场周边范围内</w:t>
      </w:r>
      <w:r>
        <w:rPr>
          <w:rFonts w:hint="eastAsia" w:ascii="Times New Roman" w:hAnsi="Times New Roman" w:eastAsia="宋体" w:cs="Times New Roman"/>
          <w:color w:val="000000" w:themeColor="text1"/>
          <w:spacing w:val="4"/>
          <w:kern w:val="24"/>
          <w:sz w:val="24"/>
          <w:highlight w:val="none"/>
          <w:lang w:val="en-US" w:eastAsia="zh-CN" w:bidi="ar-SA"/>
          <w14:textFill>
            <w14:solidFill>
              <w14:schemeClr w14:val="tx1"/>
            </w14:solidFill>
          </w14:textFill>
        </w:rPr>
        <w:t>无居民区，不会出现噪声扰民现象</w:t>
      </w:r>
      <w:r>
        <w:rPr>
          <w:rFonts w:hint="eastAsia"/>
          <w:color w:val="000000" w:themeColor="text1"/>
          <w:sz w:val="24"/>
          <w:szCs w:val="24"/>
          <w:highlight w:val="none"/>
          <w14:textFill>
            <w14:solidFill>
              <w14:schemeClr w14:val="tx1"/>
            </w14:solidFill>
          </w14:textFill>
        </w:rPr>
        <w:t>。</w:t>
      </w:r>
    </w:p>
    <w:p w14:paraId="6489E08C">
      <w:pPr>
        <w:pStyle w:val="109"/>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合理布局噪声源，采用基础减振、隔声等措施，并加强日常维护，减轻设备对外环境和岗位工人的噪声污染。</w:t>
      </w:r>
    </w:p>
    <w:p w14:paraId="227A6BFF">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bookmarkStart w:id="1414" w:name="_Toc8819"/>
      <w:bookmarkStart w:id="1415" w:name="_Toc22963"/>
      <w:r>
        <w:rPr>
          <w:color w:val="000000" w:themeColor="text1"/>
          <w:sz w:val="24"/>
          <w:szCs w:val="24"/>
          <w:highlight w:val="none"/>
          <w14:textFill>
            <w14:solidFill>
              <w14:schemeClr w14:val="tx1"/>
            </w14:solidFill>
          </w14:textFill>
        </w:rPr>
        <w:t>（4）水环境影响分析</w:t>
      </w:r>
      <w:bookmarkEnd w:id="1414"/>
      <w:bookmarkEnd w:id="1415"/>
      <w:r>
        <w:rPr>
          <w:rFonts w:hint="eastAsia"/>
          <w:color w:val="000000" w:themeColor="text1"/>
          <w:sz w:val="24"/>
          <w:szCs w:val="24"/>
          <w:highlight w:val="none"/>
          <w:lang w:val="en-US" w:eastAsia="zh-CN"/>
          <w14:textFill>
            <w14:solidFill>
              <w14:schemeClr w14:val="tx1"/>
            </w14:solidFill>
          </w14:textFill>
        </w:rPr>
        <w:t>及保护措施</w:t>
      </w:r>
    </w:p>
    <w:p w14:paraId="4B3322D4">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rFonts w:hint="eastAsia"/>
          <w:color w:val="000000" w:themeColor="text1"/>
          <w:sz w:val="24"/>
          <w:szCs w:val="24"/>
          <w:highlight w:val="none"/>
          <w14:textFill>
            <w14:solidFill>
              <w14:schemeClr w14:val="tx1"/>
            </w14:solidFill>
          </w14:textFill>
        </w:rPr>
      </w:pPr>
      <w:r>
        <w:rPr>
          <w:rFonts w:hint="eastAsia"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正常状况下，</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各阶段的废水均不外排，各类废水及固废均得到了妥善处置，</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bookmarkStart w:id="1436" w:name="_GoBack"/>
      <w:bookmarkEnd w:id="1436"/>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在设计、施工和运行时，严把质量验收关，</w:t>
      </w:r>
      <w:r>
        <w:rPr>
          <w:rFonts w:hint="eastAsia" w:cs="Times New Roman"/>
          <w:color w:val="000000" w:themeColor="text1"/>
          <w:spacing w:val="0"/>
          <w:kern w:val="2"/>
          <w:sz w:val="24"/>
          <w:szCs w:val="24"/>
          <w:highlight w:val="none"/>
          <w:lang w:val="en-US" w:eastAsia="zh-CN" w:bidi="ar-SA"/>
          <w14:textFill>
            <w14:solidFill>
              <w14:schemeClr w14:val="tx1"/>
            </w14:solidFill>
          </w14:textFill>
        </w:rPr>
        <w:t>杜绝</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因管道材质、制管、防腐涂层及运行失误而造成管线泄漏。在生产运行过程中，强化监控手段，定期检查检验，检漏控漏，尽量杜绝事故性排放源的存在，</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本工程</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对地下水环境的影响较小；钻井采用了套管，采取固井措施，有效防止了钻井液漏失污染地下水</w:t>
      </w:r>
      <w:r>
        <w:rPr>
          <w:rFonts w:hint="eastAsia"/>
          <w:color w:val="000000" w:themeColor="text1"/>
          <w:sz w:val="24"/>
          <w:szCs w:val="24"/>
          <w:highlight w:val="none"/>
          <w14:textFill>
            <w14:solidFill>
              <w14:schemeClr w14:val="tx1"/>
            </w14:solidFill>
          </w14:textFill>
        </w:rPr>
        <w:t>。</w:t>
      </w:r>
    </w:p>
    <w:p w14:paraId="7B7AF5CE">
      <w:pPr>
        <w:pStyle w:val="109"/>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开采初期不含水，后期若产生采出水，随凝析油一同运至雅克拉集气处理站处理。</w:t>
      </w:r>
      <w:r>
        <w:rPr>
          <w:rFonts w:hint="eastAsia"/>
          <w:color w:val="000000" w:themeColor="text1"/>
          <w:sz w:val="24"/>
          <w:szCs w:val="24"/>
          <w:highlight w:val="none"/>
          <w14:textFill>
            <w14:solidFill>
              <w14:schemeClr w14:val="tx1"/>
            </w14:solidFill>
          </w14:textFill>
        </w:rPr>
        <w:t>井下作业废水</w:t>
      </w:r>
      <w:r>
        <w:rPr>
          <w:color w:val="000000" w:themeColor="text1"/>
          <w:sz w:val="24"/>
          <w:szCs w:val="24"/>
          <w:highlight w:val="none"/>
          <w14:textFill>
            <w14:solidFill>
              <w14:schemeClr w14:val="tx1"/>
            </w14:solidFill>
          </w14:textFill>
        </w:rPr>
        <w:t>经专用罐</w:t>
      </w:r>
      <w:r>
        <w:rPr>
          <w:color w:val="000000" w:themeColor="text1"/>
          <w:kern w:val="24"/>
          <w:sz w:val="24"/>
          <w:szCs w:val="24"/>
          <w:highlight w:val="none"/>
          <w14:textFill>
            <w14:solidFill>
              <w14:schemeClr w14:val="tx1"/>
            </w14:solidFill>
          </w14:textFill>
        </w:rPr>
        <w:t>收集后</w:t>
      </w:r>
      <w:r>
        <w:rPr>
          <w:color w:val="000000" w:themeColor="text1"/>
          <w:sz w:val="24"/>
          <w:szCs w:val="24"/>
          <w:highlight w:val="none"/>
          <w14:textFill>
            <w14:solidFill>
              <w14:schemeClr w14:val="tx1"/>
            </w14:solidFill>
          </w14:textFill>
        </w:rPr>
        <w:t>输送至</w:t>
      </w:r>
      <w:r>
        <w:rPr>
          <w:rFonts w:hint="eastAsia"/>
          <w:color w:val="000000" w:themeColor="text1"/>
          <w:sz w:val="24"/>
          <w:szCs w:val="24"/>
          <w:highlight w:val="none"/>
          <w:lang w:val="en-US" w:eastAsia="zh-CN"/>
          <w14:textFill>
            <w14:solidFill>
              <w14:schemeClr w14:val="tx1"/>
            </w14:solidFill>
          </w14:textFill>
        </w:rPr>
        <w:t>阿克苏塔河环保工程有限公司绿色环保工作站</w:t>
      </w:r>
      <w:r>
        <w:rPr>
          <w:color w:val="000000" w:themeColor="text1"/>
          <w:sz w:val="24"/>
          <w:szCs w:val="24"/>
          <w:highlight w:val="none"/>
          <w14:textFill>
            <w14:solidFill>
              <w14:schemeClr w14:val="tx1"/>
            </w14:solidFill>
          </w14:textFill>
        </w:rPr>
        <w:t>处理，达标后回注</w:t>
      </w:r>
      <w:r>
        <w:rPr>
          <w:rFonts w:hint="eastAsia"/>
          <w:color w:val="000000" w:themeColor="text1"/>
          <w:sz w:val="24"/>
          <w:szCs w:val="24"/>
          <w:highlight w:val="none"/>
          <w:lang w:val="en-US" w:eastAsia="zh-CN"/>
          <w14:textFill>
            <w14:solidFill>
              <w14:schemeClr w14:val="tx1"/>
            </w14:solidFill>
          </w14:textFill>
        </w:rPr>
        <w:t>地</w:t>
      </w:r>
      <w:r>
        <w:rPr>
          <w:color w:val="000000" w:themeColor="text1"/>
          <w:sz w:val="24"/>
          <w:szCs w:val="24"/>
          <w:highlight w:val="none"/>
          <w14:textFill>
            <w14:solidFill>
              <w14:schemeClr w14:val="tx1"/>
            </w14:solidFill>
          </w14:textFill>
        </w:rPr>
        <w:t>层</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生活污水经井场一体化污水处理装置处理后，水质达到《农村生活污水处理排放标准》（DB65 4275-2019）表二的B级标准、《农田灌溉水质标准》（GB 5084-2021）表一旱地作物标准后用于井场及道路降尘</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地下水环境保护按照“源头控制、分区防控、污染监控、应急响应”原则采取措施。</w:t>
      </w:r>
    </w:p>
    <w:p w14:paraId="601DD43C">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bookmarkStart w:id="1416" w:name="_Toc6961"/>
      <w:r>
        <w:rPr>
          <w:color w:val="000000" w:themeColor="text1"/>
          <w:sz w:val="24"/>
          <w:szCs w:val="24"/>
          <w:highlight w:val="none"/>
          <w14:textFill>
            <w14:solidFill>
              <w14:schemeClr w14:val="tx1"/>
            </w14:solidFill>
          </w14:textFill>
        </w:rPr>
        <w:t>（5）固体废物影响分析</w:t>
      </w:r>
      <w:bookmarkEnd w:id="1416"/>
      <w:r>
        <w:rPr>
          <w:rFonts w:hint="eastAsia"/>
          <w:color w:val="000000" w:themeColor="text1"/>
          <w:sz w:val="24"/>
          <w:szCs w:val="24"/>
          <w:highlight w:val="none"/>
          <w:lang w:val="en-US" w:eastAsia="zh-CN"/>
          <w14:textFill>
            <w14:solidFill>
              <w14:schemeClr w14:val="tx1"/>
            </w14:solidFill>
          </w14:textFill>
        </w:rPr>
        <w:t>及保护措施</w:t>
      </w:r>
    </w:p>
    <w:p w14:paraId="535AECB6">
      <w:pPr>
        <w:pStyle w:val="109"/>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rPr>
          <w:color w:val="000000" w:themeColor="text1"/>
          <w:sz w:val="24"/>
          <w:szCs w:val="24"/>
          <w:highlight w:val="none"/>
          <w14:textFill>
            <w14:solidFill>
              <w14:schemeClr w14:val="tx1"/>
            </w14:solidFill>
          </w14:textFill>
        </w:rPr>
      </w:pPr>
      <w:bookmarkStart w:id="1417" w:name="OLE_LINK977"/>
      <w:bookmarkStart w:id="1418" w:name="OLE_LINK984"/>
      <w:r>
        <w:rPr>
          <w:color w:val="000000" w:themeColor="text1"/>
          <w:sz w:val="24"/>
          <w:szCs w:val="24"/>
          <w:highlight w:val="none"/>
          <w14:textFill>
            <w14:solidFill>
              <w14:schemeClr w14:val="tx1"/>
            </w14:solidFill>
          </w14:textFill>
        </w:rPr>
        <w:t>施工期固废主要为</w:t>
      </w:r>
      <w:bookmarkEnd w:id="1417"/>
      <w:r>
        <w:rPr>
          <w:rFonts w:hint="eastAsia"/>
          <w:color w:val="000000" w:themeColor="text1"/>
          <w:sz w:val="24"/>
          <w:szCs w:val="24"/>
          <w:highlight w:val="none"/>
          <w14:textFill>
            <w14:solidFill>
              <w14:schemeClr w14:val="tx1"/>
            </w14:solidFill>
          </w14:textFill>
        </w:rPr>
        <w:t>钻井</w:t>
      </w:r>
      <w:bookmarkStart w:id="1419" w:name="OLE_LINK976"/>
      <w:r>
        <w:rPr>
          <w:rFonts w:hint="eastAsia"/>
          <w:color w:val="000000" w:themeColor="text1"/>
          <w:sz w:val="24"/>
          <w:szCs w:val="24"/>
          <w:highlight w:val="none"/>
          <w14:textFill>
            <w14:solidFill>
              <w14:schemeClr w14:val="tx1"/>
            </w14:solidFill>
          </w14:textFill>
        </w:rPr>
        <w:t>泥浆</w:t>
      </w:r>
      <w:bookmarkEnd w:id="1419"/>
      <w:r>
        <w:rPr>
          <w:rFonts w:hint="eastAsia"/>
          <w:color w:val="000000" w:themeColor="text1"/>
          <w:sz w:val="24"/>
          <w:szCs w:val="24"/>
          <w:highlight w:val="none"/>
          <w14:textFill>
            <w14:solidFill>
              <w14:schemeClr w14:val="tx1"/>
            </w14:solidFill>
          </w14:textFill>
        </w:rPr>
        <w:t>、钻井岩屑、落地油、废润滑油、生活垃圾、施工废料和土石方</w:t>
      </w:r>
      <w:r>
        <w:rPr>
          <w:color w:val="000000" w:themeColor="text1"/>
          <w:sz w:val="24"/>
          <w:szCs w:val="24"/>
          <w:highlight w:val="none"/>
          <w14:textFill>
            <w14:solidFill>
              <w14:schemeClr w14:val="tx1"/>
            </w14:solidFill>
          </w14:textFill>
        </w:rPr>
        <w:t>。</w:t>
      </w:r>
      <w:bookmarkStart w:id="1420" w:name="OLE_LINK1425"/>
      <w:bookmarkStart w:id="1421" w:name="OLE_LINK1424"/>
      <w:r>
        <w:rPr>
          <w:rFonts w:hint="eastAsia"/>
          <w:color w:val="000000" w:themeColor="text1"/>
          <w:sz w:val="24"/>
          <w:szCs w:val="24"/>
          <w:highlight w:val="none"/>
          <w14:textFill>
            <w14:solidFill>
              <w14:schemeClr w14:val="tx1"/>
            </w14:solidFill>
          </w14:textFill>
        </w:rPr>
        <w:t>本工程钻井泥浆、岩屑一同进入井队固控系统进行分离处理，分离后的液体统一转运至阿克苏塔河环保工程有限公司绿色环保工作站处置。分离后的岩屑进入随钻不落地处理技术进行就地无害化处理，经处置检测合格并按规定进行留样，满足《油气田钻井固体废物综合利用污染控制要求》（DB65/T3997-2017）中综合利用污染物限值要求后用于铺垫油区内的井场、道路等。废弃油基泥浆委托有资质单位拉运处置。</w:t>
      </w:r>
      <w:bookmarkEnd w:id="1420"/>
      <w:bookmarkEnd w:id="1421"/>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落地油回收至罐车内，罐车采用密闭的专用罐车，统一由阿克苏塔河环保工程有限公司绿色环保工作站进行无害化处理。</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废润滑油</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收集后</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生活垃圾集中收集后清运处置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施工废料应首先考虑回收利用，不可回收利用部分拉运至工业固废填埋场合规处置。</w:t>
      </w:r>
      <w:r>
        <w:rPr>
          <w:rFonts w:hint="default" w:ascii="Times New Roman" w:hAnsi="Times New Roman" w:cs="Times New Roman"/>
          <w:color w:val="000000" w:themeColor="text1"/>
          <w:sz w:val="24"/>
          <w:szCs w:val="24"/>
          <w:highlight w:val="none"/>
          <w:lang w:eastAsia="zh-CN"/>
          <w14:textFill>
            <w14:solidFill>
              <w14:schemeClr w14:val="tx1"/>
            </w14:solidFill>
          </w14:textFill>
        </w:rPr>
        <w:t>土石方</w:t>
      </w:r>
      <w:r>
        <w:rPr>
          <w:rFonts w:hint="default" w:ascii="Times New Roman" w:hAnsi="Times New Roman" w:eastAsia="宋体" w:cs="Times New Roman"/>
          <w:color w:val="000000" w:themeColor="text1"/>
          <w:sz w:val="24"/>
          <w:szCs w:val="24"/>
          <w:highlight w:val="none"/>
          <w14:textFill>
            <w14:solidFill>
              <w14:schemeClr w14:val="tx1"/>
            </w14:solidFill>
          </w14:textFill>
        </w:rPr>
        <w:t>全部用于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井</w:t>
      </w:r>
      <w:r>
        <w:rPr>
          <w:rFonts w:hint="default" w:ascii="Times New Roman" w:hAnsi="Times New Roman" w:eastAsia="宋体" w:cs="Times New Roman"/>
          <w:color w:val="000000" w:themeColor="text1"/>
          <w:sz w:val="24"/>
          <w:szCs w:val="24"/>
          <w:highlight w:val="none"/>
          <w14:textFill>
            <w14:solidFill>
              <w14:schemeClr w14:val="tx1"/>
            </w14:solidFill>
          </w14:textFill>
        </w:rPr>
        <w:t>场回填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场地平整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C2A11DF">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运营</w:t>
      </w:r>
      <w:r>
        <w:rPr>
          <w:color w:val="000000" w:themeColor="text1"/>
          <w:sz w:val="24"/>
          <w:szCs w:val="24"/>
          <w:highlight w:val="none"/>
          <w14:textFill>
            <w14:solidFill>
              <w14:schemeClr w14:val="tx1"/>
            </w14:solidFill>
          </w14:textFill>
        </w:rPr>
        <w:t>期固废主要为落地油</w:t>
      </w:r>
      <w:r>
        <w:rPr>
          <w:rFonts w:hint="eastAsia"/>
          <w:color w:val="000000" w:themeColor="text1"/>
          <w:sz w:val="24"/>
          <w:szCs w:val="24"/>
          <w:highlight w:val="none"/>
          <w:lang w:eastAsia="zh-CN"/>
          <w14:textFill>
            <w14:solidFill>
              <w14:schemeClr w14:val="tx1"/>
            </w14:solidFill>
          </w14:textFill>
        </w:rPr>
        <w:t>、</w:t>
      </w:r>
      <w:bookmarkStart w:id="1422" w:name="OLE_LINK979"/>
      <w:r>
        <w:rPr>
          <w:color w:val="000000" w:themeColor="text1"/>
          <w:sz w:val="24"/>
          <w:szCs w:val="24"/>
          <w:highlight w:val="none"/>
          <w14:textFill>
            <w14:solidFill>
              <w14:schemeClr w14:val="tx1"/>
            </w14:solidFill>
          </w14:textFill>
        </w:rPr>
        <w:t>废防渗材料</w:t>
      </w:r>
      <w:r>
        <w:rPr>
          <w:rFonts w:hint="eastAsia"/>
          <w:color w:val="000000" w:themeColor="text1"/>
          <w:sz w:val="24"/>
          <w:szCs w:val="24"/>
          <w:highlight w:val="none"/>
          <w14:textFill>
            <w14:solidFill>
              <w14:schemeClr w14:val="tx1"/>
            </w14:solidFill>
          </w14:textFill>
        </w:rPr>
        <w:t>、清罐底泥</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废润滑油</w:t>
      </w:r>
      <w:bookmarkEnd w:id="1422"/>
      <w:r>
        <w:rPr>
          <w:rFonts w:hint="eastAsia"/>
          <w:color w:val="000000" w:themeColor="text1"/>
          <w:sz w:val="24"/>
          <w:szCs w:val="24"/>
          <w:highlight w:val="none"/>
          <w:lang w:val="en-US" w:eastAsia="zh-CN"/>
          <w14:textFill>
            <w14:solidFill>
              <w14:schemeClr w14:val="tx1"/>
            </w14:solidFill>
          </w14:textFill>
        </w:rPr>
        <w:t>和不定期井下作业产生的废弃油基泥浆岩屑</w:t>
      </w:r>
      <w:r>
        <w:rPr>
          <w:rFonts w:hint="eastAsia"/>
          <w:color w:val="000000" w:themeColor="text1"/>
          <w:sz w:val="24"/>
          <w:szCs w:val="24"/>
          <w:highlight w:val="none"/>
          <w:lang w:eastAsia="zh-CN"/>
          <w14:textFill>
            <w14:solidFill>
              <w14:schemeClr w14:val="tx1"/>
            </w14:solidFill>
          </w14:textFill>
        </w:rPr>
        <w:t>。</w:t>
      </w:r>
      <w:bookmarkStart w:id="1423" w:name="OLE_LINK978"/>
      <w:r>
        <w:rPr>
          <w:color w:val="000000" w:themeColor="text1"/>
          <w:sz w:val="24"/>
          <w:szCs w:val="24"/>
          <w:highlight w:val="none"/>
          <w14:textFill>
            <w14:solidFill>
              <w14:schemeClr w14:val="tx1"/>
            </w14:solidFill>
          </w14:textFill>
        </w:rPr>
        <w:t>落地油</w:t>
      </w:r>
      <w:bookmarkEnd w:id="1423"/>
      <w:r>
        <w:rPr>
          <w:rFonts w:hint="eastAsia"/>
          <w:color w:val="000000" w:themeColor="text1"/>
          <w:sz w:val="24"/>
          <w:szCs w:val="24"/>
          <w:highlight w:val="none"/>
          <w14:textFill>
            <w14:solidFill>
              <w14:schemeClr w14:val="tx1"/>
            </w14:solidFill>
          </w14:textFill>
        </w:rPr>
        <w:t>由阿克苏塔河环保工程有限公司绿色环保工作站处理</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废防渗材料</w:t>
      </w:r>
      <w:r>
        <w:rPr>
          <w:rFonts w:hint="eastAsia"/>
          <w:color w:val="000000" w:themeColor="text1"/>
          <w:sz w:val="24"/>
          <w:szCs w:val="24"/>
          <w:highlight w:val="none"/>
          <w14:textFill>
            <w14:solidFill>
              <w14:schemeClr w14:val="tx1"/>
            </w14:solidFill>
          </w14:textFill>
        </w:rPr>
        <w:t>、清罐底泥</w:t>
      </w:r>
      <w:r>
        <w:rPr>
          <w:rFonts w:hint="eastAsia"/>
          <w:color w:val="000000" w:themeColor="text1"/>
          <w:sz w:val="24"/>
          <w:szCs w:val="24"/>
          <w:highlight w:val="none"/>
          <w:lang w:val="en-US" w:eastAsia="zh-CN"/>
          <w14:textFill>
            <w14:solidFill>
              <w14:schemeClr w14:val="tx1"/>
            </w14:solidFill>
          </w14:textFill>
        </w:rPr>
        <w:t>和废弃油基泥浆岩屑</w:t>
      </w:r>
      <w:r>
        <w:rPr>
          <w:color w:val="000000" w:themeColor="text1"/>
          <w:sz w:val="24"/>
          <w:szCs w:val="24"/>
          <w:highlight w:val="none"/>
          <w14:textFill>
            <w14:solidFill>
              <w14:schemeClr w14:val="tx1"/>
            </w14:solidFill>
          </w14:textFill>
        </w:rPr>
        <w:t>由</w:t>
      </w:r>
      <w:bookmarkStart w:id="1424" w:name="OLE_LINK980"/>
      <w:r>
        <w:rPr>
          <w:rFonts w:hint="eastAsia"/>
          <w:color w:val="000000" w:themeColor="text1"/>
          <w:sz w:val="24"/>
          <w:szCs w:val="24"/>
          <w:highlight w:val="none"/>
          <w14:textFill>
            <w14:solidFill>
              <w14:schemeClr w14:val="tx1"/>
            </w14:solidFill>
          </w14:textFill>
        </w:rPr>
        <w:t>委托持有危险废物经营许可证的单位利用处置</w:t>
      </w:r>
      <w:bookmarkEnd w:id="1424"/>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润滑油自行利用回注系统</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或委托持有危险废物经营许可证的单位利用处置</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运营期工作人员由雅克拉采气厂内部调剂解决，故不新增生活垃圾</w:t>
      </w:r>
      <w:r>
        <w:rPr>
          <w:color w:val="000000" w:themeColor="text1"/>
          <w:sz w:val="24"/>
          <w:szCs w:val="24"/>
          <w:highlight w:val="none"/>
          <w14:textFill>
            <w14:solidFill>
              <w14:schemeClr w14:val="tx1"/>
            </w14:solidFill>
          </w14:textFill>
        </w:rPr>
        <w:t>。</w:t>
      </w:r>
    </w:p>
    <w:p w14:paraId="637A9EEF">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退役期设备拆除过程中产生的落地油由</w:t>
      </w:r>
      <w:r>
        <w:rPr>
          <w:rFonts w:hint="eastAsia"/>
          <w:color w:val="000000" w:themeColor="text1"/>
          <w:sz w:val="24"/>
          <w:szCs w:val="24"/>
          <w:highlight w:val="none"/>
          <w14:textFill>
            <w14:solidFill>
              <w14:schemeClr w14:val="tx1"/>
            </w14:solidFill>
          </w14:textFill>
        </w:rPr>
        <w:t>委托持有危险废物经营许可证的单位利用处置。</w:t>
      </w:r>
    </w:p>
    <w:bookmarkEnd w:id="1418"/>
    <w:p w14:paraId="171689D3">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本工程对</w:t>
      </w:r>
      <w:r>
        <w:rPr>
          <w:rFonts w:hint="eastAsia"/>
          <w:color w:val="000000" w:themeColor="text1"/>
          <w:sz w:val="24"/>
          <w:szCs w:val="24"/>
          <w:highlight w:val="none"/>
          <w:lang w:val="en-US" w:eastAsia="zh-CN"/>
          <w14:textFill>
            <w14:solidFill>
              <w14:schemeClr w14:val="tx1"/>
            </w14:solidFill>
          </w14:textFill>
        </w:rPr>
        <w:t>施工</w:t>
      </w:r>
      <w:r>
        <w:rPr>
          <w:color w:val="000000" w:themeColor="text1"/>
          <w:sz w:val="24"/>
          <w:szCs w:val="24"/>
          <w:highlight w:val="none"/>
          <w14:textFill>
            <w14:solidFill>
              <w14:schemeClr w14:val="tx1"/>
            </w14:solidFill>
          </w14:textFill>
        </w:rPr>
        <w:t>期和运营期产生的各种固体废物均采取了妥善</w:t>
      </w:r>
      <w:r>
        <w:rPr>
          <w:rFonts w:hint="eastAsia"/>
          <w:color w:val="000000" w:themeColor="text1"/>
          <w:sz w:val="24"/>
          <w:szCs w:val="24"/>
          <w:highlight w:val="none"/>
          <w:lang w:eastAsia="zh-CN"/>
          <w14:textFill>
            <w14:solidFill>
              <w14:schemeClr w14:val="tx1"/>
            </w14:solidFill>
          </w14:textFill>
        </w:rPr>
        <w:t>地</w:t>
      </w:r>
      <w:r>
        <w:rPr>
          <w:color w:val="000000" w:themeColor="text1"/>
          <w:sz w:val="24"/>
          <w:szCs w:val="24"/>
          <w:highlight w:val="none"/>
          <w14:textFill>
            <w14:solidFill>
              <w14:schemeClr w14:val="tx1"/>
            </w14:solidFill>
          </w14:textFill>
        </w:rPr>
        <w:t>处理、处置措施，只要严格管理，不会对环境产生影响。</w:t>
      </w:r>
    </w:p>
    <w:p w14:paraId="78309CD5">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bookmarkStart w:id="1425" w:name="_Toc21335"/>
      <w:bookmarkStart w:id="1426" w:name="_Toc25555"/>
      <w:r>
        <w:rPr>
          <w:color w:val="000000" w:themeColor="text1"/>
          <w:sz w:val="24"/>
          <w:szCs w:val="24"/>
          <w:highlight w:val="none"/>
          <w14:textFill>
            <w14:solidFill>
              <w14:schemeClr w14:val="tx1"/>
            </w14:solidFill>
          </w14:textFill>
        </w:rPr>
        <w:t>（6）土壤影响分析</w:t>
      </w:r>
      <w:bookmarkEnd w:id="1425"/>
      <w:bookmarkEnd w:id="1426"/>
      <w:r>
        <w:rPr>
          <w:rFonts w:hint="eastAsia"/>
          <w:color w:val="000000" w:themeColor="text1"/>
          <w:sz w:val="24"/>
          <w:szCs w:val="24"/>
          <w:highlight w:val="none"/>
          <w:lang w:val="en-US" w:eastAsia="zh-CN"/>
          <w14:textFill>
            <w14:solidFill>
              <w14:schemeClr w14:val="tx1"/>
            </w14:solidFill>
          </w14:textFill>
        </w:rPr>
        <w:t>及保护措施</w:t>
      </w:r>
    </w:p>
    <w:p w14:paraId="510C4BE7">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施工期土壤环境影响主要</w:t>
      </w:r>
      <w:r>
        <w:rPr>
          <w:rFonts w:hint="eastAsia"/>
          <w:color w:val="000000" w:themeColor="text1"/>
          <w:kern w:val="2"/>
          <w:sz w:val="24"/>
          <w:szCs w:val="24"/>
          <w:highlight w:val="none"/>
          <w:lang w:eastAsia="zh-CN"/>
          <w14:textFill>
            <w14:solidFill>
              <w14:schemeClr w14:val="tx1"/>
            </w14:solidFill>
          </w14:textFill>
        </w:rPr>
        <w:t>来自</w:t>
      </w:r>
      <w:r>
        <w:rPr>
          <w:rFonts w:hint="eastAsia"/>
          <w:color w:val="000000" w:themeColor="text1"/>
          <w:kern w:val="2"/>
          <w:sz w:val="24"/>
          <w:szCs w:val="24"/>
          <w:highlight w:val="none"/>
          <w14:textFill>
            <w14:solidFill>
              <w14:schemeClr w14:val="tx1"/>
            </w14:solidFill>
          </w14:textFill>
        </w:rPr>
        <w:t>井场建设的人为扰动、车辆行驶和机械施工、各种废物污染影响</w:t>
      </w:r>
      <w:r>
        <w:rPr>
          <w:color w:val="000000" w:themeColor="text1"/>
          <w:kern w:val="2"/>
          <w:sz w:val="24"/>
          <w:szCs w:val="24"/>
          <w:highlight w:val="none"/>
          <w14:textFill>
            <w14:solidFill>
              <w14:schemeClr w14:val="tx1"/>
            </w14:solidFill>
          </w14:textFill>
        </w:rPr>
        <w:t>。落实环保措施的情况下，本工程施工期间对</w:t>
      </w:r>
      <w:r>
        <w:rPr>
          <w:rFonts w:hint="eastAsia"/>
          <w:color w:val="000000" w:themeColor="text1"/>
          <w:kern w:val="2"/>
          <w:sz w:val="24"/>
          <w:szCs w:val="24"/>
          <w:highlight w:val="none"/>
          <w14:textFill>
            <w14:solidFill>
              <w14:schemeClr w14:val="tx1"/>
            </w14:solidFill>
          </w14:textFill>
        </w:rPr>
        <w:t>井场</w:t>
      </w:r>
      <w:r>
        <w:rPr>
          <w:color w:val="000000" w:themeColor="text1"/>
          <w:kern w:val="2"/>
          <w:sz w:val="24"/>
          <w:szCs w:val="24"/>
          <w:highlight w:val="none"/>
          <w14:textFill>
            <w14:solidFill>
              <w14:schemeClr w14:val="tx1"/>
            </w14:solidFill>
          </w14:textFill>
        </w:rPr>
        <w:t>周边的土壤影响很小。</w:t>
      </w:r>
    </w:p>
    <w:p w14:paraId="4DAEFA1F">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运营期对土壤质量的影响主要分为污染影响和生态影响。</w:t>
      </w:r>
      <w:r>
        <w:rPr>
          <w:color w:val="000000" w:themeColor="text1"/>
          <w:sz w:val="24"/>
          <w:szCs w:val="24"/>
          <w:highlight w:val="none"/>
          <w14:textFill>
            <w14:solidFill>
              <w14:schemeClr w14:val="tx1"/>
            </w14:solidFill>
          </w14:textFill>
        </w:rPr>
        <w:t>本工程正常工况下无废水及固废等污染物外排，不会造成土壤环境污染。如果发生装置泄漏等事故，泄漏的</w:t>
      </w:r>
      <w:bookmarkStart w:id="1427" w:name="OLE_LINK981"/>
      <w:r>
        <w:rPr>
          <w:rFonts w:hint="eastAsia"/>
          <w:color w:val="000000" w:themeColor="text1"/>
          <w:sz w:val="24"/>
          <w:szCs w:val="24"/>
          <w:highlight w:val="none"/>
          <w:lang w:val="en-US" w:eastAsia="zh-CN"/>
          <w14:textFill>
            <w14:solidFill>
              <w14:schemeClr w14:val="tx1"/>
            </w14:solidFill>
          </w14:textFill>
        </w:rPr>
        <w:t>凝析油</w:t>
      </w:r>
      <w:bookmarkEnd w:id="1427"/>
      <w:r>
        <w:rPr>
          <w:color w:val="000000" w:themeColor="text1"/>
          <w:sz w:val="24"/>
          <w:szCs w:val="24"/>
          <w:highlight w:val="none"/>
          <w14:textFill>
            <w14:solidFill>
              <w14:schemeClr w14:val="tx1"/>
            </w14:solidFill>
          </w14:textFill>
        </w:rPr>
        <w:t>会对土壤环境产生一定的影响，泄漏的</w:t>
      </w:r>
      <w:r>
        <w:rPr>
          <w:rFonts w:hint="eastAsia"/>
          <w:color w:val="000000" w:themeColor="text1"/>
          <w:sz w:val="24"/>
          <w:szCs w:val="24"/>
          <w:highlight w:val="none"/>
          <w:lang w:val="en-US" w:eastAsia="zh-CN"/>
          <w14:textFill>
            <w14:solidFill>
              <w14:schemeClr w14:val="tx1"/>
            </w14:solidFill>
          </w14:textFill>
        </w:rPr>
        <w:t>凝析油</w:t>
      </w:r>
      <w:r>
        <w:rPr>
          <w:color w:val="000000" w:themeColor="text1"/>
          <w:sz w:val="24"/>
          <w:szCs w:val="24"/>
          <w:highlight w:val="none"/>
          <w14:textFill>
            <w14:solidFill>
              <w14:schemeClr w14:val="tx1"/>
            </w14:solidFill>
          </w14:textFill>
        </w:rPr>
        <w:t>覆盖于地表可使土壤透气性下降、土壤理化性状发生变化。泄漏的</w:t>
      </w:r>
      <w:r>
        <w:rPr>
          <w:rFonts w:hint="eastAsia"/>
          <w:color w:val="000000" w:themeColor="text1"/>
          <w:sz w:val="24"/>
          <w:szCs w:val="24"/>
          <w:highlight w:val="none"/>
          <w:lang w:val="en-US" w:eastAsia="zh-CN"/>
          <w14:textFill>
            <w14:solidFill>
              <w14:schemeClr w14:val="tx1"/>
            </w14:solidFill>
          </w14:textFill>
        </w:rPr>
        <w:t>凝析油</w:t>
      </w:r>
      <w:r>
        <w:rPr>
          <w:color w:val="000000" w:themeColor="text1"/>
          <w:sz w:val="24"/>
          <w:szCs w:val="24"/>
          <w:highlight w:val="none"/>
          <w14:textFill>
            <w14:solidFill>
              <w14:schemeClr w14:val="tx1"/>
            </w14:solidFill>
          </w14:textFill>
        </w:rPr>
        <w:t>如果进入土壤，从而使土壤质地、结构发生改变，影响到土地功能，进而影响地表植被的生长。根据环境风险分析可知，本工程风险潜势很低，发生泄漏事故的可能性很小，在做好源头控制、过程防控等措施的前提下，可避免工程实施对土壤环境产生污染影响。</w:t>
      </w:r>
    </w:p>
    <w:p w14:paraId="14013932">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2"/>
        <w:rPr>
          <w:color w:val="000000" w:themeColor="text1"/>
          <w:sz w:val="24"/>
          <w:szCs w:val="24"/>
          <w:highlight w:val="none"/>
          <w14:textFill>
            <w14:solidFill>
              <w14:schemeClr w14:val="tx1"/>
            </w14:solidFill>
          </w14:textFill>
        </w:rPr>
      </w:pPr>
      <w:bookmarkStart w:id="1428" w:name="_Toc5875"/>
      <w:bookmarkStart w:id="1429" w:name="_Toc30710"/>
      <w:r>
        <w:rPr>
          <w:color w:val="000000" w:themeColor="text1"/>
          <w:sz w:val="24"/>
          <w:szCs w:val="24"/>
          <w:highlight w:val="none"/>
          <w14:textFill>
            <w14:solidFill>
              <w14:schemeClr w14:val="tx1"/>
            </w14:solidFill>
          </w14:textFill>
        </w:rPr>
        <w:t>（7）环境风险分析</w:t>
      </w:r>
      <w:bookmarkEnd w:id="1428"/>
      <w:bookmarkEnd w:id="1429"/>
      <w:r>
        <w:rPr>
          <w:rFonts w:hint="eastAsia"/>
          <w:color w:val="000000" w:themeColor="text1"/>
          <w:sz w:val="24"/>
          <w:szCs w:val="24"/>
          <w:highlight w:val="none"/>
          <w:lang w:val="en-US" w:eastAsia="zh-CN"/>
          <w14:textFill>
            <w14:solidFill>
              <w14:schemeClr w14:val="tx1"/>
            </w14:solidFill>
          </w14:textFill>
        </w:rPr>
        <w:t>及保护措施</w:t>
      </w:r>
    </w:p>
    <w:p w14:paraId="0B221C3E">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snapToGrid w:val="0"/>
          <w:color w:val="000000" w:themeColor="text1"/>
          <w:sz w:val="24"/>
          <w:szCs w:val="24"/>
          <w:highlight w:val="none"/>
          <w:lang w:bidi="ar"/>
          <w14:textFill>
            <w14:solidFill>
              <w14:schemeClr w14:val="tx1"/>
            </w14:solidFill>
          </w14:textFill>
        </w:rPr>
      </w:pPr>
      <w:bookmarkStart w:id="1430" w:name="_Hlk68080684"/>
      <w:r>
        <w:rPr>
          <w:rFonts w:hint="eastAsia"/>
          <w:color w:val="000000" w:themeColor="text1"/>
          <w:sz w:val="24"/>
          <w:szCs w:val="24"/>
          <w:highlight w:val="none"/>
          <w14:textFill>
            <w14:solidFill>
              <w14:schemeClr w14:val="tx1"/>
            </w14:solidFill>
          </w14:textFill>
        </w:rPr>
        <w:t>本工程涉及的突发环境事件风险物质有</w:t>
      </w:r>
      <w:r>
        <w:rPr>
          <w:rFonts w:hint="eastAsia"/>
          <w:color w:val="000000" w:themeColor="text1"/>
          <w:sz w:val="24"/>
          <w:szCs w:val="24"/>
          <w:highlight w:val="none"/>
          <w:lang w:val="en-US" w:eastAsia="zh-CN"/>
          <w14:textFill>
            <w14:solidFill>
              <w14:schemeClr w14:val="tx1"/>
            </w14:solidFill>
          </w14:textFill>
        </w:rPr>
        <w:t>凝析油</w:t>
      </w:r>
      <w:r>
        <w:rPr>
          <w:rFonts w:hint="eastAsia"/>
          <w:color w:val="000000" w:themeColor="text1"/>
          <w:sz w:val="24"/>
          <w:szCs w:val="24"/>
          <w:highlight w:val="none"/>
          <w14:textFill>
            <w14:solidFill>
              <w14:schemeClr w14:val="tx1"/>
            </w14:solidFill>
          </w14:textFill>
        </w:rPr>
        <w:t>、天然气。</w:t>
      </w:r>
      <w:r>
        <w:rPr>
          <w:rFonts w:hint="eastAsia"/>
          <w:color w:val="000000" w:themeColor="text1"/>
          <w:sz w:val="24"/>
          <w:szCs w:val="24"/>
          <w:highlight w:val="none"/>
          <w:lang w:val="en-US" w:eastAsia="zh-CN"/>
          <w14:textFill>
            <w14:solidFill>
              <w14:schemeClr w14:val="tx1"/>
            </w14:solidFill>
          </w14:textFill>
        </w:rPr>
        <w:t>凝析油</w:t>
      </w:r>
      <w:r>
        <w:rPr>
          <w:rFonts w:hint="eastAsia"/>
          <w:color w:val="000000" w:themeColor="text1"/>
          <w:sz w:val="24"/>
          <w:szCs w:val="24"/>
          <w:highlight w:val="none"/>
          <w14:textFill>
            <w14:solidFill>
              <w14:schemeClr w14:val="tx1"/>
            </w14:solidFill>
          </w14:textFill>
        </w:rPr>
        <w:t>主要存在于井场工艺装置区以及</w:t>
      </w:r>
      <w:r>
        <w:rPr>
          <w:rFonts w:hint="eastAsia"/>
          <w:color w:val="000000" w:themeColor="text1"/>
          <w:sz w:val="24"/>
          <w:szCs w:val="24"/>
          <w:highlight w:val="none"/>
          <w:lang w:val="en-US" w:eastAsia="zh-CN"/>
          <w14:textFill>
            <w14:solidFill>
              <w14:schemeClr w14:val="tx1"/>
            </w14:solidFill>
          </w14:textFill>
        </w:rPr>
        <w:t>凝析油</w:t>
      </w:r>
      <w:r>
        <w:rPr>
          <w:rFonts w:hint="eastAsia"/>
          <w:color w:val="000000" w:themeColor="text1"/>
          <w:sz w:val="24"/>
          <w:szCs w:val="24"/>
          <w:highlight w:val="none"/>
          <w14:textFill>
            <w14:solidFill>
              <w14:schemeClr w14:val="tx1"/>
            </w14:solidFill>
          </w14:textFill>
        </w:rPr>
        <w:t>储罐内，天然气主要存在于井场。井喷、井漏、储罐发生</w:t>
      </w:r>
      <w:r>
        <w:rPr>
          <w:rFonts w:hint="eastAsia"/>
          <w:color w:val="000000" w:themeColor="text1"/>
          <w:sz w:val="24"/>
          <w:szCs w:val="24"/>
          <w:highlight w:val="none"/>
          <w:lang w:eastAsia="zh-CN"/>
          <w14:textFill>
            <w14:solidFill>
              <w14:schemeClr w14:val="tx1"/>
            </w14:solidFill>
          </w14:textFill>
        </w:rPr>
        <w:t>泄漏</w:t>
      </w:r>
      <w:r>
        <w:rPr>
          <w:rFonts w:hint="eastAsia"/>
          <w:color w:val="000000" w:themeColor="text1"/>
          <w:sz w:val="24"/>
          <w:szCs w:val="24"/>
          <w:highlight w:val="none"/>
          <w14:textFill>
            <w14:solidFill>
              <w14:schemeClr w14:val="tx1"/>
            </w14:solidFill>
          </w14:textFill>
        </w:rPr>
        <w:t>以及油气</w:t>
      </w:r>
      <w:r>
        <w:rPr>
          <w:rFonts w:hint="eastAsia"/>
          <w:color w:val="000000" w:themeColor="text1"/>
          <w:sz w:val="24"/>
          <w:szCs w:val="24"/>
          <w:highlight w:val="none"/>
          <w:lang w:eastAsia="zh-CN"/>
          <w14:textFill>
            <w14:solidFill>
              <w14:schemeClr w14:val="tx1"/>
            </w14:solidFill>
          </w14:textFill>
        </w:rPr>
        <w:t>泄漏</w:t>
      </w:r>
      <w:r>
        <w:rPr>
          <w:rFonts w:hint="eastAsia"/>
          <w:color w:val="000000" w:themeColor="text1"/>
          <w:sz w:val="24"/>
          <w:szCs w:val="24"/>
          <w:highlight w:val="none"/>
          <w14:textFill>
            <w14:solidFill>
              <w14:schemeClr w14:val="tx1"/>
            </w14:solidFill>
          </w14:textFill>
        </w:rPr>
        <w:t>后遇明火引发的火灾、爆炸次生污染物等，井喷、井场工艺装置区、井场储罐区发生泄漏会对大气、土壤、地下水产生的直接影响以及遇明火后发生火灾、爆炸等引发的伴生/次生污染物排放。本工程应落实各项井场制度，降低井喷、井漏发生概率，本</w:t>
      </w:r>
      <w:r>
        <w:rPr>
          <w:rFonts w:hint="eastAsia"/>
          <w:color w:val="000000" w:themeColor="text1"/>
          <w:sz w:val="24"/>
          <w:szCs w:val="24"/>
          <w:highlight w:val="none"/>
          <w:lang w:eastAsia="zh-CN"/>
          <w14:textFill>
            <w14:solidFill>
              <w14:schemeClr w14:val="tx1"/>
            </w14:solidFill>
          </w14:textFill>
        </w:rPr>
        <w:t>工程</w:t>
      </w:r>
      <w:r>
        <w:rPr>
          <w:rFonts w:hint="eastAsia"/>
          <w:color w:val="000000" w:themeColor="text1"/>
          <w:sz w:val="24"/>
          <w:szCs w:val="24"/>
          <w:highlight w:val="none"/>
          <w14:textFill>
            <w14:solidFill>
              <w14:schemeClr w14:val="tx1"/>
            </w14:solidFill>
          </w14:textFill>
        </w:rPr>
        <w:t>所在区域地势平坦，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本工程提出的风险防范措施的前提下，不会对周围环境产生明显影响；本次评价建议加强日常环境管理及认真落实环境风险预防措施和编制应急预案并备案，可将环境风险概率降到最低。</w:t>
      </w:r>
    </w:p>
    <w:bookmarkEnd w:id="1430"/>
    <w:p w14:paraId="4512BB4B">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431" w:name="_Toc13942"/>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_Toc24108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lang w:val="en-US" w:eastAsia="en-US"/>
          <w14:textFill>
            <w14:solidFill>
              <w14:schemeClr w14:val="tx1"/>
            </w14:solidFill>
          </w14:textFill>
        </w:rPr>
        <w:t>公众意见采纳情况</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431"/>
    </w:p>
    <w:p w14:paraId="7B4E255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highlight w:val="none"/>
          <w:lang w:val="en-US" w:eastAsia="en-US"/>
          <w14:textFill>
            <w14:solidFill>
              <w14:schemeClr w14:val="tx1"/>
            </w14:solidFill>
          </w14:textFill>
        </w:rPr>
      </w:pPr>
      <w:r>
        <w:rPr>
          <w:color w:val="000000" w:themeColor="text1"/>
          <w:highlight w:val="none"/>
          <w14:textFill>
            <w14:solidFill>
              <w14:schemeClr w14:val="tx1"/>
            </w14:solidFill>
          </w14:textFill>
        </w:rPr>
        <w:t>建设单位根据《环境影响评价公众参与办法》的要求，采用网络公告、报纸刊登等形式开展公众参与调查，调查期间未收到公众对本工程的相关建议。</w:t>
      </w:r>
    </w:p>
    <w:p w14:paraId="01EFA979">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432" w:name="_Toc3060"/>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_Toc13950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环境影响经济损益分析</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432"/>
    </w:p>
    <w:p w14:paraId="5EA50FFA">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本工程具有良好的经济效益和社会效益。</w:t>
      </w:r>
    </w:p>
    <w:p w14:paraId="05C2C9FA">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在建设过程中，由于地面设施建设等都需要占用一定量的土地，并因此带来一定的</w:t>
      </w:r>
      <w:r>
        <w:rPr>
          <w:rFonts w:hint="eastAsia"/>
          <w:color w:val="000000" w:themeColor="text1"/>
          <w:sz w:val="24"/>
          <w:szCs w:val="24"/>
          <w:highlight w:val="none"/>
          <w14:textFill>
            <w14:solidFill>
              <w14:schemeClr w14:val="tx1"/>
            </w14:solidFill>
          </w14:textFill>
        </w:rPr>
        <w:t>生态</w:t>
      </w:r>
      <w:r>
        <w:rPr>
          <w:color w:val="000000" w:themeColor="text1"/>
          <w:sz w:val="24"/>
          <w:szCs w:val="24"/>
          <w:highlight w:val="none"/>
          <w14:textFill>
            <w14:solidFill>
              <w14:schemeClr w14:val="tx1"/>
            </w14:solidFill>
          </w14:textFill>
        </w:rPr>
        <w:t>环境损失。因而在油田开发过程中，需要投入必要的资金用于污染防治和恢复地貌等，经估算本工程总投资为</w:t>
      </w:r>
      <w:r>
        <w:rPr>
          <w:rFonts w:hint="eastAsia" w:cs="Times New Roman"/>
          <w:color w:val="000000" w:themeColor="text1"/>
          <w:sz w:val="24"/>
          <w:szCs w:val="24"/>
          <w:highlight w:val="none"/>
          <w:lang w:val="en-US" w:eastAsia="zh-CN"/>
          <w14:textFill>
            <w14:solidFill>
              <w14:schemeClr w14:val="tx1"/>
            </w14:solidFill>
          </w14:textFill>
        </w:rPr>
        <w:t>6329.31</w:t>
      </w:r>
      <w:r>
        <w:rPr>
          <w:color w:val="000000" w:themeColor="text1"/>
          <w:sz w:val="24"/>
          <w:szCs w:val="24"/>
          <w:highlight w:val="none"/>
          <w14:textFill>
            <w14:solidFill>
              <w14:schemeClr w14:val="tx1"/>
            </w14:solidFill>
          </w14:textFill>
        </w:rPr>
        <w:t>万元，其中环保投资</w:t>
      </w:r>
      <w:r>
        <w:rPr>
          <w:rFonts w:hint="eastAsia"/>
          <w:color w:val="000000" w:themeColor="text1"/>
          <w:sz w:val="24"/>
          <w:szCs w:val="24"/>
          <w:highlight w:val="none"/>
          <w:lang w:val="en-US" w:eastAsia="zh-CN"/>
          <w14:textFill>
            <w14:solidFill>
              <w14:schemeClr w14:val="tx1"/>
            </w14:solidFill>
          </w14:textFill>
        </w:rPr>
        <w:t>126</w:t>
      </w:r>
      <w:r>
        <w:rPr>
          <w:color w:val="000000" w:themeColor="text1"/>
          <w:sz w:val="24"/>
          <w:szCs w:val="24"/>
          <w:highlight w:val="none"/>
          <w14:textFill>
            <w14:solidFill>
              <w14:schemeClr w14:val="tx1"/>
            </w14:solidFill>
          </w14:textFill>
        </w:rPr>
        <w:t>万元，占总投资</w:t>
      </w:r>
      <w:r>
        <w:rPr>
          <w:rFonts w:hint="eastAsia"/>
          <w:color w:val="000000" w:themeColor="text1"/>
          <w:sz w:val="24"/>
          <w:szCs w:val="24"/>
          <w:highlight w:val="none"/>
          <w:lang w:val="en-US" w:eastAsia="zh-CN"/>
          <w14:textFill>
            <w14:solidFill>
              <w14:schemeClr w14:val="tx1"/>
            </w14:solidFill>
          </w14:textFill>
        </w:rPr>
        <w:t>2.0</w:t>
      </w:r>
      <w:r>
        <w:rPr>
          <w:color w:val="000000" w:themeColor="text1"/>
          <w:sz w:val="24"/>
          <w:szCs w:val="24"/>
          <w:highlight w:val="none"/>
          <w14:textFill>
            <w14:solidFill>
              <w14:schemeClr w14:val="tx1"/>
            </w14:solidFill>
          </w14:textFill>
        </w:rPr>
        <w:t>%。实施相应的环保措施后，不但能够起到保护环境的效果，同时节约经济开支，为企业带来经济效益。</w:t>
      </w:r>
    </w:p>
    <w:p w14:paraId="32F24CD6">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433" w:name="_Toc30299"/>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_Toc26871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en-US"/>
          <w14:textFill>
            <w14:solidFill>
              <w14:schemeClr w14:val="tx1"/>
            </w14:solidFill>
          </w14:textFill>
        </w:rPr>
        <w:t>环境管理与监测计划</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433"/>
    </w:p>
    <w:p w14:paraId="72AC6C7A">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snapToGrid w:val="0"/>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中国石油化工股份有限公司西北油田分公司</w:t>
      </w:r>
      <w:r>
        <w:rPr>
          <w:snapToGrid w:val="0"/>
          <w:color w:val="000000" w:themeColor="text1"/>
          <w:sz w:val="24"/>
          <w:szCs w:val="24"/>
          <w:highlight w:val="none"/>
          <w14:textFill>
            <w14:solidFill>
              <w14:schemeClr w14:val="tx1"/>
            </w14:solidFill>
          </w14:textFill>
        </w:rPr>
        <w:t>环境管理机构设置健全，同时拥有完善的管理体系和管理手段。本工程制定了施工期环境监理计划、运营期环境监测计划和环保设施竣工验收管理要求，针对工程的不同阶段提出了具体的环境管理要求。</w:t>
      </w:r>
    </w:p>
    <w:p w14:paraId="2C9F7D1E">
      <w:pPr>
        <w:pStyle w:val="3"/>
        <w:pageBreakBefore w:val="0"/>
        <w:widowControl/>
        <w:kinsoku/>
        <w:wordWrap/>
        <w:overflowPunct/>
        <w:topLinePunct w:val="0"/>
        <w:autoSpaceDE/>
        <w:autoSpaceDN/>
        <w:bidi w:val="0"/>
        <w:adjustRightInd w:val="0"/>
        <w:snapToGrid w:val="0"/>
        <w:spacing w:beforeLines="0" w:after="0" w:line="360" w:lineRule="auto"/>
        <w:textAlignment w:val="auto"/>
        <w:rPr>
          <w:rFonts w:hint="eastAsia" w:ascii="Times New Roman" w:hAnsi="Times New Roman" w:eastAsia="宋体" w:cs="Times New Roman"/>
          <w:color w:val="000000" w:themeColor="text1"/>
          <w:highlight w:val="none"/>
          <w:lang w:val="en-US" w:eastAsia="en-US"/>
          <w14:textFill>
            <w14:solidFill>
              <w14:schemeClr w14:val="tx1"/>
            </w14:solidFill>
          </w14:textFill>
        </w:rPr>
      </w:pPr>
      <w:bookmarkStart w:id="1434" w:name="_Toc31728"/>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en-US"/>
          <w14:textFill>
            <w14:solidFill>
              <w14:schemeClr w14:val="tx1"/>
            </w14:solidFill>
          </w14:textFill>
        </w:rPr>
        <w:instrText xml:space="preserve"> HYPERLINK \l _Toc21115 </w:instrTex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en-US"/>
          <w14:textFill>
            <w14:solidFill>
              <w14:schemeClr w14:val="tx1"/>
            </w14:solidFill>
          </w14:textFill>
        </w:rPr>
        <w:t>10.</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highlight w:val="none"/>
          <w:lang w:val="en-US" w:eastAsia="en-US"/>
          <w14:textFill>
            <w14:solidFill>
              <w14:schemeClr w14:val="tx1"/>
            </w14:solidFill>
          </w14:textFill>
        </w:rPr>
        <w:t>项目可行性结论</w:t>
      </w:r>
      <w:r>
        <w:rPr>
          <w:rFonts w:hint="eastAsia" w:ascii="Times New Roman" w:hAnsi="Times New Roman" w:eastAsia="宋体" w:cs="Times New Roman"/>
          <w:color w:val="000000" w:themeColor="text1"/>
          <w:highlight w:val="none"/>
          <w:lang w:val="en-US" w:eastAsia="en-US"/>
          <w14:textFill>
            <w14:solidFill>
              <w14:schemeClr w14:val="tx1"/>
            </w14:solidFill>
          </w14:textFill>
        </w:rPr>
        <w:fldChar w:fldCharType="end"/>
      </w:r>
      <w:bookmarkEnd w:id="1434"/>
    </w:p>
    <w:p w14:paraId="44614798">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星火7井区2025年产能建设项目</w:t>
      </w:r>
      <w:r>
        <w:rPr>
          <w:color w:val="000000" w:themeColor="text1"/>
          <w:sz w:val="24"/>
          <w:szCs w:val="24"/>
          <w:highlight w:val="none"/>
          <w14:textFill>
            <w14:solidFill>
              <w14:schemeClr w14:val="tx1"/>
            </w14:solidFill>
          </w14:textFill>
        </w:rPr>
        <w:t>属于国家产业政策鼓励类项目，项目实施后可取得较大的经济效益和社会效益。项目在建设和运行中，会对周围的环境产生一定的不利影响，并在今后的建设和运行中存在一定的环境风险，但其影响和环境风险是可以接受的。建设单位须加强环境管理，认真落实可行性研究报告和本环评报告书中提出的各项污染防治措施、风险防范措施以及生态环境保护和恢复措施，可使本工程对环境造成的不利影响降低到最低限度</w:t>
      </w:r>
      <w:r>
        <w:rPr>
          <w:rFonts w:hint="eastAsia"/>
          <w:color w:val="000000" w:themeColor="text1"/>
          <w:sz w:val="24"/>
          <w:szCs w:val="24"/>
          <w:highlight w:val="none"/>
          <w14:textFill>
            <w14:solidFill>
              <w14:schemeClr w14:val="tx1"/>
            </w14:solidFill>
          </w14:textFill>
        </w:rPr>
        <w:t>。</w:t>
      </w:r>
    </w:p>
    <w:p w14:paraId="0C4313C7">
      <w:pPr>
        <w:pStyle w:val="109"/>
        <w:pageBreakBefore w:val="0"/>
        <w:widowControl/>
        <w:kinsoku/>
        <w:wordWrap/>
        <w:overflowPunct/>
        <w:topLinePunct w:val="0"/>
        <w:autoSpaceDE/>
        <w:autoSpaceDN/>
        <w:bidi w:val="0"/>
        <w:adjustRightInd w:val="0"/>
        <w:snapToGrid w:val="0"/>
        <w:spacing w:before="0" w:beforeLines="0" w:after="0" w:afterLines="0" w:line="360" w:lineRule="auto"/>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因此，报告书认为，</w:t>
      </w:r>
      <w:r>
        <w:rPr>
          <w:color w:val="000000" w:themeColor="text1"/>
          <w:sz w:val="24"/>
          <w:szCs w:val="24"/>
          <w:highlight w:val="none"/>
          <w14:textFill>
            <w14:solidFill>
              <w14:schemeClr w14:val="tx1"/>
            </w14:solidFill>
          </w14:textFill>
        </w:rPr>
        <w:t>本工程建设在环境保护方面可行。</w:t>
      </w:r>
    </w:p>
    <w:p w14:paraId="35B8634B">
      <w:pPr>
        <w:pageBreakBefore w:val="0"/>
        <w:widowControl/>
        <w:kinsoku/>
        <w:wordWrap/>
        <w:overflowPunct/>
        <w:topLinePunct w:val="0"/>
        <w:autoSpaceDE/>
        <w:autoSpaceDN/>
        <w:bidi w:val="0"/>
        <w:adjustRightInd w:val="0"/>
        <w:snapToGrid w:val="0"/>
        <w:spacing w:line="360" w:lineRule="auto"/>
        <w:textAlignment w:val="auto"/>
        <w:rPr>
          <w:rFonts w:hint="default"/>
          <w:color w:val="000000" w:themeColor="text1"/>
          <w:highlight w:val="none"/>
          <w:lang w:val="en-US" w:eastAsia="zh-CN"/>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Segoe UI Symbol">
    <w:panose1 w:val="020B0502040204020203"/>
    <w:charset w:val="00"/>
    <w:family w:val="swiss"/>
    <w:pitch w:val="default"/>
    <w:sig w:usb0="800001E3" w:usb1="1200FFEF" w:usb2="00040000" w:usb3="04000000" w:csb0="00000001" w:csb1="40000000"/>
  </w:font>
  <w:font w:name="Calibri Light">
    <w:panose1 w:val="020F0302020204030204"/>
    <w:charset w:val="00"/>
    <w:family w:val="auto"/>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D8E9A">
    <w:pPr>
      <w:pBdr>
        <w:top w:val="none" w:color="auto" w:sz="0" w:space="0"/>
        <w:left w:val="none" w:color="auto" w:sz="0" w:space="4"/>
        <w:bottom w:val="none" w:color="auto" w:sz="0" w:space="1"/>
        <w:right w:val="none" w:color="auto" w:sz="0" w:space="4"/>
        <w:between w:val="none" w:color="auto" w:sz="0" w:space="0"/>
      </w:pBdr>
      <w:ind w:right="-23" w:rightChars="0"/>
      <w:jc w:val="center"/>
    </w:pPr>
  </w:p>
  <w:p w14:paraId="187B24E3">
    <w:pPr>
      <w:pBdr>
        <w:top w:val="none" w:color="auto" w:sz="0" w:space="1"/>
        <w:left w:val="none" w:color="auto" w:sz="0" w:space="4"/>
        <w:bottom w:val="none" w:color="auto" w:sz="0" w:space="1"/>
        <w:right w:val="none" w:color="auto" w:sz="0" w:space="4"/>
        <w:between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18AE4">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9FF8B">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C19FF8B">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93960">
    <w:pPr>
      <w:spacing w:line="166" w:lineRule="auto"/>
      <w:ind w:left="4105"/>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46CFF">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66A46CFF">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B0A0E">
    <w:pPr>
      <w:pStyle w:val="23"/>
      <w:rPr>
        <w:rFonts w:hint="default"/>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16230" cy="2032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16230" cy="203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98F4">
                          <w:pPr>
                            <w:pStyle w:val="23"/>
                            <w:jc w:val="center"/>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pt;width:24.9pt;mso-position-horizontal:center;mso-position-horizontal-relative:margin;z-index:251664384;mso-width-relative:page;mso-height-relative:page;" filled="f" stroked="f" coordsize="21600,21600" o:gfxdata="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ja5XHSAAAAAwEAAA8AAAAAAAAAAQAgAAAAIgAAAGRycy9kb3ducmV2Lnht&#10;bFBLAQIUABQAAAAIAIdO4kDJXm2iOAIAAGMEAAAOAAAAAAAAAAEAIAAAACEBAABkcnMvZTJvRG9j&#10;LnhtbFBLBQYAAAAABgAGAFkBAADLBQAAAAA=&#10;">
              <v:fill on="f" focussize="0,0"/>
              <v:stroke on="f" weight="0.5pt"/>
              <v:imagedata o:title=""/>
              <o:lock v:ext="edit" aspectratio="f"/>
              <v:textbox inset="0mm,0mm,0mm,0mm">
                <w:txbxContent>
                  <w:p w14:paraId="194698F4">
                    <w:pPr>
                      <w:pStyle w:val="23"/>
                      <w:jc w:val="center"/>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1AD89">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581F7">
                          <w:pPr>
                            <w:pStyle w:val="2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7B9581F7">
                    <w:pPr>
                      <w:pStyle w:val="2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484F">
    <w:pPr>
      <w:pBdr>
        <w:bottom w:val="single" w:color="auto" w:sz="4" w:space="0"/>
      </w:pBd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星火7井区2025年产能建设项目</w:t>
    </w:r>
    <w:r>
      <w:rPr>
        <w:rFonts w:hint="eastAsia" w:ascii="Times New Roman" w:hAnsi="Times New Roman" w:cs="Times New Roman"/>
        <w:sz w:val="21"/>
        <w:szCs w:val="21"/>
        <w:lang w:val="en-US" w:eastAsia="zh-CN"/>
      </w:rPr>
      <w:t>环境影响报告书</w:t>
    </w:r>
  </w:p>
  <w:p w14:paraId="40958057">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1B67">
    <w:pPr>
      <w:pBdr>
        <w:bottom w:val="single" w:color="auto" w:sz="4" w:space="0"/>
      </w:pBdr>
      <w:jc w:val="center"/>
      <w:rPr>
        <w:rFonts w:hint="default" w:ascii="Times New Roman" w:hAnsi="Times New Roman" w:eastAsia="宋体" w:cs="Times New Roman"/>
        <w:sz w:val="21"/>
        <w:szCs w:val="21"/>
        <w:lang w:val="en-US" w:eastAsia="zh-CN"/>
      </w:rPr>
    </w:pPr>
    <w:bookmarkStart w:id="1435" w:name="OLE_LINK508"/>
    <w:r>
      <w:rPr>
        <w:rFonts w:hint="eastAsia" w:cs="Times New Roman"/>
        <w:sz w:val="21"/>
        <w:szCs w:val="21"/>
        <w:lang w:eastAsia="zh-CN"/>
      </w:rPr>
      <w:t>星火7井区2025年产能建设项目</w:t>
    </w:r>
    <w:r>
      <w:rPr>
        <w:rFonts w:hint="eastAsia" w:ascii="Times New Roman" w:hAnsi="Times New Roman" w:cs="Times New Roman"/>
        <w:sz w:val="21"/>
        <w:szCs w:val="21"/>
        <w:lang w:val="en-US" w:eastAsia="zh-CN"/>
      </w:rPr>
      <w:t>环境影响报告书</w:t>
    </w:r>
  </w:p>
  <w:bookmarkEnd w:id="1435"/>
  <w:p w14:paraId="172C89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9FA68">
    <w:pPr>
      <w:pBdr>
        <w:bottom w:val="single" w:color="auto" w:sz="4" w:space="0"/>
      </w:pBdr>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星火7井区2025年产能建设项目</w:t>
    </w:r>
    <w:r>
      <w:rPr>
        <w:rFonts w:hint="eastAsia" w:ascii="Times New Roman" w:hAnsi="Times New Roman" w:cs="Times New Roman"/>
        <w:sz w:val="21"/>
        <w:szCs w:val="21"/>
        <w:lang w:val="en-US" w:eastAsia="zh-CN"/>
      </w:rPr>
      <w:t>环境影响报告书</w:t>
    </w:r>
  </w:p>
  <w:p w14:paraId="4973F11A">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1C601"/>
    <w:multiLevelType w:val="singleLevel"/>
    <w:tmpl w:val="C091C601"/>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1">
    <w:nsid w:val="4BF14C89"/>
    <w:multiLevelType w:val="singleLevel"/>
    <w:tmpl w:val="4BF14C89"/>
    <w:lvl w:ilvl="0" w:tentative="0">
      <w:start w:val="2"/>
      <w:numFmt w:val="decimal"/>
      <w:suff w:val="nothing"/>
      <w:lvlText w:val="（%1）"/>
      <w:lvlJc w:val="left"/>
    </w:lvl>
  </w:abstractNum>
  <w:abstractNum w:abstractNumId="2">
    <w:nsid w:val="62392910"/>
    <w:multiLevelType w:val="singleLevel"/>
    <w:tmpl w:val="62392910"/>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3"/>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hNTU5ZmEyOTcxYzdiOTcwYjFiYzQwY2JkMjc0YzcifQ=="/>
  </w:docVars>
  <w:rsids>
    <w:rsidRoot w:val="528E7FE7"/>
    <w:rsid w:val="00150EAD"/>
    <w:rsid w:val="002248D2"/>
    <w:rsid w:val="00226070"/>
    <w:rsid w:val="00234395"/>
    <w:rsid w:val="002B06D1"/>
    <w:rsid w:val="002D269B"/>
    <w:rsid w:val="00305C8F"/>
    <w:rsid w:val="00381959"/>
    <w:rsid w:val="0044096A"/>
    <w:rsid w:val="0045657D"/>
    <w:rsid w:val="00560313"/>
    <w:rsid w:val="005C6ADC"/>
    <w:rsid w:val="005F481F"/>
    <w:rsid w:val="00612345"/>
    <w:rsid w:val="00637A8F"/>
    <w:rsid w:val="00661709"/>
    <w:rsid w:val="00771B68"/>
    <w:rsid w:val="0078768E"/>
    <w:rsid w:val="007B0A12"/>
    <w:rsid w:val="007E2EF7"/>
    <w:rsid w:val="00846033"/>
    <w:rsid w:val="00893649"/>
    <w:rsid w:val="008D407E"/>
    <w:rsid w:val="008D5D67"/>
    <w:rsid w:val="00900EBC"/>
    <w:rsid w:val="00920750"/>
    <w:rsid w:val="009C15CF"/>
    <w:rsid w:val="009F2D86"/>
    <w:rsid w:val="00A10993"/>
    <w:rsid w:val="00A137AC"/>
    <w:rsid w:val="00AB7A64"/>
    <w:rsid w:val="00B92181"/>
    <w:rsid w:val="00BC57CD"/>
    <w:rsid w:val="00C341E8"/>
    <w:rsid w:val="00CA7EEA"/>
    <w:rsid w:val="00CB3C62"/>
    <w:rsid w:val="00D23242"/>
    <w:rsid w:val="00D64AE1"/>
    <w:rsid w:val="00D72607"/>
    <w:rsid w:val="00E271E0"/>
    <w:rsid w:val="00EA3A6B"/>
    <w:rsid w:val="00EB7E60"/>
    <w:rsid w:val="00F30DA6"/>
    <w:rsid w:val="00F46D15"/>
    <w:rsid w:val="00F705B3"/>
    <w:rsid w:val="00F74A57"/>
    <w:rsid w:val="00FF56BA"/>
    <w:rsid w:val="01011432"/>
    <w:rsid w:val="01024795"/>
    <w:rsid w:val="01042CD0"/>
    <w:rsid w:val="01121891"/>
    <w:rsid w:val="011E1FE4"/>
    <w:rsid w:val="01201B78"/>
    <w:rsid w:val="01210189"/>
    <w:rsid w:val="01227D26"/>
    <w:rsid w:val="01260E98"/>
    <w:rsid w:val="01284C10"/>
    <w:rsid w:val="012A2737"/>
    <w:rsid w:val="012A4E2C"/>
    <w:rsid w:val="012C04F8"/>
    <w:rsid w:val="012D2227"/>
    <w:rsid w:val="01363832"/>
    <w:rsid w:val="01372136"/>
    <w:rsid w:val="01396E1E"/>
    <w:rsid w:val="013B2394"/>
    <w:rsid w:val="014063FE"/>
    <w:rsid w:val="014D4677"/>
    <w:rsid w:val="015974C0"/>
    <w:rsid w:val="015C2B0C"/>
    <w:rsid w:val="015C48BA"/>
    <w:rsid w:val="015E4AD6"/>
    <w:rsid w:val="016C0FA1"/>
    <w:rsid w:val="016F283F"/>
    <w:rsid w:val="01705095"/>
    <w:rsid w:val="017240DE"/>
    <w:rsid w:val="018B4F75"/>
    <w:rsid w:val="018B6CD2"/>
    <w:rsid w:val="018D5B1F"/>
    <w:rsid w:val="01973B44"/>
    <w:rsid w:val="01975A2F"/>
    <w:rsid w:val="019D23A3"/>
    <w:rsid w:val="019F1377"/>
    <w:rsid w:val="01A00C4B"/>
    <w:rsid w:val="01B464A4"/>
    <w:rsid w:val="01C04E49"/>
    <w:rsid w:val="01C42B8B"/>
    <w:rsid w:val="01C506B1"/>
    <w:rsid w:val="01CA3F1A"/>
    <w:rsid w:val="01D86637"/>
    <w:rsid w:val="01DB1C83"/>
    <w:rsid w:val="01E10793"/>
    <w:rsid w:val="01E66FA5"/>
    <w:rsid w:val="01EB45BC"/>
    <w:rsid w:val="01EF572E"/>
    <w:rsid w:val="01F02CC8"/>
    <w:rsid w:val="01F114A6"/>
    <w:rsid w:val="01F47C63"/>
    <w:rsid w:val="01F80A87"/>
    <w:rsid w:val="01FA65AD"/>
    <w:rsid w:val="02013636"/>
    <w:rsid w:val="02025461"/>
    <w:rsid w:val="020531A4"/>
    <w:rsid w:val="02094A42"/>
    <w:rsid w:val="0213766F"/>
    <w:rsid w:val="021943A2"/>
    <w:rsid w:val="021D673F"/>
    <w:rsid w:val="02203B3A"/>
    <w:rsid w:val="022E44A8"/>
    <w:rsid w:val="02355837"/>
    <w:rsid w:val="02375428"/>
    <w:rsid w:val="023D293E"/>
    <w:rsid w:val="02405F8A"/>
    <w:rsid w:val="024261A6"/>
    <w:rsid w:val="0247556A"/>
    <w:rsid w:val="024912E2"/>
    <w:rsid w:val="02493090"/>
    <w:rsid w:val="024C492F"/>
    <w:rsid w:val="024E0D4D"/>
    <w:rsid w:val="0250441F"/>
    <w:rsid w:val="02535CBD"/>
    <w:rsid w:val="025F0B06"/>
    <w:rsid w:val="02647ECA"/>
    <w:rsid w:val="02702D13"/>
    <w:rsid w:val="0270659C"/>
    <w:rsid w:val="027605D2"/>
    <w:rsid w:val="02775E4F"/>
    <w:rsid w:val="02781BC8"/>
    <w:rsid w:val="027A76EE"/>
    <w:rsid w:val="028D4AE0"/>
    <w:rsid w:val="029167E5"/>
    <w:rsid w:val="029702A0"/>
    <w:rsid w:val="029947C4"/>
    <w:rsid w:val="02A62291"/>
    <w:rsid w:val="02A76009"/>
    <w:rsid w:val="02A91D81"/>
    <w:rsid w:val="02AA5749"/>
    <w:rsid w:val="02B40E52"/>
    <w:rsid w:val="02B53D64"/>
    <w:rsid w:val="02B726F0"/>
    <w:rsid w:val="02B84C02"/>
    <w:rsid w:val="02BC1AB4"/>
    <w:rsid w:val="02BC3862"/>
    <w:rsid w:val="02C1356F"/>
    <w:rsid w:val="02C866AB"/>
    <w:rsid w:val="02D20744"/>
    <w:rsid w:val="02D50DC8"/>
    <w:rsid w:val="02D52B76"/>
    <w:rsid w:val="02D61B95"/>
    <w:rsid w:val="02D844B5"/>
    <w:rsid w:val="02E42DB9"/>
    <w:rsid w:val="02E46D6A"/>
    <w:rsid w:val="02ED1C6E"/>
    <w:rsid w:val="02EE3C38"/>
    <w:rsid w:val="02F24EE2"/>
    <w:rsid w:val="02FA082F"/>
    <w:rsid w:val="02FA25DD"/>
    <w:rsid w:val="03031491"/>
    <w:rsid w:val="03035935"/>
    <w:rsid w:val="030752FD"/>
    <w:rsid w:val="0314369E"/>
    <w:rsid w:val="03174F3D"/>
    <w:rsid w:val="031E451D"/>
    <w:rsid w:val="03200295"/>
    <w:rsid w:val="032064E7"/>
    <w:rsid w:val="0321400D"/>
    <w:rsid w:val="03231B33"/>
    <w:rsid w:val="032A2EC2"/>
    <w:rsid w:val="03323B24"/>
    <w:rsid w:val="03373831"/>
    <w:rsid w:val="03394EB3"/>
    <w:rsid w:val="03455F4E"/>
    <w:rsid w:val="0348108D"/>
    <w:rsid w:val="034872E6"/>
    <w:rsid w:val="034B4BE6"/>
    <w:rsid w:val="034C5A9C"/>
    <w:rsid w:val="0350044F"/>
    <w:rsid w:val="03527E1E"/>
    <w:rsid w:val="035A774A"/>
    <w:rsid w:val="035C1ACC"/>
    <w:rsid w:val="0361265C"/>
    <w:rsid w:val="036363D4"/>
    <w:rsid w:val="03655CA8"/>
    <w:rsid w:val="036B7036"/>
    <w:rsid w:val="03724869"/>
    <w:rsid w:val="03733B76"/>
    <w:rsid w:val="037405E1"/>
    <w:rsid w:val="037F791B"/>
    <w:rsid w:val="03870314"/>
    <w:rsid w:val="038D3451"/>
    <w:rsid w:val="038F541B"/>
    <w:rsid w:val="039C5442"/>
    <w:rsid w:val="03A03184"/>
    <w:rsid w:val="03A32C74"/>
    <w:rsid w:val="03A569EC"/>
    <w:rsid w:val="03A964DC"/>
    <w:rsid w:val="03AA5DB1"/>
    <w:rsid w:val="03AE3AF3"/>
    <w:rsid w:val="03AF786B"/>
    <w:rsid w:val="03B629A7"/>
    <w:rsid w:val="03B64756"/>
    <w:rsid w:val="03C230FA"/>
    <w:rsid w:val="03C74BB5"/>
    <w:rsid w:val="03CC3F79"/>
    <w:rsid w:val="03CE5F43"/>
    <w:rsid w:val="03CF3A69"/>
    <w:rsid w:val="03CF4F1E"/>
    <w:rsid w:val="03CF5817"/>
    <w:rsid w:val="03D23A10"/>
    <w:rsid w:val="03D66BA6"/>
    <w:rsid w:val="03E012B8"/>
    <w:rsid w:val="03EC0177"/>
    <w:rsid w:val="03ED2C78"/>
    <w:rsid w:val="03FA6CAA"/>
    <w:rsid w:val="03FB485E"/>
    <w:rsid w:val="04014C1C"/>
    <w:rsid w:val="040E27E3"/>
    <w:rsid w:val="0414147C"/>
    <w:rsid w:val="041B6CAE"/>
    <w:rsid w:val="041C68F7"/>
    <w:rsid w:val="04293183"/>
    <w:rsid w:val="042948F2"/>
    <w:rsid w:val="043A7135"/>
    <w:rsid w:val="043F0BEF"/>
    <w:rsid w:val="0449381C"/>
    <w:rsid w:val="044960DA"/>
    <w:rsid w:val="044C50BA"/>
    <w:rsid w:val="04506958"/>
    <w:rsid w:val="04561CA4"/>
    <w:rsid w:val="04583A5F"/>
    <w:rsid w:val="045E4AE4"/>
    <w:rsid w:val="04640655"/>
    <w:rsid w:val="04702B56"/>
    <w:rsid w:val="047274EA"/>
    <w:rsid w:val="047C599F"/>
    <w:rsid w:val="04874344"/>
    <w:rsid w:val="04877EA0"/>
    <w:rsid w:val="04886439"/>
    <w:rsid w:val="048B5BE2"/>
    <w:rsid w:val="04983177"/>
    <w:rsid w:val="04A15EE5"/>
    <w:rsid w:val="04AE367F"/>
    <w:rsid w:val="04B2316F"/>
    <w:rsid w:val="04B862AB"/>
    <w:rsid w:val="04BF0DCC"/>
    <w:rsid w:val="04C9495C"/>
    <w:rsid w:val="04C97379"/>
    <w:rsid w:val="04CB4231"/>
    <w:rsid w:val="04CB4AC8"/>
    <w:rsid w:val="04D070FF"/>
    <w:rsid w:val="04D330E5"/>
    <w:rsid w:val="04D56E5D"/>
    <w:rsid w:val="04F27804"/>
    <w:rsid w:val="04FC43EA"/>
    <w:rsid w:val="05031C1C"/>
    <w:rsid w:val="05104339"/>
    <w:rsid w:val="051060E7"/>
    <w:rsid w:val="0515029B"/>
    <w:rsid w:val="051C4A8C"/>
    <w:rsid w:val="051F632A"/>
    <w:rsid w:val="05210C1C"/>
    <w:rsid w:val="052878D5"/>
    <w:rsid w:val="052E47BF"/>
    <w:rsid w:val="05355B4E"/>
    <w:rsid w:val="053578FC"/>
    <w:rsid w:val="05361302"/>
    <w:rsid w:val="05373674"/>
    <w:rsid w:val="053C0609"/>
    <w:rsid w:val="053E5193"/>
    <w:rsid w:val="053F69CD"/>
    <w:rsid w:val="054144F3"/>
    <w:rsid w:val="05471C6A"/>
    <w:rsid w:val="0549100C"/>
    <w:rsid w:val="054B2562"/>
    <w:rsid w:val="054B5371"/>
    <w:rsid w:val="054F6C10"/>
    <w:rsid w:val="055E32F7"/>
    <w:rsid w:val="055E50A5"/>
    <w:rsid w:val="05600E1D"/>
    <w:rsid w:val="05665D07"/>
    <w:rsid w:val="05685F23"/>
    <w:rsid w:val="056D2880"/>
    <w:rsid w:val="056F2E0E"/>
    <w:rsid w:val="05720B50"/>
    <w:rsid w:val="05726DA2"/>
    <w:rsid w:val="057331F1"/>
    <w:rsid w:val="05740424"/>
    <w:rsid w:val="0575182F"/>
    <w:rsid w:val="05760640"/>
    <w:rsid w:val="057628E8"/>
    <w:rsid w:val="057B085F"/>
    <w:rsid w:val="057E5747"/>
    <w:rsid w:val="058014BF"/>
    <w:rsid w:val="058058AC"/>
    <w:rsid w:val="058314C5"/>
    <w:rsid w:val="058645FB"/>
    <w:rsid w:val="05956253"/>
    <w:rsid w:val="059646F9"/>
    <w:rsid w:val="059A7C54"/>
    <w:rsid w:val="059C797B"/>
    <w:rsid w:val="05A0746B"/>
    <w:rsid w:val="05B653A7"/>
    <w:rsid w:val="05CA098C"/>
    <w:rsid w:val="05CD222A"/>
    <w:rsid w:val="05CD5D86"/>
    <w:rsid w:val="05CE5343"/>
    <w:rsid w:val="05CF5FA2"/>
    <w:rsid w:val="05CF7D50"/>
    <w:rsid w:val="05D215EF"/>
    <w:rsid w:val="05ED6429"/>
    <w:rsid w:val="05F81055"/>
    <w:rsid w:val="06021ED4"/>
    <w:rsid w:val="060A4754"/>
    <w:rsid w:val="060B63F9"/>
    <w:rsid w:val="061614DB"/>
    <w:rsid w:val="061B2F96"/>
    <w:rsid w:val="062005AC"/>
    <w:rsid w:val="06293905"/>
    <w:rsid w:val="062956B3"/>
    <w:rsid w:val="06361B7E"/>
    <w:rsid w:val="063D4CBA"/>
    <w:rsid w:val="06451DC1"/>
    <w:rsid w:val="06473D8B"/>
    <w:rsid w:val="065564A8"/>
    <w:rsid w:val="065E2E82"/>
    <w:rsid w:val="0661028A"/>
    <w:rsid w:val="06622973"/>
    <w:rsid w:val="06652463"/>
    <w:rsid w:val="06654211"/>
    <w:rsid w:val="066A7A79"/>
    <w:rsid w:val="06700432"/>
    <w:rsid w:val="067A5F0E"/>
    <w:rsid w:val="067B1C86"/>
    <w:rsid w:val="067D77AC"/>
    <w:rsid w:val="067E5D4D"/>
    <w:rsid w:val="069468A4"/>
    <w:rsid w:val="06A0349B"/>
    <w:rsid w:val="06A05249"/>
    <w:rsid w:val="06AE3E0A"/>
    <w:rsid w:val="06B56F46"/>
    <w:rsid w:val="06B70F10"/>
    <w:rsid w:val="06C158EB"/>
    <w:rsid w:val="06C70A28"/>
    <w:rsid w:val="06D01FD2"/>
    <w:rsid w:val="06D07BF2"/>
    <w:rsid w:val="06D2293F"/>
    <w:rsid w:val="06DF0467"/>
    <w:rsid w:val="06E55C44"/>
    <w:rsid w:val="06E7086E"/>
    <w:rsid w:val="06EA7ED6"/>
    <w:rsid w:val="06EB2968"/>
    <w:rsid w:val="06EE2458"/>
    <w:rsid w:val="06F92F75"/>
    <w:rsid w:val="0708351A"/>
    <w:rsid w:val="070B6B66"/>
    <w:rsid w:val="070E7162"/>
    <w:rsid w:val="07133C6D"/>
    <w:rsid w:val="071719AF"/>
    <w:rsid w:val="071C5217"/>
    <w:rsid w:val="071F6AB6"/>
    <w:rsid w:val="072110F4"/>
    <w:rsid w:val="07267E44"/>
    <w:rsid w:val="07287718"/>
    <w:rsid w:val="072A7934"/>
    <w:rsid w:val="072E0AA7"/>
    <w:rsid w:val="073562D9"/>
    <w:rsid w:val="073A70AA"/>
    <w:rsid w:val="074327A4"/>
    <w:rsid w:val="07464042"/>
    <w:rsid w:val="074B1D32"/>
    <w:rsid w:val="074D53D1"/>
    <w:rsid w:val="076369A2"/>
    <w:rsid w:val="07665DA2"/>
    <w:rsid w:val="07666493"/>
    <w:rsid w:val="0768045D"/>
    <w:rsid w:val="0776564B"/>
    <w:rsid w:val="07801E7D"/>
    <w:rsid w:val="07852DBD"/>
    <w:rsid w:val="079C7563"/>
    <w:rsid w:val="07A5520D"/>
    <w:rsid w:val="07AB20F7"/>
    <w:rsid w:val="07AF362B"/>
    <w:rsid w:val="07AF7E3A"/>
    <w:rsid w:val="07B216D8"/>
    <w:rsid w:val="07B32831"/>
    <w:rsid w:val="07C22247"/>
    <w:rsid w:val="07C80EFB"/>
    <w:rsid w:val="07CD02C0"/>
    <w:rsid w:val="07CD7C97"/>
    <w:rsid w:val="07D478A0"/>
    <w:rsid w:val="07D77390"/>
    <w:rsid w:val="07DC0503"/>
    <w:rsid w:val="07E04497"/>
    <w:rsid w:val="07E95755"/>
    <w:rsid w:val="07EC7625"/>
    <w:rsid w:val="07F41CF0"/>
    <w:rsid w:val="07F67816"/>
    <w:rsid w:val="07FE2B6F"/>
    <w:rsid w:val="07FE66CB"/>
    <w:rsid w:val="08031F33"/>
    <w:rsid w:val="08070818"/>
    <w:rsid w:val="08096194"/>
    <w:rsid w:val="080A32C2"/>
    <w:rsid w:val="081A21FF"/>
    <w:rsid w:val="081D1247"/>
    <w:rsid w:val="08234384"/>
    <w:rsid w:val="082971A8"/>
    <w:rsid w:val="08297BEC"/>
    <w:rsid w:val="082D7509"/>
    <w:rsid w:val="0831084F"/>
    <w:rsid w:val="08346591"/>
    <w:rsid w:val="083D48CB"/>
    <w:rsid w:val="08420CAE"/>
    <w:rsid w:val="08431BCD"/>
    <w:rsid w:val="084560A8"/>
    <w:rsid w:val="08471E20"/>
    <w:rsid w:val="084A1910"/>
    <w:rsid w:val="084F773B"/>
    <w:rsid w:val="08564759"/>
    <w:rsid w:val="085D3257"/>
    <w:rsid w:val="08687FE8"/>
    <w:rsid w:val="08744BDF"/>
    <w:rsid w:val="08843074"/>
    <w:rsid w:val="088A7F5F"/>
    <w:rsid w:val="0898267C"/>
    <w:rsid w:val="089A4646"/>
    <w:rsid w:val="08A2174C"/>
    <w:rsid w:val="08AA3D8F"/>
    <w:rsid w:val="08BA0844"/>
    <w:rsid w:val="08C37F22"/>
    <w:rsid w:val="08CC41EB"/>
    <w:rsid w:val="08CE42EF"/>
    <w:rsid w:val="08CE609D"/>
    <w:rsid w:val="08D84396"/>
    <w:rsid w:val="08D84504"/>
    <w:rsid w:val="08D8516E"/>
    <w:rsid w:val="08E43B13"/>
    <w:rsid w:val="08FD24E7"/>
    <w:rsid w:val="08FF6B9F"/>
    <w:rsid w:val="090146C5"/>
    <w:rsid w:val="09051DA9"/>
    <w:rsid w:val="090557CF"/>
    <w:rsid w:val="09063A89"/>
    <w:rsid w:val="0913264A"/>
    <w:rsid w:val="091927F9"/>
    <w:rsid w:val="091C32AD"/>
    <w:rsid w:val="091F4B4B"/>
    <w:rsid w:val="092108C3"/>
    <w:rsid w:val="09267C87"/>
    <w:rsid w:val="092E0D73"/>
    <w:rsid w:val="093A7BD7"/>
    <w:rsid w:val="09414AC1"/>
    <w:rsid w:val="095567BF"/>
    <w:rsid w:val="095C1EF7"/>
    <w:rsid w:val="096B4234"/>
    <w:rsid w:val="096B5FE2"/>
    <w:rsid w:val="096B7D90"/>
    <w:rsid w:val="096E162E"/>
    <w:rsid w:val="09727371"/>
    <w:rsid w:val="097529BD"/>
    <w:rsid w:val="097D7FFF"/>
    <w:rsid w:val="097E7AC3"/>
    <w:rsid w:val="09880215"/>
    <w:rsid w:val="098B3F8E"/>
    <w:rsid w:val="09970B85"/>
    <w:rsid w:val="09993AB5"/>
    <w:rsid w:val="099A78CF"/>
    <w:rsid w:val="09A03EDE"/>
    <w:rsid w:val="09AA18C7"/>
    <w:rsid w:val="09B36186"/>
    <w:rsid w:val="09B721ED"/>
    <w:rsid w:val="09B91526"/>
    <w:rsid w:val="09C35E1E"/>
    <w:rsid w:val="09C556F2"/>
    <w:rsid w:val="09CB082F"/>
    <w:rsid w:val="09D771D4"/>
    <w:rsid w:val="09E35B78"/>
    <w:rsid w:val="09EA6F07"/>
    <w:rsid w:val="09ED206A"/>
    <w:rsid w:val="09ED2E9B"/>
    <w:rsid w:val="09F9539C"/>
    <w:rsid w:val="09FE0C04"/>
    <w:rsid w:val="0A00497C"/>
    <w:rsid w:val="0A037094"/>
    <w:rsid w:val="0A0D0E47"/>
    <w:rsid w:val="0A140428"/>
    <w:rsid w:val="0A1C108A"/>
    <w:rsid w:val="0A200B7B"/>
    <w:rsid w:val="0A222B45"/>
    <w:rsid w:val="0A2758D1"/>
    <w:rsid w:val="0A2D3F70"/>
    <w:rsid w:val="0A334D52"/>
    <w:rsid w:val="0A391C3C"/>
    <w:rsid w:val="0A3B7763"/>
    <w:rsid w:val="0A3D48EC"/>
    <w:rsid w:val="0A634F0B"/>
    <w:rsid w:val="0A6C3DC0"/>
    <w:rsid w:val="0A762E91"/>
    <w:rsid w:val="0A782765"/>
    <w:rsid w:val="0A80786B"/>
    <w:rsid w:val="0A825391"/>
    <w:rsid w:val="0A876E4C"/>
    <w:rsid w:val="0A8E1F88"/>
    <w:rsid w:val="0A8E2F0B"/>
    <w:rsid w:val="0A8F3F52"/>
    <w:rsid w:val="0A9C5E04"/>
    <w:rsid w:val="0A9D21CB"/>
    <w:rsid w:val="0AAF0151"/>
    <w:rsid w:val="0AB1211B"/>
    <w:rsid w:val="0AB37BE1"/>
    <w:rsid w:val="0AB539B9"/>
    <w:rsid w:val="0AB94B2B"/>
    <w:rsid w:val="0ABB08A3"/>
    <w:rsid w:val="0ABF0394"/>
    <w:rsid w:val="0ABF74D6"/>
    <w:rsid w:val="0AC92FC0"/>
    <w:rsid w:val="0ACF434F"/>
    <w:rsid w:val="0ADA51CD"/>
    <w:rsid w:val="0ADF0A36"/>
    <w:rsid w:val="0AE24082"/>
    <w:rsid w:val="0AE27405"/>
    <w:rsid w:val="0AE53D43"/>
    <w:rsid w:val="0AF37283"/>
    <w:rsid w:val="0AFD0EBC"/>
    <w:rsid w:val="0AFE7B5A"/>
    <w:rsid w:val="0B024724"/>
    <w:rsid w:val="0B100BEF"/>
    <w:rsid w:val="0B106E41"/>
    <w:rsid w:val="0B13248D"/>
    <w:rsid w:val="0B1F1979"/>
    <w:rsid w:val="0B266665"/>
    <w:rsid w:val="0B270E55"/>
    <w:rsid w:val="0B2865F1"/>
    <w:rsid w:val="0B354AFA"/>
    <w:rsid w:val="0B361AA6"/>
    <w:rsid w:val="0B36617C"/>
    <w:rsid w:val="0B3B6861"/>
    <w:rsid w:val="0B470389"/>
    <w:rsid w:val="0B5C1325"/>
    <w:rsid w:val="0B64718D"/>
    <w:rsid w:val="0B725406"/>
    <w:rsid w:val="0B9273F9"/>
    <w:rsid w:val="0B947A87"/>
    <w:rsid w:val="0B9F1F73"/>
    <w:rsid w:val="0BA37CB5"/>
    <w:rsid w:val="0BA47589"/>
    <w:rsid w:val="0BA53A2D"/>
    <w:rsid w:val="0BA852CC"/>
    <w:rsid w:val="0BAB0E00"/>
    <w:rsid w:val="0BAD4690"/>
    <w:rsid w:val="0BB04180"/>
    <w:rsid w:val="0BBE064B"/>
    <w:rsid w:val="0BBE4AEF"/>
    <w:rsid w:val="0BBE689D"/>
    <w:rsid w:val="0BC11EE9"/>
    <w:rsid w:val="0BC419DA"/>
    <w:rsid w:val="0BCB0FBA"/>
    <w:rsid w:val="0BE37780"/>
    <w:rsid w:val="0BE53C10"/>
    <w:rsid w:val="0BE54539"/>
    <w:rsid w:val="0BEA58E4"/>
    <w:rsid w:val="0BEE5F55"/>
    <w:rsid w:val="0BEF4CA9"/>
    <w:rsid w:val="0BF202F5"/>
    <w:rsid w:val="0BF9505A"/>
    <w:rsid w:val="0C05627A"/>
    <w:rsid w:val="0C0B7609"/>
    <w:rsid w:val="0C0F70F9"/>
    <w:rsid w:val="0C175FAD"/>
    <w:rsid w:val="0C1C1816"/>
    <w:rsid w:val="0C1C35C4"/>
    <w:rsid w:val="0C1C7A68"/>
    <w:rsid w:val="0C2D57D1"/>
    <w:rsid w:val="0C333B11"/>
    <w:rsid w:val="0C3628D7"/>
    <w:rsid w:val="0C3923C8"/>
    <w:rsid w:val="0C430B50"/>
    <w:rsid w:val="0C436DA2"/>
    <w:rsid w:val="0C48260B"/>
    <w:rsid w:val="0C4A6383"/>
    <w:rsid w:val="0C4F1BEB"/>
    <w:rsid w:val="0C5235CE"/>
    <w:rsid w:val="0C566AD6"/>
    <w:rsid w:val="0C5C7E64"/>
    <w:rsid w:val="0C61547A"/>
    <w:rsid w:val="0C65333A"/>
    <w:rsid w:val="0C654F6B"/>
    <w:rsid w:val="0C656D19"/>
    <w:rsid w:val="0C6A07D3"/>
    <w:rsid w:val="0C743400"/>
    <w:rsid w:val="0C760F26"/>
    <w:rsid w:val="0C8308A6"/>
    <w:rsid w:val="0C8353F1"/>
    <w:rsid w:val="0C88659A"/>
    <w:rsid w:val="0C913FB2"/>
    <w:rsid w:val="0C932092"/>
    <w:rsid w:val="0C9C0A71"/>
    <w:rsid w:val="0CAF38BD"/>
    <w:rsid w:val="0CB40C51"/>
    <w:rsid w:val="0CB41A4E"/>
    <w:rsid w:val="0CD45C4C"/>
    <w:rsid w:val="0CE157B5"/>
    <w:rsid w:val="0CE75980"/>
    <w:rsid w:val="0CEC2F96"/>
    <w:rsid w:val="0CEC743A"/>
    <w:rsid w:val="0CEE4F60"/>
    <w:rsid w:val="0CEE52F6"/>
    <w:rsid w:val="0CEE7179"/>
    <w:rsid w:val="0CF32576"/>
    <w:rsid w:val="0CF63E15"/>
    <w:rsid w:val="0D047C65"/>
    <w:rsid w:val="0D0C3638"/>
    <w:rsid w:val="0D0E45B2"/>
    <w:rsid w:val="0D1150F2"/>
    <w:rsid w:val="0D1D3A97"/>
    <w:rsid w:val="0D343E89"/>
    <w:rsid w:val="0D3A33DE"/>
    <w:rsid w:val="0D42705A"/>
    <w:rsid w:val="0D4C1C87"/>
    <w:rsid w:val="0D4E59FF"/>
    <w:rsid w:val="0D571602"/>
    <w:rsid w:val="0D5A0848"/>
    <w:rsid w:val="0D5D5C42"/>
    <w:rsid w:val="0D6B035F"/>
    <w:rsid w:val="0D6E21C2"/>
    <w:rsid w:val="0D701199"/>
    <w:rsid w:val="0D755681"/>
    <w:rsid w:val="0D7C256C"/>
    <w:rsid w:val="0D7F02AE"/>
    <w:rsid w:val="0D821B4C"/>
    <w:rsid w:val="0D8853B5"/>
    <w:rsid w:val="0D8B27AF"/>
    <w:rsid w:val="0D906017"/>
    <w:rsid w:val="0DA75FAF"/>
    <w:rsid w:val="0DAD6BC9"/>
    <w:rsid w:val="0DBA3094"/>
    <w:rsid w:val="0DC363ED"/>
    <w:rsid w:val="0DD423A8"/>
    <w:rsid w:val="0DD979BE"/>
    <w:rsid w:val="0DDA308D"/>
    <w:rsid w:val="0DDC46B0"/>
    <w:rsid w:val="0DDE0EBB"/>
    <w:rsid w:val="0DE73A34"/>
    <w:rsid w:val="0DE978E6"/>
    <w:rsid w:val="0DEB76F2"/>
    <w:rsid w:val="0DEE2D3E"/>
    <w:rsid w:val="0DEE7802"/>
    <w:rsid w:val="0DF2282E"/>
    <w:rsid w:val="0DF57C95"/>
    <w:rsid w:val="0DF91E0E"/>
    <w:rsid w:val="0E034839"/>
    <w:rsid w:val="0E0A401C"/>
    <w:rsid w:val="0E1327A4"/>
    <w:rsid w:val="0E19425F"/>
    <w:rsid w:val="0E1C3D4F"/>
    <w:rsid w:val="0E2A021A"/>
    <w:rsid w:val="0E3015A8"/>
    <w:rsid w:val="0E35767A"/>
    <w:rsid w:val="0E3746E5"/>
    <w:rsid w:val="0E395ED5"/>
    <w:rsid w:val="0E4532A6"/>
    <w:rsid w:val="0E511C4A"/>
    <w:rsid w:val="0E536488"/>
    <w:rsid w:val="0E572FD9"/>
    <w:rsid w:val="0E5B5AE4"/>
    <w:rsid w:val="0E6718E3"/>
    <w:rsid w:val="0E6F20D1"/>
    <w:rsid w:val="0E71409B"/>
    <w:rsid w:val="0E794CFD"/>
    <w:rsid w:val="0E886B24"/>
    <w:rsid w:val="0E924011"/>
    <w:rsid w:val="0EA1194A"/>
    <w:rsid w:val="0EAA3109"/>
    <w:rsid w:val="0EB24885"/>
    <w:rsid w:val="0ECF0348"/>
    <w:rsid w:val="0ED71A24"/>
    <w:rsid w:val="0EDC703A"/>
    <w:rsid w:val="0EE4486D"/>
    <w:rsid w:val="0EE64FE1"/>
    <w:rsid w:val="0EF279EF"/>
    <w:rsid w:val="0EFB1BB6"/>
    <w:rsid w:val="0EFC2CC8"/>
    <w:rsid w:val="0EFD76DC"/>
    <w:rsid w:val="0F00541F"/>
    <w:rsid w:val="0F052A35"/>
    <w:rsid w:val="0F0930A5"/>
    <w:rsid w:val="0F113188"/>
    <w:rsid w:val="0F234C69"/>
    <w:rsid w:val="0F2509E1"/>
    <w:rsid w:val="0F296723"/>
    <w:rsid w:val="0F2C5B85"/>
    <w:rsid w:val="0F44355D"/>
    <w:rsid w:val="0F5372FC"/>
    <w:rsid w:val="0F587009"/>
    <w:rsid w:val="0F5B2655"/>
    <w:rsid w:val="0F5D71DF"/>
    <w:rsid w:val="0F64150A"/>
    <w:rsid w:val="0F696B20"/>
    <w:rsid w:val="0F697B22"/>
    <w:rsid w:val="0F6C03BE"/>
    <w:rsid w:val="0F6C6610"/>
    <w:rsid w:val="0F730BD4"/>
    <w:rsid w:val="0F751969"/>
    <w:rsid w:val="0F76347B"/>
    <w:rsid w:val="0F767555"/>
    <w:rsid w:val="0F790C96"/>
    <w:rsid w:val="0F8676D2"/>
    <w:rsid w:val="0F890F70"/>
    <w:rsid w:val="0F8C5898"/>
    <w:rsid w:val="0FA1275E"/>
    <w:rsid w:val="0FA364D6"/>
    <w:rsid w:val="0FB3237E"/>
    <w:rsid w:val="0FB748D6"/>
    <w:rsid w:val="0FB80F7E"/>
    <w:rsid w:val="0FBA381F"/>
    <w:rsid w:val="0FBC1346"/>
    <w:rsid w:val="0FBD5575"/>
    <w:rsid w:val="0FBD6E6C"/>
    <w:rsid w:val="0FBF0E36"/>
    <w:rsid w:val="0FBF4992"/>
    <w:rsid w:val="0FC14BAE"/>
    <w:rsid w:val="0FC63F72"/>
    <w:rsid w:val="0FD21598"/>
    <w:rsid w:val="0FD3043D"/>
    <w:rsid w:val="0FDC3796"/>
    <w:rsid w:val="0FE6591E"/>
    <w:rsid w:val="0FE8038D"/>
    <w:rsid w:val="0FED14FF"/>
    <w:rsid w:val="0FF07241"/>
    <w:rsid w:val="0FF26B15"/>
    <w:rsid w:val="0FF7795F"/>
    <w:rsid w:val="0FFF56D6"/>
    <w:rsid w:val="10097B88"/>
    <w:rsid w:val="100B600B"/>
    <w:rsid w:val="100F3B6B"/>
    <w:rsid w:val="10190546"/>
    <w:rsid w:val="101A606C"/>
    <w:rsid w:val="10246EEB"/>
    <w:rsid w:val="10262C63"/>
    <w:rsid w:val="102644BB"/>
    <w:rsid w:val="10291BDB"/>
    <w:rsid w:val="102A0947"/>
    <w:rsid w:val="102A0FD2"/>
    <w:rsid w:val="102C4AE1"/>
    <w:rsid w:val="10345380"/>
    <w:rsid w:val="103B4960"/>
    <w:rsid w:val="104860A8"/>
    <w:rsid w:val="104E5940"/>
    <w:rsid w:val="10501A8E"/>
    <w:rsid w:val="10521CAA"/>
    <w:rsid w:val="10596B94"/>
    <w:rsid w:val="105A46BB"/>
    <w:rsid w:val="105A4EBD"/>
    <w:rsid w:val="105C6685"/>
    <w:rsid w:val="105E0F24"/>
    <w:rsid w:val="10613A0A"/>
    <w:rsid w:val="10635C65"/>
    <w:rsid w:val="10650200"/>
    <w:rsid w:val="106612B1"/>
    <w:rsid w:val="106D0892"/>
    <w:rsid w:val="10726D87"/>
    <w:rsid w:val="107F10F9"/>
    <w:rsid w:val="108907C3"/>
    <w:rsid w:val="108C6F6A"/>
    <w:rsid w:val="109045B9"/>
    <w:rsid w:val="10923E54"/>
    <w:rsid w:val="10993435"/>
    <w:rsid w:val="109D3109"/>
    <w:rsid w:val="10A36CC0"/>
    <w:rsid w:val="10AB793D"/>
    <w:rsid w:val="10AC13BA"/>
    <w:rsid w:val="10CC55B8"/>
    <w:rsid w:val="10CD7582"/>
    <w:rsid w:val="10D03DBD"/>
    <w:rsid w:val="10DC4B86"/>
    <w:rsid w:val="10F44B0F"/>
    <w:rsid w:val="10FD2C87"/>
    <w:rsid w:val="10FE14EA"/>
    <w:rsid w:val="11074842"/>
    <w:rsid w:val="110A4333"/>
    <w:rsid w:val="11131439"/>
    <w:rsid w:val="11194576"/>
    <w:rsid w:val="111D5E14"/>
    <w:rsid w:val="1122342A"/>
    <w:rsid w:val="11270A41"/>
    <w:rsid w:val="11290C5D"/>
    <w:rsid w:val="112F3D99"/>
    <w:rsid w:val="1131366D"/>
    <w:rsid w:val="113B0990"/>
    <w:rsid w:val="113B44EC"/>
    <w:rsid w:val="11407D54"/>
    <w:rsid w:val="114C66F9"/>
    <w:rsid w:val="114F505F"/>
    <w:rsid w:val="11551A52"/>
    <w:rsid w:val="11554D1E"/>
    <w:rsid w:val="11557AE1"/>
    <w:rsid w:val="11567578"/>
    <w:rsid w:val="11586E4C"/>
    <w:rsid w:val="115B4B8E"/>
    <w:rsid w:val="115F467E"/>
    <w:rsid w:val="11641C95"/>
    <w:rsid w:val="116A4DD1"/>
    <w:rsid w:val="117A285D"/>
    <w:rsid w:val="117B6FDE"/>
    <w:rsid w:val="11862688"/>
    <w:rsid w:val="119A56B6"/>
    <w:rsid w:val="11A55E09"/>
    <w:rsid w:val="11A71B81"/>
    <w:rsid w:val="11AE1162"/>
    <w:rsid w:val="11B16C35"/>
    <w:rsid w:val="11B36778"/>
    <w:rsid w:val="11B76268"/>
    <w:rsid w:val="11C42733"/>
    <w:rsid w:val="11CB1D14"/>
    <w:rsid w:val="11CB5870"/>
    <w:rsid w:val="11D34725"/>
    <w:rsid w:val="11D566EF"/>
    <w:rsid w:val="11DB4C6D"/>
    <w:rsid w:val="11F272A1"/>
    <w:rsid w:val="11F456DF"/>
    <w:rsid w:val="11F55133"/>
    <w:rsid w:val="11FC5AF2"/>
    <w:rsid w:val="12011292"/>
    <w:rsid w:val="12045226"/>
    <w:rsid w:val="12057FDE"/>
    <w:rsid w:val="12080872"/>
    <w:rsid w:val="12093629"/>
    <w:rsid w:val="12096398"/>
    <w:rsid w:val="120B2110"/>
    <w:rsid w:val="120E39AF"/>
    <w:rsid w:val="120E7E53"/>
    <w:rsid w:val="12103BCB"/>
    <w:rsid w:val="1211524D"/>
    <w:rsid w:val="12152F8F"/>
    <w:rsid w:val="121C60CC"/>
    <w:rsid w:val="121D3BF2"/>
    <w:rsid w:val="12217B86"/>
    <w:rsid w:val="122333EE"/>
    <w:rsid w:val="12353631"/>
    <w:rsid w:val="12371157"/>
    <w:rsid w:val="123F5118"/>
    <w:rsid w:val="12411FD6"/>
    <w:rsid w:val="12445622"/>
    <w:rsid w:val="12490E8B"/>
    <w:rsid w:val="124A70DD"/>
    <w:rsid w:val="12751CAA"/>
    <w:rsid w:val="12771554"/>
    <w:rsid w:val="12791770"/>
    <w:rsid w:val="1279351E"/>
    <w:rsid w:val="127B449C"/>
    <w:rsid w:val="127B54E8"/>
    <w:rsid w:val="12855AA9"/>
    <w:rsid w:val="128B14A3"/>
    <w:rsid w:val="1291462E"/>
    <w:rsid w:val="129E4D32"/>
    <w:rsid w:val="12A3059B"/>
    <w:rsid w:val="12A54313"/>
    <w:rsid w:val="12A85BB1"/>
    <w:rsid w:val="12AB56A1"/>
    <w:rsid w:val="12AD1419"/>
    <w:rsid w:val="12BE3627"/>
    <w:rsid w:val="12D26D34"/>
    <w:rsid w:val="12D6271E"/>
    <w:rsid w:val="12E27315"/>
    <w:rsid w:val="12ED5CBA"/>
    <w:rsid w:val="12ED6BED"/>
    <w:rsid w:val="12EF558E"/>
    <w:rsid w:val="12F206F6"/>
    <w:rsid w:val="12F928B1"/>
    <w:rsid w:val="12FB66B3"/>
    <w:rsid w:val="12FE1C75"/>
    <w:rsid w:val="12FE7EC7"/>
    <w:rsid w:val="13001549"/>
    <w:rsid w:val="1308493B"/>
    <w:rsid w:val="13113D52"/>
    <w:rsid w:val="13182D37"/>
    <w:rsid w:val="131E5E73"/>
    <w:rsid w:val="13257202"/>
    <w:rsid w:val="132711CC"/>
    <w:rsid w:val="13287A7C"/>
    <w:rsid w:val="13315BA7"/>
    <w:rsid w:val="133236CD"/>
    <w:rsid w:val="13337B71"/>
    <w:rsid w:val="133A159C"/>
    <w:rsid w:val="134055F9"/>
    <w:rsid w:val="134A0A16"/>
    <w:rsid w:val="134D0507"/>
    <w:rsid w:val="135C4619"/>
    <w:rsid w:val="135D4BEE"/>
    <w:rsid w:val="137B5074"/>
    <w:rsid w:val="13826402"/>
    <w:rsid w:val="13833F28"/>
    <w:rsid w:val="13851F6A"/>
    <w:rsid w:val="138C102F"/>
    <w:rsid w:val="138C54D3"/>
    <w:rsid w:val="139101DD"/>
    <w:rsid w:val="13960100"/>
    <w:rsid w:val="13997C3E"/>
    <w:rsid w:val="139A199E"/>
    <w:rsid w:val="139D148E"/>
    <w:rsid w:val="13A93F69"/>
    <w:rsid w:val="13AC347F"/>
    <w:rsid w:val="13AF2F6F"/>
    <w:rsid w:val="13B642FE"/>
    <w:rsid w:val="13B80076"/>
    <w:rsid w:val="13BA5B9C"/>
    <w:rsid w:val="13BF31B2"/>
    <w:rsid w:val="13BF7656"/>
    <w:rsid w:val="13CF126B"/>
    <w:rsid w:val="13CF7057"/>
    <w:rsid w:val="13E501E2"/>
    <w:rsid w:val="13EB41FA"/>
    <w:rsid w:val="13ED13E4"/>
    <w:rsid w:val="13ED62E1"/>
    <w:rsid w:val="13EE3A98"/>
    <w:rsid w:val="13F82B68"/>
    <w:rsid w:val="13FD017F"/>
    <w:rsid w:val="13FF26A7"/>
    <w:rsid w:val="13FF7A53"/>
    <w:rsid w:val="14005579"/>
    <w:rsid w:val="14011FB7"/>
    <w:rsid w:val="14054CA6"/>
    <w:rsid w:val="140908D1"/>
    <w:rsid w:val="141259D8"/>
    <w:rsid w:val="141F1EA3"/>
    <w:rsid w:val="14264FE0"/>
    <w:rsid w:val="14294AD0"/>
    <w:rsid w:val="142B0848"/>
    <w:rsid w:val="14305E5E"/>
    <w:rsid w:val="14353475"/>
    <w:rsid w:val="143A6CDD"/>
    <w:rsid w:val="143C0CA7"/>
    <w:rsid w:val="144D4C62"/>
    <w:rsid w:val="145002AE"/>
    <w:rsid w:val="14506500"/>
    <w:rsid w:val="1457163D"/>
    <w:rsid w:val="1457788F"/>
    <w:rsid w:val="145B0D83"/>
    <w:rsid w:val="145F6B34"/>
    <w:rsid w:val="14716ECD"/>
    <w:rsid w:val="14726477"/>
    <w:rsid w:val="1473723C"/>
    <w:rsid w:val="14757D15"/>
    <w:rsid w:val="14771CDF"/>
    <w:rsid w:val="147C004B"/>
    <w:rsid w:val="148368D6"/>
    <w:rsid w:val="14885C1E"/>
    <w:rsid w:val="14885C9A"/>
    <w:rsid w:val="148B12E6"/>
    <w:rsid w:val="1493226C"/>
    <w:rsid w:val="14935AC8"/>
    <w:rsid w:val="14942891"/>
    <w:rsid w:val="14956A7F"/>
    <w:rsid w:val="149A3C1F"/>
    <w:rsid w:val="149C34F4"/>
    <w:rsid w:val="14A14FAE"/>
    <w:rsid w:val="14AD3953"/>
    <w:rsid w:val="14B051F1"/>
    <w:rsid w:val="14B836DE"/>
    <w:rsid w:val="14BC5944"/>
    <w:rsid w:val="14BE790E"/>
    <w:rsid w:val="14C91E0F"/>
    <w:rsid w:val="14CD7B51"/>
    <w:rsid w:val="14D0319D"/>
    <w:rsid w:val="14D1437D"/>
    <w:rsid w:val="14D507B4"/>
    <w:rsid w:val="14DC1B42"/>
    <w:rsid w:val="14DE3B0C"/>
    <w:rsid w:val="14E32ED1"/>
    <w:rsid w:val="14E8498B"/>
    <w:rsid w:val="14EB7FD7"/>
    <w:rsid w:val="14EC447B"/>
    <w:rsid w:val="14FD2118"/>
    <w:rsid w:val="150C0679"/>
    <w:rsid w:val="150F1F18"/>
    <w:rsid w:val="151412DC"/>
    <w:rsid w:val="152411FA"/>
    <w:rsid w:val="153442F6"/>
    <w:rsid w:val="15393438"/>
    <w:rsid w:val="15451DDD"/>
    <w:rsid w:val="15475B55"/>
    <w:rsid w:val="154F0566"/>
    <w:rsid w:val="155179EE"/>
    <w:rsid w:val="15557480"/>
    <w:rsid w:val="15581F72"/>
    <w:rsid w:val="155D0ED5"/>
    <w:rsid w:val="156D6C3E"/>
    <w:rsid w:val="15791B3C"/>
    <w:rsid w:val="15793835"/>
    <w:rsid w:val="157B135B"/>
    <w:rsid w:val="157D50D3"/>
    <w:rsid w:val="1585667E"/>
    <w:rsid w:val="158F4E06"/>
    <w:rsid w:val="159863B1"/>
    <w:rsid w:val="159E329B"/>
    <w:rsid w:val="15A22D8C"/>
    <w:rsid w:val="15A765F4"/>
    <w:rsid w:val="15A9411A"/>
    <w:rsid w:val="15AA7E92"/>
    <w:rsid w:val="15AC7FC9"/>
    <w:rsid w:val="15B91E83"/>
    <w:rsid w:val="15BE5EAF"/>
    <w:rsid w:val="15C70A44"/>
    <w:rsid w:val="15CA4090"/>
    <w:rsid w:val="15D02A5F"/>
    <w:rsid w:val="15E038B4"/>
    <w:rsid w:val="15E2762C"/>
    <w:rsid w:val="15EA64E1"/>
    <w:rsid w:val="15EF58A5"/>
    <w:rsid w:val="15F139D5"/>
    <w:rsid w:val="15F469C6"/>
    <w:rsid w:val="15F5110D"/>
    <w:rsid w:val="15F630D7"/>
    <w:rsid w:val="15FA2BC8"/>
    <w:rsid w:val="15FB249C"/>
    <w:rsid w:val="15FD4466"/>
    <w:rsid w:val="160457F4"/>
    <w:rsid w:val="16145C3A"/>
    <w:rsid w:val="161920B5"/>
    <w:rsid w:val="16210154"/>
    <w:rsid w:val="16257519"/>
    <w:rsid w:val="162639BD"/>
    <w:rsid w:val="16287735"/>
    <w:rsid w:val="16290DB7"/>
    <w:rsid w:val="162C6AF9"/>
    <w:rsid w:val="162D60FA"/>
    <w:rsid w:val="163360DA"/>
    <w:rsid w:val="16377978"/>
    <w:rsid w:val="163F05DA"/>
    <w:rsid w:val="16430362"/>
    <w:rsid w:val="16443E43"/>
    <w:rsid w:val="164756E1"/>
    <w:rsid w:val="164B6F7F"/>
    <w:rsid w:val="165035D4"/>
    <w:rsid w:val="16556050"/>
    <w:rsid w:val="165B5A0B"/>
    <w:rsid w:val="16704C38"/>
    <w:rsid w:val="16705DED"/>
    <w:rsid w:val="16797F90"/>
    <w:rsid w:val="167C3303"/>
    <w:rsid w:val="167F30CD"/>
    <w:rsid w:val="168406E3"/>
    <w:rsid w:val="16897AA8"/>
    <w:rsid w:val="16976668"/>
    <w:rsid w:val="169923E1"/>
    <w:rsid w:val="169C77DB"/>
    <w:rsid w:val="16A25067"/>
    <w:rsid w:val="16A26BF5"/>
    <w:rsid w:val="16A42F4E"/>
    <w:rsid w:val="16AE750E"/>
    <w:rsid w:val="16AF39B2"/>
    <w:rsid w:val="16B835C4"/>
    <w:rsid w:val="16B92D9A"/>
    <w:rsid w:val="16C3120C"/>
    <w:rsid w:val="16CB1E6E"/>
    <w:rsid w:val="16D50F3F"/>
    <w:rsid w:val="16D57191"/>
    <w:rsid w:val="16D8458B"/>
    <w:rsid w:val="16DC407B"/>
    <w:rsid w:val="16E3540A"/>
    <w:rsid w:val="16E55464"/>
    <w:rsid w:val="16F94C2D"/>
    <w:rsid w:val="16FC471D"/>
    <w:rsid w:val="16FE2244"/>
    <w:rsid w:val="17011D34"/>
    <w:rsid w:val="170A508C"/>
    <w:rsid w:val="170A6E3A"/>
    <w:rsid w:val="17151105"/>
    <w:rsid w:val="171657DF"/>
    <w:rsid w:val="171E4694"/>
    <w:rsid w:val="172123D6"/>
    <w:rsid w:val="1723405C"/>
    <w:rsid w:val="17285513"/>
    <w:rsid w:val="172A128B"/>
    <w:rsid w:val="172A61E6"/>
    <w:rsid w:val="172F4AF3"/>
    <w:rsid w:val="173105C7"/>
    <w:rsid w:val="17312619"/>
    <w:rsid w:val="173D7210"/>
    <w:rsid w:val="173E6AE4"/>
    <w:rsid w:val="17463BEB"/>
    <w:rsid w:val="174A246D"/>
    <w:rsid w:val="174C1201"/>
    <w:rsid w:val="174F484D"/>
    <w:rsid w:val="17514A69"/>
    <w:rsid w:val="175400B6"/>
    <w:rsid w:val="17546308"/>
    <w:rsid w:val="17555BDC"/>
    <w:rsid w:val="1757487F"/>
    <w:rsid w:val="17591B70"/>
    <w:rsid w:val="175B1444"/>
    <w:rsid w:val="175B385A"/>
    <w:rsid w:val="17626C76"/>
    <w:rsid w:val="17690B6A"/>
    <w:rsid w:val="1770666F"/>
    <w:rsid w:val="17771FF6"/>
    <w:rsid w:val="178622EA"/>
    <w:rsid w:val="178D1819"/>
    <w:rsid w:val="179901BE"/>
    <w:rsid w:val="179947F3"/>
    <w:rsid w:val="17A252C5"/>
    <w:rsid w:val="17A27073"/>
    <w:rsid w:val="17A70B2D"/>
    <w:rsid w:val="17AC6144"/>
    <w:rsid w:val="17B46A3B"/>
    <w:rsid w:val="17B62B1E"/>
    <w:rsid w:val="17B9616B"/>
    <w:rsid w:val="17BA0860"/>
    <w:rsid w:val="17C90AA4"/>
    <w:rsid w:val="17CA7A6B"/>
    <w:rsid w:val="17CB401E"/>
    <w:rsid w:val="17D336D0"/>
    <w:rsid w:val="17D42FA4"/>
    <w:rsid w:val="17E256C1"/>
    <w:rsid w:val="17E94CA2"/>
    <w:rsid w:val="17EF166E"/>
    <w:rsid w:val="17F378CF"/>
    <w:rsid w:val="17F66895"/>
    <w:rsid w:val="17F81389"/>
    <w:rsid w:val="17FF44C5"/>
    <w:rsid w:val="18001FEB"/>
    <w:rsid w:val="18012888"/>
    <w:rsid w:val="180550B5"/>
    <w:rsid w:val="180970F2"/>
    <w:rsid w:val="180A4C18"/>
    <w:rsid w:val="181066D2"/>
    <w:rsid w:val="18133ACD"/>
    <w:rsid w:val="18186CFB"/>
    <w:rsid w:val="181A30AD"/>
    <w:rsid w:val="181F06C4"/>
    <w:rsid w:val="182201B4"/>
    <w:rsid w:val="18221F62"/>
    <w:rsid w:val="182A0E16"/>
    <w:rsid w:val="182C2DE0"/>
    <w:rsid w:val="18356139"/>
    <w:rsid w:val="18365A0D"/>
    <w:rsid w:val="18381785"/>
    <w:rsid w:val="183F2B14"/>
    <w:rsid w:val="18574301"/>
    <w:rsid w:val="185D43EA"/>
    <w:rsid w:val="18626802"/>
    <w:rsid w:val="1864257A"/>
    <w:rsid w:val="186D58D3"/>
    <w:rsid w:val="18736C61"/>
    <w:rsid w:val="187622AE"/>
    <w:rsid w:val="187C78C4"/>
    <w:rsid w:val="188121DA"/>
    <w:rsid w:val="188517E2"/>
    <w:rsid w:val="188A0A95"/>
    <w:rsid w:val="188B3FAB"/>
    <w:rsid w:val="18956AE7"/>
    <w:rsid w:val="189C7F66"/>
    <w:rsid w:val="189F35B2"/>
    <w:rsid w:val="18A1557C"/>
    <w:rsid w:val="18A312F5"/>
    <w:rsid w:val="18AE37F5"/>
    <w:rsid w:val="18B21538"/>
    <w:rsid w:val="18B51028"/>
    <w:rsid w:val="18BB781D"/>
    <w:rsid w:val="18BD7EDC"/>
    <w:rsid w:val="18BF1EA7"/>
    <w:rsid w:val="18BF3C55"/>
    <w:rsid w:val="18C13F1E"/>
    <w:rsid w:val="18C4364F"/>
    <w:rsid w:val="18CE64F3"/>
    <w:rsid w:val="18D07C10"/>
    <w:rsid w:val="18D21BDA"/>
    <w:rsid w:val="18D23988"/>
    <w:rsid w:val="18D97890"/>
    <w:rsid w:val="18DC7657"/>
    <w:rsid w:val="18E50C46"/>
    <w:rsid w:val="18E5508F"/>
    <w:rsid w:val="18F21A27"/>
    <w:rsid w:val="18F461D6"/>
    <w:rsid w:val="19063631"/>
    <w:rsid w:val="190855FC"/>
    <w:rsid w:val="190A1374"/>
    <w:rsid w:val="190A1707"/>
    <w:rsid w:val="190E24E6"/>
    <w:rsid w:val="190F51E1"/>
    <w:rsid w:val="19103CBD"/>
    <w:rsid w:val="19121D33"/>
    <w:rsid w:val="19297320"/>
    <w:rsid w:val="19300FF5"/>
    <w:rsid w:val="19341F4D"/>
    <w:rsid w:val="193463F1"/>
    <w:rsid w:val="19357237"/>
    <w:rsid w:val="19362169"/>
    <w:rsid w:val="19397563"/>
    <w:rsid w:val="193C2319"/>
    <w:rsid w:val="193C34F7"/>
    <w:rsid w:val="19467ED2"/>
    <w:rsid w:val="19483C4A"/>
    <w:rsid w:val="194A5C14"/>
    <w:rsid w:val="194F4FD8"/>
    <w:rsid w:val="195728D4"/>
    <w:rsid w:val="19582448"/>
    <w:rsid w:val="195919B3"/>
    <w:rsid w:val="195F0AAC"/>
    <w:rsid w:val="19632832"/>
    <w:rsid w:val="196547FC"/>
    <w:rsid w:val="196D1903"/>
    <w:rsid w:val="196D36B1"/>
    <w:rsid w:val="196D545F"/>
    <w:rsid w:val="197B20E1"/>
    <w:rsid w:val="197B401F"/>
    <w:rsid w:val="197C1B46"/>
    <w:rsid w:val="197E58BE"/>
    <w:rsid w:val="19801636"/>
    <w:rsid w:val="19831126"/>
    <w:rsid w:val="198D78AF"/>
    <w:rsid w:val="19923117"/>
    <w:rsid w:val="19940C3D"/>
    <w:rsid w:val="199649B5"/>
    <w:rsid w:val="199C7AF2"/>
    <w:rsid w:val="199E7D0E"/>
    <w:rsid w:val="19B66E06"/>
    <w:rsid w:val="19C24DE5"/>
    <w:rsid w:val="19C31523"/>
    <w:rsid w:val="19C72DC1"/>
    <w:rsid w:val="19CC487B"/>
    <w:rsid w:val="19CF7EC7"/>
    <w:rsid w:val="19D63004"/>
    <w:rsid w:val="19DE010A"/>
    <w:rsid w:val="19E51499"/>
    <w:rsid w:val="19E73463"/>
    <w:rsid w:val="19E82D37"/>
    <w:rsid w:val="19F16090"/>
    <w:rsid w:val="1A051160"/>
    <w:rsid w:val="1A0538E9"/>
    <w:rsid w:val="1A0C56B9"/>
    <w:rsid w:val="1A197F1C"/>
    <w:rsid w:val="1A22449B"/>
    <w:rsid w:val="1A246465"/>
    <w:rsid w:val="1A293ADE"/>
    <w:rsid w:val="1A2975D8"/>
    <w:rsid w:val="1A3D3083"/>
    <w:rsid w:val="1A404921"/>
    <w:rsid w:val="1A441CBC"/>
    <w:rsid w:val="1A4563DB"/>
    <w:rsid w:val="1A472154"/>
    <w:rsid w:val="1A4E34E2"/>
    <w:rsid w:val="1A4E703E"/>
    <w:rsid w:val="1A584361"/>
    <w:rsid w:val="1A5D4DB6"/>
    <w:rsid w:val="1A646862"/>
    <w:rsid w:val="1A6C3968"/>
    <w:rsid w:val="1A8A3DEE"/>
    <w:rsid w:val="1A903AFB"/>
    <w:rsid w:val="1A907657"/>
    <w:rsid w:val="1A9D6217"/>
    <w:rsid w:val="1AA2540F"/>
    <w:rsid w:val="1AA255DC"/>
    <w:rsid w:val="1AA66E7A"/>
    <w:rsid w:val="1AA80E44"/>
    <w:rsid w:val="1AAB37A8"/>
    <w:rsid w:val="1ABC669E"/>
    <w:rsid w:val="1AC47300"/>
    <w:rsid w:val="1AC94917"/>
    <w:rsid w:val="1ACA4DD6"/>
    <w:rsid w:val="1ACE4623"/>
    <w:rsid w:val="1AD559B1"/>
    <w:rsid w:val="1AD80FFE"/>
    <w:rsid w:val="1AD82DAC"/>
    <w:rsid w:val="1ADF3CA3"/>
    <w:rsid w:val="1AED6AAC"/>
    <w:rsid w:val="1AEE0821"/>
    <w:rsid w:val="1AF50990"/>
    <w:rsid w:val="1AF71484"/>
    <w:rsid w:val="1AF83643"/>
    <w:rsid w:val="1AFE6CB6"/>
    <w:rsid w:val="1B0D514B"/>
    <w:rsid w:val="1B171B26"/>
    <w:rsid w:val="1B1C538E"/>
    <w:rsid w:val="1B1D4C62"/>
    <w:rsid w:val="1B210BF7"/>
    <w:rsid w:val="1B21651D"/>
    <w:rsid w:val="1B2236A3"/>
    <w:rsid w:val="1B2B55D1"/>
    <w:rsid w:val="1B2D0862"/>
    <w:rsid w:val="1B2D1349"/>
    <w:rsid w:val="1B3426D8"/>
    <w:rsid w:val="1B344993"/>
    <w:rsid w:val="1B3520A2"/>
    <w:rsid w:val="1B402F36"/>
    <w:rsid w:val="1B4641B9"/>
    <w:rsid w:val="1B4F12C0"/>
    <w:rsid w:val="1B542D7A"/>
    <w:rsid w:val="1B5E7C66"/>
    <w:rsid w:val="1B6B1E72"/>
    <w:rsid w:val="1B6F54BE"/>
    <w:rsid w:val="1B723200"/>
    <w:rsid w:val="1B73033E"/>
    <w:rsid w:val="1B746F78"/>
    <w:rsid w:val="1B746FE5"/>
    <w:rsid w:val="1B79633D"/>
    <w:rsid w:val="1B7C5E2D"/>
    <w:rsid w:val="1B83626B"/>
    <w:rsid w:val="1B852F33"/>
    <w:rsid w:val="1B886580"/>
    <w:rsid w:val="1BA157B2"/>
    <w:rsid w:val="1BA23AE5"/>
    <w:rsid w:val="1BA43815"/>
    <w:rsid w:val="1BA84E74"/>
    <w:rsid w:val="1BAA0BEC"/>
    <w:rsid w:val="1BC03F6C"/>
    <w:rsid w:val="1BC17CE4"/>
    <w:rsid w:val="1BC55BD6"/>
    <w:rsid w:val="1BC60287"/>
    <w:rsid w:val="1BC75BDE"/>
    <w:rsid w:val="1BC82E20"/>
    <w:rsid w:val="1BCF2401"/>
    <w:rsid w:val="1BD17F27"/>
    <w:rsid w:val="1BD276B4"/>
    <w:rsid w:val="1BD702B9"/>
    <w:rsid w:val="1BDA123E"/>
    <w:rsid w:val="1BDA6BD9"/>
    <w:rsid w:val="1BE7774A"/>
    <w:rsid w:val="1BE91714"/>
    <w:rsid w:val="1BEA2D97"/>
    <w:rsid w:val="1BEF65FF"/>
    <w:rsid w:val="1BFB31F6"/>
    <w:rsid w:val="1BFB4FA4"/>
    <w:rsid w:val="1C00080C"/>
    <w:rsid w:val="1C022610"/>
    <w:rsid w:val="1C0320AA"/>
    <w:rsid w:val="1C142509"/>
    <w:rsid w:val="1C1E0C92"/>
    <w:rsid w:val="1C1E40AF"/>
    <w:rsid w:val="1C204A0A"/>
    <w:rsid w:val="1C2A3ADB"/>
    <w:rsid w:val="1C3109C5"/>
    <w:rsid w:val="1C362480"/>
    <w:rsid w:val="1C3D55BC"/>
    <w:rsid w:val="1C400211"/>
    <w:rsid w:val="1C450915"/>
    <w:rsid w:val="1C4526C3"/>
    <w:rsid w:val="1C4A5F2B"/>
    <w:rsid w:val="1C5609FD"/>
    <w:rsid w:val="1C5650F0"/>
    <w:rsid w:val="1C5F6950"/>
    <w:rsid w:val="1C614C38"/>
    <w:rsid w:val="1C69100D"/>
    <w:rsid w:val="1C6C7C4F"/>
    <w:rsid w:val="1C6E39C8"/>
    <w:rsid w:val="1C7B60E4"/>
    <w:rsid w:val="1C890C15"/>
    <w:rsid w:val="1C896A53"/>
    <w:rsid w:val="1C907DE2"/>
    <w:rsid w:val="1C9E2BFF"/>
    <w:rsid w:val="1C9F6277"/>
    <w:rsid w:val="1CA05B4B"/>
    <w:rsid w:val="1CA613B3"/>
    <w:rsid w:val="1CA64DBE"/>
    <w:rsid w:val="1CAE0268"/>
    <w:rsid w:val="1CB05D8E"/>
    <w:rsid w:val="1CB57848"/>
    <w:rsid w:val="1CB810E7"/>
    <w:rsid w:val="1CBA4E5F"/>
    <w:rsid w:val="1CBB2985"/>
    <w:rsid w:val="1CC161ED"/>
    <w:rsid w:val="1CC655B2"/>
    <w:rsid w:val="1CCB0E1A"/>
    <w:rsid w:val="1CCF3FBA"/>
    <w:rsid w:val="1CD35F20"/>
    <w:rsid w:val="1CD53A47"/>
    <w:rsid w:val="1CD656FC"/>
    <w:rsid w:val="1CD777BF"/>
    <w:rsid w:val="1CDA2ADD"/>
    <w:rsid w:val="1CE123EB"/>
    <w:rsid w:val="1CE75528"/>
    <w:rsid w:val="1CF22920"/>
    <w:rsid w:val="1CF540E9"/>
    <w:rsid w:val="1CF57C45"/>
    <w:rsid w:val="1CFA525B"/>
    <w:rsid w:val="1CFD2F9D"/>
    <w:rsid w:val="1D037E77"/>
    <w:rsid w:val="1D0B49DE"/>
    <w:rsid w:val="1D101BF1"/>
    <w:rsid w:val="1D17405F"/>
    <w:rsid w:val="1D1A3B4F"/>
    <w:rsid w:val="1D200741"/>
    <w:rsid w:val="1D24677C"/>
    <w:rsid w:val="1D260771"/>
    <w:rsid w:val="1D350989"/>
    <w:rsid w:val="1D3604DE"/>
    <w:rsid w:val="1D3954F9"/>
    <w:rsid w:val="1D3E783E"/>
    <w:rsid w:val="1D402CBF"/>
    <w:rsid w:val="1D41732E"/>
    <w:rsid w:val="1D4604A0"/>
    <w:rsid w:val="1D484219"/>
    <w:rsid w:val="1D4E7035"/>
    <w:rsid w:val="1D547061"/>
    <w:rsid w:val="1D552DD9"/>
    <w:rsid w:val="1D5726AE"/>
    <w:rsid w:val="1D575FE9"/>
    <w:rsid w:val="1D5C7CC4"/>
    <w:rsid w:val="1D69418F"/>
    <w:rsid w:val="1D6D1ED1"/>
    <w:rsid w:val="1D7019C1"/>
    <w:rsid w:val="1D725739"/>
    <w:rsid w:val="1D7274E7"/>
    <w:rsid w:val="1D750D86"/>
    <w:rsid w:val="1D7F7B5E"/>
    <w:rsid w:val="1D840FC9"/>
    <w:rsid w:val="1D8A10A7"/>
    <w:rsid w:val="1D8D4321"/>
    <w:rsid w:val="1D9456B0"/>
    <w:rsid w:val="1D983C21"/>
    <w:rsid w:val="1D9F5E03"/>
    <w:rsid w:val="1DA358F3"/>
    <w:rsid w:val="1DA52F3D"/>
    <w:rsid w:val="1DAC0C4B"/>
    <w:rsid w:val="1DB01DBE"/>
    <w:rsid w:val="1DB03BB5"/>
    <w:rsid w:val="1DB25B36"/>
    <w:rsid w:val="1DC37D43"/>
    <w:rsid w:val="1DD45AAC"/>
    <w:rsid w:val="1DE55F0B"/>
    <w:rsid w:val="1DE6037E"/>
    <w:rsid w:val="1DED0C04"/>
    <w:rsid w:val="1DED6227"/>
    <w:rsid w:val="1DF0665E"/>
    <w:rsid w:val="1DF24184"/>
    <w:rsid w:val="1DF4614E"/>
    <w:rsid w:val="1DFC74D6"/>
    <w:rsid w:val="1E0A3655"/>
    <w:rsid w:val="1E0C16EA"/>
    <w:rsid w:val="1E0C793C"/>
    <w:rsid w:val="1E18540E"/>
    <w:rsid w:val="1E2D15D1"/>
    <w:rsid w:val="1E2F6F40"/>
    <w:rsid w:val="1E3824DF"/>
    <w:rsid w:val="1E3E5BD7"/>
    <w:rsid w:val="1E426EBA"/>
    <w:rsid w:val="1E4A3FC0"/>
    <w:rsid w:val="1E55286D"/>
    <w:rsid w:val="1E5577CC"/>
    <w:rsid w:val="1E5866DD"/>
    <w:rsid w:val="1E5E7A6C"/>
    <w:rsid w:val="1E605592"/>
    <w:rsid w:val="1E635082"/>
    <w:rsid w:val="1E65704C"/>
    <w:rsid w:val="1E796654"/>
    <w:rsid w:val="1E831280"/>
    <w:rsid w:val="1E890F8D"/>
    <w:rsid w:val="1E8E0A96"/>
    <w:rsid w:val="1E8F40C9"/>
    <w:rsid w:val="1E960FB4"/>
    <w:rsid w:val="1E9B481C"/>
    <w:rsid w:val="1E9D0594"/>
    <w:rsid w:val="1EA125DB"/>
    <w:rsid w:val="1EAB6ADD"/>
    <w:rsid w:val="1EAE454F"/>
    <w:rsid w:val="1EAF15EC"/>
    <w:rsid w:val="1EB8717C"/>
    <w:rsid w:val="1EBA2EF4"/>
    <w:rsid w:val="1EBC3110"/>
    <w:rsid w:val="1EBF675C"/>
    <w:rsid w:val="1ECD1D9F"/>
    <w:rsid w:val="1ED53744"/>
    <w:rsid w:val="1ED7059C"/>
    <w:rsid w:val="1ED902C4"/>
    <w:rsid w:val="1EDA5344"/>
    <w:rsid w:val="1EDF0BAD"/>
    <w:rsid w:val="1EE116A5"/>
    <w:rsid w:val="1EE2069D"/>
    <w:rsid w:val="1EE61F3B"/>
    <w:rsid w:val="1EEB7551"/>
    <w:rsid w:val="1EF06916"/>
    <w:rsid w:val="1EF15918"/>
    <w:rsid w:val="1EF627B8"/>
    <w:rsid w:val="1EFA7794"/>
    <w:rsid w:val="1F070103"/>
    <w:rsid w:val="1F0C74C8"/>
    <w:rsid w:val="1F0E3240"/>
    <w:rsid w:val="1F132604"/>
    <w:rsid w:val="1F1620F4"/>
    <w:rsid w:val="1F1F369F"/>
    <w:rsid w:val="1F220A99"/>
    <w:rsid w:val="1F262338"/>
    <w:rsid w:val="1F264A2D"/>
    <w:rsid w:val="1F282554"/>
    <w:rsid w:val="1F2C1918"/>
    <w:rsid w:val="1F3327BA"/>
    <w:rsid w:val="1F332CA6"/>
    <w:rsid w:val="1F3452D6"/>
    <w:rsid w:val="1F345A09"/>
    <w:rsid w:val="1F372797"/>
    <w:rsid w:val="1F3C5FFF"/>
    <w:rsid w:val="1F3D1A42"/>
    <w:rsid w:val="1F3F33F9"/>
    <w:rsid w:val="1F42569C"/>
    <w:rsid w:val="1F477846"/>
    <w:rsid w:val="1F4D3D68"/>
    <w:rsid w:val="1F525822"/>
    <w:rsid w:val="1F5E5F75"/>
    <w:rsid w:val="1F6A2B6C"/>
    <w:rsid w:val="1F6B2440"/>
    <w:rsid w:val="1F7E03C6"/>
    <w:rsid w:val="1F7E2174"/>
    <w:rsid w:val="1F7F6D65"/>
    <w:rsid w:val="1F8808B7"/>
    <w:rsid w:val="1F8E612F"/>
    <w:rsid w:val="1F980A1C"/>
    <w:rsid w:val="1F980D5B"/>
    <w:rsid w:val="1FA00F50"/>
    <w:rsid w:val="1FA12306"/>
    <w:rsid w:val="1FAB4F33"/>
    <w:rsid w:val="1FAD0CAB"/>
    <w:rsid w:val="1FB0285C"/>
    <w:rsid w:val="1FBF278C"/>
    <w:rsid w:val="1FCF190A"/>
    <w:rsid w:val="1FDC50EC"/>
    <w:rsid w:val="1FDC6E9A"/>
    <w:rsid w:val="1FE37A81"/>
    <w:rsid w:val="1FE54F61"/>
    <w:rsid w:val="1FE67D19"/>
    <w:rsid w:val="1FF07685"/>
    <w:rsid w:val="1FF40688"/>
    <w:rsid w:val="1FF64400"/>
    <w:rsid w:val="20012D1F"/>
    <w:rsid w:val="200308CB"/>
    <w:rsid w:val="20087C8F"/>
    <w:rsid w:val="20104D96"/>
    <w:rsid w:val="20142AD8"/>
    <w:rsid w:val="20191E9C"/>
    <w:rsid w:val="201C198C"/>
    <w:rsid w:val="201D22DD"/>
    <w:rsid w:val="201E5705"/>
    <w:rsid w:val="201F4774"/>
    <w:rsid w:val="20234AC9"/>
    <w:rsid w:val="202C65FB"/>
    <w:rsid w:val="20315438"/>
    <w:rsid w:val="20375DC0"/>
    <w:rsid w:val="20381101"/>
    <w:rsid w:val="20482782"/>
    <w:rsid w:val="204A02A8"/>
    <w:rsid w:val="2059498F"/>
    <w:rsid w:val="205B24B5"/>
    <w:rsid w:val="205E01F7"/>
    <w:rsid w:val="20611782"/>
    <w:rsid w:val="206A763D"/>
    <w:rsid w:val="206F5F60"/>
    <w:rsid w:val="206F7D0E"/>
    <w:rsid w:val="20711CD8"/>
    <w:rsid w:val="207215AC"/>
    <w:rsid w:val="20735A50"/>
    <w:rsid w:val="207B498E"/>
    <w:rsid w:val="208537D7"/>
    <w:rsid w:val="208D63E6"/>
    <w:rsid w:val="209459C7"/>
    <w:rsid w:val="20946410"/>
    <w:rsid w:val="209B6D55"/>
    <w:rsid w:val="209D2EF4"/>
    <w:rsid w:val="20A845C8"/>
    <w:rsid w:val="20AE6A88"/>
    <w:rsid w:val="20B322F1"/>
    <w:rsid w:val="20BB5F52"/>
    <w:rsid w:val="20BC1CA8"/>
    <w:rsid w:val="20BC4690"/>
    <w:rsid w:val="20BC49FB"/>
    <w:rsid w:val="20BC4BB0"/>
    <w:rsid w:val="20BE2A44"/>
    <w:rsid w:val="20C04176"/>
    <w:rsid w:val="20C63871"/>
    <w:rsid w:val="20C91B14"/>
    <w:rsid w:val="20CA0275"/>
    <w:rsid w:val="20CB48AD"/>
    <w:rsid w:val="20D109C9"/>
    <w:rsid w:val="20DD55C0"/>
    <w:rsid w:val="20E06E5E"/>
    <w:rsid w:val="20E34258"/>
    <w:rsid w:val="20F12E19"/>
    <w:rsid w:val="20F22AAE"/>
    <w:rsid w:val="20F46465"/>
    <w:rsid w:val="20FB5A46"/>
    <w:rsid w:val="21026DD4"/>
    <w:rsid w:val="210C37AF"/>
    <w:rsid w:val="210C7C53"/>
    <w:rsid w:val="21134B3E"/>
    <w:rsid w:val="2114528A"/>
    <w:rsid w:val="2116094D"/>
    <w:rsid w:val="21182154"/>
    <w:rsid w:val="211A2370"/>
    <w:rsid w:val="212136FE"/>
    <w:rsid w:val="212307EB"/>
    <w:rsid w:val="21240AF9"/>
    <w:rsid w:val="21260D15"/>
    <w:rsid w:val="21336F8E"/>
    <w:rsid w:val="213A7E91"/>
    <w:rsid w:val="213D2CB5"/>
    <w:rsid w:val="2144119B"/>
    <w:rsid w:val="214B077B"/>
    <w:rsid w:val="214C004F"/>
    <w:rsid w:val="21507B40"/>
    <w:rsid w:val="215A09BE"/>
    <w:rsid w:val="216435EB"/>
    <w:rsid w:val="216E1ECD"/>
    <w:rsid w:val="21723F5A"/>
    <w:rsid w:val="2177331E"/>
    <w:rsid w:val="217750CC"/>
    <w:rsid w:val="217A696B"/>
    <w:rsid w:val="217C3A20"/>
    <w:rsid w:val="219263AA"/>
    <w:rsid w:val="2195103F"/>
    <w:rsid w:val="219C0FD7"/>
    <w:rsid w:val="21A60641"/>
    <w:rsid w:val="21A63C04"/>
    <w:rsid w:val="21AA36F4"/>
    <w:rsid w:val="21AB524C"/>
    <w:rsid w:val="21AF0D0A"/>
    <w:rsid w:val="21C81DCC"/>
    <w:rsid w:val="21D43BB2"/>
    <w:rsid w:val="21DA1AFF"/>
    <w:rsid w:val="21E309B4"/>
    <w:rsid w:val="21ED3EE6"/>
    <w:rsid w:val="21F42BC1"/>
    <w:rsid w:val="21F7445F"/>
    <w:rsid w:val="21FC1A76"/>
    <w:rsid w:val="21FC3824"/>
    <w:rsid w:val="22072A03"/>
    <w:rsid w:val="22092E8E"/>
    <w:rsid w:val="221A1EFC"/>
    <w:rsid w:val="221A409F"/>
    <w:rsid w:val="22230DB0"/>
    <w:rsid w:val="22274D44"/>
    <w:rsid w:val="22282037"/>
    <w:rsid w:val="22284619"/>
    <w:rsid w:val="222A65E3"/>
    <w:rsid w:val="22347461"/>
    <w:rsid w:val="2235243E"/>
    <w:rsid w:val="22394A78"/>
    <w:rsid w:val="22421B7E"/>
    <w:rsid w:val="224376A4"/>
    <w:rsid w:val="22477195"/>
    <w:rsid w:val="224772C9"/>
    <w:rsid w:val="225B2C40"/>
    <w:rsid w:val="2265586D"/>
    <w:rsid w:val="2265761B"/>
    <w:rsid w:val="22665141"/>
    <w:rsid w:val="226A69DF"/>
    <w:rsid w:val="226A714E"/>
    <w:rsid w:val="226D4C26"/>
    <w:rsid w:val="226F2247"/>
    <w:rsid w:val="22714212"/>
    <w:rsid w:val="22717D6E"/>
    <w:rsid w:val="22721D38"/>
    <w:rsid w:val="22791318"/>
    <w:rsid w:val="227E06DD"/>
    <w:rsid w:val="22821F7B"/>
    <w:rsid w:val="22851A6B"/>
    <w:rsid w:val="228724F4"/>
    <w:rsid w:val="22873A35"/>
    <w:rsid w:val="228A62C8"/>
    <w:rsid w:val="228E4CF6"/>
    <w:rsid w:val="22916662"/>
    <w:rsid w:val="229E0D7F"/>
    <w:rsid w:val="22A068A5"/>
    <w:rsid w:val="22A55C69"/>
    <w:rsid w:val="22A939AB"/>
    <w:rsid w:val="22AB4D31"/>
    <w:rsid w:val="22AD4B1E"/>
    <w:rsid w:val="22B05C2A"/>
    <w:rsid w:val="22B1460E"/>
    <w:rsid w:val="22B42350"/>
    <w:rsid w:val="22B97967"/>
    <w:rsid w:val="22BC44A6"/>
    <w:rsid w:val="22BD1205"/>
    <w:rsid w:val="22BF217E"/>
    <w:rsid w:val="22CB59C2"/>
    <w:rsid w:val="22D16A5E"/>
    <w:rsid w:val="22D21245"/>
    <w:rsid w:val="22DB2EF3"/>
    <w:rsid w:val="22DF73CD"/>
    <w:rsid w:val="22E24A24"/>
    <w:rsid w:val="22E569AE"/>
    <w:rsid w:val="22EF5136"/>
    <w:rsid w:val="22F62969"/>
    <w:rsid w:val="22FA4207"/>
    <w:rsid w:val="23005595"/>
    <w:rsid w:val="230909BA"/>
    <w:rsid w:val="230E0CDD"/>
    <w:rsid w:val="230E7CB2"/>
    <w:rsid w:val="231132FF"/>
    <w:rsid w:val="23151E6A"/>
    <w:rsid w:val="23152DEF"/>
    <w:rsid w:val="231921B3"/>
    <w:rsid w:val="231A6657"/>
    <w:rsid w:val="231B5F2B"/>
    <w:rsid w:val="231D0FF0"/>
    <w:rsid w:val="23201794"/>
    <w:rsid w:val="232B0864"/>
    <w:rsid w:val="232C1EE7"/>
    <w:rsid w:val="23307C29"/>
    <w:rsid w:val="2331574F"/>
    <w:rsid w:val="233A0AA7"/>
    <w:rsid w:val="23443C2E"/>
    <w:rsid w:val="23476D20"/>
    <w:rsid w:val="23503E27"/>
    <w:rsid w:val="235E364C"/>
    <w:rsid w:val="235F22BC"/>
    <w:rsid w:val="23641680"/>
    <w:rsid w:val="236553F8"/>
    <w:rsid w:val="23691C0B"/>
    <w:rsid w:val="236B0C61"/>
    <w:rsid w:val="23720241"/>
    <w:rsid w:val="237D6BE6"/>
    <w:rsid w:val="238166D6"/>
    <w:rsid w:val="238241FC"/>
    <w:rsid w:val="2383244E"/>
    <w:rsid w:val="23865A9B"/>
    <w:rsid w:val="23897339"/>
    <w:rsid w:val="238C00E7"/>
    <w:rsid w:val="2392443F"/>
    <w:rsid w:val="2398757C"/>
    <w:rsid w:val="23AC3027"/>
    <w:rsid w:val="23AE0B4E"/>
    <w:rsid w:val="23B32608"/>
    <w:rsid w:val="23B343B6"/>
    <w:rsid w:val="23CB75C1"/>
    <w:rsid w:val="23CB79DE"/>
    <w:rsid w:val="23D34A58"/>
    <w:rsid w:val="23D5257E"/>
    <w:rsid w:val="23DF164F"/>
    <w:rsid w:val="23E26A49"/>
    <w:rsid w:val="23F52C20"/>
    <w:rsid w:val="2400493E"/>
    <w:rsid w:val="24042E63"/>
    <w:rsid w:val="24125580"/>
    <w:rsid w:val="24286B52"/>
    <w:rsid w:val="24347C44"/>
    <w:rsid w:val="2446347C"/>
    <w:rsid w:val="24466FD8"/>
    <w:rsid w:val="244F40DF"/>
    <w:rsid w:val="24561911"/>
    <w:rsid w:val="24575689"/>
    <w:rsid w:val="245D3B6A"/>
    <w:rsid w:val="24612064"/>
    <w:rsid w:val="24613E12"/>
    <w:rsid w:val="24637B8A"/>
    <w:rsid w:val="247327B6"/>
    <w:rsid w:val="24741D97"/>
    <w:rsid w:val="24743B45"/>
    <w:rsid w:val="24773635"/>
    <w:rsid w:val="24793C54"/>
    <w:rsid w:val="247973AD"/>
    <w:rsid w:val="2480064C"/>
    <w:rsid w:val="2483022C"/>
    <w:rsid w:val="24A061A3"/>
    <w:rsid w:val="24A25334"/>
    <w:rsid w:val="24AA57B9"/>
    <w:rsid w:val="24AF1021"/>
    <w:rsid w:val="24AF2DCF"/>
    <w:rsid w:val="24AF7273"/>
    <w:rsid w:val="24C0322E"/>
    <w:rsid w:val="24C26FA6"/>
    <w:rsid w:val="24C333F5"/>
    <w:rsid w:val="24C525F3"/>
    <w:rsid w:val="24C61A2F"/>
    <w:rsid w:val="24C7636B"/>
    <w:rsid w:val="24CC572F"/>
    <w:rsid w:val="24CD76F9"/>
    <w:rsid w:val="24D26ABE"/>
    <w:rsid w:val="24E54A43"/>
    <w:rsid w:val="24EC7B7F"/>
    <w:rsid w:val="24F1163A"/>
    <w:rsid w:val="24F66C50"/>
    <w:rsid w:val="24F86524"/>
    <w:rsid w:val="24FB6014"/>
    <w:rsid w:val="25076767"/>
    <w:rsid w:val="250824DF"/>
    <w:rsid w:val="2510626E"/>
    <w:rsid w:val="251175E6"/>
    <w:rsid w:val="25137802"/>
    <w:rsid w:val="25140E84"/>
    <w:rsid w:val="251A293E"/>
    <w:rsid w:val="251B0465"/>
    <w:rsid w:val="252202D5"/>
    <w:rsid w:val="252A68FA"/>
    <w:rsid w:val="252E0198"/>
    <w:rsid w:val="25312E6D"/>
    <w:rsid w:val="2536704D"/>
    <w:rsid w:val="25401C79"/>
    <w:rsid w:val="254247D0"/>
    <w:rsid w:val="25494FD2"/>
    <w:rsid w:val="254E083A"/>
    <w:rsid w:val="25516888"/>
    <w:rsid w:val="25641E0C"/>
    <w:rsid w:val="25643BBA"/>
    <w:rsid w:val="256C3B32"/>
    <w:rsid w:val="25754019"/>
    <w:rsid w:val="259049AF"/>
    <w:rsid w:val="25951FC5"/>
    <w:rsid w:val="25983863"/>
    <w:rsid w:val="2599171D"/>
    <w:rsid w:val="259D0E7A"/>
    <w:rsid w:val="25A22934"/>
    <w:rsid w:val="25A95A70"/>
    <w:rsid w:val="25AE12D9"/>
    <w:rsid w:val="25B12B77"/>
    <w:rsid w:val="25B22E5D"/>
    <w:rsid w:val="25B34B41"/>
    <w:rsid w:val="25B61F3B"/>
    <w:rsid w:val="25BC1C48"/>
    <w:rsid w:val="25BF5294"/>
    <w:rsid w:val="25CA1A6D"/>
    <w:rsid w:val="25CA3D5E"/>
    <w:rsid w:val="25F0369F"/>
    <w:rsid w:val="25F413E1"/>
    <w:rsid w:val="25F72C80"/>
    <w:rsid w:val="25FE400E"/>
    <w:rsid w:val="26003500"/>
    <w:rsid w:val="260236A3"/>
    <w:rsid w:val="26062EC3"/>
    <w:rsid w:val="26094761"/>
    <w:rsid w:val="2610789E"/>
    <w:rsid w:val="261455E0"/>
    <w:rsid w:val="261749D9"/>
    <w:rsid w:val="261A696E"/>
    <w:rsid w:val="2624038B"/>
    <w:rsid w:val="2629095F"/>
    <w:rsid w:val="262D66A1"/>
    <w:rsid w:val="26347A30"/>
    <w:rsid w:val="263F4518"/>
    <w:rsid w:val="264D0AF2"/>
    <w:rsid w:val="265E4AAD"/>
    <w:rsid w:val="265E685B"/>
    <w:rsid w:val="26661BB3"/>
    <w:rsid w:val="26663961"/>
    <w:rsid w:val="266D2C13"/>
    <w:rsid w:val="266D4AC9"/>
    <w:rsid w:val="26704220"/>
    <w:rsid w:val="26712A32"/>
    <w:rsid w:val="2674607E"/>
    <w:rsid w:val="26747E2C"/>
    <w:rsid w:val="267A2B55"/>
    <w:rsid w:val="2685203A"/>
    <w:rsid w:val="2694227D"/>
    <w:rsid w:val="269A360B"/>
    <w:rsid w:val="269E134D"/>
    <w:rsid w:val="26AF70B6"/>
    <w:rsid w:val="26B9579E"/>
    <w:rsid w:val="26BD5C77"/>
    <w:rsid w:val="26BE554B"/>
    <w:rsid w:val="26C863CA"/>
    <w:rsid w:val="26D1527F"/>
    <w:rsid w:val="26D26BAE"/>
    <w:rsid w:val="26DE5BEE"/>
    <w:rsid w:val="26E01966"/>
    <w:rsid w:val="26E30757"/>
    <w:rsid w:val="26E437BF"/>
    <w:rsid w:val="26E825C8"/>
    <w:rsid w:val="26F15921"/>
    <w:rsid w:val="26F159EF"/>
    <w:rsid w:val="26F45411"/>
    <w:rsid w:val="26F7280B"/>
    <w:rsid w:val="26F92A28"/>
    <w:rsid w:val="26FC3E04"/>
    <w:rsid w:val="26FE003E"/>
    <w:rsid w:val="2702368A"/>
    <w:rsid w:val="2705317A"/>
    <w:rsid w:val="270663F0"/>
    <w:rsid w:val="270E0E2C"/>
    <w:rsid w:val="27125FAB"/>
    <w:rsid w:val="27174C5C"/>
    <w:rsid w:val="27286E69"/>
    <w:rsid w:val="272C03B2"/>
    <w:rsid w:val="272D447F"/>
    <w:rsid w:val="272F01F7"/>
    <w:rsid w:val="272F1FA5"/>
    <w:rsid w:val="273B094A"/>
    <w:rsid w:val="27475541"/>
    <w:rsid w:val="27547C5E"/>
    <w:rsid w:val="275859A0"/>
    <w:rsid w:val="275A1718"/>
    <w:rsid w:val="27623E37"/>
    <w:rsid w:val="276500BD"/>
    <w:rsid w:val="276C31F9"/>
    <w:rsid w:val="276E51C4"/>
    <w:rsid w:val="277420AE"/>
    <w:rsid w:val="27767BD4"/>
    <w:rsid w:val="2778394C"/>
    <w:rsid w:val="277D5407"/>
    <w:rsid w:val="27822AAA"/>
    <w:rsid w:val="278422F1"/>
    <w:rsid w:val="27895B59"/>
    <w:rsid w:val="278A3680"/>
    <w:rsid w:val="279D1605"/>
    <w:rsid w:val="27A6495D"/>
    <w:rsid w:val="27A72484"/>
    <w:rsid w:val="27A74232"/>
    <w:rsid w:val="27AC65CB"/>
    <w:rsid w:val="27B150B0"/>
    <w:rsid w:val="27B506FD"/>
    <w:rsid w:val="27BF5A1F"/>
    <w:rsid w:val="27C052F3"/>
    <w:rsid w:val="27CC5A46"/>
    <w:rsid w:val="27D112AE"/>
    <w:rsid w:val="27D17500"/>
    <w:rsid w:val="27DF5779"/>
    <w:rsid w:val="27E03DF8"/>
    <w:rsid w:val="27E15995"/>
    <w:rsid w:val="27E168E7"/>
    <w:rsid w:val="27E2526A"/>
    <w:rsid w:val="27E64D5A"/>
    <w:rsid w:val="27E72880"/>
    <w:rsid w:val="27EB139E"/>
    <w:rsid w:val="27FF5E1C"/>
    <w:rsid w:val="280779E8"/>
    <w:rsid w:val="28083CAE"/>
    <w:rsid w:val="28090A48"/>
    <w:rsid w:val="28093CA5"/>
    <w:rsid w:val="280E2503"/>
    <w:rsid w:val="28176FFE"/>
    <w:rsid w:val="28237D5C"/>
    <w:rsid w:val="28245882"/>
    <w:rsid w:val="28247630"/>
    <w:rsid w:val="282B4E63"/>
    <w:rsid w:val="2835183D"/>
    <w:rsid w:val="28355CE1"/>
    <w:rsid w:val="28397580"/>
    <w:rsid w:val="283A060F"/>
    <w:rsid w:val="28436950"/>
    <w:rsid w:val="28446343"/>
    <w:rsid w:val="284A2287"/>
    <w:rsid w:val="284D125B"/>
    <w:rsid w:val="285048C9"/>
    <w:rsid w:val="28546167"/>
    <w:rsid w:val="2859377E"/>
    <w:rsid w:val="285C326E"/>
    <w:rsid w:val="28606244"/>
    <w:rsid w:val="286078D7"/>
    <w:rsid w:val="28612632"/>
    <w:rsid w:val="286D7229"/>
    <w:rsid w:val="286E6460"/>
    <w:rsid w:val="28702875"/>
    <w:rsid w:val="287F5F8E"/>
    <w:rsid w:val="2895052E"/>
    <w:rsid w:val="289A2C57"/>
    <w:rsid w:val="289C18BC"/>
    <w:rsid w:val="289C7B0E"/>
    <w:rsid w:val="289E4C72"/>
    <w:rsid w:val="289F315B"/>
    <w:rsid w:val="289F7CB9"/>
    <w:rsid w:val="28B16468"/>
    <w:rsid w:val="28B409B4"/>
    <w:rsid w:val="28B764A8"/>
    <w:rsid w:val="28BB61E6"/>
    <w:rsid w:val="28BE407E"/>
    <w:rsid w:val="28BE4866"/>
    <w:rsid w:val="28C037FD"/>
    <w:rsid w:val="28C106A5"/>
    <w:rsid w:val="28CB3F50"/>
    <w:rsid w:val="28CD229B"/>
    <w:rsid w:val="28CE793B"/>
    <w:rsid w:val="28D21782"/>
    <w:rsid w:val="28D41056"/>
    <w:rsid w:val="28D664A1"/>
    <w:rsid w:val="28D9666D"/>
    <w:rsid w:val="28DE1ED5"/>
    <w:rsid w:val="28DF17A9"/>
    <w:rsid w:val="28E079FB"/>
    <w:rsid w:val="28E222D4"/>
    <w:rsid w:val="28E62B38"/>
    <w:rsid w:val="28E82D54"/>
    <w:rsid w:val="28F21957"/>
    <w:rsid w:val="28F65471"/>
    <w:rsid w:val="290541A2"/>
    <w:rsid w:val="2909791D"/>
    <w:rsid w:val="291102E6"/>
    <w:rsid w:val="291122AA"/>
    <w:rsid w:val="291D29FD"/>
    <w:rsid w:val="291E22D1"/>
    <w:rsid w:val="2927239E"/>
    <w:rsid w:val="29283150"/>
    <w:rsid w:val="29310F8A"/>
    <w:rsid w:val="2936586D"/>
    <w:rsid w:val="293715E5"/>
    <w:rsid w:val="2939535D"/>
    <w:rsid w:val="294A1318"/>
    <w:rsid w:val="294E705B"/>
    <w:rsid w:val="295201CD"/>
    <w:rsid w:val="29581C87"/>
    <w:rsid w:val="295C2DFA"/>
    <w:rsid w:val="295F323C"/>
    <w:rsid w:val="29606D8E"/>
    <w:rsid w:val="2968694E"/>
    <w:rsid w:val="296C25E1"/>
    <w:rsid w:val="296C5733"/>
    <w:rsid w:val="296E548B"/>
    <w:rsid w:val="29785E86"/>
    <w:rsid w:val="29791BFE"/>
    <w:rsid w:val="297D524A"/>
    <w:rsid w:val="297E0FC2"/>
    <w:rsid w:val="298567F4"/>
    <w:rsid w:val="299B6018"/>
    <w:rsid w:val="29A22F02"/>
    <w:rsid w:val="29A44ECD"/>
    <w:rsid w:val="29AC3D81"/>
    <w:rsid w:val="29AE7AF9"/>
    <w:rsid w:val="29B6075C"/>
    <w:rsid w:val="29BF5862"/>
    <w:rsid w:val="29D532D8"/>
    <w:rsid w:val="29D86924"/>
    <w:rsid w:val="29DA269C"/>
    <w:rsid w:val="29DF4157"/>
    <w:rsid w:val="29E83B6B"/>
    <w:rsid w:val="29E90B31"/>
    <w:rsid w:val="29E928DF"/>
    <w:rsid w:val="29EE6148"/>
    <w:rsid w:val="29EE7EF6"/>
    <w:rsid w:val="29F319B0"/>
    <w:rsid w:val="29F714A0"/>
    <w:rsid w:val="29FA0F90"/>
    <w:rsid w:val="2A043BBD"/>
    <w:rsid w:val="2A077209"/>
    <w:rsid w:val="2A0F7351"/>
    <w:rsid w:val="2A0F7D89"/>
    <w:rsid w:val="2A104310"/>
    <w:rsid w:val="2A1262DA"/>
    <w:rsid w:val="2A13795C"/>
    <w:rsid w:val="2A17569E"/>
    <w:rsid w:val="2A211289"/>
    <w:rsid w:val="2A291581"/>
    <w:rsid w:val="2A2D4EC2"/>
    <w:rsid w:val="2A3224D8"/>
    <w:rsid w:val="2A3B4B7A"/>
    <w:rsid w:val="2A3D0E7D"/>
    <w:rsid w:val="2A41237C"/>
    <w:rsid w:val="2A437D88"/>
    <w:rsid w:val="2A44045E"/>
    <w:rsid w:val="2A4436F9"/>
    <w:rsid w:val="2A4B5348"/>
    <w:rsid w:val="2A4C2E6E"/>
    <w:rsid w:val="2A4D7312"/>
    <w:rsid w:val="2A522B7B"/>
    <w:rsid w:val="2A5306A1"/>
    <w:rsid w:val="2A573CED"/>
    <w:rsid w:val="2A5A558B"/>
    <w:rsid w:val="2A612DBE"/>
    <w:rsid w:val="2A6401B8"/>
    <w:rsid w:val="2A697EC4"/>
    <w:rsid w:val="2A6B7798"/>
    <w:rsid w:val="2A7523C5"/>
    <w:rsid w:val="2A756869"/>
    <w:rsid w:val="2A7B03EE"/>
    <w:rsid w:val="2A7B76E8"/>
    <w:rsid w:val="2A7C3754"/>
    <w:rsid w:val="2A7C5075"/>
    <w:rsid w:val="2A7D127A"/>
    <w:rsid w:val="2A7E4EA9"/>
    <w:rsid w:val="2A8750CD"/>
    <w:rsid w:val="2A8B3997"/>
    <w:rsid w:val="2A8E3487"/>
    <w:rsid w:val="2A97058D"/>
    <w:rsid w:val="2A9D08D2"/>
    <w:rsid w:val="2AA2253A"/>
    <w:rsid w:val="2AA84549"/>
    <w:rsid w:val="2AA902C1"/>
    <w:rsid w:val="2AAA3BF6"/>
    <w:rsid w:val="2AB078A1"/>
    <w:rsid w:val="2AB4113F"/>
    <w:rsid w:val="2AB54EB7"/>
    <w:rsid w:val="2AB63109"/>
    <w:rsid w:val="2ABB0720"/>
    <w:rsid w:val="2ABB6513"/>
    <w:rsid w:val="2AC33130"/>
    <w:rsid w:val="2AC94D4E"/>
    <w:rsid w:val="2ACD0453"/>
    <w:rsid w:val="2AD0246A"/>
    <w:rsid w:val="2AD0584D"/>
    <w:rsid w:val="2AD21972"/>
    <w:rsid w:val="2AD40919"/>
    <w:rsid w:val="2AD57308"/>
    <w:rsid w:val="2AD7512C"/>
    <w:rsid w:val="2AD92954"/>
    <w:rsid w:val="2ADC2444"/>
    <w:rsid w:val="2ADE61BC"/>
    <w:rsid w:val="2AEA4B61"/>
    <w:rsid w:val="2AF77E8C"/>
    <w:rsid w:val="2AF94DA4"/>
    <w:rsid w:val="2AFA28CA"/>
    <w:rsid w:val="2AFC2AE6"/>
    <w:rsid w:val="2AFE685E"/>
    <w:rsid w:val="2B193698"/>
    <w:rsid w:val="2B1C3C7F"/>
    <w:rsid w:val="2B255B99"/>
    <w:rsid w:val="2B2929A9"/>
    <w:rsid w:val="2B2B6F28"/>
    <w:rsid w:val="2B30453E"/>
    <w:rsid w:val="2B361B54"/>
    <w:rsid w:val="2B391645"/>
    <w:rsid w:val="2B3C2EE3"/>
    <w:rsid w:val="2B4600C5"/>
    <w:rsid w:val="2B4C1A27"/>
    <w:rsid w:val="2B4C6730"/>
    <w:rsid w:val="2B4D3342"/>
    <w:rsid w:val="2B563FA5"/>
    <w:rsid w:val="2B5C5333"/>
    <w:rsid w:val="2B7D3C27"/>
    <w:rsid w:val="2B8918CF"/>
    <w:rsid w:val="2B8B7F3B"/>
    <w:rsid w:val="2B9E594C"/>
    <w:rsid w:val="2BA967CA"/>
    <w:rsid w:val="2BAC1E16"/>
    <w:rsid w:val="2BAF13B9"/>
    <w:rsid w:val="2BAF699B"/>
    <w:rsid w:val="2BB30A63"/>
    <w:rsid w:val="2BBA5A08"/>
    <w:rsid w:val="2BC52EDD"/>
    <w:rsid w:val="2BDA7320"/>
    <w:rsid w:val="2BE05F64"/>
    <w:rsid w:val="2BE912BD"/>
    <w:rsid w:val="2BE91AA5"/>
    <w:rsid w:val="2BE94E19"/>
    <w:rsid w:val="2BEA293F"/>
    <w:rsid w:val="2BEC4909"/>
    <w:rsid w:val="2BF30AC7"/>
    <w:rsid w:val="2BF3172C"/>
    <w:rsid w:val="2C02237E"/>
    <w:rsid w:val="2C027C88"/>
    <w:rsid w:val="2C0A4D8F"/>
    <w:rsid w:val="2C0B2FE1"/>
    <w:rsid w:val="2C0D087E"/>
    <w:rsid w:val="2C1005F7"/>
    <w:rsid w:val="2C106849"/>
    <w:rsid w:val="2C126F44"/>
    <w:rsid w:val="2C145108"/>
    <w:rsid w:val="2C183950"/>
    <w:rsid w:val="2C1A001B"/>
    <w:rsid w:val="2C1A3224"/>
    <w:rsid w:val="2C2C11A9"/>
    <w:rsid w:val="2C324A12"/>
    <w:rsid w:val="2C3342E6"/>
    <w:rsid w:val="2C357514"/>
    <w:rsid w:val="2C396B4B"/>
    <w:rsid w:val="2C3A179D"/>
    <w:rsid w:val="2C3A38C6"/>
    <w:rsid w:val="2C3D6F24"/>
    <w:rsid w:val="2C4604BD"/>
    <w:rsid w:val="2C464019"/>
    <w:rsid w:val="2C502C39"/>
    <w:rsid w:val="2C5129BE"/>
    <w:rsid w:val="2C520C10"/>
    <w:rsid w:val="2C6E17C2"/>
    <w:rsid w:val="2C752B50"/>
    <w:rsid w:val="2C7566AC"/>
    <w:rsid w:val="2C7843EE"/>
    <w:rsid w:val="2C7F7BAF"/>
    <w:rsid w:val="2C8132A3"/>
    <w:rsid w:val="2C8207E0"/>
    <w:rsid w:val="2C820DC9"/>
    <w:rsid w:val="2C9C632F"/>
    <w:rsid w:val="2C9F3729"/>
    <w:rsid w:val="2CA62020"/>
    <w:rsid w:val="2CA65024"/>
    <w:rsid w:val="2CA927FA"/>
    <w:rsid w:val="2CAB78A9"/>
    <w:rsid w:val="2CB674FA"/>
    <w:rsid w:val="2CB82A3D"/>
    <w:rsid w:val="2CCB2770"/>
    <w:rsid w:val="2CCB6732"/>
    <w:rsid w:val="2CD5539D"/>
    <w:rsid w:val="2CDE06F5"/>
    <w:rsid w:val="2CE33F5E"/>
    <w:rsid w:val="2CE90E48"/>
    <w:rsid w:val="2CF577ED"/>
    <w:rsid w:val="2D016192"/>
    <w:rsid w:val="2D036D87"/>
    <w:rsid w:val="2D071354"/>
    <w:rsid w:val="2D157E8F"/>
    <w:rsid w:val="2D172AAA"/>
    <w:rsid w:val="2D1B36F8"/>
    <w:rsid w:val="2D2325AC"/>
    <w:rsid w:val="2D2B1461"/>
    <w:rsid w:val="2D300825"/>
    <w:rsid w:val="2D3447B9"/>
    <w:rsid w:val="2D346567"/>
    <w:rsid w:val="2D3A16A4"/>
    <w:rsid w:val="2D3C541C"/>
    <w:rsid w:val="2D404F0C"/>
    <w:rsid w:val="2D5704A8"/>
    <w:rsid w:val="2D5774A8"/>
    <w:rsid w:val="2D5B7F98"/>
    <w:rsid w:val="2D5E1836"/>
    <w:rsid w:val="2D614E83"/>
    <w:rsid w:val="2D6706EB"/>
    <w:rsid w:val="2D6A189D"/>
    <w:rsid w:val="2D76092E"/>
    <w:rsid w:val="2D7B7CF2"/>
    <w:rsid w:val="2D7C2A10"/>
    <w:rsid w:val="2D825525"/>
    <w:rsid w:val="2D83304B"/>
    <w:rsid w:val="2D880661"/>
    <w:rsid w:val="2D8A43D9"/>
    <w:rsid w:val="2D8F5209"/>
    <w:rsid w:val="2D984D48"/>
    <w:rsid w:val="2D9D410D"/>
    <w:rsid w:val="2DA059AB"/>
    <w:rsid w:val="2DAE75F4"/>
    <w:rsid w:val="2DB11966"/>
    <w:rsid w:val="2DB17BB8"/>
    <w:rsid w:val="2DBD030B"/>
    <w:rsid w:val="2DC01BA9"/>
    <w:rsid w:val="2DC0604D"/>
    <w:rsid w:val="2DC66312"/>
    <w:rsid w:val="2DCC2C44"/>
    <w:rsid w:val="2DCF4E03"/>
    <w:rsid w:val="2DCF6290"/>
    <w:rsid w:val="2DD37B2E"/>
    <w:rsid w:val="2DD6761F"/>
    <w:rsid w:val="2DD804BF"/>
    <w:rsid w:val="2DD85145"/>
    <w:rsid w:val="2DE97352"/>
    <w:rsid w:val="2DF02AE0"/>
    <w:rsid w:val="2E00644A"/>
    <w:rsid w:val="2E0979F4"/>
    <w:rsid w:val="2E2368BD"/>
    <w:rsid w:val="2E24482E"/>
    <w:rsid w:val="2E2652C2"/>
    <w:rsid w:val="2E2760CC"/>
    <w:rsid w:val="2E2B3973"/>
    <w:rsid w:val="2E2E15D0"/>
    <w:rsid w:val="2E2E2FB7"/>
    <w:rsid w:val="2E3031D3"/>
    <w:rsid w:val="2E350E75"/>
    <w:rsid w:val="2E383E35"/>
    <w:rsid w:val="2E3A5DFF"/>
    <w:rsid w:val="2E3E0A45"/>
    <w:rsid w:val="2E443131"/>
    <w:rsid w:val="2E4E5407"/>
    <w:rsid w:val="2E5F1FB0"/>
    <w:rsid w:val="2E65180B"/>
    <w:rsid w:val="2E655ADE"/>
    <w:rsid w:val="2E67471B"/>
    <w:rsid w:val="2E6966E5"/>
    <w:rsid w:val="2E6F2C34"/>
    <w:rsid w:val="2E7F1A64"/>
    <w:rsid w:val="2E9372BE"/>
    <w:rsid w:val="2E9B6172"/>
    <w:rsid w:val="2E9C2616"/>
    <w:rsid w:val="2E9C43C4"/>
    <w:rsid w:val="2E9F2106"/>
    <w:rsid w:val="2E9F3EB4"/>
    <w:rsid w:val="2EA8720D"/>
    <w:rsid w:val="2EAD65D1"/>
    <w:rsid w:val="2EB6708F"/>
    <w:rsid w:val="2EB97CA5"/>
    <w:rsid w:val="2EBA484A"/>
    <w:rsid w:val="2EC13E2B"/>
    <w:rsid w:val="2EC21951"/>
    <w:rsid w:val="2EC61441"/>
    <w:rsid w:val="2ED40002"/>
    <w:rsid w:val="2ED51684"/>
    <w:rsid w:val="2EDF02BD"/>
    <w:rsid w:val="2EDF0755"/>
    <w:rsid w:val="2EE27554"/>
    <w:rsid w:val="2F01691D"/>
    <w:rsid w:val="2F0401BB"/>
    <w:rsid w:val="2F176141"/>
    <w:rsid w:val="2F25085E"/>
    <w:rsid w:val="2F294217"/>
    <w:rsid w:val="2F320885"/>
    <w:rsid w:val="2F37233F"/>
    <w:rsid w:val="2F39519C"/>
    <w:rsid w:val="2F3B1E2F"/>
    <w:rsid w:val="2F504708"/>
    <w:rsid w:val="2F5317EC"/>
    <w:rsid w:val="2F5E78CC"/>
    <w:rsid w:val="2F61116A"/>
    <w:rsid w:val="2F646705"/>
    <w:rsid w:val="2F6D3FB3"/>
    <w:rsid w:val="2F6F3887"/>
    <w:rsid w:val="2F7470EF"/>
    <w:rsid w:val="2F762E67"/>
    <w:rsid w:val="2F77423C"/>
    <w:rsid w:val="2F776BDF"/>
    <w:rsid w:val="2F8310E0"/>
    <w:rsid w:val="2F837332"/>
    <w:rsid w:val="2F8C4439"/>
    <w:rsid w:val="2F8C4B14"/>
    <w:rsid w:val="2F911A4F"/>
    <w:rsid w:val="2F9405A4"/>
    <w:rsid w:val="2FA23C5C"/>
    <w:rsid w:val="2FB13E9F"/>
    <w:rsid w:val="2FB4573E"/>
    <w:rsid w:val="2FB90FA6"/>
    <w:rsid w:val="2FCF07C9"/>
    <w:rsid w:val="2FCF2577"/>
    <w:rsid w:val="2FD04090"/>
    <w:rsid w:val="2FD858D0"/>
    <w:rsid w:val="2FDB716E"/>
    <w:rsid w:val="2FEA115F"/>
    <w:rsid w:val="2FEA5603"/>
    <w:rsid w:val="2FEC4ED7"/>
    <w:rsid w:val="2FFA3A98"/>
    <w:rsid w:val="2FFD5337"/>
    <w:rsid w:val="2FFF4125"/>
    <w:rsid w:val="3008090B"/>
    <w:rsid w:val="300974C0"/>
    <w:rsid w:val="300C37CC"/>
    <w:rsid w:val="300E2498"/>
    <w:rsid w:val="30136908"/>
    <w:rsid w:val="301461DC"/>
    <w:rsid w:val="30187A31"/>
    <w:rsid w:val="301A2346"/>
    <w:rsid w:val="301B57BD"/>
    <w:rsid w:val="301C2BD0"/>
    <w:rsid w:val="30200FC8"/>
    <w:rsid w:val="302F3016"/>
    <w:rsid w:val="3030139E"/>
    <w:rsid w:val="303D1BD7"/>
    <w:rsid w:val="30413836"/>
    <w:rsid w:val="304D0C9D"/>
    <w:rsid w:val="304E6C63"/>
    <w:rsid w:val="305F1B4D"/>
    <w:rsid w:val="30640F12"/>
    <w:rsid w:val="3071362F"/>
    <w:rsid w:val="30740B8E"/>
    <w:rsid w:val="307740E0"/>
    <w:rsid w:val="307750E9"/>
    <w:rsid w:val="308F4C3A"/>
    <w:rsid w:val="309243C0"/>
    <w:rsid w:val="3097374C"/>
    <w:rsid w:val="309A0DD7"/>
    <w:rsid w:val="30A9726C"/>
    <w:rsid w:val="30AD0B0B"/>
    <w:rsid w:val="30AE03DF"/>
    <w:rsid w:val="30AF64B9"/>
    <w:rsid w:val="30B001AC"/>
    <w:rsid w:val="30B359F5"/>
    <w:rsid w:val="30BA4FD6"/>
    <w:rsid w:val="30BF1FEB"/>
    <w:rsid w:val="30BF25EC"/>
    <w:rsid w:val="30C354BD"/>
    <w:rsid w:val="30C65728"/>
    <w:rsid w:val="30C714A1"/>
    <w:rsid w:val="30CE282F"/>
    <w:rsid w:val="30D047F9"/>
    <w:rsid w:val="30D27FFF"/>
    <w:rsid w:val="30DB6CFA"/>
    <w:rsid w:val="30DC70DF"/>
    <w:rsid w:val="30EA2318"/>
    <w:rsid w:val="30F93D50"/>
    <w:rsid w:val="30FC114A"/>
    <w:rsid w:val="30FD4260"/>
    <w:rsid w:val="310426F5"/>
    <w:rsid w:val="31047756"/>
    <w:rsid w:val="31066CA8"/>
    <w:rsid w:val="310B3A83"/>
    <w:rsid w:val="310D1280"/>
    <w:rsid w:val="310D15A9"/>
    <w:rsid w:val="310E5321"/>
    <w:rsid w:val="311566B0"/>
    <w:rsid w:val="31181CFC"/>
    <w:rsid w:val="312468F3"/>
    <w:rsid w:val="31264419"/>
    <w:rsid w:val="312A63FD"/>
    <w:rsid w:val="31413001"/>
    <w:rsid w:val="31436D79"/>
    <w:rsid w:val="31440D43"/>
    <w:rsid w:val="31464ABB"/>
    <w:rsid w:val="314825E1"/>
    <w:rsid w:val="31580F9E"/>
    <w:rsid w:val="316311C9"/>
    <w:rsid w:val="3163741B"/>
    <w:rsid w:val="316A0CF1"/>
    <w:rsid w:val="316F5DC0"/>
    <w:rsid w:val="317038E6"/>
    <w:rsid w:val="317A4765"/>
    <w:rsid w:val="317E6003"/>
    <w:rsid w:val="317F1D7B"/>
    <w:rsid w:val="31825103"/>
    <w:rsid w:val="31885988"/>
    <w:rsid w:val="318F6462"/>
    <w:rsid w:val="31920686"/>
    <w:rsid w:val="31945827"/>
    <w:rsid w:val="31973569"/>
    <w:rsid w:val="3197546D"/>
    <w:rsid w:val="319E1574"/>
    <w:rsid w:val="31A16195"/>
    <w:rsid w:val="31A31F0E"/>
    <w:rsid w:val="31A41689"/>
    <w:rsid w:val="31A83080"/>
    <w:rsid w:val="31AF08B2"/>
    <w:rsid w:val="31B00187"/>
    <w:rsid w:val="31B71515"/>
    <w:rsid w:val="31B934DF"/>
    <w:rsid w:val="31C61758"/>
    <w:rsid w:val="31CF69DC"/>
    <w:rsid w:val="31E71DFA"/>
    <w:rsid w:val="32033DEB"/>
    <w:rsid w:val="3203475A"/>
    <w:rsid w:val="320A5AE9"/>
    <w:rsid w:val="320C7AB3"/>
    <w:rsid w:val="320F30FF"/>
    <w:rsid w:val="320F4EAD"/>
    <w:rsid w:val="32110C25"/>
    <w:rsid w:val="32130E41"/>
    <w:rsid w:val="32144BB9"/>
    <w:rsid w:val="321636A6"/>
    <w:rsid w:val="32170199"/>
    <w:rsid w:val="321C3FF7"/>
    <w:rsid w:val="321D581C"/>
    <w:rsid w:val="322F72FD"/>
    <w:rsid w:val="32333292"/>
    <w:rsid w:val="32364B30"/>
    <w:rsid w:val="323B0398"/>
    <w:rsid w:val="323C5A5D"/>
    <w:rsid w:val="32406EF5"/>
    <w:rsid w:val="32544FB6"/>
    <w:rsid w:val="32560D2E"/>
    <w:rsid w:val="325B2476"/>
    <w:rsid w:val="325B4596"/>
    <w:rsid w:val="325E7BE3"/>
    <w:rsid w:val="325F0F6C"/>
    <w:rsid w:val="326A47D9"/>
    <w:rsid w:val="32715B68"/>
    <w:rsid w:val="32747C01"/>
    <w:rsid w:val="327D275F"/>
    <w:rsid w:val="327D62BB"/>
    <w:rsid w:val="32851613"/>
    <w:rsid w:val="32852BFC"/>
    <w:rsid w:val="328C29A2"/>
    <w:rsid w:val="328D4B95"/>
    <w:rsid w:val="328E470D"/>
    <w:rsid w:val="32902492"/>
    <w:rsid w:val="32913C86"/>
    <w:rsid w:val="32981347"/>
    <w:rsid w:val="32990C99"/>
    <w:rsid w:val="329C208F"/>
    <w:rsid w:val="32A5753D"/>
    <w:rsid w:val="32A970B0"/>
    <w:rsid w:val="32AC1D79"/>
    <w:rsid w:val="32AC5CBD"/>
    <w:rsid w:val="32AF1317"/>
    <w:rsid w:val="32B22BB0"/>
    <w:rsid w:val="32B2404A"/>
    <w:rsid w:val="32B31CDC"/>
    <w:rsid w:val="32BD6FFF"/>
    <w:rsid w:val="32BF5086"/>
    <w:rsid w:val="32C42BBF"/>
    <w:rsid w:val="32C43EEA"/>
    <w:rsid w:val="32CD7117"/>
    <w:rsid w:val="32D62D76"/>
    <w:rsid w:val="32DA370D"/>
    <w:rsid w:val="32F02B12"/>
    <w:rsid w:val="32F83B93"/>
    <w:rsid w:val="32FA3DAF"/>
    <w:rsid w:val="3310712F"/>
    <w:rsid w:val="331309CD"/>
    <w:rsid w:val="331704BD"/>
    <w:rsid w:val="331A7FAD"/>
    <w:rsid w:val="331D35FA"/>
    <w:rsid w:val="331F7372"/>
    <w:rsid w:val="33264BA4"/>
    <w:rsid w:val="332B6E12"/>
    <w:rsid w:val="33354DE7"/>
    <w:rsid w:val="33356193"/>
    <w:rsid w:val="335214F5"/>
    <w:rsid w:val="33576B0C"/>
    <w:rsid w:val="335E433E"/>
    <w:rsid w:val="335E60EC"/>
    <w:rsid w:val="338B4A07"/>
    <w:rsid w:val="338E090F"/>
    <w:rsid w:val="33977850"/>
    <w:rsid w:val="33A53D1B"/>
    <w:rsid w:val="33A700A6"/>
    <w:rsid w:val="33AE5828"/>
    <w:rsid w:val="33B833C4"/>
    <w:rsid w:val="33BB353F"/>
    <w:rsid w:val="33BC2E13"/>
    <w:rsid w:val="33BD14C2"/>
    <w:rsid w:val="33BE4DDD"/>
    <w:rsid w:val="33C06DA7"/>
    <w:rsid w:val="33D30C40"/>
    <w:rsid w:val="33D463AE"/>
    <w:rsid w:val="33DF6B01"/>
    <w:rsid w:val="33E34843"/>
    <w:rsid w:val="33E44E98"/>
    <w:rsid w:val="33EA5095"/>
    <w:rsid w:val="33EF129B"/>
    <w:rsid w:val="33EF4F96"/>
    <w:rsid w:val="33FB1B8D"/>
    <w:rsid w:val="34056A13"/>
    <w:rsid w:val="340B7134"/>
    <w:rsid w:val="34106E08"/>
    <w:rsid w:val="34126ED7"/>
    <w:rsid w:val="34164C19"/>
    <w:rsid w:val="342A4220"/>
    <w:rsid w:val="342D5ABF"/>
    <w:rsid w:val="34344059"/>
    <w:rsid w:val="343919A7"/>
    <w:rsid w:val="344828F8"/>
    <w:rsid w:val="345179FF"/>
    <w:rsid w:val="34545741"/>
    <w:rsid w:val="34563267"/>
    <w:rsid w:val="345834F7"/>
    <w:rsid w:val="345E036E"/>
    <w:rsid w:val="34605E94"/>
    <w:rsid w:val="346314E0"/>
    <w:rsid w:val="34636CDD"/>
    <w:rsid w:val="34692F9B"/>
    <w:rsid w:val="346B36B2"/>
    <w:rsid w:val="346E5D31"/>
    <w:rsid w:val="34833930"/>
    <w:rsid w:val="348873CF"/>
    <w:rsid w:val="348F22D5"/>
    <w:rsid w:val="349873DC"/>
    <w:rsid w:val="349B511E"/>
    <w:rsid w:val="34A00986"/>
    <w:rsid w:val="34A71D15"/>
    <w:rsid w:val="34A75871"/>
    <w:rsid w:val="34AF4725"/>
    <w:rsid w:val="34B14942"/>
    <w:rsid w:val="34B63066"/>
    <w:rsid w:val="34BA37F6"/>
    <w:rsid w:val="34BF0E0C"/>
    <w:rsid w:val="34C04B85"/>
    <w:rsid w:val="34C5219B"/>
    <w:rsid w:val="34C77CC1"/>
    <w:rsid w:val="34CE72A2"/>
    <w:rsid w:val="34D25326"/>
    <w:rsid w:val="34D4418C"/>
    <w:rsid w:val="34D80120"/>
    <w:rsid w:val="34D83C7C"/>
    <w:rsid w:val="34DB51D3"/>
    <w:rsid w:val="34E46AC5"/>
    <w:rsid w:val="34EE16F2"/>
    <w:rsid w:val="34F03F67"/>
    <w:rsid w:val="34F07218"/>
    <w:rsid w:val="34FA6F45"/>
    <w:rsid w:val="35040F15"/>
    <w:rsid w:val="35042CC3"/>
    <w:rsid w:val="350A499E"/>
    <w:rsid w:val="350B22A4"/>
    <w:rsid w:val="35154ED0"/>
    <w:rsid w:val="351647A5"/>
    <w:rsid w:val="351D1FD7"/>
    <w:rsid w:val="351D3D85"/>
    <w:rsid w:val="351E7DE2"/>
    <w:rsid w:val="35243365"/>
    <w:rsid w:val="352549E8"/>
    <w:rsid w:val="352817C7"/>
    <w:rsid w:val="352944D8"/>
    <w:rsid w:val="352B64A2"/>
    <w:rsid w:val="35325A82"/>
    <w:rsid w:val="35374E47"/>
    <w:rsid w:val="353E4427"/>
    <w:rsid w:val="354B08F2"/>
    <w:rsid w:val="354C5D51"/>
    <w:rsid w:val="354E03E2"/>
    <w:rsid w:val="355359F9"/>
    <w:rsid w:val="35551771"/>
    <w:rsid w:val="3555332D"/>
    <w:rsid w:val="355E0625"/>
    <w:rsid w:val="355E6877"/>
    <w:rsid w:val="35611EC4"/>
    <w:rsid w:val="356419B4"/>
    <w:rsid w:val="35645510"/>
    <w:rsid w:val="35696FCA"/>
    <w:rsid w:val="356E2833"/>
    <w:rsid w:val="35745134"/>
    <w:rsid w:val="357716E7"/>
    <w:rsid w:val="35797539"/>
    <w:rsid w:val="357A2F85"/>
    <w:rsid w:val="357B2B1E"/>
    <w:rsid w:val="357F234A"/>
    <w:rsid w:val="358D4A67"/>
    <w:rsid w:val="35951B6D"/>
    <w:rsid w:val="35973B37"/>
    <w:rsid w:val="359978AF"/>
    <w:rsid w:val="35A85D44"/>
    <w:rsid w:val="35AD6EB7"/>
    <w:rsid w:val="35B46497"/>
    <w:rsid w:val="35B5220F"/>
    <w:rsid w:val="35BE7316"/>
    <w:rsid w:val="35BF513C"/>
    <w:rsid w:val="35C10BB4"/>
    <w:rsid w:val="35CD5533"/>
    <w:rsid w:val="35D95EFE"/>
    <w:rsid w:val="35DE1766"/>
    <w:rsid w:val="35E127E3"/>
    <w:rsid w:val="35E21716"/>
    <w:rsid w:val="35F16851"/>
    <w:rsid w:val="35F66AB0"/>
    <w:rsid w:val="35FD74A4"/>
    <w:rsid w:val="35FF0CF3"/>
    <w:rsid w:val="36010FB1"/>
    <w:rsid w:val="36070CBD"/>
    <w:rsid w:val="36096403"/>
    <w:rsid w:val="360B0081"/>
    <w:rsid w:val="360B5752"/>
    <w:rsid w:val="36146F36"/>
    <w:rsid w:val="361707D4"/>
    <w:rsid w:val="36174C78"/>
    <w:rsid w:val="361B02C4"/>
    <w:rsid w:val="361C5DEB"/>
    <w:rsid w:val="36203B2D"/>
    <w:rsid w:val="362178A5"/>
    <w:rsid w:val="36227D2F"/>
    <w:rsid w:val="36251143"/>
    <w:rsid w:val="362D019E"/>
    <w:rsid w:val="362D0E30"/>
    <w:rsid w:val="36390C67"/>
    <w:rsid w:val="36421CF5"/>
    <w:rsid w:val="364315C9"/>
    <w:rsid w:val="364517E5"/>
    <w:rsid w:val="364D2448"/>
    <w:rsid w:val="36511C94"/>
    <w:rsid w:val="36525CB0"/>
    <w:rsid w:val="36533F02"/>
    <w:rsid w:val="365732C7"/>
    <w:rsid w:val="36603F29"/>
    <w:rsid w:val="36637EBD"/>
    <w:rsid w:val="366652B8"/>
    <w:rsid w:val="366C0B20"/>
    <w:rsid w:val="366F23BE"/>
    <w:rsid w:val="36751B05"/>
    <w:rsid w:val="36767BF1"/>
    <w:rsid w:val="36785717"/>
    <w:rsid w:val="367B3ED7"/>
    <w:rsid w:val="36820BF8"/>
    <w:rsid w:val="36844285"/>
    <w:rsid w:val="368C4D1E"/>
    <w:rsid w:val="368D0650"/>
    <w:rsid w:val="369B1405"/>
    <w:rsid w:val="369D6F2B"/>
    <w:rsid w:val="36A24542"/>
    <w:rsid w:val="36A4475E"/>
    <w:rsid w:val="36A75FFC"/>
    <w:rsid w:val="36B129D7"/>
    <w:rsid w:val="36B44275"/>
    <w:rsid w:val="36B83D65"/>
    <w:rsid w:val="36C46BAE"/>
    <w:rsid w:val="36CA3A99"/>
    <w:rsid w:val="36CC5A63"/>
    <w:rsid w:val="36CD2193"/>
    <w:rsid w:val="36CE3589"/>
    <w:rsid w:val="36D05553"/>
    <w:rsid w:val="36D56023"/>
    <w:rsid w:val="36D6243D"/>
    <w:rsid w:val="36D72A86"/>
    <w:rsid w:val="36D72EDD"/>
    <w:rsid w:val="36D8144C"/>
    <w:rsid w:val="36DB7A54"/>
    <w:rsid w:val="36DD4874"/>
    <w:rsid w:val="36EC1C61"/>
    <w:rsid w:val="36EE7787"/>
    <w:rsid w:val="36F56D67"/>
    <w:rsid w:val="36F86858"/>
    <w:rsid w:val="36FF7BE6"/>
    <w:rsid w:val="37024FE0"/>
    <w:rsid w:val="370451FC"/>
    <w:rsid w:val="370945C1"/>
    <w:rsid w:val="37103BA1"/>
    <w:rsid w:val="371050B8"/>
    <w:rsid w:val="371E3A29"/>
    <w:rsid w:val="371F2036"/>
    <w:rsid w:val="37225683"/>
    <w:rsid w:val="37265173"/>
    <w:rsid w:val="372C7222"/>
    <w:rsid w:val="372D573D"/>
    <w:rsid w:val="372E4027"/>
    <w:rsid w:val="372F52D7"/>
    <w:rsid w:val="37313B18"/>
    <w:rsid w:val="3736112E"/>
    <w:rsid w:val="373830F8"/>
    <w:rsid w:val="373C4996"/>
    <w:rsid w:val="373F7FE3"/>
    <w:rsid w:val="37411FAD"/>
    <w:rsid w:val="3744384B"/>
    <w:rsid w:val="374675C3"/>
    <w:rsid w:val="374B223F"/>
    <w:rsid w:val="374B6987"/>
    <w:rsid w:val="374C0952"/>
    <w:rsid w:val="374F6B69"/>
    <w:rsid w:val="3756532C"/>
    <w:rsid w:val="3757357E"/>
    <w:rsid w:val="376932B2"/>
    <w:rsid w:val="376D0FF4"/>
    <w:rsid w:val="3787198A"/>
    <w:rsid w:val="37976071"/>
    <w:rsid w:val="379E11AD"/>
    <w:rsid w:val="37A91900"/>
    <w:rsid w:val="37AD13F0"/>
    <w:rsid w:val="37B373AC"/>
    <w:rsid w:val="37B94697"/>
    <w:rsid w:val="37BC7885"/>
    <w:rsid w:val="37BE35FD"/>
    <w:rsid w:val="37BF2ED1"/>
    <w:rsid w:val="37C404E8"/>
    <w:rsid w:val="37C60704"/>
    <w:rsid w:val="37CC31C3"/>
    <w:rsid w:val="37CD55EE"/>
    <w:rsid w:val="37D270A9"/>
    <w:rsid w:val="37D6305E"/>
    <w:rsid w:val="37EA43F2"/>
    <w:rsid w:val="37EF7C5B"/>
    <w:rsid w:val="37F232A7"/>
    <w:rsid w:val="380354B4"/>
    <w:rsid w:val="38060B00"/>
    <w:rsid w:val="380F5C07"/>
    <w:rsid w:val="3810372D"/>
    <w:rsid w:val="38130A00"/>
    <w:rsid w:val="38163439"/>
    <w:rsid w:val="381750B3"/>
    <w:rsid w:val="381E312F"/>
    <w:rsid w:val="38237904"/>
    <w:rsid w:val="382471D8"/>
    <w:rsid w:val="382507E6"/>
    <w:rsid w:val="382C4A0B"/>
    <w:rsid w:val="382D42DF"/>
    <w:rsid w:val="38325D99"/>
    <w:rsid w:val="38341B11"/>
    <w:rsid w:val="38356D2C"/>
    <w:rsid w:val="38392C84"/>
    <w:rsid w:val="38404012"/>
    <w:rsid w:val="38433742"/>
    <w:rsid w:val="38477E80"/>
    <w:rsid w:val="38561A88"/>
    <w:rsid w:val="3857135C"/>
    <w:rsid w:val="38591578"/>
    <w:rsid w:val="385B52F0"/>
    <w:rsid w:val="385E26EA"/>
    <w:rsid w:val="38606463"/>
    <w:rsid w:val="386677F1"/>
    <w:rsid w:val="386D5023"/>
    <w:rsid w:val="386F13A5"/>
    <w:rsid w:val="3870051C"/>
    <w:rsid w:val="387168C2"/>
    <w:rsid w:val="387243E8"/>
    <w:rsid w:val="38767A34"/>
    <w:rsid w:val="387E0FDF"/>
    <w:rsid w:val="38804D57"/>
    <w:rsid w:val="388859B9"/>
    <w:rsid w:val="388F6D48"/>
    <w:rsid w:val="38934A8A"/>
    <w:rsid w:val="38953642"/>
    <w:rsid w:val="38967CF8"/>
    <w:rsid w:val="38991974"/>
    <w:rsid w:val="389C17D6"/>
    <w:rsid w:val="38A106D8"/>
    <w:rsid w:val="38AA5930"/>
    <w:rsid w:val="38B05B38"/>
    <w:rsid w:val="38B13162"/>
    <w:rsid w:val="38B33775"/>
    <w:rsid w:val="38BE762D"/>
    <w:rsid w:val="38BF32F1"/>
    <w:rsid w:val="38C05153"/>
    <w:rsid w:val="38C20ECB"/>
    <w:rsid w:val="38C267BC"/>
    <w:rsid w:val="38C5276A"/>
    <w:rsid w:val="38D94467"/>
    <w:rsid w:val="38DB6114"/>
    <w:rsid w:val="38EE33D3"/>
    <w:rsid w:val="38EF77E6"/>
    <w:rsid w:val="38F512A1"/>
    <w:rsid w:val="38F92282"/>
    <w:rsid w:val="38FB618B"/>
    <w:rsid w:val="3902301A"/>
    <w:rsid w:val="390436A9"/>
    <w:rsid w:val="390E705C"/>
    <w:rsid w:val="390F0064"/>
    <w:rsid w:val="39111E53"/>
    <w:rsid w:val="39167469"/>
    <w:rsid w:val="39184F8F"/>
    <w:rsid w:val="39243934"/>
    <w:rsid w:val="392751D2"/>
    <w:rsid w:val="392A6A70"/>
    <w:rsid w:val="392E030F"/>
    <w:rsid w:val="393765F5"/>
    <w:rsid w:val="3938118D"/>
    <w:rsid w:val="39397D22"/>
    <w:rsid w:val="39406294"/>
    <w:rsid w:val="39436F7D"/>
    <w:rsid w:val="39495149"/>
    <w:rsid w:val="394A4F39"/>
    <w:rsid w:val="395104A1"/>
    <w:rsid w:val="3952389C"/>
    <w:rsid w:val="3953366E"/>
    <w:rsid w:val="3958538C"/>
    <w:rsid w:val="395F2BBE"/>
    <w:rsid w:val="39644874"/>
    <w:rsid w:val="396E4BAF"/>
    <w:rsid w:val="39730417"/>
    <w:rsid w:val="397F0EC8"/>
    <w:rsid w:val="39812B34"/>
    <w:rsid w:val="3982065B"/>
    <w:rsid w:val="398B750F"/>
    <w:rsid w:val="39902D77"/>
    <w:rsid w:val="399860D0"/>
    <w:rsid w:val="399D7242"/>
    <w:rsid w:val="39A14F85"/>
    <w:rsid w:val="39A405D1"/>
    <w:rsid w:val="39A700C1"/>
    <w:rsid w:val="39B25892"/>
    <w:rsid w:val="39BA7DF4"/>
    <w:rsid w:val="39BF5276"/>
    <w:rsid w:val="39C742BF"/>
    <w:rsid w:val="39CE564E"/>
    <w:rsid w:val="39D620EE"/>
    <w:rsid w:val="39DF1831"/>
    <w:rsid w:val="39E6508D"/>
    <w:rsid w:val="39E8122B"/>
    <w:rsid w:val="39EF3F42"/>
    <w:rsid w:val="39F23A32"/>
    <w:rsid w:val="39F2758E"/>
    <w:rsid w:val="39FA3DA9"/>
    <w:rsid w:val="3A0B68A2"/>
    <w:rsid w:val="3A1219DE"/>
    <w:rsid w:val="3A137505"/>
    <w:rsid w:val="3A175247"/>
    <w:rsid w:val="3A1B1BB9"/>
    <w:rsid w:val="3A287454"/>
    <w:rsid w:val="3A2D05C6"/>
    <w:rsid w:val="3A327942"/>
    <w:rsid w:val="3A377697"/>
    <w:rsid w:val="3A3C2EFF"/>
    <w:rsid w:val="3A3C4CAD"/>
    <w:rsid w:val="3A3F4132"/>
    <w:rsid w:val="3A4A73CA"/>
    <w:rsid w:val="3A4B3142"/>
    <w:rsid w:val="3A4C409B"/>
    <w:rsid w:val="3A55404A"/>
    <w:rsid w:val="3A5B451C"/>
    <w:rsid w:val="3A63223A"/>
    <w:rsid w:val="3A661D2A"/>
    <w:rsid w:val="3A722701"/>
    <w:rsid w:val="3A751279"/>
    <w:rsid w:val="3A773F37"/>
    <w:rsid w:val="3A775D1B"/>
    <w:rsid w:val="3A797CAF"/>
    <w:rsid w:val="3A7E7074"/>
    <w:rsid w:val="3A850402"/>
    <w:rsid w:val="3A8D72B7"/>
    <w:rsid w:val="3A940645"/>
    <w:rsid w:val="3A96260F"/>
    <w:rsid w:val="3A976388"/>
    <w:rsid w:val="3A993EAE"/>
    <w:rsid w:val="3AAD7959"/>
    <w:rsid w:val="3AB605BC"/>
    <w:rsid w:val="3AB81316"/>
    <w:rsid w:val="3ABD5DEE"/>
    <w:rsid w:val="3AC46B93"/>
    <w:rsid w:val="3AC727C9"/>
    <w:rsid w:val="3AC84793"/>
    <w:rsid w:val="3AC86541"/>
    <w:rsid w:val="3AD273C0"/>
    <w:rsid w:val="3AD924FC"/>
    <w:rsid w:val="3AE50EA1"/>
    <w:rsid w:val="3AEA5562"/>
    <w:rsid w:val="3AF15A98"/>
    <w:rsid w:val="3AFA638A"/>
    <w:rsid w:val="3B007A89"/>
    <w:rsid w:val="3B037F99"/>
    <w:rsid w:val="3B043025"/>
    <w:rsid w:val="3B0A6B5A"/>
    <w:rsid w:val="3B1151F3"/>
    <w:rsid w:val="3B1D063B"/>
    <w:rsid w:val="3B1E118C"/>
    <w:rsid w:val="3B1F2605"/>
    <w:rsid w:val="3B255741"/>
    <w:rsid w:val="3B3360B0"/>
    <w:rsid w:val="3B365BA1"/>
    <w:rsid w:val="3B3B31B7"/>
    <w:rsid w:val="3B3E2DB3"/>
    <w:rsid w:val="3B4122B3"/>
    <w:rsid w:val="3B416572"/>
    <w:rsid w:val="3B44206B"/>
    <w:rsid w:val="3B471B5C"/>
    <w:rsid w:val="3B54318D"/>
    <w:rsid w:val="3B556027"/>
    <w:rsid w:val="3B5B1163"/>
    <w:rsid w:val="3B6F0FCC"/>
    <w:rsid w:val="3B705CB5"/>
    <w:rsid w:val="3B710987"/>
    <w:rsid w:val="3B713760"/>
    <w:rsid w:val="3B806E1C"/>
    <w:rsid w:val="3B857FC4"/>
    <w:rsid w:val="3B865E58"/>
    <w:rsid w:val="3B8A766A"/>
    <w:rsid w:val="3B8E1539"/>
    <w:rsid w:val="3B9052B1"/>
    <w:rsid w:val="3B966AFA"/>
    <w:rsid w:val="3B974891"/>
    <w:rsid w:val="3B9823B7"/>
    <w:rsid w:val="3BA05D55"/>
    <w:rsid w:val="3BA743A8"/>
    <w:rsid w:val="3BAE3989"/>
    <w:rsid w:val="3BBC60A6"/>
    <w:rsid w:val="3BBD1209"/>
    <w:rsid w:val="3BD056AD"/>
    <w:rsid w:val="3BD11425"/>
    <w:rsid w:val="3BEE18DC"/>
    <w:rsid w:val="3BEE647B"/>
    <w:rsid w:val="3BF5780A"/>
    <w:rsid w:val="3BF96A9F"/>
    <w:rsid w:val="3C025A83"/>
    <w:rsid w:val="3C0417FB"/>
    <w:rsid w:val="3C0435A9"/>
    <w:rsid w:val="3C0525FD"/>
    <w:rsid w:val="3C0B0DDB"/>
    <w:rsid w:val="3C1557B6"/>
    <w:rsid w:val="3C1618F8"/>
    <w:rsid w:val="3C1852A6"/>
    <w:rsid w:val="3C1934F8"/>
    <w:rsid w:val="3C1A58F3"/>
    <w:rsid w:val="3C2D0D52"/>
    <w:rsid w:val="3C2D2B00"/>
    <w:rsid w:val="3C371BD0"/>
    <w:rsid w:val="3C3A346E"/>
    <w:rsid w:val="3C435B99"/>
    <w:rsid w:val="3C460065"/>
    <w:rsid w:val="3C487939"/>
    <w:rsid w:val="3C4B11D8"/>
    <w:rsid w:val="3C5207B8"/>
    <w:rsid w:val="3C53008C"/>
    <w:rsid w:val="3C634773"/>
    <w:rsid w:val="3C642299"/>
    <w:rsid w:val="3C687FDC"/>
    <w:rsid w:val="3C706E90"/>
    <w:rsid w:val="3C795D45"/>
    <w:rsid w:val="3C7F0E81"/>
    <w:rsid w:val="3C850B8A"/>
    <w:rsid w:val="3C8A1D00"/>
    <w:rsid w:val="3C9012E0"/>
    <w:rsid w:val="3C97584D"/>
    <w:rsid w:val="3C9B3F0D"/>
    <w:rsid w:val="3C9E1C4F"/>
    <w:rsid w:val="3C9F32D2"/>
    <w:rsid w:val="3CA56B3A"/>
    <w:rsid w:val="3CAC611A"/>
    <w:rsid w:val="3CB72D11"/>
    <w:rsid w:val="3CBE7614"/>
    <w:rsid w:val="3CBE794A"/>
    <w:rsid w:val="3CC316B6"/>
    <w:rsid w:val="3CC64D02"/>
    <w:rsid w:val="3CCA034E"/>
    <w:rsid w:val="3CCC57A3"/>
    <w:rsid w:val="3CCD6091"/>
    <w:rsid w:val="3CCD7E3F"/>
    <w:rsid w:val="3CCE1B8C"/>
    <w:rsid w:val="3CCF1E09"/>
    <w:rsid w:val="3CCF54D3"/>
    <w:rsid w:val="3CD236A7"/>
    <w:rsid w:val="3CD45671"/>
    <w:rsid w:val="3CD9713C"/>
    <w:rsid w:val="3CDC4526"/>
    <w:rsid w:val="3CE31410"/>
    <w:rsid w:val="3CE807A0"/>
    <w:rsid w:val="3CF61143"/>
    <w:rsid w:val="3CF70486"/>
    <w:rsid w:val="3CFB49AC"/>
    <w:rsid w:val="3CFC033E"/>
    <w:rsid w:val="3CFD4BC8"/>
    <w:rsid w:val="3D006466"/>
    <w:rsid w:val="3D023F8C"/>
    <w:rsid w:val="3D031AB2"/>
    <w:rsid w:val="3D0870C9"/>
    <w:rsid w:val="3D09356D"/>
    <w:rsid w:val="3D0A1093"/>
    <w:rsid w:val="3D0C4E0B"/>
    <w:rsid w:val="3D0D46DF"/>
    <w:rsid w:val="3D1837B0"/>
    <w:rsid w:val="3D1E4B3E"/>
    <w:rsid w:val="3D220D3D"/>
    <w:rsid w:val="3D2263DC"/>
    <w:rsid w:val="3D281519"/>
    <w:rsid w:val="3D2C63B5"/>
    <w:rsid w:val="3D412F1E"/>
    <w:rsid w:val="3D4F4CF8"/>
    <w:rsid w:val="3D5256BC"/>
    <w:rsid w:val="3D5567B2"/>
    <w:rsid w:val="3D5642D8"/>
    <w:rsid w:val="3D600CB3"/>
    <w:rsid w:val="3D606F05"/>
    <w:rsid w:val="3D6562C9"/>
    <w:rsid w:val="3D69400B"/>
    <w:rsid w:val="3D7240E3"/>
    <w:rsid w:val="3D7B5AED"/>
    <w:rsid w:val="3D7E738B"/>
    <w:rsid w:val="3D8A5D30"/>
    <w:rsid w:val="3D8C4172"/>
    <w:rsid w:val="3D8E3A72"/>
    <w:rsid w:val="3D92499B"/>
    <w:rsid w:val="3D9372DA"/>
    <w:rsid w:val="3D995F73"/>
    <w:rsid w:val="3D9B7F3D"/>
    <w:rsid w:val="3D9C1286"/>
    <w:rsid w:val="3DA11A00"/>
    <w:rsid w:val="3DAC214A"/>
    <w:rsid w:val="3DB86D41"/>
    <w:rsid w:val="3DC2196D"/>
    <w:rsid w:val="3DC254CA"/>
    <w:rsid w:val="3DC456E6"/>
    <w:rsid w:val="3DC56D68"/>
    <w:rsid w:val="3DCA2306"/>
    <w:rsid w:val="3DCA65C3"/>
    <w:rsid w:val="3DCB0822"/>
    <w:rsid w:val="3DCC1CEF"/>
    <w:rsid w:val="3DD0408A"/>
    <w:rsid w:val="3DD45DDC"/>
    <w:rsid w:val="3DD516A1"/>
    <w:rsid w:val="3DDD0555"/>
    <w:rsid w:val="3DEB4A20"/>
    <w:rsid w:val="3E137D9D"/>
    <w:rsid w:val="3E1A70B4"/>
    <w:rsid w:val="3E1B1339"/>
    <w:rsid w:val="3E241CE0"/>
    <w:rsid w:val="3E263CAA"/>
    <w:rsid w:val="3E295549"/>
    <w:rsid w:val="3E2B7513"/>
    <w:rsid w:val="3E2E2B5F"/>
    <w:rsid w:val="3E384444"/>
    <w:rsid w:val="3E3963F4"/>
    <w:rsid w:val="3E3A1504"/>
    <w:rsid w:val="3E3A2D1A"/>
    <w:rsid w:val="3E3C6559"/>
    <w:rsid w:val="3E497999"/>
    <w:rsid w:val="3E4A0341"/>
    <w:rsid w:val="3E4F1453"/>
    <w:rsid w:val="3E5A7DF8"/>
    <w:rsid w:val="3E5D51F2"/>
    <w:rsid w:val="3E630A5B"/>
    <w:rsid w:val="3E686071"/>
    <w:rsid w:val="3E71700A"/>
    <w:rsid w:val="3E815385"/>
    <w:rsid w:val="3E8B5005"/>
    <w:rsid w:val="3E8D63FE"/>
    <w:rsid w:val="3EA3354D"/>
    <w:rsid w:val="3EA66B99"/>
    <w:rsid w:val="3EB017C6"/>
    <w:rsid w:val="3EB94B1E"/>
    <w:rsid w:val="3EBE3EE3"/>
    <w:rsid w:val="3ED100BA"/>
    <w:rsid w:val="3ED6747E"/>
    <w:rsid w:val="3ED734A6"/>
    <w:rsid w:val="3EDC25BB"/>
    <w:rsid w:val="3EE37DED"/>
    <w:rsid w:val="3EEC6CA2"/>
    <w:rsid w:val="3EF1250A"/>
    <w:rsid w:val="3EF70854"/>
    <w:rsid w:val="3EFB5137"/>
    <w:rsid w:val="3EFF1387"/>
    <w:rsid w:val="3F0062A9"/>
    <w:rsid w:val="3F0A35CC"/>
    <w:rsid w:val="3F116709"/>
    <w:rsid w:val="3F177A97"/>
    <w:rsid w:val="3F1E0E25"/>
    <w:rsid w:val="3F1E4982"/>
    <w:rsid w:val="3F23643C"/>
    <w:rsid w:val="3F2A1578"/>
    <w:rsid w:val="3F2E4522"/>
    <w:rsid w:val="3F373C95"/>
    <w:rsid w:val="3F3D74FE"/>
    <w:rsid w:val="3F450160"/>
    <w:rsid w:val="3F4D34B9"/>
    <w:rsid w:val="3F5C54AA"/>
    <w:rsid w:val="3F634A8A"/>
    <w:rsid w:val="3F67457A"/>
    <w:rsid w:val="3F76656C"/>
    <w:rsid w:val="3F791A83"/>
    <w:rsid w:val="3F7D78FA"/>
    <w:rsid w:val="3F7E3672"/>
    <w:rsid w:val="3F84512C"/>
    <w:rsid w:val="3F8F762D"/>
    <w:rsid w:val="3F9133A5"/>
    <w:rsid w:val="3F9B40BE"/>
    <w:rsid w:val="3F9B788F"/>
    <w:rsid w:val="3FAB0FB0"/>
    <w:rsid w:val="3FAF1A7E"/>
    <w:rsid w:val="3FB23F6B"/>
    <w:rsid w:val="3FB41BAE"/>
    <w:rsid w:val="3FB752D2"/>
    <w:rsid w:val="3FBB48C6"/>
    <w:rsid w:val="3FBE7F13"/>
    <w:rsid w:val="3FC217B1"/>
    <w:rsid w:val="3FC25C55"/>
    <w:rsid w:val="3FCE79EF"/>
    <w:rsid w:val="3FD414E4"/>
    <w:rsid w:val="3FD5313E"/>
    <w:rsid w:val="3FD80FD4"/>
    <w:rsid w:val="3FE060DB"/>
    <w:rsid w:val="3FE200A5"/>
    <w:rsid w:val="3FE77469"/>
    <w:rsid w:val="3FF37BBC"/>
    <w:rsid w:val="4000052B"/>
    <w:rsid w:val="40061FE5"/>
    <w:rsid w:val="40077B0C"/>
    <w:rsid w:val="4010076E"/>
    <w:rsid w:val="40161AFD"/>
    <w:rsid w:val="40167D4F"/>
    <w:rsid w:val="401A339B"/>
    <w:rsid w:val="401A6EC9"/>
    <w:rsid w:val="40232A4E"/>
    <w:rsid w:val="40235DB3"/>
    <w:rsid w:val="40322DDA"/>
    <w:rsid w:val="403501D5"/>
    <w:rsid w:val="403D352D"/>
    <w:rsid w:val="403F3C2F"/>
    <w:rsid w:val="405014B2"/>
    <w:rsid w:val="405759DA"/>
    <w:rsid w:val="405A40DF"/>
    <w:rsid w:val="405E3BCF"/>
    <w:rsid w:val="40640ABA"/>
    <w:rsid w:val="40646D0C"/>
    <w:rsid w:val="40694322"/>
    <w:rsid w:val="406E53A2"/>
    <w:rsid w:val="40721429"/>
    <w:rsid w:val="407E7DCE"/>
    <w:rsid w:val="4081341A"/>
    <w:rsid w:val="408353E4"/>
    <w:rsid w:val="408D1DBF"/>
    <w:rsid w:val="408E5B37"/>
    <w:rsid w:val="408E63E9"/>
    <w:rsid w:val="40907B01"/>
    <w:rsid w:val="40925627"/>
    <w:rsid w:val="40A94B35"/>
    <w:rsid w:val="40AE5488"/>
    <w:rsid w:val="40AF61D9"/>
    <w:rsid w:val="40B21825"/>
    <w:rsid w:val="40BC06F5"/>
    <w:rsid w:val="40CB28E7"/>
    <w:rsid w:val="40CD48B1"/>
    <w:rsid w:val="40D043A1"/>
    <w:rsid w:val="40D20119"/>
    <w:rsid w:val="40E13EB9"/>
    <w:rsid w:val="40E63BC5"/>
    <w:rsid w:val="40E65973"/>
    <w:rsid w:val="40E8793D"/>
    <w:rsid w:val="40EA3BA5"/>
    <w:rsid w:val="40EE7200"/>
    <w:rsid w:val="40F24318"/>
    <w:rsid w:val="40F40090"/>
    <w:rsid w:val="40F7410C"/>
    <w:rsid w:val="40FE0F0E"/>
    <w:rsid w:val="41050EA9"/>
    <w:rsid w:val="41055DF9"/>
    <w:rsid w:val="410A340F"/>
    <w:rsid w:val="410E0C59"/>
    <w:rsid w:val="4110479E"/>
    <w:rsid w:val="41134241"/>
    <w:rsid w:val="41175B2C"/>
    <w:rsid w:val="411A73CB"/>
    <w:rsid w:val="41282558"/>
    <w:rsid w:val="41315239"/>
    <w:rsid w:val="41320BB8"/>
    <w:rsid w:val="413B181B"/>
    <w:rsid w:val="413B4B8E"/>
    <w:rsid w:val="413E57AF"/>
    <w:rsid w:val="41405083"/>
    <w:rsid w:val="41432DC5"/>
    <w:rsid w:val="41562AF9"/>
    <w:rsid w:val="41610FD0"/>
    <w:rsid w:val="41637255"/>
    <w:rsid w:val="4164390B"/>
    <w:rsid w:val="416655C5"/>
    <w:rsid w:val="416C40CA"/>
    <w:rsid w:val="416E7E42"/>
    <w:rsid w:val="417B60BB"/>
    <w:rsid w:val="41825BE2"/>
    <w:rsid w:val="418807D8"/>
    <w:rsid w:val="418C03D5"/>
    <w:rsid w:val="41994F27"/>
    <w:rsid w:val="419A55AA"/>
    <w:rsid w:val="41A14C5F"/>
    <w:rsid w:val="41AF08AB"/>
    <w:rsid w:val="41C45CB4"/>
    <w:rsid w:val="41C71300"/>
    <w:rsid w:val="41CE5702"/>
    <w:rsid w:val="41CE6715"/>
    <w:rsid w:val="41CF6407"/>
    <w:rsid w:val="41D53675"/>
    <w:rsid w:val="41DB2FFE"/>
    <w:rsid w:val="41EA4FEF"/>
    <w:rsid w:val="41EF72C8"/>
    <w:rsid w:val="41F8770C"/>
    <w:rsid w:val="42051E29"/>
    <w:rsid w:val="42070318"/>
    <w:rsid w:val="421502BE"/>
    <w:rsid w:val="42181B5C"/>
    <w:rsid w:val="421A1D78"/>
    <w:rsid w:val="42274495"/>
    <w:rsid w:val="4228544E"/>
    <w:rsid w:val="422A188F"/>
    <w:rsid w:val="422E312E"/>
    <w:rsid w:val="42310E70"/>
    <w:rsid w:val="42380450"/>
    <w:rsid w:val="423F358D"/>
    <w:rsid w:val="42462B6D"/>
    <w:rsid w:val="425A7C8F"/>
    <w:rsid w:val="42644DA1"/>
    <w:rsid w:val="42651B0A"/>
    <w:rsid w:val="426E79CE"/>
    <w:rsid w:val="427716DA"/>
    <w:rsid w:val="427E3368"/>
    <w:rsid w:val="427F607F"/>
    <w:rsid w:val="42860ABD"/>
    <w:rsid w:val="4287580F"/>
    <w:rsid w:val="428E0070"/>
    <w:rsid w:val="429278C6"/>
    <w:rsid w:val="42927D51"/>
    <w:rsid w:val="42982C9D"/>
    <w:rsid w:val="42984A4B"/>
    <w:rsid w:val="42A6360C"/>
    <w:rsid w:val="42AE7254"/>
    <w:rsid w:val="42BA70B7"/>
    <w:rsid w:val="42BC698B"/>
    <w:rsid w:val="42BE6BA7"/>
    <w:rsid w:val="42CA4D39"/>
    <w:rsid w:val="42DC4209"/>
    <w:rsid w:val="42E63A08"/>
    <w:rsid w:val="42F54CFA"/>
    <w:rsid w:val="42FE0D52"/>
    <w:rsid w:val="43001BC9"/>
    <w:rsid w:val="43014CE6"/>
    <w:rsid w:val="430D5439"/>
    <w:rsid w:val="43130464"/>
    <w:rsid w:val="4315253F"/>
    <w:rsid w:val="431542ED"/>
    <w:rsid w:val="431E13F4"/>
    <w:rsid w:val="43201866"/>
    <w:rsid w:val="433330F0"/>
    <w:rsid w:val="4335673E"/>
    <w:rsid w:val="43362BE2"/>
    <w:rsid w:val="43371B03"/>
    <w:rsid w:val="433A111B"/>
    <w:rsid w:val="433E3844"/>
    <w:rsid w:val="434A459E"/>
    <w:rsid w:val="434B7D0F"/>
    <w:rsid w:val="435B22FC"/>
    <w:rsid w:val="435B61A4"/>
    <w:rsid w:val="43652320"/>
    <w:rsid w:val="43664B49"/>
    <w:rsid w:val="436F39FE"/>
    <w:rsid w:val="43770B04"/>
    <w:rsid w:val="437A5CE6"/>
    <w:rsid w:val="437B6846"/>
    <w:rsid w:val="438751EB"/>
    <w:rsid w:val="43917E18"/>
    <w:rsid w:val="4396542E"/>
    <w:rsid w:val="4397623D"/>
    <w:rsid w:val="439F255B"/>
    <w:rsid w:val="43A01763"/>
    <w:rsid w:val="43A23DD3"/>
    <w:rsid w:val="43B27D8E"/>
    <w:rsid w:val="43BB30E7"/>
    <w:rsid w:val="43BB4CA3"/>
    <w:rsid w:val="43BE6733"/>
    <w:rsid w:val="43C26223"/>
    <w:rsid w:val="43C3227B"/>
    <w:rsid w:val="43CD4BC8"/>
    <w:rsid w:val="43D16466"/>
    <w:rsid w:val="43D45F57"/>
    <w:rsid w:val="43D877F5"/>
    <w:rsid w:val="43D917BF"/>
    <w:rsid w:val="43DE2931"/>
    <w:rsid w:val="43DF5027"/>
    <w:rsid w:val="43E503D2"/>
    <w:rsid w:val="43E837B0"/>
    <w:rsid w:val="43F403A7"/>
    <w:rsid w:val="43FE2FD4"/>
    <w:rsid w:val="440305EA"/>
    <w:rsid w:val="440920A4"/>
    <w:rsid w:val="440A48C5"/>
    <w:rsid w:val="440E72B6"/>
    <w:rsid w:val="44110F59"/>
    <w:rsid w:val="441B5933"/>
    <w:rsid w:val="44202F4A"/>
    <w:rsid w:val="442944F4"/>
    <w:rsid w:val="442E38B9"/>
    <w:rsid w:val="442E5667"/>
    <w:rsid w:val="443133A9"/>
    <w:rsid w:val="44366C11"/>
    <w:rsid w:val="44446C38"/>
    <w:rsid w:val="445175A7"/>
    <w:rsid w:val="44574B66"/>
    <w:rsid w:val="44580936"/>
    <w:rsid w:val="445F3A72"/>
    <w:rsid w:val="446C43E1"/>
    <w:rsid w:val="446C4F64"/>
    <w:rsid w:val="446C618F"/>
    <w:rsid w:val="446E1F07"/>
    <w:rsid w:val="446E63AB"/>
    <w:rsid w:val="44736C5A"/>
    <w:rsid w:val="44755B60"/>
    <w:rsid w:val="4475773A"/>
    <w:rsid w:val="448E4357"/>
    <w:rsid w:val="44906321"/>
    <w:rsid w:val="4493196E"/>
    <w:rsid w:val="44962692"/>
    <w:rsid w:val="4497145E"/>
    <w:rsid w:val="44A05268"/>
    <w:rsid w:val="44A26055"/>
    <w:rsid w:val="44A41DCD"/>
    <w:rsid w:val="44AD421E"/>
    <w:rsid w:val="44BB053D"/>
    <w:rsid w:val="44BC7116"/>
    <w:rsid w:val="44C71617"/>
    <w:rsid w:val="44C81ABF"/>
    <w:rsid w:val="44D00A48"/>
    <w:rsid w:val="44D075EB"/>
    <w:rsid w:val="44D75CFE"/>
    <w:rsid w:val="44D8697E"/>
    <w:rsid w:val="44D9497C"/>
    <w:rsid w:val="44DF1057"/>
    <w:rsid w:val="44E421C9"/>
    <w:rsid w:val="44E64193"/>
    <w:rsid w:val="44EB17AA"/>
    <w:rsid w:val="44ED5522"/>
    <w:rsid w:val="44EE4DF6"/>
    <w:rsid w:val="44F52628"/>
    <w:rsid w:val="44F92119"/>
    <w:rsid w:val="44FA19ED"/>
    <w:rsid w:val="44FC39B7"/>
    <w:rsid w:val="44FC65D5"/>
    <w:rsid w:val="44FF68B5"/>
    <w:rsid w:val="4504461A"/>
    <w:rsid w:val="4508235C"/>
    <w:rsid w:val="450D34CE"/>
    <w:rsid w:val="451467E3"/>
    <w:rsid w:val="451E1B7F"/>
    <w:rsid w:val="4521478D"/>
    <w:rsid w:val="4522137C"/>
    <w:rsid w:val="4530540F"/>
    <w:rsid w:val="45356EC9"/>
    <w:rsid w:val="453A628D"/>
    <w:rsid w:val="453C2005"/>
    <w:rsid w:val="45401AF6"/>
    <w:rsid w:val="45435142"/>
    <w:rsid w:val="454A4722"/>
    <w:rsid w:val="45505CD5"/>
    <w:rsid w:val="455455A1"/>
    <w:rsid w:val="45594965"/>
    <w:rsid w:val="455E01CE"/>
    <w:rsid w:val="4560797A"/>
    <w:rsid w:val="456B6447"/>
    <w:rsid w:val="456D0411"/>
    <w:rsid w:val="45703A5D"/>
    <w:rsid w:val="4570627F"/>
    <w:rsid w:val="4577303D"/>
    <w:rsid w:val="457C0654"/>
    <w:rsid w:val="45843A5E"/>
    <w:rsid w:val="45892025"/>
    <w:rsid w:val="45905EAD"/>
    <w:rsid w:val="45921C25"/>
    <w:rsid w:val="45927E77"/>
    <w:rsid w:val="45A73923"/>
    <w:rsid w:val="45A831F7"/>
    <w:rsid w:val="45AB166D"/>
    <w:rsid w:val="45B002FD"/>
    <w:rsid w:val="45B84461"/>
    <w:rsid w:val="45B8631A"/>
    <w:rsid w:val="45BB73CE"/>
    <w:rsid w:val="45BE2A1A"/>
    <w:rsid w:val="45D40490"/>
    <w:rsid w:val="45D64208"/>
    <w:rsid w:val="45E00BE3"/>
    <w:rsid w:val="45E57789"/>
    <w:rsid w:val="45E71F71"/>
    <w:rsid w:val="45E76415"/>
    <w:rsid w:val="45F20916"/>
    <w:rsid w:val="45F8417E"/>
    <w:rsid w:val="46116FEE"/>
    <w:rsid w:val="461D1E37"/>
    <w:rsid w:val="461F5BAF"/>
    <w:rsid w:val="46207231"/>
    <w:rsid w:val="46274A64"/>
    <w:rsid w:val="4629258A"/>
    <w:rsid w:val="46313EB0"/>
    <w:rsid w:val="463A4797"/>
    <w:rsid w:val="463B406B"/>
    <w:rsid w:val="463B7823"/>
    <w:rsid w:val="464949DA"/>
    <w:rsid w:val="46535859"/>
    <w:rsid w:val="46537607"/>
    <w:rsid w:val="46560EA5"/>
    <w:rsid w:val="46592743"/>
    <w:rsid w:val="465F5FAB"/>
    <w:rsid w:val="466730B2"/>
    <w:rsid w:val="466A4950"/>
    <w:rsid w:val="466E4440"/>
    <w:rsid w:val="46712183"/>
    <w:rsid w:val="468120A5"/>
    <w:rsid w:val="468123C6"/>
    <w:rsid w:val="4685178A"/>
    <w:rsid w:val="468C2B19"/>
    <w:rsid w:val="468E26B7"/>
    <w:rsid w:val="4690085B"/>
    <w:rsid w:val="4691727A"/>
    <w:rsid w:val="469C7200"/>
    <w:rsid w:val="469E49A5"/>
    <w:rsid w:val="46A47E62"/>
    <w:rsid w:val="46BA0F4C"/>
    <w:rsid w:val="46BB5C1A"/>
    <w:rsid w:val="46C16C66"/>
    <w:rsid w:val="46CC73B9"/>
    <w:rsid w:val="46CD058C"/>
    <w:rsid w:val="46D23702"/>
    <w:rsid w:val="46D37977"/>
    <w:rsid w:val="46D8174D"/>
    <w:rsid w:val="46E82445"/>
    <w:rsid w:val="46E841F3"/>
    <w:rsid w:val="46EE7D54"/>
    <w:rsid w:val="46F10BCE"/>
    <w:rsid w:val="46F5246C"/>
    <w:rsid w:val="46F849D3"/>
    <w:rsid w:val="4703102D"/>
    <w:rsid w:val="470628CB"/>
    <w:rsid w:val="47084895"/>
    <w:rsid w:val="47094169"/>
    <w:rsid w:val="470E1780"/>
    <w:rsid w:val="47121270"/>
    <w:rsid w:val="4712301E"/>
    <w:rsid w:val="47174AD8"/>
    <w:rsid w:val="471D19C3"/>
    <w:rsid w:val="472114B3"/>
    <w:rsid w:val="472D42FC"/>
    <w:rsid w:val="472E3BD0"/>
    <w:rsid w:val="472F1E22"/>
    <w:rsid w:val="4732546E"/>
    <w:rsid w:val="4734568A"/>
    <w:rsid w:val="473674BC"/>
    <w:rsid w:val="473A07C7"/>
    <w:rsid w:val="473C62ED"/>
    <w:rsid w:val="47411B55"/>
    <w:rsid w:val="474451A1"/>
    <w:rsid w:val="47462CC7"/>
    <w:rsid w:val="47523D62"/>
    <w:rsid w:val="475353E4"/>
    <w:rsid w:val="47603719"/>
    <w:rsid w:val="47637D1D"/>
    <w:rsid w:val="47653A95"/>
    <w:rsid w:val="47655843"/>
    <w:rsid w:val="47661A9B"/>
    <w:rsid w:val="476A01E1"/>
    <w:rsid w:val="476B6BD2"/>
    <w:rsid w:val="47723ABC"/>
    <w:rsid w:val="477534BF"/>
    <w:rsid w:val="47763A28"/>
    <w:rsid w:val="47817245"/>
    <w:rsid w:val="47833F1C"/>
    <w:rsid w:val="47857C94"/>
    <w:rsid w:val="478D6B48"/>
    <w:rsid w:val="4792415F"/>
    <w:rsid w:val="479954ED"/>
    <w:rsid w:val="479C6D8B"/>
    <w:rsid w:val="47A11944"/>
    <w:rsid w:val="47A125F4"/>
    <w:rsid w:val="47A22C9A"/>
    <w:rsid w:val="47A704E7"/>
    <w:rsid w:val="47A72E2E"/>
    <w:rsid w:val="47AA76FA"/>
    <w:rsid w:val="47AD2D46"/>
    <w:rsid w:val="47B2035D"/>
    <w:rsid w:val="47B6609F"/>
    <w:rsid w:val="47BE4F54"/>
    <w:rsid w:val="47C6205A"/>
    <w:rsid w:val="47CF7161"/>
    <w:rsid w:val="47D44777"/>
    <w:rsid w:val="47D74267"/>
    <w:rsid w:val="47D97FDF"/>
    <w:rsid w:val="47E04ECA"/>
    <w:rsid w:val="47E07135"/>
    <w:rsid w:val="47EC1AC1"/>
    <w:rsid w:val="47EF7803"/>
    <w:rsid w:val="47F90E64"/>
    <w:rsid w:val="47F92430"/>
    <w:rsid w:val="47FA02DB"/>
    <w:rsid w:val="47FB2415"/>
    <w:rsid w:val="48032D10"/>
    <w:rsid w:val="480A63EB"/>
    <w:rsid w:val="480D7C89"/>
    <w:rsid w:val="480E2235"/>
    <w:rsid w:val="480E5EDB"/>
    <w:rsid w:val="48194880"/>
    <w:rsid w:val="48217291"/>
    <w:rsid w:val="48221986"/>
    <w:rsid w:val="48284AC3"/>
    <w:rsid w:val="482F19AD"/>
    <w:rsid w:val="482F5E51"/>
    <w:rsid w:val="484418FD"/>
    <w:rsid w:val="48474F49"/>
    <w:rsid w:val="48480CC1"/>
    <w:rsid w:val="484D0086"/>
    <w:rsid w:val="48523189"/>
    <w:rsid w:val="48527770"/>
    <w:rsid w:val="485756B9"/>
    <w:rsid w:val="48594C7C"/>
    <w:rsid w:val="4860600B"/>
    <w:rsid w:val="486065E4"/>
    <w:rsid w:val="486419B3"/>
    <w:rsid w:val="486A0C38"/>
    <w:rsid w:val="48790E7B"/>
    <w:rsid w:val="487B2E45"/>
    <w:rsid w:val="488576DD"/>
    <w:rsid w:val="48902741"/>
    <w:rsid w:val="48904B42"/>
    <w:rsid w:val="48934632"/>
    <w:rsid w:val="48A56114"/>
    <w:rsid w:val="48A57EC2"/>
    <w:rsid w:val="48B3438D"/>
    <w:rsid w:val="48B35BEB"/>
    <w:rsid w:val="48B545A9"/>
    <w:rsid w:val="48BA1BBF"/>
    <w:rsid w:val="48C93BB0"/>
    <w:rsid w:val="48CE566A"/>
    <w:rsid w:val="48D32C81"/>
    <w:rsid w:val="48D367DD"/>
    <w:rsid w:val="48D52555"/>
    <w:rsid w:val="48D83DF3"/>
    <w:rsid w:val="48D93A13"/>
    <w:rsid w:val="48DF33D4"/>
    <w:rsid w:val="48E924A4"/>
    <w:rsid w:val="48F30C2D"/>
    <w:rsid w:val="48FF75D2"/>
    <w:rsid w:val="49000143"/>
    <w:rsid w:val="490B5F77"/>
    <w:rsid w:val="490D6193"/>
    <w:rsid w:val="491312CF"/>
    <w:rsid w:val="491A265E"/>
    <w:rsid w:val="491D3EFC"/>
    <w:rsid w:val="491D5CAA"/>
    <w:rsid w:val="492139EC"/>
    <w:rsid w:val="49226B2C"/>
    <w:rsid w:val="49227764"/>
    <w:rsid w:val="492C413F"/>
    <w:rsid w:val="492E6109"/>
    <w:rsid w:val="49351562"/>
    <w:rsid w:val="493A4AAE"/>
    <w:rsid w:val="493C25D4"/>
    <w:rsid w:val="49423962"/>
    <w:rsid w:val="4946150F"/>
    <w:rsid w:val="494D47E1"/>
    <w:rsid w:val="49522218"/>
    <w:rsid w:val="49555444"/>
    <w:rsid w:val="495D254A"/>
    <w:rsid w:val="496B2EB9"/>
    <w:rsid w:val="496D4E83"/>
    <w:rsid w:val="4972249A"/>
    <w:rsid w:val="49731D6E"/>
    <w:rsid w:val="49747973"/>
    <w:rsid w:val="49760E63"/>
    <w:rsid w:val="498E0956"/>
    <w:rsid w:val="498E6BA8"/>
    <w:rsid w:val="49920446"/>
    <w:rsid w:val="49942410"/>
    <w:rsid w:val="49974C8E"/>
    <w:rsid w:val="49A40179"/>
    <w:rsid w:val="49AA39E1"/>
    <w:rsid w:val="49AD5280"/>
    <w:rsid w:val="49BC54C3"/>
    <w:rsid w:val="49BF6D61"/>
    <w:rsid w:val="49C16F7D"/>
    <w:rsid w:val="49CB3958"/>
    <w:rsid w:val="49DC3DB7"/>
    <w:rsid w:val="49EE24B6"/>
    <w:rsid w:val="49F27137"/>
    <w:rsid w:val="49FC7FB5"/>
    <w:rsid w:val="49FD0420"/>
    <w:rsid w:val="4A084BAC"/>
    <w:rsid w:val="4A0A0924"/>
    <w:rsid w:val="4A0D21C2"/>
    <w:rsid w:val="4A0F7CE8"/>
    <w:rsid w:val="4A111CB3"/>
    <w:rsid w:val="4A1E7F2C"/>
    <w:rsid w:val="4A1F22A4"/>
    <w:rsid w:val="4A2221F1"/>
    <w:rsid w:val="4A2B73D2"/>
    <w:rsid w:val="4A2F038B"/>
    <w:rsid w:val="4A2F59CC"/>
    <w:rsid w:val="4A356245"/>
    <w:rsid w:val="4A370FED"/>
    <w:rsid w:val="4A3B6D2F"/>
    <w:rsid w:val="4A437992"/>
    <w:rsid w:val="4A471230"/>
    <w:rsid w:val="4A4C6847"/>
    <w:rsid w:val="4A565917"/>
    <w:rsid w:val="4A5B2F2E"/>
    <w:rsid w:val="4A6A13C3"/>
    <w:rsid w:val="4A742241"/>
    <w:rsid w:val="4A791606"/>
    <w:rsid w:val="4A7B712C"/>
    <w:rsid w:val="4A835FE1"/>
    <w:rsid w:val="4A8A5355"/>
    <w:rsid w:val="4A8C1339"/>
    <w:rsid w:val="4A934476"/>
    <w:rsid w:val="4A985F30"/>
    <w:rsid w:val="4A9B77CE"/>
    <w:rsid w:val="4AA03036"/>
    <w:rsid w:val="4AA448D5"/>
    <w:rsid w:val="4AAA17BF"/>
    <w:rsid w:val="4AB50890"/>
    <w:rsid w:val="4AB56AE2"/>
    <w:rsid w:val="4ABA29D0"/>
    <w:rsid w:val="4ABF151C"/>
    <w:rsid w:val="4AD93E52"/>
    <w:rsid w:val="4ADF76BB"/>
    <w:rsid w:val="4AEE5522"/>
    <w:rsid w:val="4AEE5B50"/>
    <w:rsid w:val="4AEF3676"/>
    <w:rsid w:val="4AF33166"/>
    <w:rsid w:val="4B032F9B"/>
    <w:rsid w:val="4B042305"/>
    <w:rsid w:val="4B084037"/>
    <w:rsid w:val="4B0E369D"/>
    <w:rsid w:val="4B0E61F2"/>
    <w:rsid w:val="4B0E7FA0"/>
    <w:rsid w:val="4B117A90"/>
    <w:rsid w:val="4B1533CD"/>
    <w:rsid w:val="4B1A6144"/>
    <w:rsid w:val="4B1F03FF"/>
    <w:rsid w:val="4B26325B"/>
    <w:rsid w:val="4B2B0B52"/>
    <w:rsid w:val="4B2C6678"/>
    <w:rsid w:val="4B35377F"/>
    <w:rsid w:val="4B3A0D95"/>
    <w:rsid w:val="4B3F63AB"/>
    <w:rsid w:val="4B4F167B"/>
    <w:rsid w:val="4B4F486A"/>
    <w:rsid w:val="4B58121B"/>
    <w:rsid w:val="4B5B617E"/>
    <w:rsid w:val="4B683B54"/>
    <w:rsid w:val="4B685902"/>
    <w:rsid w:val="4B6B53F2"/>
    <w:rsid w:val="4B6C07C3"/>
    <w:rsid w:val="4B6C12E7"/>
    <w:rsid w:val="4B6D116B"/>
    <w:rsid w:val="4B751DCD"/>
    <w:rsid w:val="4B751E25"/>
    <w:rsid w:val="4B775B45"/>
    <w:rsid w:val="4B865D88"/>
    <w:rsid w:val="4B8B339F"/>
    <w:rsid w:val="4B8E10E1"/>
    <w:rsid w:val="4B9318F2"/>
    <w:rsid w:val="4BA10E14"/>
    <w:rsid w:val="4BA6642B"/>
    <w:rsid w:val="4BA97CC9"/>
    <w:rsid w:val="4BB74194"/>
    <w:rsid w:val="4BB87F0C"/>
    <w:rsid w:val="4BBE277F"/>
    <w:rsid w:val="4BBF74EC"/>
    <w:rsid w:val="4BC36FDC"/>
    <w:rsid w:val="4BC535EC"/>
    <w:rsid w:val="4BC61285"/>
    <w:rsid w:val="4BCB40E3"/>
    <w:rsid w:val="4BCC28CC"/>
    <w:rsid w:val="4BCD2C86"/>
    <w:rsid w:val="4BD25472"/>
    <w:rsid w:val="4BD83458"/>
    <w:rsid w:val="4BD9235C"/>
    <w:rsid w:val="4BE96317"/>
    <w:rsid w:val="4BED71F8"/>
    <w:rsid w:val="4BEE5222"/>
    <w:rsid w:val="4BF058F8"/>
    <w:rsid w:val="4BF278C2"/>
    <w:rsid w:val="4C01517C"/>
    <w:rsid w:val="4C0575F5"/>
    <w:rsid w:val="4C077131"/>
    <w:rsid w:val="4C0B2731"/>
    <w:rsid w:val="4C111F23"/>
    <w:rsid w:val="4C167EC0"/>
    <w:rsid w:val="4C177328"/>
    <w:rsid w:val="4C1A4723"/>
    <w:rsid w:val="4C2061DD"/>
    <w:rsid w:val="4C207F8B"/>
    <w:rsid w:val="4C215AB1"/>
    <w:rsid w:val="4C2A2BB8"/>
    <w:rsid w:val="4C2B6930"/>
    <w:rsid w:val="4C2C2DD4"/>
    <w:rsid w:val="4C3C7DFE"/>
    <w:rsid w:val="4C3E6663"/>
    <w:rsid w:val="4C40062D"/>
    <w:rsid w:val="4C4023DB"/>
    <w:rsid w:val="4C424EB9"/>
    <w:rsid w:val="4C522DBA"/>
    <w:rsid w:val="4C5365B2"/>
    <w:rsid w:val="4C6677D9"/>
    <w:rsid w:val="4C6A7458"/>
    <w:rsid w:val="4C6D519A"/>
    <w:rsid w:val="4C742085"/>
    <w:rsid w:val="4C7D362F"/>
    <w:rsid w:val="4C80011E"/>
    <w:rsid w:val="4C835255"/>
    <w:rsid w:val="4C883D82"/>
    <w:rsid w:val="4C8D409E"/>
    <w:rsid w:val="4C9D5A7F"/>
    <w:rsid w:val="4C9D782D"/>
    <w:rsid w:val="4CA30BBC"/>
    <w:rsid w:val="4CA46E0E"/>
    <w:rsid w:val="4CAA3CF8"/>
    <w:rsid w:val="4CAF7561"/>
    <w:rsid w:val="4CB30DFF"/>
    <w:rsid w:val="4CB46925"/>
    <w:rsid w:val="4CC27294"/>
    <w:rsid w:val="4CC759FC"/>
    <w:rsid w:val="4CCF634C"/>
    <w:rsid w:val="4CD82614"/>
    <w:rsid w:val="4CE0596C"/>
    <w:rsid w:val="4CE52F83"/>
    <w:rsid w:val="4CE90CC5"/>
    <w:rsid w:val="4CEE22E8"/>
    <w:rsid w:val="4CF95355"/>
    <w:rsid w:val="4CFA4C80"/>
    <w:rsid w:val="4CFF4044"/>
    <w:rsid w:val="4D0005C3"/>
    <w:rsid w:val="4D072EF9"/>
    <w:rsid w:val="4D0F1DAD"/>
    <w:rsid w:val="4D225F85"/>
    <w:rsid w:val="4D333CEE"/>
    <w:rsid w:val="4D371A30"/>
    <w:rsid w:val="4D3D1A58"/>
    <w:rsid w:val="4D4001B9"/>
    <w:rsid w:val="4D467EC5"/>
    <w:rsid w:val="4D5256F1"/>
    <w:rsid w:val="4D5D3C89"/>
    <w:rsid w:val="4D622825"/>
    <w:rsid w:val="4D7164BA"/>
    <w:rsid w:val="4D722A68"/>
    <w:rsid w:val="4D84279B"/>
    <w:rsid w:val="4D8C1650"/>
    <w:rsid w:val="4D926C66"/>
    <w:rsid w:val="4D990B07"/>
    <w:rsid w:val="4D9B7A63"/>
    <w:rsid w:val="4D9C1893"/>
    <w:rsid w:val="4D9C3740"/>
    <w:rsid w:val="4D9D0D8A"/>
    <w:rsid w:val="4D9D560B"/>
    <w:rsid w:val="4DB34E2F"/>
    <w:rsid w:val="4DBD7A5B"/>
    <w:rsid w:val="4DC1579E"/>
    <w:rsid w:val="4DC40DEA"/>
    <w:rsid w:val="4DC66910"/>
    <w:rsid w:val="4DC808DA"/>
    <w:rsid w:val="4DC97E24"/>
    <w:rsid w:val="4DCD757D"/>
    <w:rsid w:val="4DCF3E4F"/>
    <w:rsid w:val="4DD059E1"/>
    <w:rsid w:val="4DD95D49"/>
    <w:rsid w:val="4DE82D2A"/>
    <w:rsid w:val="4DED6593"/>
    <w:rsid w:val="4DF162BE"/>
    <w:rsid w:val="4DF7360B"/>
    <w:rsid w:val="4DFA2A5E"/>
    <w:rsid w:val="4DFC67D6"/>
    <w:rsid w:val="4E0538DC"/>
    <w:rsid w:val="4E094A4F"/>
    <w:rsid w:val="4E0C2ABC"/>
    <w:rsid w:val="4E121B55"/>
    <w:rsid w:val="4E1C6E78"/>
    <w:rsid w:val="4E1E313B"/>
    <w:rsid w:val="4E231FB4"/>
    <w:rsid w:val="4E3046D1"/>
    <w:rsid w:val="4E345F70"/>
    <w:rsid w:val="4E353A96"/>
    <w:rsid w:val="4E354915"/>
    <w:rsid w:val="4E395334"/>
    <w:rsid w:val="4E3C6BD2"/>
    <w:rsid w:val="4E4837C9"/>
    <w:rsid w:val="4E4955A2"/>
    <w:rsid w:val="4E4F4B57"/>
    <w:rsid w:val="4E50518F"/>
    <w:rsid w:val="4E516B22"/>
    <w:rsid w:val="4E524648"/>
    <w:rsid w:val="4E555EE6"/>
    <w:rsid w:val="4E604FB7"/>
    <w:rsid w:val="4E61488B"/>
    <w:rsid w:val="4E6600F3"/>
    <w:rsid w:val="4E6F6FA8"/>
    <w:rsid w:val="4E772300"/>
    <w:rsid w:val="4E7900D3"/>
    <w:rsid w:val="4E7B76FB"/>
    <w:rsid w:val="4E7E71EB"/>
    <w:rsid w:val="4E8862BB"/>
    <w:rsid w:val="4E992277"/>
    <w:rsid w:val="4E9C3B15"/>
    <w:rsid w:val="4E9E5ADF"/>
    <w:rsid w:val="4EA406F6"/>
    <w:rsid w:val="4EAA43EA"/>
    <w:rsid w:val="4EAF55F6"/>
    <w:rsid w:val="4EB1136E"/>
    <w:rsid w:val="4EBB3F9B"/>
    <w:rsid w:val="4EC56BC8"/>
    <w:rsid w:val="4ECA5384"/>
    <w:rsid w:val="4ECC264C"/>
    <w:rsid w:val="4ECF4EE4"/>
    <w:rsid w:val="4ED45728"/>
    <w:rsid w:val="4EE03A01"/>
    <w:rsid w:val="4EFE20DA"/>
    <w:rsid w:val="4F045E2D"/>
    <w:rsid w:val="4F10078B"/>
    <w:rsid w:val="4F12061C"/>
    <w:rsid w:val="4F12289B"/>
    <w:rsid w:val="4F136E54"/>
    <w:rsid w:val="4F1638C7"/>
    <w:rsid w:val="4F1931A5"/>
    <w:rsid w:val="4F1C0E48"/>
    <w:rsid w:val="4F28465E"/>
    <w:rsid w:val="4F2953A8"/>
    <w:rsid w:val="4F381A8F"/>
    <w:rsid w:val="4F471CD3"/>
    <w:rsid w:val="4F4E3061"/>
    <w:rsid w:val="4F4F0B87"/>
    <w:rsid w:val="4F587A3C"/>
    <w:rsid w:val="4F626B0C"/>
    <w:rsid w:val="4F695DA4"/>
    <w:rsid w:val="4F6E725F"/>
    <w:rsid w:val="4F7A5C04"/>
    <w:rsid w:val="4F876573"/>
    <w:rsid w:val="4F8D1DDB"/>
    <w:rsid w:val="4F9C3151"/>
    <w:rsid w:val="4F9F566B"/>
    <w:rsid w:val="4FA62E9D"/>
    <w:rsid w:val="4FA859E2"/>
    <w:rsid w:val="4FAB04B3"/>
    <w:rsid w:val="4FAD5FDA"/>
    <w:rsid w:val="4FB06CB9"/>
    <w:rsid w:val="4FB21842"/>
    <w:rsid w:val="4FB235F0"/>
    <w:rsid w:val="4FB33BA3"/>
    <w:rsid w:val="4FBA24A4"/>
    <w:rsid w:val="4FC861E7"/>
    <w:rsid w:val="4FCB2904"/>
    <w:rsid w:val="4FCE41A2"/>
    <w:rsid w:val="4FD277EE"/>
    <w:rsid w:val="4FDC68BF"/>
    <w:rsid w:val="4FF359B6"/>
    <w:rsid w:val="4FF53E86"/>
    <w:rsid w:val="500537DC"/>
    <w:rsid w:val="50055E16"/>
    <w:rsid w:val="500951DA"/>
    <w:rsid w:val="500B73F8"/>
    <w:rsid w:val="501C6CBB"/>
    <w:rsid w:val="50203C86"/>
    <w:rsid w:val="5023004A"/>
    <w:rsid w:val="504306EC"/>
    <w:rsid w:val="50475110"/>
    <w:rsid w:val="504A1A7A"/>
    <w:rsid w:val="504B57F2"/>
    <w:rsid w:val="505446A7"/>
    <w:rsid w:val="50615016"/>
    <w:rsid w:val="5066262C"/>
    <w:rsid w:val="50681F00"/>
    <w:rsid w:val="50697475"/>
    <w:rsid w:val="506A2AFE"/>
    <w:rsid w:val="506B379F"/>
    <w:rsid w:val="506F403E"/>
    <w:rsid w:val="50746AF7"/>
    <w:rsid w:val="50760AC1"/>
    <w:rsid w:val="50782DBB"/>
    <w:rsid w:val="5079410E"/>
    <w:rsid w:val="508A00C9"/>
    <w:rsid w:val="508D7BB9"/>
    <w:rsid w:val="509176A9"/>
    <w:rsid w:val="50923421"/>
    <w:rsid w:val="509C604E"/>
    <w:rsid w:val="509C7DFC"/>
    <w:rsid w:val="50A70C7B"/>
    <w:rsid w:val="50A76ECD"/>
    <w:rsid w:val="50A82C45"/>
    <w:rsid w:val="50A867A1"/>
    <w:rsid w:val="50B8782D"/>
    <w:rsid w:val="50BB0282"/>
    <w:rsid w:val="50CC6933"/>
    <w:rsid w:val="50CF3B19"/>
    <w:rsid w:val="50D21A70"/>
    <w:rsid w:val="50D457E8"/>
    <w:rsid w:val="50D77086"/>
    <w:rsid w:val="50DE0415"/>
    <w:rsid w:val="50DE6667"/>
    <w:rsid w:val="50E61077"/>
    <w:rsid w:val="50EA0B67"/>
    <w:rsid w:val="50EE4AFC"/>
    <w:rsid w:val="50F5248E"/>
    <w:rsid w:val="50FE6F89"/>
    <w:rsid w:val="510C157A"/>
    <w:rsid w:val="511D0B59"/>
    <w:rsid w:val="51200A2D"/>
    <w:rsid w:val="51281690"/>
    <w:rsid w:val="51286640"/>
    <w:rsid w:val="512C73D2"/>
    <w:rsid w:val="51302721"/>
    <w:rsid w:val="51306323"/>
    <w:rsid w:val="51330760"/>
    <w:rsid w:val="5133250E"/>
    <w:rsid w:val="51346287"/>
    <w:rsid w:val="513B7615"/>
    <w:rsid w:val="51450494"/>
    <w:rsid w:val="514705FA"/>
    <w:rsid w:val="514A5AAA"/>
    <w:rsid w:val="514F30C0"/>
    <w:rsid w:val="515406D7"/>
    <w:rsid w:val="51556929"/>
    <w:rsid w:val="51595CED"/>
    <w:rsid w:val="515B3813"/>
    <w:rsid w:val="515D758B"/>
    <w:rsid w:val="51633E03"/>
    <w:rsid w:val="51654692"/>
    <w:rsid w:val="516A3A56"/>
    <w:rsid w:val="517448D5"/>
    <w:rsid w:val="51786173"/>
    <w:rsid w:val="51825244"/>
    <w:rsid w:val="518965D2"/>
    <w:rsid w:val="51917235"/>
    <w:rsid w:val="51932FAD"/>
    <w:rsid w:val="51937451"/>
    <w:rsid w:val="51976F41"/>
    <w:rsid w:val="519A561A"/>
    <w:rsid w:val="519D1BF6"/>
    <w:rsid w:val="519D3E2C"/>
    <w:rsid w:val="51A056CA"/>
    <w:rsid w:val="51A27694"/>
    <w:rsid w:val="51A46F68"/>
    <w:rsid w:val="51A6208C"/>
    <w:rsid w:val="51AA529D"/>
    <w:rsid w:val="51B03B5F"/>
    <w:rsid w:val="51B478EA"/>
    <w:rsid w:val="51BA49DE"/>
    <w:rsid w:val="51C03C12"/>
    <w:rsid w:val="51C25640"/>
    <w:rsid w:val="51C27A95"/>
    <w:rsid w:val="51C94C21"/>
    <w:rsid w:val="51CD1DAC"/>
    <w:rsid w:val="51D04201"/>
    <w:rsid w:val="51DA5080"/>
    <w:rsid w:val="51E7154B"/>
    <w:rsid w:val="51E97071"/>
    <w:rsid w:val="51EF5042"/>
    <w:rsid w:val="51F218DA"/>
    <w:rsid w:val="51F31C9E"/>
    <w:rsid w:val="51F36142"/>
    <w:rsid w:val="52075749"/>
    <w:rsid w:val="52093835"/>
    <w:rsid w:val="520E6AD8"/>
    <w:rsid w:val="52102850"/>
    <w:rsid w:val="52171E30"/>
    <w:rsid w:val="52187956"/>
    <w:rsid w:val="521A1920"/>
    <w:rsid w:val="521E31BF"/>
    <w:rsid w:val="522105B9"/>
    <w:rsid w:val="522344E6"/>
    <w:rsid w:val="52271947"/>
    <w:rsid w:val="52361E3B"/>
    <w:rsid w:val="523A167B"/>
    <w:rsid w:val="523A18EA"/>
    <w:rsid w:val="524E3378"/>
    <w:rsid w:val="524F48E3"/>
    <w:rsid w:val="52552958"/>
    <w:rsid w:val="52592449"/>
    <w:rsid w:val="525F5585"/>
    <w:rsid w:val="52707792"/>
    <w:rsid w:val="52841B45"/>
    <w:rsid w:val="528E7FE7"/>
    <w:rsid w:val="528F1AA7"/>
    <w:rsid w:val="5290573F"/>
    <w:rsid w:val="529209DC"/>
    <w:rsid w:val="52990A97"/>
    <w:rsid w:val="52996465"/>
    <w:rsid w:val="529E1798"/>
    <w:rsid w:val="52A26B1F"/>
    <w:rsid w:val="52A64F62"/>
    <w:rsid w:val="52AC63CA"/>
    <w:rsid w:val="52AC7C09"/>
    <w:rsid w:val="52B551A5"/>
    <w:rsid w:val="52C4439E"/>
    <w:rsid w:val="52CD6993"/>
    <w:rsid w:val="52CF57EB"/>
    <w:rsid w:val="52DB2E5E"/>
    <w:rsid w:val="52E02222"/>
    <w:rsid w:val="52E55A8A"/>
    <w:rsid w:val="52EA4E4F"/>
    <w:rsid w:val="52F43F1F"/>
    <w:rsid w:val="52F65EC8"/>
    <w:rsid w:val="52F766D4"/>
    <w:rsid w:val="53033073"/>
    <w:rsid w:val="53193986"/>
    <w:rsid w:val="531A2795"/>
    <w:rsid w:val="531B14AC"/>
    <w:rsid w:val="532E5683"/>
    <w:rsid w:val="532F4F57"/>
    <w:rsid w:val="533777E5"/>
    <w:rsid w:val="5345477B"/>
    <w:rsid w:val="53486019"/>
    <w:rsid w:val="53487AC3"/>
    <w:rsid w:val="534B31D2"/>
    <w:rsid w:val="535324C6"/>
    <w:rsid w:val="53542C10"/>
    <w:rsid w:val="535749CF"/>
    <w:rsid w:val="535C0F98"/>
    <w:rsid w:val="536746F1"/>
    <w:rsid w:val="53682217"/>
    <w:rsid w:val="536A5F90"/>
    <w:rsid w:val="536D782E"/>
    <w:rsid w:val="537E0B4F"/>
    <w:rsid w:val="538708F0"/>
    <w:rsid w:val="539179C0"/>
    <w:rsid w:val="53933451"/>
    <w:rsid w:val="53986FA1"/>
    <w:rsid w:val="539B581E"/>
    <w:rsid w:val="53A616BE"/>
    <w:rsid w:val="53AE0A28"/>
    <w:rsid w:val="53AE2320"/>
    <w:rsid w:val="53B37737"/>
    <w:rsid w:val="53BD07B5"/>
    <w:rsid w:val="53BD6A07"/>
    <w:rsid w:val="53C02C55"/>
    <w:rsid w:val="53C953AC"/>
    <w:rsid w:val="53CA4C80"/>
    <w:rsid w:val="53D00B48"/>
    <w:rsid w:val="53D1600F"/>
    <w:rsid w:val="53D55AFF"/>
    <w:rsid w:val="53D578AD"/>
    <w:rsid w:val="53DA1367"/>
    <w:rsid w:val="53E1772D"/>
    <w:rsid w:val="53E75832"/>
    <w:rsid w:val="53EA0A81"/>
    <w:rsid w:val="53EC693E"/>
    <w:rsid w:val="53EE6BC1"/>
    <w:rsid w:val="53F02939"/>
    <w:rsid w:val="54065CB8"/>
    <w:rsid w:val="54071A30"/>
    <w:rsid w:val="540B7773"/>
    <w:rsid w:val="54161C73"/>
    <w:rsid w:val="541F321E"/>
    <w:rsid w:val="54216F96"/>
    <w:rsid w:val="54256C07"/>
    <w:rsid w:val="542578B5"/>
    <w:rsid w:val="542919A7"/>
    <w:rsid w:val="542D593B"/>
    <w:rsid w:val="5435426D"/>
    <w:rsid w:val="5438608E"/>
    <w:rsid w:val="54456F9B"/>
    <w:rsid w:val="544607AB"/>
    <w:rsid w:val="54462559"/>
    <w:rsid w:val="54482775"/>
    <w:rsid w:val="54492049"/>
    <w:rsid w:val="54493DF7"/>
    <w:rsid w:val="544B4013"/>
    <w:rsid w:val="544F3B03"/>
    <w:rsid w:val="545253A1"/>
    <w:rsid w:val="545B648A"/>
    <w:rsid w:val="545D2668"/>
    <w:rsid w:val="546724CF"/>
    <w:rsid w:val="54757FA1"/>
    <w:rsid w:val="547D49D8"/>
    <w:rsid w:val="547F5A6B"/>
    <w:rsid w:val="548117E3"/>
    <w:rsid w:val="54972DB4"/>
    <w:rsid w:val="54972F5D"/>
    <w:rsid w:val="54996B2C"/>
    <w:rsid w:val="549A6402"/>
    <w:rsid w:val="549F610D"/>
    <w:rsid w:val="54A41E09"/>
    <w:rsid w:val="54A454D1"/>
    <w:rsid w:val="54AB6860"/>
    <w:rsid w:val="54B02FD7"/>
    <w:rsid w:val="54B55930"/>
    <w:rsid w:val="54B75204"/>
    <w:rsid w:val="54C07EA1"/>
    <w:rsid w:val="54C11331"/>
    <w:rsid w:val="54C53DC5"/>
    <w:rsid w:val="54CA13DC"/>
    <w:rsid w:val="54D062C6"/>
    <w:rsid w:val="54DA0EF3"/>
    <w:rsid w:val="54DE4283"/>
    <w:rsid w:val="54DF6509"/>
    <w:rsid w:val="54E16725"/>
    <w:rsid w:val="54E35FFA"/>
    <w:rsid w:val="54E51D72"/>
    <w:rsid w:val="54EB4EAE"/>
    <w:rsid w:val="54F14BBA"/>
    <w:rsid w:val="54F441BF"/>
    <w:rsid w:val="54F63F7F"/>
    <w:rsid w:val="54F71AA5"/>
    <w:rsid w:val="54FC355F"/>
    <w:rsid w:val="54FC3E9C"/>
    <w:rsid w:val="54FE4727"/>
    <w:rsid w:val="55067F3A"/>
    <w:rsid w:val="550F6DEF"/>
    <w:rsid w:val="5511700B"/>
    <w:rsid w:val="551249E4"/>
    <w:rsid w:val="5520724E"/>
    <w:rsid w:val="552349BA"/>
    <w:rsid w:val="55286102"/>
    <w:rsid w:val="554A6079"/>
    <w:rsid w:val="554F014E"/>
    <w:rsid w:val="554F4DF6"/>
    <w:rsid w:val="555313D1"/>
    <w:rsid w:val="5559399C"/>
    <w:rsid w:val="555D2250"/>
    <w:rsid w:val="5560764A"/>
    <w:rsid w:val="55660A8B"/>
    <w:rsid w:val="556E215B"/>
    <w:rsid w:val="557837C4"/>
    <w:rsid w:val="557C1FAA"/>
    <w:rsid w:val="55862BF4"/>
    <w:rsid w:val="558C043F"/>
    <w:rsid w:val="558E7BCD"/>
    <w:rsid w:val="558F6181"/>
    <w:rsid w:val="55943798"/>
    <w:rsid w:val="5596306C"/>
    <w:rsid w:val="55985036"/>
    <w:rsid w:val="559C6C03"/>
    <w:rsid w:val="55A27C63"/>
    <w:rsid w:val="55A559A5"/>
    <w:rsid w:val="55AC0AE1"/>
    <w:rsid w:val="55C259D4"/>
    <w:rsid w:val="55C45E2B"/>
    <w:rsid w:val="55CC1183"/>
    <w:rsid w:val="55D1679A"/>
    <w:rsid w:val="55D41DE6"/>
    <w:rsid w:val="55DD0C9B"/>
    <w:rsid w:val="55E42029"/>
    <w:rsid w:val="55E77D6B"/>
    <w:rsid w:val="55E93AE3"/>
    <w:rsid w:val="55EF09CE"/>
    <w:rsid w:val="55F12998"/>
    <w:rsid w:val="55F3226C"/>
    <w:rsid w:val="55F668FC"/>
    <w:rsid w:val="55FC3817"/>
    <w:rsid w:val="55FE0C5B"/>
    <w:rsid w:val="56026953"/>
    <w:rsid w:val="56095F34"/>
    <w:rsid w:val="5613290E"/>
    <w:rsid w:val="56175E36"/>
    <w:rsid w:val="561D2CFD"/>
    <w:rsid w:val="56292132"/>
    <w:rsid w:val="56293EE0"/>
    <w:rsid w:val="562A1B91"/>
    <w:rsid w:val="5637484F"/>
    <w:rsid w:val="56382375"/>
    <w:rsid w:val="563B652C"/>
    <w:rsid w:val="56554CD5"/>
    <w:rsid w:val="565D0861"/>
    <w:rsid w:val="565D537B"/>
    <w:rsid w:val="566F73BD"/>
    <w:rsid w:val="56711619"/>
    <w:rsid w:val="56725887"/>
    <w:rsid w:val="56757125"/>
    <w:rsid w:val="568B57E3"/>
    <w:rsid w:val="568F468B"/>
    <w:rsid w:val="569021B1"/>
    <w:rsid w:val="56927CD7"/>
    <w:rsid w:val="56951575"/>
    <w:rsid w:val="569972B8"/>
    <w:rsid w:val="56A04826"/>
    <w:rsid w:val="56A31EE4"/>
    <w:rsid w:val="56A826AF"/>
    <w:rsid w:val="56A877FD"/>
    <w:rsid w:val="56A95021"/>
    <w:rsid w:val="56AA3DFF"/>
    <w:rsid w:val="56B37C4E"/>
    <w:rsid w:val="56B45E9F"/>
    <w:rsid w:val="56B85264"/>
    <w:rsid w:val="56B91708"/>
    <w:rsid w:val="56BC6B02"/>
    <w:rsid w:val="56BE0ACC"/>
    <w:rsid w:val="56C34335"/>
    <w:rsid w:val="56C43C09"/>
    <w:rsid w:val="56C500AD"/>
    <w:rsid w:val="56CC5D09"/>
    <w:rsid w:val="56D55E16"/>
    <w:rsid w:val="56E2065A"/>
    <w:rsid w:val="56E76B7E"/>
    <w:rsid w:val="56EA7B13"/>
    <w:rsid w:val="56F40992"/>
    <w:rsid w:val="57062473"/>
    <w:rsid w:val="570F1328"/>
    <w:rsid w:val="572152E4"/>
    <w:rsid w:val="57234DD3"/>
    <w:rsid w:val="57272B15"/>
    <w:rsid w:val="572A09D8"/>
    <w:rsid w:val="572A6162"/>
    <w:rsid w:val="572B2037"/>
    <w:rsid w:val="572C012C"/>
    <w:rsid w:val="572D17AE"/>
    <w:rsid w:val="57326FEF"/>
    <w:rsid w:val="57390153"/>
    <w:rsid w:val="574472CC"/>
    <w:rsid w:val="574B7E86"/>
    <w:rsid w:val="574D0C27"/>
    <w:rsid w:val="574F3E1A"/>
    <w:rsid w:val="57574F5E"/>
    <w:rsid w:val="575B456D"/>
    <w:rsid w:val="57603931"/>
    <w:rsid w:val="57607DD5"/>
    <w:rsid w:val="57655531"/>
    <w:rsid w:val="576A47B0"/>
    <w:rsid w:val="57713D91"/>
    <w:rsid w:val="57743B14"/>
    <w:rsid w:val="577759F1"/>
    <w:rsid w:val="577D0987"/>
    <w:rsid w:val="57803FD4"/>
    <w:rsid w:val="57853398"/>
    <w:rsid w:val="578C4726"/>
    <w:rsid w:val="579655A5"/>
    <w:rsid w:val="579B705F"/>
    <w:rsid w:val="57A001D2"/>
    <w:rsid w:val="57A2219C"/>
    <w:rsid w:val="57B7551B"/>
    <w:rsid w:val="57CA524F"/>
    <w:rsid w:val="57CC4F2E"/>
    <w:rsid w:val="57CD4D3F"/>
    <w:rsid w:val="57CF0AB7"/>
    <w:rsid w:val="57D12A81"/>
    <w:rsid w:val="57D61E46"/>
    <w:rsid w:val="57D97434"/>
    <w:rsid w:val="57DB7C26"/>
    <w:rsid w:val="57DD4F82"/>
    <w:rsid w:val="57E74053"/>
    <w:rsid w:val="57E845CF"/>
    <w:rsid w:val="57E9601D"/>
    <w:rsid w:val="57EA3B43"/>
    <w:rsid w:val="57EA58F1"/>
    <w:rsid w:val="57EE53E1"/>
    <w:rsid w:val="57F549C2"/>
    <w:rsid w:val="57F73ACE"/>
    <w:rsid w:val="57FB365A"/>
    <w:rsid w:val="58022C3B"/>
    <w:rsid w:val="58036411"/>
    <w:rsid w:val="5805272B"/>
    <w:rsid w:val="5814436C"/>
    <w:rsid w:val="581A61D6"/>
    <w:rsid w:val="581F37ED"/>
    <w:rsid w:val="582C415B"/>
    <w:rsid w:val="582E1C82"/>
    <w:rsid w:val="582E3A30"/>
    <w:rsid w:val="583059FA"/>
    <w:rsid w:val="58366D88"/>
    <w:rsid w:val="583D1EC5"/>
    <w:rsid w:val="58403763"/>
    <w:rsid w:val="58414AFB"/>
    <w:rsid w:val="58450D79"/>
    <w:rsid w:val="58496ABB"/>
    <w:rsid w:val="584A6390"/>
    <w:rsid w:val="585A4825"/>
    <w:rsid w:val="585B2817"/>
    <w:rsid w:val="585F008D"/>
    <w:rsid w:val="586B07E0"/>
    <w:rsid w:val="58704048"/>
    <w:rsid w:val="58727DC0"/>
    <w:rsid w:val="58747403"/>
    <w:rsid w:val="5878114F"/>
    <w:rsid w:val="587C24DF"/>
    <w:rsid w:val="58816255"/>
    <w:rsid w:val="58825B29"/>
    <w:rsid w:val="5883051A"/>
    <w:rsid w:val="58847AF3"/>
    <w:rsid w:val="588C0756"/>
    <w:rsid w:val="589D2963"/>
    <w:rsid w:val="58A214AB"/>
    <w:rsid w:val="58A957AC"/>
    <w:rsid w:val="58B008E9"/>
    <w:rsid w:val="58C11A8A"/>
    <w:rsid w:val="58C12AF6"/>
    <w:rsid w:val="58C82E25"/>
    <w:rsid w:val="58D5034F"/>
    <w:rsid w:val="58DA3BE0"/>
    <w:rsid w:val="58DA7713"/>
    <w:rsid w:val="58E42340"/>
    <w:rsid w:val="58E6430A"/>
    <w:rsid w:val="58E92D07"/>
    <w:rsid w:val="58E95BA9"/>
    <w:rsid w:val="58EB1C74"/>
    <w:rsid w:val="58ED38EB"/>
    <w:rsid w:val="58ED5699"/>
    <w:rsid w:val="58EF1411"/>
    <w:rsid w:val="58F3297C"/>
    <w:rsid w:val="58FF201C"/>
    <w:rsid w:val="59084281"/>
    <w:rsid w:val="590F1AB3"/>
    <w:rsid w:val="5915699E"/>
    <w:rsid w:val="591C1ADA"/>
    <w:rsid w:val="591E7A48"/>
    <w:rsid w:val="591F781C"/>
    <w:rsid w:val="59254E33"/>
    <w:rsid w:val="592866D1"/>
    <w:rsid w:val="59287D51"/>
    <w:rsid w:val="592B4413"/>
    <w:rsid w:val="593508D3"/>
    <w:rsid w:val="59360DE3"/>
    <w:rsid w:val="593E5EF4"/>
    <w:rsid w:val="59417793"/>
    <w:rsid w:val="59464DA9"/>
    <w:rsid w:val="59484FC5"/>
    <w:rsid w:val="594B0EF4"/>
    <w:rsid w:val="595079D6"/>
    <w:rsid w:val="5954396A"/>
    <w:rsid w:val="59592D2E"/>
    <w:rsid w:val="595C45CC"/>
    <w:rsid w:val="59637797"/>
    <w:rsid w:val="596A0A97"/>
    <w:rsid w:val="596A6CE9"/>
    <w:rsid w:val="597B2CA5"/>
    <w:rsid w:val="597D47F6"/>
    <w:rsid w:val="598558D1"/>
    <w:rsid w:val="598C3104"/>
    <w:rsid w:val="59973856"/>
    <w:rsid w:val="5999312B"/>
    <w:rsid w:val="59A10231"/>
    <w:rsid w:val="59A57163"/>
    <w:rsid w:val="59A85A64"/>
    <w:rsid w:val="59AA358A"/>
    <w:rsid w:val="59B45DA0"/>
    <w:rsid w:val="59BA6FCD"/>
    <w:rsid w:val="59BC2D25"/>
    <w:rsid w:val="59C06909"/>
    <w:rsid w:val="59C503C4"/>
    <w:rsid w:val="59CA3C2C"/>
    <w:rsid w:val="59CB7C49"/>
    <w:rsid w:val="59CE54CA"/>
    <w:rsid w:val="59CF1242"/>
    <w:rsid w:val="59DB7BE7"/>
    <w:rsid w:val="59E24AD2"/>
    <w:rsid w:val="59E92304"/>
    <w:rsid w:val="59EE5898"/>
    <w:rsid w:val="59F42A57"/>
    <w:rsid w:val="59F6057D"/>
    <w:rsid w:val="59F9006D"/>
    <w:rsid w:val="59FD7B5D"/>
    <w:rsid w:val="59FF38D6"/>
    <w:rsid w:val="5A0233C6"/>
    <w:rsid w:val="5A026F22"/>
    <w:rsid w:val="5A054C64"/>
    <w:rsid w:val="5A0709DC"/>
    <w:rsid w:val="5A0802B0"/>
    <w:rsid w:val="5A0823C0"/>
    <w:rsid w:val="5A097BEB"/>
    <w:rsid w:val="5A0A2FAF"/>
    <w:rsid w:val="5A0C5FF2"/>
    <w:rsid w:val="5A0C7DA1"/>
    <w:rsid w:val="5A0E58C7"/>
    <w:rsid w:val="5A144EA7"/>
    <w:rsid w:val="5A1A69AD"/>
    <w:rsid w:val="5A1D3D5C"/>
    <w:rsid w:val="5A1F56FD"/>
    <w:rsid w:val="5A1F5EE9"/>
    <w:rsid w:val="5A1F7AD4"/>
    <w:rsid w:val="5A2450EA"/>
    <w:rsid w:val="5A266FC0"/>
    <w:rsid w:val="5A2C3F9F"/>
    <w:rsid w:val="5A2F3A8F"/>
    <w:rsid w:val="5A3A0ECE"/>
    <w:rsid w:val="5A3B0686"/>
    <w:rsid w:val="5A3D61AC"/>
    <w:rsid w:val="5A46501F"/>
    <w:rsid w:val="5A470297"/>
    <w:rsid w:val="5A511C57"/>
    <w:rsid w:val="5A61633E"/>
    <w:rsid w:val="5A673229"/>
    <w:rsid w:val="5A6C6A91"/>
    <w:rsid w:val="5A6E0A5B"/>
    <w:rsid w:val="5A7B0A82"/>
    <w:rsid w:val="5A7C4F26"/>
    <w:rsid w:val="5A7C777C"/>
    <w:rsid w:val="5A7F1F48"/>
    <w:rsid w:val="5A864228"/>
    <w:rsid w:val="5A8738CB"/>
    <w:rsid w:val="5A8E2EAB"/>
    <w:rsid w:val="5A9102A6"/>
    <w:rsid w:val="5A9658BC"/>
    <w:rsid w:val="5A9A3496"/>
    <w:rsid w:val="5AA47FD9"/>
    <w:rsid w:val="5AA862C2"/>
    <w:rsid w:val="5AAB75B9"/>
    <w:rsid w:val="5AAE2453"/>
    <w:rsid w:val="5AB14005"/>
    <w:rsid w:val="5AB741B0"/>
    <w:rsid w:val="5AB87F28"/>
    <w:rsid w:val="5ABA3CA0"/>
    <w:rsid w:val="5AC11AB8"/>
    <w:rsid w:val="5AC228E4"/>
    <w:rsid w:val="5AC6337D"/>
    <w:rsid w:val="5AC8016B"/>
    <w:rsid w:val="5AC97A40"/>
    <w:rsid w:val="5ACC12DE"/>
    <w:rsid w:val="5ACD39D4"/>
    <w:rsid w:val="5ACD5782"/>
    <w:rsid w:val="5ACE005D"/>
    <w:rsid w:val="5AD00DCE"/>
    <w:rsid w:val="5ADC59C5"/>
    <w:rsid w:val="5AE44879"/>
    <w:rsid w:val="5AE64A95"/>
    <w:rsid w:val="5AE66844"/>
    <w:rsid w:val="5AE96334"/>
    <w:rsid w:val="5AEC3921"/>
    <w:rsid w:val="5AED1980"/>
    <w:rsid w:val="5AF820D3"/>
    <w:rsid w:val="5AFD593B"/>
    <w:rsid w:val="5AFF7905"/>
    <w:rsid w:val="5B062255"/>
    <w:rsid w:val="5B0D5B7E"/>
    <w:rsid w:val="5B155E6E"/>
    <w:rsid w:val="5B172EA1"/>
    <w:rsid w:val="5B1A473F"/>
    <w:rsid w:val="5B1A64ED"/>
    <w:rsid w:val="5B1B2426"/>
    <w:rsid w:val="5B1C04B7"/>
    <w:rsid w:val="5B2630E4"/>
    <w:rsid w:val="5B37709F"/>
    <w:rsid w:val="5B3953A2"/>
    <w:rsid w:val="5B4377F2"/>
    <w:rsid w:val="5B4B48F9"/>
    <w:rsid w:val="5B4C63CC"/>
    <w:rsid w:val="5B4E6197"/>
    <w:rsid w:val="5B4F263B"/>
    <w:rsid w:val="5B552E99"/>
    <w:rsid w:val="5B5C08B4"/>
    <w:rsid w:val="5B5E15D6"/>
    <w:rsid w:val="5B631188"/>
    <w:rsid w:val="5B6737D2"/>
    <w:rsid w:val="5B6D3372"/>
    <w:rsid w:val="5B7025B1"/>
    <w:rsid w:val="5B7150DC"/>
    <w:rsid w:val="5B806305"/>
    <w:rsid w:val="5B8322E4"/>
    <w:rsid w:val="5B85763D"/>
    <w:rsid w:val="5B8A0C0A"/>
    <w:rsid w:val="5B8A5421"/>
    <w:rsid w:val="5B8A71CF"/>
    <w:rsid w:val="5B91147E"/>
    <w:rsid w:val="5B94004E"/>
    <w:rsid w:val="5B962018"/>
    <w:rsid w:val="5B977B3E"/>
    <w:rsid w:val="5BA1390C"/>
    <w:rsid w:val="5BAB6C05"/>
    <w:rsid w:val="5BB16E51"/>
    <w:rsid w:val="5BB701E0"/>
    <w:rsid w:val="5BC329F6"/>
    <w:rsid w:val="5BC61731"/>
    <w:rsid w:val="5BC66BAE"/>
    <w:rsid w:val="5BCA3A6F"/>
    <w:rsid w:val="5BD26DC8"/>
    <w:rsid w:val="5BD448EE"/>
    <w:rsid w:val="5BD70683"/>
    <w:rsid w:val="5BDB3ECE"/>
    <w:rsid w:val="5BDC19F5"/>
    <w:rsid w:val="5BE1734D"/>
    <w:rsid w:val="5BE2525D"/>
    <w:rsid w:val="5BE30FD5"/>
    <w:rsid w:val="5BEC315F"/>
    <w:rsid w:val="5BED4BFC"/>
    <w:rsid w:val="5BEF1728"/>
    <w:rsid w:val="5BF22FC6"/>
    <w:rsid w:val="5BF40AEC"/>
    <w:rsid w:val="5BFE196B"/>
    <w:rsid w:val="5BFE7AC0"/>
    <w:rsid w:val="5C034C57"/>
    <w:rsid w:val="5C0C4088"/>
    <w:rsid w:val="5C1906F7"/>
    <w:rsid w:val="5C1949F7"/>
    <w:rsid w:val="5C1F025F"/>
    <w:rsid w:val="5C2426E2"/>
    <w:rsid w:val="5C28441B"/>
    <w:rsid w:val="5C367357"/>
    <w:rsid w:val="5C390BF5"/>
    <w:rsid w:val="5C425CFC"/>
    <w:rsid w:val="5C441A74"/>
    <w:rsid w:val="5C4C26D6"/>
    <w:rsid w:val="5C4C62B6"/>
    <w:rsid w:val="5C4C7EF6"/>
    <w:rsid w:val="5C4D5980"/>
    <w:rsid w:val="5C4F21C6"/>
    <w:rsid w:val="5C617A21"/>
    <w:rsid w:val="5C684CA7"/>
    <w:rsid w:val="5C7659A5"/>
    <w:rsid w:val="5C7B120D"/>
    <w:rsid w:val="5C7E4524"/>
    <w:rsid w:val="5C853E3A"/>
    <w:rsid w:val="5C8A31FF"/>
    <w:rsid w:val="5C8E1685"/>
    <w:rsid w:val="5C9347A9"/>
    <w:rsid w:val="5C936557"/>
    <w:rsid w:val="5C9A5B38"/>
    <w:rsid w:val="5CA42512"/>
    <w:rsid w:val="5CA442C0"/>
    <w:rsid w:val="5CA46188"/>
    <w:rsid w:val="5CA70254"/>
    <w:rsid w:val="5CAB1AF3"/>
    <w:rsid w:val="5CB309A7"/>
    <w:rsid w:val="5CB441CB"/>
    <w:rsid w:val="5CB5471F"/>
    <w:rsid w:val="5CB63FF4"/>
    <w:rsid w:val="5CC86AA9"/>
    <w:rsid w:val="5CCB3F43"/>
    <w:rsid w:val="5CD03307"/>
    <w:rsid w:val="5CD77696"/>
    <w:rsid w:val="5CDA23D8"/>
    <w:rsid w:val="5CDA5F34"/>
    <w:rsid w:val="5CE15514"/>
    <w:rsid w:val="5CE648D9"/>
    <w:rsid w:val="5CE768A3"/>
    <w:rsid w:val="5CE84AF5"/>
    <w:rsid w:val="5CF214D0"/>
    <w:rsid w:val="5CF63C07"/>
    <w:rsid w:val="5D013E49"/>
    <w:rsid w:val="5D0631CD"/>
    <w:rsid w:val="5D072AA1"/>
    <w:rsid w:val="5D076E85"/>
    <w:rsid w:val="5D094A6B"/>
    <w:rsid w:val="5D105DFA"/>
    <w:rsid w:val="5D1A0A26"/>
    <w:rsid w:val="5D1D4073"/>
    <w:rsid w:val="5D1E0517"/>
    <w:rsid w:val="5D276C9F"/>
    <w:rsid w:val="5D290C69"/>
    <w:rsid w:val="5D2B2C34"/>
    <w:rsid w:val="5D380EAD"/>
    <w:rsid w:val="5D395350"/>
    <w:rsid w:val="5D411690"/>
    <w:rsid w:val="5D417D61"/>
    <w:rsid w:val="5D444541"/>
    <w:rsid w:val="5D445AA3"/>
    <w:rsid w:val="5D461ACD"/>
    <w:rsid w:val="5D4F6922"/>
    <w:rsid w:val="5D551A5E"/>
    <w:rsid w:val="5D577226"/>
    <w:rsid w:val="5D5850AB"/>
    <w:rsid w:val="5D5A0E23"/>
    <w:rsid w:val="5D610403"/>
    <w:rsid w:val="5D691D08"/>
    <w:rsid w:val="5D6972B8"/>
    <w:rsid w:val="5D6B1282"/>
    <w:rsid w:val="5D6E48CE"/>
    <w:rsid w:val="5D700646"/>
    <w:rsid w:val="5D757F2A"/>
    <w:rsid w:val="5D7A14C5"/>
    <w:rsid w:val="5D7E1EC0"/>
    <w:rsid w:val="5D7E7207"/>
    <w:rsid w:val="5D881E34"/>
    <w:rsid w:val="5D8B722E"/>
    <w:rsid w:val="5D8D744A"/>
    <w:rsid w:val="5D910111"/>
    <w:rsid w:val="5D9C143B"/>
    <w:rsid w:val="5DAA1DAA"/>
    <w:rsid w:val="5DAF73C1"/>
    <w:rsid w:val="5DB073BD"/>
    <w:rsid w:val="5DB76275"/>
    <w:rsid w:val="5DBC388C"/>
    <w:rsid w:val="5DC04054"/>
    <w:rsid w:val="5DC664B8"/>
    <w:rsid w:val="5DC83BCB"/>
    <w:rsid w:val="5DCD5A99"/>
    <w:rsid w:val="5DE66B5A"/>
    <w:rsid w:val="5DEC4171"/>
    <w:rsid w:val="5DF50B4C"/>
    <w:rsid w:val="5DF63241"/>
    <w:rsid w:val="5DF64FF0"/>
    <w:rsid w:val="5DF70D68"/>
    <w:rsid w:val="5DF84C2A"/>
    <w:rsid w:val="5DFB3886"/>
    <w:rsid w:val="5DFD2E9D"/>
    <w:rsid w:val="5E0019CA"/>
    <w:rsid w:val="5E0451A4"/>
    <w:rsid w:val="5E0B036F"/>
    <w:rsid w:val="5E0F095E"/>
    <w:rsid w:val="5E1C432A"/>
    <w:rsid w:val="5E2733FB"/>
    <w:rsid w:val="5E2A6A47"/>
    <w:rsid w:val="5E345259"/>
    <w:rsid w:val="5E3478C6"/>
    <w:rsid w:val="5E361890"/>
    <w:rsid w:val="5E3C0DFF"/>
    <w:rsid w:val="5E3E24F3"/>
    <w:rsid w:val="5E473A9D"/>
    <w:rsid w:val="5E510478"/>
    <w:rsid w:val="5E5E1807"/>
    <w:rsid w:val="5E5E507D"/>
    <w:rsid w:val="5E622685"/>
    <w:rsid w:val="5E714676"/>
    <w:rsid w:val="5E7D74BF"/>
    <w:rsid w:val="5E856E14"/>
    <w:rsid w:val="5E8E122B"/>
    <w:rsid w:val="5E9B16F3"/>
    <w:rsid w:val="5EA04F5B"/>
    <w:rsid w:val="5EAA582E"/>
    <w:rsid w:val="5EAC1B52"/>
    <w:rsid w:val="5EB804F7"/>
    <w:rsid w:val="5EB86749"/>
    <w:rsid w:val="5EC0115A"/>
    <w:rsid w:val="5EC455DD"/>
    <w:rsid w:val="5ECB022A"/>
    <w:rsid w:val="5ED2780B"/>
    <w:rsid w:val="5ED30E8D"/>
    <w:rsid w:val="5ED35C98"/>
    <w:rsid w:val="5EDA252D"/>
    <w:rsid w:val="5EDB41E5"/>
    <w:rsid w:val="5EE27322"/>
    <w:rsid w:val="5EE56C45"/>
    <w:rsid w:val="5EE72B8A"/>
    <w:rsid w:val="5EEB4428"/>
    <w:rsid w:val="5EFA0B0F"/>
    <w:rsid w:val="5EFA28BD"/>
    <w:rsid w:val="5F0059FA"/>
    <w:rsid w:val="5F0454EA"/>
    <w:rsid w:val="5F0674B4"/>
    <w:rsid w:val="5F100333"/>
    <w:rsid w:val="5F1020E1"/>
    <w:rsid w:val="5F1A2F60"/>
    <w:rsid w:val="5F2E6A0B"/>
    <w:rsid w:val="5F363573"/>
    <w:rsid w:val="5F3833E6"/>
    <w:rsid w:val="5F406A61"/>
    <w:rsid w:val="5F41229A"/>
    <w:rsid w:val="5F4955F3"/>
    <w:rsid w:val="5F4D50E3"/>
    <w:rsid w:val="5F4E105B"/>
    <w:rsid w:val="5F530220"/>
    <w:rsid w:val="5F593A88"/>
    <w:rsid w:val="5F5D4BFA"/>
    <w:rsid w:val="5F5F6BC4"/>
    <w:rsid w:val="5F610B8F"/>
    <w:rsid w:val="5F6917F1"/>
    <w:rsid w:val="5F6D7533"/>
    <w:rsid w:val="5F742670"/>
    <w:rsid w:val="5F772160"/>
    <w:rsid w:val="5F7E529D"/>
    <w:rsid w:val="5F8403D9"/>
    <w:rsid w:val="5F8605F5"/>
    <w:rsid w:val="5F8A1E93"/>
    <w:rsid w:val="5F8C7892"/>
    <w:rsid w:val="5F93061C"/>
    <w:rsid w:val="5F9677AA"/>
    <w:rsid w:val="5F981E7B"/>
    <w:rsid w:val="5FA10F8B"/>
    <w:rsid w:val="5FA171DD"/>
    <w:rsid w:val="5FB52C88"/>
    <w:rsid w:val="5FB76A00"/>
    <w:rsid w:val="5FB97010"/>
    <w:rsid w:val="5FCB425A"/>
    <w:rsid w:val="5FDA624B"/>
    <w:rsid w:val="5FDF3861"/>
    <w:rsid w:val="5FE13A7D"/>
    <w:rsid w:val="5FE570CA"/>
    <w:rsid w:val="5FE75BC2"/>
    <w:rsid w:val="5FEB0458"/>
    <w:rsid w:val="5FEF7F48"/>
    <w:rsid w:val="5FF10494"/>
    <w:rsid w:val="5FF92B75"/>
    <w:rsid w:val="5FFC5411"/>
    <w:rsid w:val="60017C7C"/>
    <w:rsid w:val="60064219"/>
    <w:rsid w:val="60082DB8"/>
    <w:rsid w:val="600B024A"/>
    <w:rsid w:val="60140503"/>
    <w:rsid w:val="6014175D"/>
    <w:rsid w:val="601531AE"/>
    <w:rsid w:val="6017124D"/>
    <w:rsid w:val="601B2AEB"/>
    <w:rsid w:val="60235301"/>
    <w:rsid w:val="602446D4"/>
    <w:rsid w:val="60251BBC"/>
    <w:rsid w:val="602C4CF9"/>
    <w:rsid w:val="603040BD"/>
    <w:rsid w:val="60310124"/>
    <w:rsid w:val="60340051"/>
    <w:rsid w:val="60343A63"/>
    <w:rsid w:val="60343BAD"/>
    <w:rsid w:val="60367D1F"/>
    <w:rsid w:val="60457B68"/>
    <w:rsid w:val="604638E0"/>
    <w:rsid w:val="60483AFC"/>
    <w:rsid w:val="60522285"/>
    <w:rsid w:val="605576C0"/>
    <w:rsid w:val="6057789C"/>
    <w:rsid w:val="605B738C"/>
    <w:rsid w:val="605E0C2A"/>
    <w:rsid w:val="60655C4A"/>
    <w:rsid w:val="60675917"/>
    <w:rsid w:val="606A7DDE"/>
    <w:rsid w:val="606F2E37"/>
    <w:rsid w:val="60771CEC"/>
    <w:rsid w:val="60795A64"/>
    <w:rsid w:val="60803296"/>
    <w:rsid w:val="60805044"/>
    <w:rsid w:val="608A0F77"/>
    <w:rsid w:val="608A1A1F"/>
    <w:rsid w:val="608F2EE2"/>
    <w:rsid w:val="60932FCA"/>
    <w:rsid w:val="609B70D6"/>
    <w:rsid w:val="609C5C96"/>
    <w:rsid w:val="609D5BF6"/>
    <w:rsid w:val="609E54CA"/>
    <w:rsid w:val="60A52CFD"/>
    <w:rsid w:val="60AC408B"/>
    <w:rsid w:val="60AE1BB1"/>
    <w:rsid w:val="60AF7C3B"/>
    <w:rsid w:val="60C767CF"/>
    <w:rsid w:val="60CC028A"/>
    <w:rsid w:val="60CC2038"/>
    <w:rsid w:val="60DF7FBD"/>
    <w:rsid w:val="60E5134B"/>
    <w:rsid w:val="60E70C20"/>
    <w:rsid w:val="60EC6AD0"/>
    <w:rsid w:val="60F65306"/>
    <w:rsid w:val="60FC2B53"/>
    <w:rsid w:val="61016185"/>
    <w:rsid w:val="61046C4E"/>
    <w:rsid w:val="61070932"/>
    <w:rsid w:val="61146BAF"/>
    <w:rsid w:val="611834CF"/>
    <w:rsid w:val="612956DC"/>
    <w:rsid w:val="612B0641"/>
    <w:rsid w:val="61355E2F"/>
    <w:rsid w:val="61357BDD"/>
    <w:rsid w:val="61406582"/>
    <w:rsid w:val="614147D4"/>
    <w:rsid w:val="6142679E"/>
    <w:rsid w:val="61493688"/>
    <w:rsid w:val="61594F47"/>
    <w:rsid w:val="616109D2"/>
    <w:rsid w:val="61614E76"/>
    <w:rsid w:val="616404C2"/>
    <w:rsid w:val="6166423A"/>
    <w:rsid w:val="616D381B"/>
    <w:rsid w:val="61783AE7"/>
    <w:rsid w:val="61842912"/>
    <w:rsid w:val="61880654"/>
    <w:rsid w:val="61891CD7"/>
    <w:rsid w:val="619012B7"/>
    <w:rsid w:val="61903065"/>
    <w:rsid w:val="61A419B3"/>
    <w:rsid w:val="61A84853"/>
    <w:rsid w:val="61AD3C17"/>
    <w:rsid w:val="61B51D6C"/>
    <w:rsid w:val="61B52ACC"/>
    <w:rsid w:val="61B76844"/>
    <w:rsid w:val="61B96A60"/>
    <w:rsid w:val="61BA27D8"/>
    <w:rsid w:val="61BA4586"/>
    <w:rsid w:val="61BE4076"/>
    <w:rsid w:val="61BF79AE"/>
    <w:rsid w:val="61C133FC"/>
    <w:rsid w:val="61C55405"/>
    <w:rsid w:val="61CB0541"/>
    <w:rsid w:val="61DB4C28"/>
    <w:rsid w:val="61E11B13"/>
    <w:rsid w:val="61E829F1"/>
    <w:rsid w:val="61ED495B"/>
    <w:rsid w:val="61F061FA"/>
    <w:rsid w:val="61F71336"/>
    <w:rsid w:val="62070F6A"/>
    <w:rsid w:val="620A72BB"/>
    <w:rsid w:val="62195750"/>
    <w:rsid w:val="622F6D22"/>
    <w:rsid w:val="623205C0"/>
    <w:rsid w:val="623954AB"/>
    <w:rsid w:val="623F15C0"/>
    <w:rsid w:val="624008D3"/>
    <w:rsid w:val="624014A4"/>
    <w:rsid w:val="62456DC6"/>
    <w:rsid w:val="62467BC8"/>
    <w:rsid w:val="6249622F"/>
    <w:rsid w:val="62595B4D"/>
    <w:rsid w:val="62652744"/>
    <w:rsid w:val="62662018"/>
    <w:rsid w:val="626A1B08"/>
    <w:rsid w:val="626A1E97"/>
    <w:rsid w:val="627666FF"/>
    <w:rsid w:val="62776EE9"/>
    <w:rsid w:val="627961EF"/>
    <w:rsid w:val="627E55B4"/>
    <w:rsid w:val="628506F0"/>
    <w:rsid w:val="62856942"/>
    <w:rsid w:val="628A3147"/>
    <w:rsid w:val="62905318"/>
    <w:rsid w:val="62917095"/>
    <w:rsid w:val="62943029"/>
    <w:rsid w:val="62960B4F"/>
    <w:rsid w:val="629628FD"/>
    <w:rsid w:val="629923ED"/>
    <w:rsid w:val="629D3C8C"/>
    <w:rsid w:val="62A465C7"/>
    <w:rsid w:val="62AC3ECF"/>
    <w:rsid w:val="62B611F1"/>
    <w:rsid w:val="62B752C8"/>
    <w:rsid w:val="62BD60DC"/>
    <w:rsid w:val="62C0797A"/>
    <w:rsid w:val="62C52604"/>
    <w:rsid w:val="62C90F25"/>
    <w:rsid w:val="62D77935"/>
    <w:rsid w:val="62DB4D1F"/>
    <w:rsid w:val="62DE2F31"/>
    <w:rsid w:val="62EA0E9B"/>
    <w:rsid w:val="62EB24E4"/>
    <w:rsid w:val="62EF64B1"/>
    <w:rsid w:val="62F835B8"/>
    <w:rsid w:val="62F85366"/>
    <w:rsid w:val="63084EEC"/>
    <w:rsid w:val="630E2DDB"/>
    <w:rsid w:val="630F1A37"/>
    <w:rsid w:val="631877B6"/>
    <w:rsid w:val="631A52DC"/>
    <w:rsid w:val="6321507E"/>
    <w:rsid w:val="63293771"/>
    <w:rsid w:val="632E2B36"/>
    <w:rsid w:val="633F2F95"/>
    <w:rsid w:val="6344708E"/>
    <w:rsid w:val="634A36E8"/>
    <w:rsid w:val="63503F39"/>
    <w:rsid w:val="63512CC8"/>
    <w:rsid w:val="63604CB9"/>
    <w:rsid w:val="63685C2A"/>
    <w:rsid w:val="636C365E"/>
    <w:rsid w:val="637349EC"/>
    <w:rsid w:val="637569B7"/>
    <w:rsid w:val="637846F9"/>
    <w:rsid w:val="63862972"/>
    <w:rsid w:val="6393508F"/>
    <w:rsid w:val="639D7CBB"/>
    <w:rsid w:val="63A01280"/>
    <w:rsid w:val="63B23B01"/>
    <w:rsid w:val="63C16768"/>
    <w:rsid w:val="63C65464"/>
    <w:rsid w:val="63C811DC"/>
    <w:rsid w:val="63C94F54"/>
    <w:rsid w:val="63CD67F3"/>
    <w:rsid w:val="63DD630A"/>
    <w:rsid w:val="63E47698"/>
    <w:rsid w:val="63E853DA"/>
    <w:rsid w:val="63E92F01"/>
    <w:rsid w:val="63F35B2D"/>
    <w:rsid w:val="63F975E8"/>
    <w:rsid w:val="63FC5AE3"/>
    <w:rsid w:val="640146EE"/>
    <w:rsid w:val="64041AE8"/>
    <w:rsid w:val="64047D3A"/>
    <w:rsid w:val="64063AB3"/>
    <w:rsid w:val="640815D9"/>
    <w:rsid w:val="64176BC2"/>
    <w:rsid w:val="641B1CDA"/>
    <w:rsid w:val="641E4AFE"/>
    <w:rsid w:val="64202DC6"/>
    <w:rsid w:val="64267CB1"/>
    <w:rsid w:val="6429154F"/>
    <w:rsid w:val="64322AF9"/>
    <w:rsid w:val="64373C6C"/>
    <w:rsid w:val="644545DB"/>
    <w:rsid w:val="64466BF9"/>
    <w:rsid w:val="64487C27"/>
    <w:rsid w:val="64552344"/>
    <w:rsid w:val="646619F8"/>
    <w:rsid w:val="646627A3"/>
    <w:rsid w:val="646C6C8B"/>
    <w:rsid w:val="646F3406"/>
    <w:rsid w:val="64721148"/>
    <w:rsid w:val="647527DE"/>
    <w:rsid w:val="647E189B"/>
    <w:rsid w:val="64805613"/>
    <w:rsid w:val="649C7F73"/>
    <w:rsid w:val="649E1F3D"/>
    <w:rsid w:val="64A07A63"/>
    <w:rsid w:val="64B67287"/>
    <w:rsid w:val="64B81251"/>
    <w:rsid w:val="64B90B25"/>
    <w:rsid w:val="64BC23C3"/>
    <w:rsid w:val="64C01EB3"/>
    <w:rsid w:val="64C5396E"/>
    <w:rsid w:val="64CA0F84"/>
    <w:rsid w:val="64D65468"/>
    <w:rsid w:val="64D94D23"/>
    <w:rsid w:val="64DD55CE"/>
    <w:rsid w:val="64E262CE"/>
    <w:rsid w:val="64E75689"/>
    <w:rsid w:val="64EC0EFA"/>
    <w:rsid w:val="64EE6A20"/>
    <w:rsid w:val="64F270AC"/>
    <w:rsid w:val="64F46001"/>
    <w:rsid w:val="65110961"/>
    <w:rsid w:val="651144BD"/>
    <w:rsid w:val="651915C4"/>
    <w:rsid w:val="651D7306"/>
    <w:rsid w:val="65222B6E"/>
    <w:rsid w:val="6522491C"/>
    <w:rsid w:val="652561BA"/>
    <w:rsid w:val="653463FD"/>
    <w:rsid w:val="65353EFA"/>
    <w:rsid w:val="653A1C66"/>
    <w:rsid w:val="65401246"/>
    <w:rsid w:val="65491EA9"/>
    <w:rsid w:val="654A79CF"/>
    <w:rsid w:val="65521AC0"/>
    <w:rsid w:val="65622F6B"/>
    <w:rsid w:val="65626DAD"/>
    <w:rsid w:val="65640A91"/>
    <w:rsid w:val="656B62C3"/>
    <w:rsid w:val="65705687"/>
    <w:rsid w:val="65764C68"/>
    <w:rsid w:val="6578453C"/>
    <w:rsid w:val="657A02FC"/>
    <w:rsid w:val="65801643"/>
    <w:rsid w:val="65847385"/>
    <w:rsid w:val="658911AC"/>
    <w:rsid w:val="658C7FE7"/>
    <w:rsid w:val="659163EA"/>
    <w:rsid w:val="65921C11"/>
    <w:rsid w:val="659770B8"/>
    <w:rsid w:val="65B732B6"/>
    <w:rsid w:val="65B80DDC"/>
    <w:rsid w:val="65BD2897"/>
    <w:rsid w:val="65C14135"/>
    <w:rsid w:val="65C37EAD"/>
    <w:rsid w:val="65C47E2B"/>
    <w:rsid w:val="65CE6852"/>
    <w:rsid w:val="65D774B5"/>
    <w:rsid w:val="65DD6A95"/>
    <w:rsid w:val="65E10333"/>
    <w:rsid w:val="65EE0CA2"/>
    <w:rsid w:val="65F71905"/>
    <w:rsid w:val="65FA31A3"/>
    <w:rsid w:val="65FE7137"/>
    <w:rsid w:val="66061B48"/>
    <w:rsid w:val="66091638"/>
    <w:rsid w:val="660F30F2"/>
    <w:rsid w:val="66106E6A"/>
    <w:rsid w:val="66171FA7"/>
    <w:rsid w:val="66173D55"/>
    <w:rsid w:val="661752CB"/>
    <w:rsid w:val="661922A3"/>
    <w:rsid w:val="661A1A97"/>
    <w:rsid w:val="6626043C"/>
    <w:rsid w:val="662817F5"/>
    <w:rsid w:val="662D17CA"/>
    <w:rsid w:val="662F5543"/>
    <w:rsid w:val="66315729"/>
    <w:rsid w:val="66320B8F"/>
    <w:rsid w:val="663C2940"/>
    <w:rsid w:val="66415276"/>
    <w:rsid w:val="664408C2"/>
    <w:rsid w:val="66486604"/>
    <w:rsid w:val="665662B2"/>
    <w:rsid w:val="66666A8A"/>
    <w:rsid w:val="666B5E4F"/>
    <w:rsid w:val="666E5281"/>
    <w:rsid w:val="66774BB5"/>
    <w:rsid w:val="667967BE"/>
    <w:rsid w:val="667968C4"/>
    <w:rsid w:val="667A42E4"/>
    <w:rsid w:val="66815672"/>
    <w:rsid w:val="66855163"/>
    <w:rsid w:val="66860EDB"/>
    <w:rsid w:val="6698278F"/>
    <w:rsid w:val="66990C0E"/>
    <w:rsid w:val="669D090A"/>
    <w:rsid w:val="669F17D2"/>
    <w:rsid w:val="66A650D9"/>
    <w:rsid w:val="66AA2E1B"/>
    <w:rsid w:val="66AD46B9"/>
    <w:rsid w:val="66C0619B"/>
    <w:rsid w:val="66C13CC1"/>
    <w:rsid w:val="66C537B1"/>
    <w:rsid w:val="66CD4D5B"/>
    <w:rsid w:val="66D32372"/>
    <w:rsid w:val="66D87988"/>
    <w:rsid w:val="66D9725C"/>
    <w:rsid w:val="66DE2AC5"/>
    <w:rsid w:val="66E0683F"/>
    <w:rsid w:val="66E14363"/>
    <w:rsid w:val="66E71979"/>
    <w:rsid w:val="66F45039"/>
    <w:rsid w:val="6704102E"/>
    <w:rsid w:val="670544F5"/>
    <w:rsid w:val="670E33AA"/>
    <w:rsid w:val="671604B0"/>
    <w:rsid w:val="67185FD7"/>
    <w:rsid w:val="671E2F03"/>
    <w:rsid w:val="672229B1"/>
    <w:rsid w:val="6727446C"/>
    <w:rsid w:val="67281F92"/>
    <w:rsid w:val="672A7AB8"/>
    <w:rsid w:val="672E216A"/>
    <w:rsid w:val="67303BF3"/>
    <w:rsid w:val="67351F0A"/>
    <w:rsid w:val="67446DCC"/>
    <w:rsid w:val="67492634"/>
    <w:rsid w:val="674943E2"/>
    <w:rsid w:val="674C3ED2"/>
    <w:rsid w:val="675039C2"/>
    <w:rsid w:val="676236F6"/>
    <w:rsid w:val="676D6350"/>
    <w:rsid w:val="676E209B"/>
    <w:rsid w:val="67746F85"/>
    <w:rsid w:val="67786A75"/>
    <w:rsid w:val="677D0530"/>
    <w:rsid w:val="677D22DE"/>
    <w:rsid w:val="677F7E04"/>
    <w:rsid w:val="67851192"/>
    <w:rsid w:val="678673E4"/>
    <w:rsid w:val="6787315C"/>
    <w:rsid w:val="67892A30"/>
    <w:rsid w:val="678A728B"/>
    <w:rsid w:val="678B49FB"/>
    <w:rsid w:val="67900263"/>
    <w:rsid w:val="67917B37"/>
    <w:rsid w:val="67955879"/>
    <w:rsid w:val="679D028A"/>
    <w:rsid w:val="679F4002"/>
    <w:rsid w:val="67A26C35"/>
    <w:rsid w:val="67A27F96"/>
    <w:rsid w:val="67A41555"/>
    <w:rsid w:val="67A71109"/>
    <w:rsid w:val="67A96C2F"/>
    <w:rsid w:val="67AE4A8E"/>
    <w:rsid w:val="67AE693B"/>
    <w:rsid w:val="67C577E1"/>
    <w:rsid w:val="67C717AB"/>
    <w:rsid w:val="67C95523"/>
    <w:rsid w:val="67CC0B6F"/>
    <w:rsid w:val="67D068B1"/>
    <w:rsid w:val="67D22629"/>
    <w:rsid w:val="67D3481C"/>
    <w:rsid w:val="67DB6DB5"/>
    <w:rsid w:val="67E22141"/>
    <w:rsid w:val="67E759A9"/>
    <w:rsid w:val="67EC2FBF"/>
    <w:rsid w:val="67F24A7A"/>
    <w:rsid w:val="67F26828"/>
    <w:rsid w:val="67F63DD5"/>
    <w:rsid w:val="67F73E3E"/>
    <w:rsid w:val="67FB68A8"/>
    <w:rsid w:val="67FC0E95"/>
    <w:rsid w:val="680229CA"/>
    <w:rsid w:val="68091DC3"/>
    <w:rsid w:val="680B5B3B"/>
    <w:rsid w:val="680D3662"/>
    <w:rsid w:val="681D3FA7"/>
    <w:rsid w:val="682775BD"/>
    <w:rsid w:val="68287091"/>
    <w:rsid w:val="683706DE"/>
    <w:rsid w:val="683A01CF"/>
    <w:rsid w:val="683E7CBF"/>
    <w:rsid w:val="6844104D"/>
    <w:rsid w:val="684921C0"/>
    <w:rsid w:val="684A0885"/>
    <w:rsid w:val="684E5A28"/>
    <w:rsid w:val="68580655"/>
    <w:rsid w:val="68594AF9"/>
    <w:rsid w:val="685F19E3"/>
    <w:rsid w:val="68725BBA"/>
    <w:rsid w:val="687C2595"/>
    <w:rsid w:val="6884144A"/>
    <w:rsid w:val="68860257"/>
    <w:rsid w:val="6888718C"/>
    <w:rsid w:val="688D0763"/>
    <w:rsid w:val="688E2782"/>
    <w:rsid w:val="688E4077"/>
    <w:rsid w:val="689773CF"/>
    <w:rsid w:val="689A0C6D"/>
    <w:rsid w:val="68AD09A1"/>
    <w:rsid w:val="68B910F3"/>
    <w:rsid w:val="68BB130F"/>
    <w:rsid w:val="68BB5C1D"/>
    <w:rsid w:val="68BE2BAE"/>
    <w:rsid w:val="68BE6ED2"/>
    <w:rsid w:val="68D221B5"/>
    <w:rsid w:val="68D37224"/>
    <w:rsid w:val="68D91796"/>
    <w:rsid w:val="68DB3760"/>
    <w:rsid w:val="68DB72BC"/>
    <w:rsid w:val="68DC1286"/>
    <w:rsid w:val="68DC2549"/>
    <w:rsid w:val="68E24AEE"/>
    <w:rsid w:val="68E51EE8"/>
    <w:rsid w:val="68E85E7D"/>
    <w:rsid w:val="68E968D7"/>
    <w:rsid w:val="68EF720B"/>
    <w:rsid w:val="68F0088D"/>
    <w:rsid w:val="68F42334"/>
    <w:rsid w:val="68F93BE6"/>
    <w:rsid w:val="68F949C9"/>
    <w:rsid w:val="690031C6"/>
    <w:rsid w:val="690920EE"/>
    <w:rsid w:val="690B56C7"/>
    <w:rsid w:val="69140A20"/>
    <w:rsid w:val="691B590A"/>
    <w:rsid w:val="691C1682"/>
    <w:rsid w:val="691E2BE3"/>
    <w:rsid w:val="6922138F"/>
    <w:rsid w:val="69252C2D"/>
    <w:rsid w:val="692D1AE1"/>
    <w:rsid w:val="693C3AD3"/>
    <w:rsid w:val="693C4AF6"/>
    <w:rsid w:val="693E0D04"/>
    <w:rsid w:val="693E3CEF"/>
    <w:rsid w:val="693E5A9D"/>
    <w:rsid w:val="693F103A"/>
    <w:rsid w:val="69401815"/>
    <w:rsid w:val="694110E9"/>
    <w:rsid w:val="6945507D"/>
    <w:rsid w:val="69456E2B"/>
    <w:rsid w:val="694A2DE1"/>
    <w:rsid w:val="694F7CAA"/>
    <w:rsid w:val="69564B94"/>
    <w:rsid w:val="6958090C"/>
    <w:rsid w:val="695D5F23"/>
    <w:rsid w:val="696574CD"/>
    <w:rsid w:val="69717C20"/>
    <w:rsid w:val="69790883"/>
    <w:rsid w:val="697B0A9F"/>
    <w:rsid w:val="697D4817"/>
    <w:rsid w:val="6987040B"/>
    <w:rsid w:val="69877444"/>
    <w:rsid w:val="698C2CAC"/>
    <w:rsid w:val="698C57EB"/>
    <w:rsid w:val="69913E1E"/>
    <w:rsid w:val="69960A57"/>
    <w:rsid w:val="699B4C9D"/>
    <w:rsid w:val="69AC0C58"/>
    <w:rsid w:val="69AE677E"/>
    <w:rsid w:val="69C2222A"/>
    <w:rsid w:val="69C26D7F"/>
    <w:rsid w:val="69CA1610"/>
    <w:rsid w:val="69CB37D4"/>
    <w:rsid w:val="69D11D91"/>
    <w:rsid w:val="69DF4B8A"/>
    <w:rsid w:val="69E76134"/>
    <w:rsid w:val="69E90652"/>
    <w:rsid w:val="69E93C5A"/>
    <w:rsid w:val="6A03740A"/>
    <w:rsid w:val="6A040A94"/>
    <w:rsid w:val="6A0665BA"/>
    <w:rsid w:val="6A0C7949"/>
    <w:rsid w:val="6A1679FB"/>
    <w:rsid w:val="6A1725CC"/>
    <w:rsid w:val="6A18009C"/>
    <w:rsid w:val="6A1C5DDE"/>
    <w:rsid w:val="6A3273AF"/>
    <w:rsid w:val="6A366774"/>
    <w:rsid w:val="6A3813C5"/>
    <w:rsid w:val="6A3A6264"/>
    <w:rsid w:val="6A3F2546"/>
    <w:rsid w:val="6A3F7D1E"/>
    <w:rsid w:val="6A4357FD"/>
    <w:rsid w:val="6A4B784D"/>
    <w:rsid w:val="6A61023C"/>
    <w:rsid w:val="6A647785"/>
    <w:rsid w:val="6A6634FD"/>
    <w:rsid w:val="6A6B0B13"/>
    <w:rsid w:val="6A723C50"/>
    <w:rsid w:val="6A7554EE"/>
    <w:rsid w:val="6A8614A9"/>
    <w:rsid w:val="6A883473"/>
    <w:rsid w:val="6A8B3EED"/>
    <w:rsid w:val="6A972321"/>
    <w:rsid w:val="6A9A4F55"/>
    <w:rsid w:val="6A9C2A7B"/>
    <w:rsid w:val="6A9F07BD"/>
    <w:rsid w:val="6AA638F9"/>
    <w:rsid w:val="6AA87672"/>
    <w:rsid w:val="6AB204F0"/>
    <w:rsid w:val="6AB2229E"/>
    <w:rsid w:val="6AC02C0D"/>
    <w:rsid w:val="6ACA3A8C"/>
    <w:rsid w:val="6ACB3360"/>
    <w:rsid w:val="6ACD0E86"/>
    <w:rsid w:val="6ACD70D8"/>
    <w:rsid w:val="6AD40467"/>
    <w:rsid w:val="6AD9782B"/>
    <w:rsid w:val="6ADA17F5"/>
    <w:rsid w:val="6ADE12E5"/>
    <w:rsid w:val="6ADF0BB9"/>
    <w:rsid w:val="6AE211A8"/>
    <w:rsid w:val="6AE368FC"/>
    <w:rsid w:val="6AED32D6"/>
    <w:rsid w:val="6AF93500"/>
    <w:rsid w:val="6AFE3735"/>
    <w:rsid w:val="6B015D55"/>
    <w:rsid w:val="6B032AFA"/>
    <w:rsid w:val="6B036F9E"/>
    <w:rsid w:val="6B077B04"/>
    <w:rsid w:val="6B0D3978"/>
    <w:rsid w:val="6B19231D"/>
    <w:rsid w:val="6B1E16E2"/>
    <w:rsid w:val="6B23319C"/>
    <w:rsid w:val="6B2D401B"/>
    <w:rsid w:val="6B364C7D"/>
    <w:rsid w:val="6B413622"/>
    <w:rsid w:val="6B453112"/>
    <w:rsid w:val="6B482C03"/>
    <w:rsid w:val="6B5477F9"/>
    <w:rsid w:val="6B5E1ED2"/>
    <w:rsid w:val="6B6006A3"/>
    <w:rsid w:val="6B681331"/>
    <w:rsid w:val="6B737C7F"/>
    <w:rsid w:val="6B79100E"/>
    <w:rsid w:val="6B7E6644"/>
    <w:rsid w:val="6B824366"/>
    <w:rsid w:val="6B8E2D0B"/>
    <w:rsid w:val="6B961BC0"/>
    <w:rsid w:val="6B972BC2"/>
    <w:rsid w:val="6B9C080D"/>
    <w:rsid w:val="6BA0659B"/>
    <w:rsid w:val="6BA77929"/>
    <w:rsid w:val="6BAD11F4"/>
    <w:rsid w:val="6BAF2C82"/>
    <w:rsid w:val="6BAF4A30"/>
    <w:rsid w:val="6BB81397"/>
    <w:rsid w:val="6BBA6682"/>
    <w:rsid w:val="6BC009EB"/>
    <w:rsid w:val="6BC02799"/>
    <w:rsid w:val="6BC350F9"/>
    <w:rsid w:val="6BC4672D"/>
    <w:rsid w:val="6BCA3618"/>
    <w:rsid w:val="6BCC3834"/>
    <w:rsid w:val="6BCC7390"/>
    <w:rsid w:val="6BD36970"/>
    <w:rsid w:val="6BD61FBC"/>
    <w:rsid w:val="6BDE05C0"/>
    <w:rsid w:val="6BE50451"/>
    <w:rsid w:val="6BF6265F"/>
    <w:rsid w:val="6BF6440D"/>
    <w:rsid w:val="6BFB5EC7"/>
    <w:rsid w:val="6C0528A2"/>
    <w:rsid w:val="6C066D46"/>
    <w:rsid w:val="6C16445B"/>
    <w:rsid w:val="6C180827"/>
    <w:rsid w:val="6C2076DB"/>
    <w:rsid w:val="6C2216A6"/>
    <w:rsid w:val="6C243696"/>
    <w:rsid w:val="6C296590"/>
    <w:rsid w:val="6C305B70"/>
    <w:rsid w:val="6C360CAD"/>
    <w:rsid w:val="6C3D028D"/>
    <w:rsid w:val="6C53185F"/>
    <w:rsid w:val="6C5C4BB7"/>
    <w:rsid w:val="6C5D26DE"/>
    <w:rsid w:val="6C5D448C"/>
    <w:rsid w:val="6C613F7C"/>
    <w:rsid w:val="6C6B706C"/>
    <w:rsid w:val="6C6D2921"/>
    <w:rsid w:val="6C711CE5"/>
    <w:rsid w:val="6C733CAF"/>
    <w:rsid w:val="6C7F08A6"/>
    <w:rsid w:val="6C8079C0"/>
    <w:rsid w:val="6C88775B"/>
    <w:rsid w:val="6C8E6D3B"/>
    <w:rsid w:val="6C9C6D62"/>
    <w:rsid w:val="6CA1081C"/>
    <w:rsid w:val="6CA16CF9"/>
    <w:rsid w:val="6CA34594"/>
    <w:rsid w:val="6CA420BB"/>
    <w:rsid w:val="6CA67BE1"/>
    <w:rsid w:val="6CAA4BFA"/>
    <w:rsid w:val="6CAE6A95"/>
    <w:rsid w:val="6CBC5656"/>
    <w:rsid w:val="6CC85DA9"/>
    <w:rsid w:val="6CCB213B"/>
    <w:rsid w:val="6CCD7863"/>
    <w:rsid w:val="6CCE0EE6"/>
    <w:rsid w:val="6CD429A0"/>
    <w:rsid w:val="6CD56718"/>
    <w:rsid w:val="6CDB65B5"/>
    <w:rsid w:val="6CDF1345"/>
    <w:rsid w:val="6CE32BE3"/>
    <w:rsid w:val="6CE626D3"/>
    <w:rsid w:val="6CE64481"/>
    <w:rsid w:val="6CE95D1F"/>
    <w:rsid w:val="6CFA59CE"/>
    <w:rsid w:val="6D013069"/>
    <w:rsid w:val="6D045B43"/>
    <w:rsid w:val="6D062D75"/>
    <w:rsid w:val="6D081AF7"/>
    <w:rsid w:val="6D0D3E9C"/>
    <w:rsid w:val="6D0E5786"/>
    <w:rsid w:val="6D176247"/>
    <w:rsid w:val="6D1E00BF"/>
    <w:rsid w:val="6D235680"/>
    <w:rsid w:val="6D2372E0"/>
    <w:rsid w:val="6D2F407A"/>
    <w:rsid w:val="6D327BD5"/>
    <w:rsid w:val="6D347A79"/>
    <w:rsid w:val="6D371181"/>
    <w:rsid w:val="6D3A657B"/>
    <w:rsid w:val="6D3E606B"/>
    <w:rsid w:val="6D400035"/>
    <w:rsid w:val="6D444373"/>
    <w:rsid w:val="6D5238C5"/>
    <w:rsid w:val="6D5D0BE7"/>
    <w:rsid w:val="6D5D5725"/>
    <w:rsid w:val="6D602485"/>
    <w:rsid w:val="6D606D8F"/>
    <w:rsid w:val="6D632F47"/>
    <w:rsid w:val="6D6C2BD8"/>
    <w:rsid w:val="6D8343C6"/>
    <w:rsid w:val="6D8819DC"/>
    <w:rsid w:val="6D8C5028"/>
    <w:rsid w:val="6D8D2B4F"/>
    <w:rsid w:val="6D8E1C0D"/>
    <w:rsid w:val="6D8F2D6B"/>
    <w:rsid w:val="6D9D7236"/>
    <w:rsid w:val="6DA2484C"/>
    <w:rsid w:val="6DA46816"/>
    <w:rsid w:val="6DA57E98"/>
    <w:rsid w:val="6DB63E53"/>
    <w:rsid w:val="6DD15131"/>
    <w:rsid w:val="6DD30EA9"/>
    <w:rsid w:val="6DD54C21"/>
    <w:rsid w:val="6DD644F6"/>
    <w:rsid w:val="6DDA1BDC"/>
    <w:rsid w:val="6DDB5FB0"/>
    <w:rsid w:val="6DDB7D5E"/>
    <w:rsid w:val="6DE76703"/>
    <w:rsid w:val="6DE85FD7"/>
    <w:rsid w:val="6DF22241"/>
    <w:rsid w:val="6DF978A1"/>
    <w:rsid w:val="6DFB0400"/>
    <w:rsid w:val="6DFD23DD"/>
    <w:rsid w:val="6DFE07F7"/>
    <w:rsid w:val="6E053030"/>
    <w:rsid w:val="6E080427"/>
    <w:rsid w:val="6E13574A"/>
    <w:rsid w:val="6E1A0886"/>
    <w:rsid w:val="6E226CEA"/>
    <w:rsid w:val="6E2A5F5A"/>
    <w:rsid w:val="6E2E4332"/>
    <w:rsid w:val="6E315BD0"/>
    <w:rsid w:val="6E337B9A"/>
    <w:rsid w:val="6E34121C"/>
    <w:rsid w:val="6E405E13"/>
    <w:rsid w:val="6E4D6123"/>
    <w:rsid w:val="6E645F9C"/>
    <w:rsid w:val="6E737F96"/>
    <w:rsid w:val="6E761835"/>
    <w:rsid w:val="6E7B2237"/>
    <w:rsid w:val="6E7F16D1"/>
    <w:rsid w:val="6E8757F0"/>
    <w:rsid w:val="6E8E3022"/>
    <w:rsid w:val="6E8F7888"/>
    <w:rsid w:val="6E91041D"/>
    <w:rsid w:val="6E930639"/>
    <w:rsid w:val="6E970129"/>
    <w:rsid w:val="6E9C129B"/>
    <w:rsid w:val="6E9F2B3A"/>
    <w:rsid w:val="6EA2262A"/>
    <w:rsid w:val="6EA42846"/>
    <w:rsid w:val="6EA445F4"/>
    <w:rsid w:val="6EA75E92"/>
    <w:rsid w:val="6EA97E5C"/>
    <w:rsid w:val="6EAC5256"/>
    <w:rsid w:val="6EAD16FA"/>
    <w:rsid w:val="6EB72579"/>
    <w:rsid w:val="6EBA5BC5"/>
    <w:rsid w:val="6EC407F2"/>
    <w:rsid w:val="6EC66318"/>
    <w:rsid w:val="6EC922AC"/>
    <w:rsid w:val="6EC95E08"/>
    <w:rsid w:val="6ED44ED9"/>
    <w:rsid w:val="6ED63BF7"/>
    <w:rsid w:val="6EE64C0C"/>
    <w:rsid w:val="6EE67581"/>
    <w:rsid w:val="6EED5F9B"/>
    <w:rsid w:val="6EF758B3"/>
    <w:rsid w:val="6EFF2D31"/>
    <w:rsid w:val="6F0830DB"/>
    <w:rsid w:val="6F0B6421"/>
    <w:rsid w:val="6F1A48B6"/>
    <w:rsid w:val="6F1C418A"/>
    <w:rsid w:val="6F282B2F"/>
    <w:rsid w:val="6F2B261F"/>
    <w:rsid w:val="6F321C00"/>
    <w:rsid w:val="6F335D4E"/>
    <w:rsid w:val="6F386628"/>
    <w:rsid w:val="6F3B6D06"/>
    <w:rsid w:val="6F481423"/>
    <w:rsid w:val="6F4F169B"/>
    <w:rsid w:val="6F4F27B2"/>
    <w:rsid w:val="6F4F625A"/>
    <w:rsid w:val="6F60051B"/>
    <w:rsid w:val="6F667AFB"/>
    <w:rsid w:val="6F6A75EB"/>
    <w:rsid w:val="6F742218"/>
    <w:rsid w:val="6F751AEC"/>
    <w:rsid w:val="6F764E63"/>
    <w:rsid w:val="6F771D08"/>
    <w:rsid w:val="6F8F2B24"/>
    <w:rsid w:val="6F907CB4"/>
    <w:rsid w:val="6F946416"/>
    <w:rsid w:val="6FA523D2"/>
    <w:rsid w:val="6FAA3E8C"/>
    <w:rsid w:val="6FAF4FFE"/>
    <w:rsid w:val="6FAF6FC6"/>
    <w:rsid w:val="6FB940CF"/>
    <w:rsid w:val="6FC14D32"/>
    <w:rsid w:val="6FCA1E38"/>
    <w:rsid w:val="6FCB6256"/>
    <w:rsid w:val="6FCD1928"/>
    <w:rsid w:val="6FCD7568"/>
    <w:rsid w:val="6FD8191A"/>
    <w:rsid w:val="6FD827A7"/>
    <w:rsid w:val="6FDC1B6B"/>
    <w:rsid w:val="6FDE7692"/>
    <w:rsid w:val="6FE0165C"/>
    <w:rsid w:val="6FE64E45"/>
    <w:rsid w:val="6FF11ABB"/>
    <w:rsid w:val="6FF62C2D"/>
    <w:rsid w:val="6FF84BF7"/>
    <w:rsid w:val="700F5A14"/>
    <w:rsid w:val="70161521"/>
    <w:rsid w:val="70205EFC"/>
    <w:rsid w:val="70251764"/>
    <w:rsid w:val="70261A56"/>
    <w:rsid w:val="70271038"/>
    <w:rsid w:val="70294DB1"/>
    <w:rsid w:val="702C2AF3"/>
    <w:rsid w:val="7033515A"/>
    <w:rsid w:val="7036706F"/>
    <w:rsid w:val="70390D6C"/>
    <w:rsid w:val="70414666"/>
    <w:rsid w:val="704C6CF1"/>
    <w:rsid w:val="7052351B"/>
    <w:rsid w:val="7056191E"/>
    <w:rsid w:val="705C33D8"/>
    <w:rsid w:val="705F07D2"/>
    <w:rsid w:val="705F4C76"/>
    <w:rsid w:val="70652068"/>
    <w:rsid w:val="706E310B"/>
    <w:rsid w:val="70827064"/>
    <w:rsid w:val="70837671"/>
    <w:rsid w:val="70840239"/>
    <w:rsid w:val="7084648B"/>
    <w:rsid w:val="708741CD"/>
    <w:rsid w:val="708A15C7"/>
    <w:rsid w:val="708B5A6B"/>
    <w:rsid w:val="708E730A"/>
    <w:rsid w:val="70903082"/>
    <w:rsid w:val="70926DFA"/>
    <w:rsid w:val="70952446"/>
    <w:rsid w:val="70981F36"/>
    <w:rsid w:val="709A3F00"/>
    <w:rsid w:val="709D754D"/>
    <w:rsid w:val="70A628A5"/>
    <w:rsid w:val="70A66401"/>
    <w:rsid w:val="70AC59E2"/>
    <w:rsid w:val="70B7060E"/>
    <w:rsid w:val="70BF3967"/>
    <w:rsid w:val="70C1148D"/>
    <w:rsid w:val="70C26FB3"/>
    <w:rsid w:val="70C60851"/>
    <w:rsid w:val="70C64CF5"/>
    <w:rsid w:val="70C66AA3"/>
    <w:rsid w:val="70C82A0E"/>
    <w:rsid w:val="70CB230C"/>
    <w:rsid w:val="70DF1913"/>
    <w:rsid w:val="70E60EF4"/>
    <w:rsid w:val="70EA5B0A"/>
    <w:rsid w:val="70EC18B8"/>
    <w:rsid w:val="70F058CE"/>
    <w:rsid w:val="70F13495"/>
    <w:rsid w:val="70F22A8A"/>
    <w:rsid w:val="70F24EA2"/>
    <w:rsid w:val="70F80C27"/>
    <w:rsid w:val="70F97434"/>
    <w:rsid w:val="70FF3D63"/>
    <w:rsid w:val="710650F2"/>
    <w:rsid w:val="710B095A"/>
    <w:rsid w:val="71211F2C"/>
    <w:rsid w:val="71285068"/>
    <w:rsid w:val="712E4FB4"/>
    <w:rsid w:val="713A4D9B"/>
    <w:rsid w:val="713C6D66"/>
    <w:rsid w:val="71445C1A"/>
    <w:rsid w:val="7148570A"/>
    <w:rsid w:val="71494FDF"/>
    <w:rsid w:val="714A76D4"/>
    <w:rsid w:val="714D2D21"/>
    <w:rsid w:val="71600CA6"/>
    <w:rsid w:val="71687B5B"/>
    <w:rsid w:val="716B31A7"/>
    <w:rsid w:val="71711F77"/>
    <w:rsid w:val="71880C5D"/>
    <w:rsid w:val="71883D59"/>
    <w:rsid w:val="718A38DB"/>
    <w:rsid w:val="71995F66"/>
    <w:rsid w:val="71A52B5D"/>
    <w:rsid w:val="71AF12E6"/>
    <w:rsid w:val="71AF7537"/>
    <w:rsid w:val="71B40FF2"/>
    <w:rsid w:val="71BB4108"/>
    <w:rsid w:val="71BC7CD8"/>
    <w:rsid w:val="71C34D91"/>
    <w:rsid w:val="71C4646A"/>
    <w:rsid w:val="71CA25C3"/>
    <w:rsid w:val="71D2144C"/>
    <w:rsid w:val="71D43A7B"/>
    <w:rsid w:val="71D7083C"/>
    <w:rsid w:val="71DC5B81"/>
    <w:rsid w:val="71E116BB"/>
    <w:rsid w:val="71E573FD"/>
    <w:rsid w:val="71F907B3"/>
    <w:rsid w:val="71FA4908"/>
    <w:rsid w:val="71FC02A3"/>
    <w:rsid w:val="71FE04BF"/>
    <w:rsid w:val="72035AD5"/>
    <w:rsid w:val="72127AC6"/>
    <w:rsid w:val="721B4BCD"/>
    <w:rsid w:val="721D0945"/>
    <w:rsid w:val="72201995"/>
    <w:rsid w:val="72227D09"/>
    <w:rsid w:val="722D13D1"/>
    <w:rsid w:val="7237471D"/>
    <w:rsid w:val="723B526F"/>
    <w:rsid w:val="723B701D"/>
    <w:rsid w:val="7243786C"/>
    <w:rsid w:val="72457E9C"/>
    <w:rsid w:val="724834E8"/>
    <w:rsid w:val="724A7260"/>
    <w:rsid w:val="724C4D86"/>
    <w:rsid w:val="7250570D"/>
    <w:rsid w:val="726227FC"/>
    <w:rsid w:val="7263685F"/>
    <w:rsid w:val="726A42FE"/>
    <w:rsid w:val="727A4288"/>
    <w:rsid w:val="727D3192"/>
    <w:rsid w:val="727E6F0A"/>
    <w:rsid w:val="72842772"/>
    <w:rsid w:val="72895FDA"/>
    <w:rsid w:val="728A3B01"/>
    <w:rsid w:val="728E1843"/>
    <w:rsid w:val="72911648"/>
    <w:rsid w:val="729136D9"/>
    <w:rsid w:val="72914E8F"/>
    <w:rsid w:val="72966949"/>
    <w:rsid w:val="729A1F96"/>
    <w:rsid w:val="729F135A"/>
    <w:rsid w:val="72A2709C"/>
    <w:rsid w:val="72A37CB3"/>
    <w:rsid w:val="72AA7CFF"/>
    <w:rsid w:val="72B008FF"/>
    <w:rsid w:val="72B34E05"/>
    <w:rsid w:val="72B52BE0"/>
    <w:rsid w:val="72B55021"/>
    <w:rsid w:val="72B646C5"/>
    <w:rsid w:val="72BB754C"/>
    <w:rsid w:val="72C2171B"/>
    <w:rsid w:val="72C2329A"/>
    <w:rsid w:val="72C45265"/>
    <w:rsid w:val="72C74D55"/>
    <w:rsid w:val="72CC5EC7"/>
    <w:rsid w:val="72CE412A"/>
    <w:rsid w:val="72D336FA"/>
    <w:rsid w:val="72E00DBC"/>
    <w:rsid w:val="72E17BC5"/>
    <w:rsid w:val="72EC0317"/>
    <w:rsid w:val="72EC1B47"/>
    <w:rsid w:val="72F441DB"/>
    <w:rsid w:val="73012015"/>
    <w:rsid w:val="7306762B"/>
    <w:rsid w:val="730F1A46"/>
    <w:rsid w:val="731004AA"/>
    <w:rsid w:val="731955B0"/>
    <w:rsid w:val="731C3AC5"/>
    <w:rsid w:val="73216213"/>
    <w:rsid w:val="73217FC1"/>
    <w:rsid w:val="73246E8B"/>
    <w:rsid w:val="732857F3"/>
    <w:rsid w:val="732B4BF8"/>
    <w:rsid w:val="733166AE"/>
    <w:rsid w:val="733650F3"/>
    <w:rsid w:val="73393078"/>
    <w:rsid w:val="733C7230"/>
    <w:rsid w:val="733F48EB"/>
    <w:rsid w:val="73411B0D"/>
    <w:rsid w:val="734737A0"/>
    <w:rsid w:val="73504D4A"/>
    <w:rsid w:val="7352461E"/>
    <w:rsid w:val="735465E8"/>
    <w:rsid w:val="7366631C"/>
    <w:rsid w:val="736A5E0C"/>
    <w:rsid w:val="73791F5F"/>
    <w:rsid w:val="737A1DC7"/>
    <w:rsid w:val="737C169B"/>
    <w:rsid w:val="737E5413"/>
    <w:rsid w:val="73832A2A"/>
    <w:rsid w:val="73836ECE"/>
    <w:rsid w:val="73861D97"/>
    <w:rsid w:val="738844E4"/>
    <w:rsid w:val="739015EB"/>
    <w:rsid w:val="73A155A6"/>
    <w:rsid w:val="73A34E7A"/>
    <w:rsid w:val="73AF2DAD"/>
    <w:rsid w:val="73B52DFF"/>
    <w:rsid w:val="73BF77DA"/>
    <w:rsid w:val="73C03C7E"/>
    <w:rsid w:val="73C3376E"/>
    <w:rsid w:val="73C60B68"/>
    <w:rsid w:val="73C66DBA"/>
    <w:rsid w:val="73CA68AB"/>
    <w:rsid w:val="73CF5C6F"/>
    <w:rsid w:val="73D43285"/>
    <w:rsid w:val="73D541D6"/>
    <w:rsid w:val="73D56FFD"/>
    <w:rsid w:val="73D94A1D"/>
    <w:rsid w:val="73D94D40"/>
    <w:rsid w:val="73DC038C"/>
    <w:rsid w:val="73F05BE5"/>
    <w:rsid w:val="73FE0302"/>
    <w:rsid w:val="74026044"/>
    <w:rsid w:val="74055B35"/>
    <w:rsid w:val="74085625"/>
    <w:rsid w:val="740A6CA7"/>
    <w:rsid w:val="740D2C3B"/>
    <w:rsid w:val="740F250F"/>
    <w:rsid w:val="74141576"/>
    <w:rsid w:val="74185868"/>
    <w:rsid w:val="74257F85"/>
    <w:rsid w:val="74302FBF"/>
    <w:rsid w:val="743B3304"/>
    <w:rsid w:val="743F175E"/>
    <w:rsid w:val="7440091B"/>
    <w:rsid w:val="744A2CB4"/>
    <w:rsid w:val="744F3FDE"/>
    <w:rsid w:val="745919DD"/>
    <w:rsid w:val="745B39A7"/>
    <w:rsid w:val="74600FBD"/>
    <w:rsid w:val="74625AA0"/>
    <w:rsid w:val="7463285B"/>
    <w:rsid w:val="746740F9"/>
    <w:rsid w:val="746A5998"/>
    <w:rsid w:val="746D7236"/>
    <w:rsid w:val="74732A9E"/>
    <w:rsid w:val="747D391D"/>
    <w:rsid w:val="747D56CB"/>
    <w:rsid w:val="74806F69"/>
    <w:rsid w:val="74812E10"/>
    <w:rsid w:val="748A603A"/>
    <w:rsid w:val="748C590E"/>
    <w:rsid w:val="74942A15"/>
    <w:rsid w:val="74956EB9"/>
    <w:rsid w:val="74962C31"/>
    <w:rsid w:val="749C2AA6"/>
    <w:rsid w:val="749F1AE5"/>
    <w:rsid w:val="74A40DE6"/>
    <w:rsid w:val="74A4534E"/>
    <w:rsid w:val="74AA048A"/>
    <w:rsid w:val="74AC4202"/>
    <w:rsid w:val="74AC7D5E"/>
    <w:rsid w:val="74B65081"/>
    <w:rsid w:val="74B758BB"/>
    <w:rsid w:val="74CC21AE"/>
    <w:rsid w:val="74F060B7"/>
    <w:rsid w:val="74F51705"/>
    <w:rsid w:val="74F55BA9"/>
    <w:rsid w:val="74FB2A94"/>
    <w:rsid w:val="7501454E"/>
    <w:rsid w:val="75041948"/>
    <w:rsid w:val="750A647B"/>
    <w:rsid w:val="75157FF9"/>
    <w:rsid w:val="751D2A0A"/>
    <w:rsid w:val="75272066"/>
    <w:rsid w:val="75295853"/>
    <w:rsid w:val="752D45A8"/>
    <w:rsid w:val="752E10BB"/>
    <w:rsid w:val="7530098F"/>
    <w:rsid w:val="75330480"/>
    <w:rsid w:val="753C37D8"/>
    <w:rsid w:val="754C5712"/>
    <w:rsid w:val="754E0E15"/>
    <w:rsid w:val="75530B22"/>
    <w:rsid w:val="7553580B"/>
    <w:rsid w:val="75556162"/>
    <w:rsid w:val="75581A85"/>
    <w:rsid w:val="755A5A0C"/>
    <w:rsid w:val="755C3532"/>
    <w:rsid w:val="7561323F"/>
    <w:rsid w:val="756B19C7"/>
    <w:rsid w:val="756E5FD2"/>
    <w:rsid w:val="75722D56"/>
    <w:rsid w:val="757A4300"/>
    <w:rsid w:val="757A60AE"/>
    <w:rsid w:val="757C1E26"/>
    <w:rsid w:val="75915CF1"/>
    <w:rsid w:val="759E1D9D"/>
    <w:rsid w:val="759F4A5F"/>
    <w:rsid w:val="75A31161"/>
    <w:rsid w:val="75AB270C"/>
    <w:rsid w:val="75AD1FE0"/>
    <w:rsid w:val="75B25848"/>
    <w:rsid w:val="75B570E6"/>
    <w:rsid w:val="75B74C0D"/>
    <w:rsid w:val="75BE6852"/>
    <w:rsid w:val="75BF1D13"/>
    <w:rsid w:val="75C37A55"/>
    <w:rsid w:val="75C70B3C"/>
    <w:rsid w:val="75C91453"/>
    <w:rsid w:val="75CA0DE4"/>
    <w:rsid w:val="75D237F5"/>
    <w:rsid w:val="75D67789"/>
    <w:rsid w:val="75D92DD5"/>
    <w:rsid w:val="75DC0B17"/>
    <w:rsid w:val="75E17EDC"/>
    <w:rsid w:val="75E54637"/>
    <w:rsid w:val="75EA3234"/>
    <w:rsid w:val="75F12711"/>
    <w:rsid w:val="75F25C45"/>
    <w:rsid w:val="75F53987"/>
    <w:rsid w:val="76097C18"/>
    <w:rsid w:val="760B4F58"/>
    <w:rsid w:val="760E56B1"/>
    <w:rsid w:val="761024BB"/>
    <w:rsid w:val="7610431D"/>
    <w:rsid w:val="76191423"/>
    <w:rsid w:val="761C1A7F"/>
    <w:rsid w:val="761E6A3A"/>
    <w:rsid w:val="7630676D"/>
    <w:rsid w:val="76424E1E"/>
    <w:rsid w:val="76467535"/>
    <w:rsid w:val="76491355"/>
    <w:rsid w:val="76587637"/>
    <w:rsid w:val="765C57B4"/>
    <w:rsid w:val="765D1540"/>
    <w:rsid w:val="76676633"/>
    <w:rsid w:val="766A5727"/>
    <w:rsid w:val="7671125F"/>
    <w:rsid w:val="7682346D"/>
    <w:rsid w:val="76832D41"/>
    <w:rsid w:val="76856AB9"/>
    <w:rsid w:val="76880357"/>
    <w:rsid w:val="76962A74"/>
    <w:rsid w:val="76992564"/>
    <w:rsid w:val="769D2054"/>
    <w:rsid w:val="769E7B7B"/>
    <w:rsid w:val="76A258BD"/>
    <w:rsid w:val="76A35191"/>
    <w:rsid w:val="76A867B0"/>
    <w:rsid w:val="76B850E0"/>
    <w:rsid w:val="76BF7D18"/>
    <w:rsid w:val="76C07A21"/>
    <w:rsid w:val="76C515AB"/>
    <w:rsid w:val="76CA6401"/>
    <w:rsid w:val="76D35A76"/>
    <w:rsid w:val="76D417EE"/>
    <w:rsid w:val="76D75F4C"/>
    <w:rsid w:val="76DD06A3"/>
    <w:rsid w:val="76E5284D"/>
    <w:rsid w:val="76EC2FDC"/>
    <w:rsid w:val="76F1414E"/>
    <w:rsid w:val="76F309A1"/>
    <w:rsid w:val="77083846"/>
    <w:rsid w:val="770A5210"/>
    <w:rsid w:val="7725204A"/>
    <w:rsid w:val="77253DF8"/>
    <w:rsid w:val="772558CB"/>
    <w:rsid w:val="77260AF8"/>
    <w:rsid w:val="77286C33"/>
    <w:rsid w:val="77304C77"/>
    <w:rsid w:val="77356731"/>
    <w:rsid w:val="773A3D47"/>
    <w:rsid w:val="773F135E"/>
    <w:rsid w:val="774050A4"/>
    <w:rsid w:val="7750356B"/>
    <w:rsid w:val="77534C3D"/>
    <w:rsid w:val="77562203"/>
    <w:rsid w:val="775766A7"/>
    <w:rsid w:val="77585F7B"/>
    <w:rsid w:val="775D3592"/>
    <w:rsid w:val="776C1A27"/>
    <w:rsid w:val="776C2C31"/>
    <w:rsid w:val="77702823"/>
    <w:rsid w:val="77756B2D"/>
    <w:rsid w:val="77811976"/>
    <w:rsid w:val="778D031B"/>
    <w:rsid w:val="77955421"/>
    <w:rsid w:val="779B5BC9"/>
    <w:rsid w:val="779C6C35"/>
    <w:rsid w:val="77A80CB1"/>
    <w:rsid w:val="77A86F03"/>
    <w:rsid w:val="77AD4519"/>
    <w:rsid w:val="77B77146"/>
    <w:rsid w:val="77C0535D"/>
    <w:rsid w:val="77C07C38"/>
    <w:rsid w:val="77C67389"/>
    <w:rsid w:val="77CD0717"/>
    <w:rsid w:val="77CD4BBB"/>
    <w:rsid w:val="77CD6969"/>
    <w:rsid w:val="77D47CF8"/>
    <w:rsid w:val="77E048EF"/>
    <w:rsid w:val="77E171F5"/>
    <w:rsid w:val="77EA6925"/>
    <w:rsid w:val="77EB5041"/>
    <w:rsid w:val="77EB6DF0"/>
    <w:rsid w:val="77F160CD"/>
    <w:rsid w:val="77F75794"/>
    <w:rsid w:val="78014865"/>
    <w:rsid w:val="780879A1"/>
    <w:rsid w:val="780E12E6"/>
    <w:rsid w:val="78112CFA"/>
    <w:rsid w:val="78120806"/>
    <w:rsid w:val="78120820"/>
    <w:rsid w:val="781E71C5"/>
    <w:rsid w:val="78283BA0"/>
    <w:rsid w:val="782B182B"/>
    <w:rsid w:val="78397B5B"/>
    <w:rsid w:val="783E2D3C"/>
    <w:rsid w:val="78485FF0"/>
    <w:rsid w:val="784A1D68"/>
    <w:rsid w:val="784F3822"/>
    <w:rsid w:val="7855188E"/>
    <w:rsid w:val="786077DD"/>
    <w:rsid w:val="78760DAF"/>
    <w:rsid w:val="787C3EEC"/>
    <w:rsid w:val="7880578A"/>
    <w:rsid w:val="78880AE2"/>
    <w:rsid w:val="78882890"/>
    <w:rsid w:val="788A0834"/>
    <w:rsid w:val="788A6608"/>
    <w:rsid w:val="78914753"/>
    <w:rsid w:val="789366E3"/>
    <w:rsid w:val="78992CEF"/>
    <w:rsid w:val="78A0407E"/>
    <w:rsid w:val="78A07BDA"/>
    <w:rsid w:val="78A376CA"/>
    <w:rsid w:val="78A82F32"/>
    <w:rsid w:val="78B10039"/>
    <w:rsid w:val="78B638A1"/>
    <w:rsid w:val="78B96EEE"/>
    <w:rsid w:val="78C0027C"/>
    <w:rsid w:val="78C274DE"/>
    <w:rsid w:val="78C7160B"/>
    <w:rsid w:val="78C733B9"/>
    <w:rsid w:val="78CE2D94"/>
    <w:rsid w:val="78CF04BF"/>
    <w:rsid w:val="78D45AD6"/>
    <w:rsid w:val="78DA7590"/>
    <w:rsid w:val="78DF3BEC"/>
    <w:rsid w:val="78E026CC"/>
    <w:rsid w:val="78E95998"/>
    <w:rsid w:val="78EC1071"/>
    <w:rsid w:val="78F3648C"/>
    <w:rsid w:val="78F61EF0"/>
    <w:rsid w:val="78FB12B4"/>
    <w:rsid w:val="78FB5758"/>
    <w:rsid w:val="78FD502C"/>
    <w:rsid w:val="78FE0568"/>
    <w:rsid w:val="790E7239"/>
    <w:rsid w:val="79110AD8"/>
    <w:rsid w:val="79144124"/>
    <w:rsid w:val="79167E9C"/>
    <w:rsid w:val="791B54B2"/>
    <w:rsid w:val="79297BCF"/>
    <w:rsid w:val="792D0B78"/>
    <w:rsid w:val="792E3438"/>
    <w:rsid w:val="79314CD6"/>
    <w:rsid w:val="793B7903"/>
    <w:rsid w:val="793D367B"/>
    <w:rsid w:val="79425135"/>
    <w:rsid w:val="794A5427"/>
    <w:rsid w:val="795135CA"/>
    <w:rsid w:val="795A517C"/>
    <w:rsid w:val="795A5FDB"/>
    <w:rsid w:val="795E691A"/>
    <w:rsid w:val="79654980"/>
    <w:rsid w:val="79661644"/>
    <w:rsid w:val="79674B9C"/>
    <w:rsid w:val="796C3F60"/>
    <w:rsid w:val="79711576"/>
    <w:rsid w:val="7973484F"/>
    <w:rsid w:val="79786DA9"/>
    <w:rsid w:val="797C08AB"/>
    <w:rsid w:val="798968C0"/>
    <w:rsid w:val="79905EA0"/>
    <w:rsid w:val="79927E6B"/>
    <w:rsid w:val="799356A1"/>
    <w:rsid w:val="79935991"/>
    <w:rsid w:val="7993773F"/>
    <w:rsid w:val="799F7E92"/>
    <w:rsid w:val="79A100AE"/>
    <w:rsid w:val="79A25BD4"/>
    <w:rsid w:val="79A454A8"/>
    <w:rsid w:val="79AD0E19"/>
    <w:rsid w:val="79AE6327"/>
    <w:rsid w:val="79B002F1"/>
    <w:rsid w:val="79B53B59"/>
    <w:rsid w:val="79B778D1"/>
    <w:rsid w:val="79BC6C95"/>
    <w:rsid w:val="79BD656A"/>
    <w:rsid w:val="79C21DD2"/>
    <w:rsid w:val="79C67B14"/>
    <w:rsid w:val="79D06E6C"/>
    <w:rsid w:val="79D21E6C"/>
    <w:rsid w:val="79D7762B"/>
    <w:rsid w:val="79DA35C0"/>
    <w:rsid w:val="79DA536E"/>
    <w:rsid w:val="79DF0BD6"/>
    <w:rsid w:val="79DF2984"/>
    <w:rsid w:val="79E61F64"/>
    <w:rsid w:val="79FA5A10"/>
    <w:rsid w:val="79FD4D1C"/>
    <w:rsid w:val="79FE72AE"/>
    <w:rsid w:val="7A0128FA"/>
    <w:rsid w:val="7A083C89"/>
    <w:rsid w:val="7A1C7734"/>
    <w:rsid w:val="7A230AC3"/>
    <w:rsid w:val="7A2465E9"/>
    <w:rsid w:val="7A27618C"/>
    <w:rsid w:val="7A2A00A3"/>
    <w:rsid w:val="7A342CD0"/>
    <w:rsid w:val="7A3A401F"/>
    <w:rsid w:val="7A41719B"/>
    <w:rsid w:val="7A460355"/>
    <w:rsid w:val="7A462A03"/>
    <w:rsid w:val="7A4A59FD"/>
    <w:rsid w:val="7A4E3666"/>
    <w:rsid w:val="7A5E5F9F"/>
    <w:rsid w:val="7A61783D"/>
    <w:rsid w:val="7A6310AB"/>
    <w:rsid w:val="7A637111"/>
    <w:rsid w:val="7A6510DB"/>
    <w:rsid w:val="7A65732D"/>
    <w:rsid w:val="7A6A4943"/>
    <w:rsid w:val="7A792DD8"/>
    <w:rsid w:val="7A7A56ED"/>
    <w:rsid w:val="7A8145AB"/>
    <w:rsid w:val="7A94551C"/>
    <w:rsid w:val="7A9674E6"/>
    <w:rsid w:val="7AA5597C"/>
    <w:rsid w:val="7AA634A2"/>
    <w:rsid w:val="7AA716F4"/>
    <w:rsid w:val="7AA877CA"/>
    <w:rsid w:val="7AB21E46"/>
    <w:rsid w:val="7ABC4A73"/>
    <w:rsid w:val="7AC31DEF"/>
    <w:rsid w:val="7AC57DCC"/>
    <w:rsid w:val="7AC676A0"/>
    <w:rsid w:val="7AD7365B"/>
    <w:rsid w:val="7AD77F19"/>
    <w:rsid w:val="7AE85868"/>
    <w:rsid w:val="7AED10D1"/>
    <w:rsid w:val="7AF1626C"/>
    <w:rsid w:val="7AF661D7"/>
    <w:rsid w:val="7AFF37D8"/>
    <w:rsid w:val="7B002BB2"/>
    <w:rsid w:val="7B0D52CF"/>
    <w:rsid w:val="7B0F1047"/>
    <w:rsid w:val="7B160627"/>
    <w:rsid w:val="7B164183"/>
    <w:rsid w:val="7B1A2F0B"/>
    <w:rsid w:val="7B220BC5"/>
    <w:rsid w:val="7B256ABC"/>
    <w:rsid w:val="7B276391"/>
    <w:rsid w:val="7B2F16E9"/>
    <w:rsid w:val="7B3867F0"/>
    <w:rsid w:val="7B3D5BB4"/>
    <w:rsid w:val="7B3F066D"/>
    <w:rsid w:val="7B4B1258"/>
    <w:rsid w:val="7B4C5DF7"/>
    <w:rsid w:val="7B537186"/>
    <w:rsid w:val="7B551150"/>
    <w:rsid w:val="7B566C76"/>
    <w:rsid w:val="7B58036D"/>
    <w:rsid w:val="7B5B24DE"/>
    <w:rsid w:val="7B6018A2"/>
    <w:rsid w:val="7B615D46"/>
    <w:rsid w:val="7B6475E5"/>
    <w:rsid w:val="7B656EB9"/>
    <w:rsid w:val="7B6C6107"/>
    <w:rsid w:val="7B6E5D6D"/>
    <w:rsid w:val="7B7315D6"/>
    <w:rsid w:val="7B77578E"/>
    <w:rsid w:val="7B827A6B"/>
    <w:rsid w:val="7BA07EF1"/>
    <w:rsid w:val="7BA45C33"/>
    <w:rsid w:val="7BA63759"/>
    <w:rsid w:val="7BB45714"/>
    <w:rsid w:val="7BB5399C"/>
    <w:rsid w:val="7BBA7205"/>
    <w:rsid w:val="7BBC7E71"/>
    <w:rsid w:val="7BBE3213"/>
    <w:rsid w:val="7BBF0CBF"/>
    <w:rsid w:val="7BC167E5"/>
    <w:rsid w:val="7BDF4EBD"/>
    <w:rsid w:val="7BE10C35"/>
    <w:rsid w:val="7BE44282"/>
    <w:rsid w:val="7BE97AEA"/>
    <w:rsid w:val="7BF24BF0"/>
    <w:rsid w:val="7BF72207"/>
    <w:rsid w:val="7C030BAC"/>
    <w:rsid w:val="7C093CE8"/>
    <w:rsid w:val="7C110BE2"/>
    <w:rsid w:val="7C137A39"/>
    <w:rsid w:val="7C1568F9"/>
    <w:rsid w:val="7C187697"/>
    <w:rsid w:val="7C1A5EF5"/>
    <w:rsid w:val="7C1B19AD"/>
    <w:rsid w:val="7C211032"/>
    <w:rsid w:val="7C232FFC"/>
    <w:rsid w:val="7C280612"/>
    <w:rsid w:val="7C2A43E9"/>
    <w:rsid w:val="7C372603"/>
    <w:rsid w:val="7C393674"/>
    <w:rsid w:val="7C3B087B"/>
    <w:rsid w:val="7C3B5358"/>
    <w:rsid w:val="7C3C40BE"/>
    <w:rsid w:val="7C480CB4"/>
    <w:rsid w:val="7C4A4A2C"/>
    <w:rsid w:val="7C4D62CB"/>
    <w:rsid w:val="7C4D69FC"/>
    <w:rsid w:val="7C5238E1"/>
    <w:rsid w:val="7C523992"/>
    <w:rsid w:val="7C55517F"/>
    <w:rsid w:val="7C596A1E"/>
    <w:rsid w:val="7C5C4760"/>
    <w:rsid w:val="7C6C26B7"/>
    <w:rsid w:val="7C6E0DD3"/>
    <w:rsid w:val="7C701FB9"/>
    <w:rsid w:val="7C705B15"/>
    <w:rsid w:val="7C776EA4"/>
    <w:rsid w:val="7C830F7C"/>
    <w:rsid w:val="7C896BD7"/>
    <w:rsid w:val="7C8B61C6"/>
    <w:rsid w:val="7C8D47EE"/>
    <w:rsid w:val="7C90540A"/>
    <w:rsid w:val="7C914409"/>
    <w:rsid w:val="7C920181"/>
    <w:rsid w:val="7C943EFA"/>
    <w:rsid w:val="7C9C19B7"/>
    <w:rsid w:val="7CAD4FBB"/>
    <w:rsid w:val="7CAF663E"/>
    <w:rsid w:val="7CB82067"/>
    <w:rsid w:val="7CBB76D8"/>
    <w:rsid w:val="7CC01702"/>
    <w:rsid w:val="7CC12815"/>
    <w:rsid w:val="7CC16371"/>
    <w:rsid w:val="7CC61BD9"/>
    <w:rsid w:val="7CC85951"/>
    <w:rsid w:val="7CCC3693"/>
    <w:rsid w:val="7CCC5441"/>
    <w:rsid w:val="7CCD2F68"/>
    <w:rsid w:val="7CD97B5E"/>
    <w:rsid w:val="7CDE33C7"/>
    <w:rsid w:val="7CE02C9B"/>
    <w:rsid w:val="7CE65DD7"/>
    <w:rsid w:val="7CEF1130"/>
    <w:rsid w:val="7CF6426C"/>
    <w:rsid w:val="7CF76237"/>
    <w:rsid w:val="7CFE75C5"/>
    <w:rsid w:val="7D00333D"/>
    <w:rsid w:val="7D036989"/>
    <w:rsid w:val="7D0477C6"/>
    <w:rsid w:val="7D052701"/>
    <w:rsid w:val="7D0746CC"/>
    <w:rsid w:val="7D0938C9"/>
    <w:rsid w:val="7D0B583E"/>
    <w:rsid w:val="7D0B6CE0"/>
    <w:rsid w:val="7D133070"/>
    <w:rsid w:val="7D14662D"/>
    <w:rsid w:val="7D1B127F"/>
    <w:rsid w:val="7D1E1A15"/>
    <w:rsid w:val="7D1E30DE"/>
    <w:rsid w:val="7D21643D"/>
    <w:rsid w:val="7D252DA4"/>
    <w:rsid w:val="7D2E7092"/>
    <w:rsid w:val="7D366D5F"/>
    <w:rsid w:val="7D3A4883"/>
    <w:rsid w:val="7D3F20B7"/>
    <w:rsid w:val="7D456FA2"/>
    <w:rsid w:val="7D545437"/>
    <w:rsid w:val="7D5B2033"/>
    <w:rsid w:val="7D5C3522"/>
    <w:rsid w:val="7D5D253D"/>
    <w:rsid w:val="7D5F6C3D"/>
    <w:rsid w:val="7D717D97"/>
    <w:rsid w:val="7D747887"/>
    <w:rsid w:val="7D7A30EF"/>
    <w:rsid w:val="7D807FDA"/>
    <w:rsid w:val="7D8B72D8"/>
    <w:rsid w:val="7D9046C1"/>
    <w:rsid w:val="7D937D0D"/>
    <w:rsid w:val="7D9615AC"/>
    <w:rsid w:val="7D982BB4"/>
    <w:rsid w:val="7D983576"/>
    <w:rsid w:val="7D9A72EE"/>
    <w:rsid w:val="7D9D0B8C"/>
    <w:rsid w:val="7DA27E18"/>
    <w:rsid w:val="7DAE4B47"/>
    <w:rsid w:val="7DB67EA0"/>
    <w:rsid w:val="7DBF5B3E"/>
    <w:rsid w:val="7DBF6D54"/>
    <w:rsid w:val="7DC26844"/>
    <w:rsid w:val="7DC62933"/>
    <w:rsid w:val="7DD00F61"/>
    <w:rsid w:val="7DE7036D"/>
    <w:rsid w:val="7DE762AB"/>
    <w:rsid w:val="7DEE13E8"/>
    <w:rsid w:val="7DF6029C"/>
    <w:rsid w:val="7DFA53A3"/>
    <w:rsid w:val="7E074257"/>
    <w:rsid w:val="7E092871"/>
    <w:rsid w:val="7E0E3154"/>
    <w:rsid w:val="7E0F2E85"/>
    <w:rsid w:val="7E123328"/>
    <w:rsid w:val="7E130439"/>
    <w:rsid w:val="7E1A3F8B"/>
    <w:rsid w:val="7E213797"/>
    <w:rsid w:val="7E265025"/>
    <w:rsid w:val="7E2C65B8"/>
    <w:rsid w:val="7E3A462D"/>
    <w:rsid w:val="7E4454AB"/>
    <w:rsid w:val="7E494870"/>
    <w:rsid w:val="7E527BC8"/>
    <w:rsid w:val="7E5971A9"/>
    <w:rsid w:val="7E5A4CCF"/>
    <w:rsid w:val="7E5D031B"/>
    <w:rsid w:val="7E5F4093"/>
    <w:rsid w:val="7E663674"/>
    <w:rsid w:val="7E6A3164"/>
    <w:rsid w:val="7E6B5133"/>
    <w:rsid w:val="7E72347F"/>
    <w:rsid w:val="7E834226"/>
    <w:rsid w:val="7E9E1121"/>
    <w:rsid w:val="7E9E696A"/>
    <w:rsid w:val="7EA128FE"/>
    <w:rsid w:val="7EA1645A"/>
    <w:rsid w:val="7EAB1087"/>
    <w:rsid w:val="7EAB2D96"/>
    <w:rsid w:val="7EAB552B"/>
    <w:rsid w:val="7EAD4DFF"/>
    <w:rsid w:val="7EB0669D"/>
    <w:rsid w:val="7EB42631"/>
    <w:rsid w:val="7EB553F8"/>
    <w:rsid w:val="7EC03F24"/>
    <w:rsid w:val="7EC301BA"/>
    <w:rsid w:val="7EC81C39"/>
    <w:rsid w:val="7ED06D3F"/>
    <w:rsid w:val="7EE12CFA"/>
    <w:rsid w:val="7EE43365"/>
    <w:rsid w:val="7EE66563"/>
    <w:rsid w:val="7EEB5927"/>
    <w:rsid w:val="7EEF0D46"/>
    <w:rsid w:val="7EF0118F"/>
    <w:rsid w:val="7EF50554"/>
    <w:rsid w:val="7F0215EE"/>
    <w:rsid w:val="7F050659"/>
    <w:rsid w:val="7F080287"/>
    <w:rsid w:val="7F0864D9"/>
    <w:rsid w:val="7F0F5AB9"/>
    <w:rsid w:val="7F127358"/>
    <w:rsid w:val="7F13408A"/>
    <w:rsid w:val="7F1777C8"/>
    <w:rsid w:val="7F196938"/>
    <w:rsid w:val="7F1B26B0"/>
    <w:rsid w:val="7F1E7AAB"/>
    <w:rsid w:val="7F2B6E39"/>
    <w:rsid w:val="7F3D43D5"/>
    <w:rsid w:val="7F4339B5"/>
    <w:rsid w:val="7F4734A5"/>
    <w:rsid w:val="7F496B47"/>
    <w:rsid w:val="7F572FBC"/>
    <w:rsid w:val="7F5D6825"/>
    <w:rsid w:val="7F5E434B"/>
    <w:rsid w:val="7F6C2F0C"/>
    <w:rsid w:val="7F6E0A32"/>
    <w:rsid w:val="7F710522"/>
    <w:rsid w:val="7F765B38"/>
    <w:rsid w:val="7F7E49ED"/>
    <w:rsid w:val="7F89761A"/>
    <w:rsid w:val="7F8A15E4"/>
    <w:rsid w:val="7F8D69DE"/>
    <w:rsid w:val="7F8F09A8"/>
    <w:rsid w:val="7F963AE5"/>
    <w:rsid w:val="7F967F89"/>
    <w:rsid w:val="7FA06711"/>
    <w:rsid w:val="7FA25453"/>
    <w:rsid w:val="7FA53D28"/>
    <w:rsid w:val="7FA93818"/>
    <w:rsid w:val="7FAF4BA7"/>
    <w:rsid w:val="7FB56661"/>
    <w:rsid w:val="7FBB354B"/>
    <w:rsid w:val="7FBE4DEA"/>
    <w:rsid w:val="7FCA378E"/>
    <w:rsid w:val="7FD05249"/>
    <w:rsid w:val="7FD4460D"/>
    <w:rsid w:val="7FD665D7"/>
    <w:rsid w:val="7FE54E89"/>
    <w:rsid w:val="7FE816BB"/>
    <w:rsid w:val="7FEA5BDF"/>
    <w:rsid w:val="7FF01447"/>
    <w:rsid w:val="7FF33517"/>
    <w:rsid w:val="7FF60A27"/>
    <w:rsid w:val="7FFB7DEC"/>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宋体"/>
      <w:sz w:val="24"/>
      <w:szCs w:val="24"/>
      <w:lang w:val="en-US" w:eastAsia="zh-CN" w:bidi="ar-SA"/>
    </w:rPr>
  </w:style>
  <w:style w:type="paragraph" w:styleId="2">
    <w:name w:val="heading 1"/>
    <w:basedOn w:val="1"/>
    <w:next w:val="1"/>
    <w:link w:val="43"/>
    <w:autoRedefine/>
    <w:qFormat/>
    <w:uiPriority w:val="0"/>
    <w:pPr>
      <w:keepNext/>
      <w:keepLines/>
      <w:spacing w:before="340" w:beforeLines="0" w:beforeAutospacing="0" w:after="340" w:afterLines="0" w:afterAutospacing="0" w:line="240" w:lineRule="auto"/>
      <w:jc w:val="left"/>
      <w:outlineLvl w:val="0"/>
    </w:pPr>
    <w:rPr>
      <w:rFonts w:ascii="Arial" w:hAnsi="Arial" w:cs="Arial"/>
      <w:b/>
      <w:snapToGrid w:val="0"/>
      <w:color w:val="000000"/>
      <w:kern w:val="44"/>
      <w:sz w:val="44"/>
      <w:szCs w:val="21"/>
      <w:lang w:eastAsia="en-US"/>
    </w:rPr>
  </w:style>
  <w:style w:type="paragraph" w:styleId="3">
    <w:name w:val="heading 2"/>
    <w:basedOn w:val="1"/>
    <w:next w:val="1"/>
    <w:autoRedefine/>
    <w:semiHidden/>
    <w:unhideWhenUsed/>
    <w:qFormat/>
    <w:uiPriority w:val="0"/>
    <w:pPr>
      <w:keepNext/>
      <w:keepLines/>
      <w:spacing w:beforeLines="0" w:beforeAutospacing="0" w:after="10" w:afterAutospacing="0" w:line="600" w:lineRule="exact"/>
      <w:jc w:val="left"/>
      <w:outlineLvl w:val="1"/>
    </w:pPr>
    <w:rPr>
      <w:rFonts w:ascii="Arial" w:hAnsi="Arial" w:cs="Arial"/>
      <w:b/>
      <w:snapToGrid w:val="0"/>
      <w:color w:val="000000"/>
      <w:kern w:val="0"/>
      <w:sz w:val="30"/>
      <w:szCs w:val="21"/>
      <w:lang w:eastAsia="en-US"/>
    </w:rPr>
  </w:style>
  <w:style w:type="paragraph" w:styleId="4">
    <w:name w:val="heading 3"/>
    <w:basedOn w:val="1"/>
    <w:next w:val="1"/>
    <w:link w:val="102"/>
    <w:autoRedefine/>
    <w:semiHidden/>
    <w:unhideWhenUsed/>
    <w:qFormat/>
    <w:uiPriority w:val="0"/>
    <w:pPr>
      <w:keepNext/>
      <w:keepLines/>
      <w:spacing w:before="120" w:beforeLines="0" w:beforeAutospacing="0" w:after="120" w:afterLines="0" w:afterAutospacing="0" w:line="240" w:lineRule="auto"/>
      <w:jc w:val="left"/>
      <w:outlineLvl w:val="2"/>
    </w:pPr>
    <w:rPr>
      <w:rFonts w:ascii="Arial" w:hAnsi="Arial" w:cs="Arial"/>
      <w:b/>
      <w:snapToGrid w:val="0"/>
      <w:color w:val="000000"/>
      <w:kern w:val="0"/>
      <w:sz w:val="28"/>
      <w:szCs w:val="21"/>
      <w:lang w:eastAsia="en-US"/>
    </w:rPr>
  </w:style>
  <w:style w:type="paragraph" w:styleId="5">
    <w:name w:val="heading 4"/>
    <w:basedOn w:val="1"/>
    <w:next w:val="6"/>
    <w:autoRedefine/>
    <w:semiHidden/>
    <w:unhideWhenUsed/>
    <w:qFormat/>
    <w:uiPriority w:val="0"/>
    <w:pPr>
      <w:keepNext/>
      <w:keepLines/>
      <w:spacing w:beforeLines="0" w:beforeAutospacing="0" w:afterLines="0" w:afterAutospacing="0" w:line="360" w:lineRule="auto"/>
      <w:outlineLvl w:val="3"/>
    </w:pPr>
    <w:rPr>
      <w:rFonts w:ascii="Arial" w:hAnsi="Arial" w:eastAsia="宋体" w:cs="Arial"/>
      <w:b/>
      <w:snapToGrid w:val="0"/>
      <w:color w:val="000000"/>
      <w:kern w:val="0"/>
      <w:sz w:val="24"/>
      <w:szCs w:val="21"/>
      <w:lang w:eastAsia="en-US"/>
    </w:rPr>
  </w:style>
  <w:style w:type="paragraph" w:styleId="7">
    <w:name w:val="heading 5"/>
    <w:basedOn w:val="1"/>
    <w:next w:val="1"/>
    <w:autoRedefine/>
    <w:semiHidden/>
    <w:unhideWhenUsed/>
    <w:qFormat/>
    <w:uiPriority w:val="0"/>
    <w:pPr>
      <w:keepNext/>
      <w:keepLines/>
      <w:spacing w:beforeLines="0" w:beforeAutospacing="0" w:afterLines="0" w:afterAutospacing="0" w:line="360" w:lineRule="auto"/>
      <w:jc w:val="center"/>
      <w:outlineLvl w:val="4"/>
    </w:pPr>
    <w:rPr>
      <w:rFonts w:ascii="Arial" w:hAnsi="Arial" w:eastAsia="黑体"/>
      <w:b/>
      <w:sz w:val="21"/>
    </w:rPr>
  </w:style>
  <w:style w:type="character" w:default="1" w:styleId="39">
    <w:name w:val="Default Paragraph Font"/>
    <w:autoRedefine/>
    <w:semiHidden/>
    <w:qFormat/>
    <w:uiPriority w:val="0"/>
  </w:style>
  <w:style w:type="table" w:default="1" w:styleId="37">
    <w:name w:val="Normal Table"/>
    <w:autoRedefine/>
    <w:semiHidden/>
    <w:qFormat/>
    <w:uiPriority w:val="0"/>
    <w:tblPr>
      <w:tblCellMar>
        <w:top w:w="0" w:type="dxa"/>
        <w:left w:w="108" w:type="dxa"/>
        <w:bottom w:w="0" w:type="dxa"/>
        <w:right w:w="108" w:type="dxa"/>
      </w:tblCellMar>
    </w:tblPr>
  </w:style>
  <w:style w:type="paragraph" w:customStyle="1" w:styleId="6">
    <w:name w:val="缩进"/>
    <w:basedOn w:val="1"/>
    <w:autoRedefine/>
    <w:qFormat/>
    <w:uiPriority w:val="0"/>
    <w:pPr>
      <w:spacing w:line="360" w:lineRule="auto"/>
      <w:ind w:firstLine="200" w:firstLineChars="200"/>
    </w:pPr>
    <w:rPr>
      <w:sz w:val="24"/>
    </w:rPr>
  </w:style>
  <w:style w:type="paragraph" w:styleId="8">
    <w:name w:val="Normal Indent"/>
    <w:basedOn w:val="1"/>
    <w:next w:val="9"/>
    <w:autoRedefine/>
    <w:qFormat/>
    <w:uiPriority w:val="0"/>
    <w:pPr>
      <w:widowControl/>
      <w:ind w:firstLine="420"/>
      <w:jc w:val="left"/>
    </w:pPr>
    <w:rPr>
      <w:rFonts w:ascii="Arial" w:hAnsi="Arial" w:eastAsia="仿宋_GB2312"/>
    </w:rPr>
  </w:style>
  <w:style w:type="paragraph" w:customStyle="1" w:styleId="9">
    <w:name w:val="Char Char Char Char Char Char Char Char Char1 Char"/>
    <w:basedOn w:val="1"/>
    <w:next w:val="10"/>
    <w:autoRedefine/>
    <w:qFormat/>
    <w:uiPriority w:val="0"/>
    <w:pPr>
      <w:spacing w:line="360" w:lineRule="auto"/>
      <w:ind w:firstLine="200" w:firstLineChars="200"/>
    </w:pPr>
    <w:rPr>
      <w:rFonts w:hAnsi="宋体" w:cs="宋体"/>
      <w:spacing w:val="0"/>
      <w:sz w:val="24"/>
      <w:szCs w:val="24"/>
    </w:rPr>
  </w:style>
  <w:style w:type="paragraph" w:customStyle="1" w:styleId="10">
    <w:name w:val="Body Text First Indent1"/>
    <w:basedOn w:val="1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11">
    <w:name w:val="Body Text"/>
    <w:basedOn w:val="1"/>
    <w:next w:val="12"/>
    <w:link w:val="72"/>
    <w:autoRedefine/>
    <w:qFormat/>
    <w:uiPriority w:val="0"/>
    <w:pPr>
      <w:adjustRightInd w:val="0"/>
      <w:spacing w:line="360" w:lineRule="auto"/>
      <w:ind w:left="0" w:leftChars="0"/>
    </w:pPr>
    <w:rPr>
      <w:rFonts w:ascii="宋体" w:hAnsi="宋体" w:eastAsia="宋体" w:cs="宋体"/>
    </w:rPr>
  </w:style>
  <w:style w:type="paragraph" w:customStyle="1" w:styleId="12">
    <w:name w:val="默认段落"/>
    <w:autoRedefine/>
    <w:qFormat/>
    <w:uiPriority w:val="99"/>
    <w:pPr>
      <w:widowControl w:val="0"/>
      <w:spacing w:line="360" w:lineRule="auto"/>
      <w:ind w:firstLine="578" w:firstLineChars="200"/>
      <w:jc w:val="both"/>
    </w:pPr>
    <w:rPr>
      <w:rFonts w:ascii="Times New Roman" w:hAnsi="Times New Roman" w:eastAsia="宋体" w:cs="Times New Roman"/>
      <w:sz w:val="24"/>
      <w:szCs w:val="20"/>
      <w:lang w:val="en-US" w:eastAsia="zh-CN" w:bidi="ar-SA"/>
    </w:rPr>
  </w:style>
  <w:style w:type="paragraph" w:styleId="13">
    <w:name w:val="caption"/>
    <w:basedOn w:val="1"/>
    <w:next w:val="1"/>
    <w:autoRedefine/>
    <w:semiHidden/>
    <w:unhideWhenUsed/>
    <w:qFormat/>
    <w:uiPriority w:val="0"/>
    <w:rPr>
      <w:rFonts w:ascii="Arial" w:hAnsi="Arial" w:eastAsia="黑体"/>
      <w:sz w:val="20"/>
    </w:rPr>
  </w:style>
  <w:style w:type="paragraph" w:styleId="14">
    <w:name w:val="annotation text"/>
    <w:basedOn w:val="1"/>
    <w:autoRedefine/>
    <w:qFormat/>
    <w:uiPriority w:val="0"/>
    <w:pPr>
      <w:spacing w:line="360" w:lineRule="auto"/>
    </w:pPr>
  </w:style>
  <w:style w:type="paragraph" w:styleId="15">
    <w:name w:val="Body Text 3"/>
    <w:basedOn w:val="1"/>
    <w:autoRedefine/>
    <w:qFormat/>
    <w:uiPriority w:val="0"/>
    <w:pPr>
      <w:spacing w:after="120"/>
    </w:pPr>
    <w:rPr>
      <w:sz w:val="16"/>
    </w:rPr>
  </w:style>
  <w:style w:type="paragraph" w:styleId="16">
    <w:name w:val="Body Text Indent"/>
    <w:basedOn w:val="1"/>
    <w:next w:val="11"/>
    <w:autoRedefine/>
    <w:qFormat/>
    <w:uiPriority w:val="0"/>
    <w:pPr>
      <w:spacing w:after="120"/>
      <w:ind w:left="420" w:leftChars="200"/>
    </w:pPr>
    <w:rPr>
      <w:rFonts w:ascii="Calibri" w:hAnsi="Calibri" w:cs="Times New Roman"/>
      <w:szCs w:val="22"/>
    </w:rPr>
  </w:style>
  <w:style w:type="paragraph" w:styleId="17">
    <w:name w:val="List 2"/>
    <w:basedOn w:val="1"/>
    <w:autoRedefine/>
    <w:qFormat/>
    <w:uiPriority w:val="0"/>
    <w:pPr>
      <w:ind w:left="100" w:leftChars="200" w:hanging="200" w:hangingChars="200"/>
    </w:pPr>
    <w:rPr>
      <w:rFonts w:ascii="Times New Roman"/>
      <w:spacing w:val="0"/>
      <w:sz w:val="21"/>
      <w:szCs w:val="24"/>
    </w:rPr>
  </w:style>
  <w:style w:type="paragraph" w:styleId="18">
    <w:name w:val="Plain Text"/>
    <w:basedOn w:val="1"/>
    <w:next w:val="19"/>
    <w:autoRedefine/>
    <w:qFormat/>
    <w:uiPriority w:val="0"/>
    <w:rPr>
      <w:rFonts w:hAnsi="Courier New"/>
    </w:rPr>
  </w:style>
  <w:style w:type="paragraph" w:customStyle="1" w:styleId="19">
    <w:name w:val="Default"/>
    <w:basedOn w:val="20"/>
    <w:next w:val="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0">
    <w:name w:val="A-表格文字"/>
    <w:basedOn w:val="1"/>
    <w:next w:val="1"/>
    <w:autoRedefine/>
    <w:qFormat/>
    <w:uiPriority w:val="0"/>
    <w:pPr>
      <w:autoSpaceDE w:val="0"/>
      <w:autoSpaceDN w:val="0"/>
      <w:adjustRightInd w:val="0"/>
      <w:jc w:val="center"/>
      <w:textAlignment w:val="center"/>
    </w:pPr>
    <w:rPr>
      <w:kern w:val="0"/>
      <w:szCs w:val="21"/>
    </w:rPr>
  </w:style>
  <w:style w:type="paragraph" w:styleId="21">
    <w:name w:val="List Bullet 5"/>
    <w:basedOn w:val="1"/>
    <w:autoRedefine/>
    <w:qFormat/>
    <w:uiPriority w:val="0"/>
    <w:pPr>
      <w:numPr>
        <w:ilvl w:val="0"/>
        <w:numId w:val="1"/>
      </w:numPr>
    </w:pPr>
  </w:style>
  <w:style w:type="paragraph" w:styleId="22">
    <w:name w:val="Body Text Indent 2"/>
    <w:basedOn w:val="1"/>
    <w:autoRedefine/>
    <w:qFormat/>
    <w:uiPriority w:val="99"/>
    <w:pPr>
      <w:spacing w:after="120" w:afterLines="0" w:line="480" w:lineRule="auto"/>
      <w:ind w:left="420" w:leftChars="200" w:firstLine="200" w:firstLineChars="200"/>
    </w:pPr>
    <w:rPr>
      <w:kern w:val="0"/>
      <w:sz w:val="24"/>
    </w:rPr>
  </w:style>
  <w:style w:type="paragraph" w:styleId="23">
    <w:name w:val="footer"/>
    <w:basedOn w:val="1"/>
    <w:autoRedefine/>
    <w:qFormat/>
    <w:uiPriority w:val="0"/>
    <w:pPr>
      <w:tabs>
        <w:tab w:val="center" w:pos="4153"/>
        <w:tab w:val="right" w:pos="8306"/>
      </w:tabs>
      <w:snapToGrid w:val="0"/>
    </w:pPr>
    <w:rPr>
      <w:sz w:val="18"/>
      <w:szCs w:val="18"/>
    </w:rPr>
  </w:style>
  <w:style w:type="paragraph" w:styleId="2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autoRedefine/>
    <w:qFormat/>
    <w:uiPriority w:val="39"/>
  </w:style>
  <w:style w:type="paragraph" w:styleId="26">
    <w:name w:val="index heading"/>
    <w:basedOn w:val="1"/>
    <w:next w:val="27"/>
    <w:autoRedefine/>
    <w:qFormat/>
    <w:uiPriority w:val="0"/>
    <w:pPr>
      <w:widowControl w:val="0"/>
      <w:pBdr>
        <w:top w:val="single" w:color="auto" w:sz="12" w:space="0"/>
      </w:pBdr>
      <w:spacing w:before="360" w:after="240"/>
      <w:jc w:val="both"/>
    </w:pPr>
    <w:rPr>
      <w:rFonts w:ascii="Times New Roman" w:hAnsi="Times New Roman" w:cs="Times New Roman"/>
      <w:b/>
      <w:i/>
      <w:kern w:val="2"/>
      <w:sz w:val="26"/>
      <w:szCs w:val="20"/>
    </w:rPr>
  </w:style>
  <w:style w:type="paragraph" w:styleId="27">
    <w:name w:val="index 1"/>
    <w:basedOn w:val="1"/>
    <w:next w:val="1"/>
    <w:autoRedefine/>
    <w:unhideWhenUsed/>
    <w:qFormat/>
    <w:uiPriority w:val="99"/>
    <w:pPr>
      <w:widowControl w:val="0"/>
      <w:jc w:val="both"/>
    </w:pPr>
    <w:rPr>
      <w:rFonts w:ascii="Times New Roman" w:hAnsi="Times New Roman" w:cs="Times New Roman"/>
      <w:b/>
      <w:kern w:val="2"/>
      <w:sz w:val="28"/>
      <w:szCs w:val="20"/>
    </w:rPr>
  </w:style>
  <w:style w:type="paragraph" w:styleId="28">
    <w:name w:val="List"/>
    <w:basedOn w:val="1"/>
    <w:next w:val="1"/>
    <w:autoRedefine/>
    <w:qFormat/>
    <w:uiPriority w:val="0"/>
    <w:pPr>
      <w:spacing w:line="240" w:lineRule="exact"/>
      <w:ind w:firstLine="200" w:firstLineChars="200"/>
      <w:jc w:val="center"/>
    </w:pPr>
    <w:rPr>
      <w:rFonts w:ascii="Arial" w:hAnsi="Arial"/>
      <w:snapToGrid w:val="0"/>
      <w:kern w:val="0"/>
      <w:sz w:val="24"/>
    </w:rPr>
  </w:style>
  <w:style w:type="paragraph" w:styleId="29">
    <w:name w:val="Body Text Indent 3"/>
    <w:basedOn w:val="1"/>
    <w:autoRedefine/>
    <w:qFormat/>
    <w:uiPriority w:val="0"/>
    <w:pPr>
      <w:spacing w:after="120" w:afterLines="0"/>
      <w:ind w:left="420" w:leftChars="200"/>
    </w:pPr>
    <w:rPr>
      <w:sz w:val="16"/>
      <w:szCs w:val="16"/>
    </w:rPr>
  </w:style>
  <w:style w:type="paragraph" w:styleId="30">
    <w:name w:val="table of figures"/>
    <w:basedOn w:val="1"/>
    <w:next w:val="1"/>
    <w:autoRedefine/>
    <w:qFormat/>
    <w:uiPriority w:val="0"/>
    <w:pPr>
      <w:jc w:val="center"/>
    </w:pPr>
    <w:rPr>
      <w:spacing w:val="-8"/>
      <w:kern w:val="0"/>
    </w:rPr>
  </w:style>
  <w:style w:type="paragraph" w:styleId="31">
    <w:name w:val="toc 2"/>
    <w:basedOn w:val="1"/>
    <w:next w:val="1"/>
    <w:autoRedefine/>
    <w:qFormat/>
    <w:uiPriority w:val="39"/>
    <w:pPr>
      <w:ind w:left="420" w:leftChars="200"/>
    </w:pPr>
  </w:style>
  <w:style w:type="paragraph" w:styleId="32">
    <w:name w:val="Body Text 2"/>
    <w:basedOn w:val="1"/>
    <w:autoRedefine/>
    <w:qFormat/>
    <w:uiPriority w:val="0"/>
    <w:pPr>
      <w:spacing w:after="120" w:line="480" w:lineRule="auto"/>
      <w:ind w:firstLine="200" w:firstLineChars="200"/>
    </w:pPr>
    <w:rPr>
      <w:rFonts w:ascii="Calibri" w:hAnsi="Calibri" w:cs="Times New Roman"/>
      <w:sz w:val="24"/>
      <w:szCs w:val="22"/>
    </w:rPr>
  </w:style>
  <w:style w:type="paragraph" w:styleId="33">
    <w:name w:val="Normal (Web)"/>
    <w:basedOn w:val="1"/>
    <w:autoRedefine/>
    <w:unhideWhenUsed/>
    <w:qFormat/>
    <w:uiPriority w:val="99"/>
  </w:style>
  <w:style w:type="paragraph" w:styleId="34">
    <w:name w:val="Title"/>
    <w:basedOn w:val="1"/>
    <w:next w:val="1"/>
    <w:autoRedefine/>
    <w:qFormat/>
    <w:uiPriority w:val="10"/>
    <w:pPr>
      <w:pageBreakBefore/>
      <w:spacing w:before="240" w:after="60" w:line="500" w:lineRule="exact"/>
      <w:jc w:val="center"/>
      <w:outlineLvl w:val="0"/>
    </w:pPr>
    <w:rPr>
      <w:b/>
      <w:bCs/>
      <w:sz w:val="32"/>
      <w:szCs w:val="32"/>
    </w:rPr>
  </w:style>
  <w:style w:type="paragraph" w:styleId="35">
    <w:name w:val="annotation subject"/>
    <w:basedOn w:val="14"/>
    <w:next w:val="1"/>
    <w:qFormat/>
    <w:uiPriority w:val="0"/>
    <w:rPr>
      <w:b/>
    </w:rPr>
  </w:style>
  <w:style w:type="paragraph" w:styleId="36">
    <w:name w:val="Body Text First Indent 2"/>
    <w:basedOn w:val="16"/>
    <w:next w:val="1"/>
    <w:autoRedefine/>
    <w:qFormat/>
    <w:uiPriority w:val="0"/>
    <w:pPr>
      <w:ind w:firstLine="420" w:firstLineChars="200"/>
    </w:pPr>
    <w:rPr>
      <w:b/>
      <w:kern w:val="44"/>
      <w:sz w:val="44"/>
    </w:rPr>
  </w:style>
  <w:style w:type="table" w:styleId="38">
    <w:name w:val="Table Grid"/>
    <w:basedOn w:val="37"/>
    <w:autoRedefine/>
    <w:unhideWhenUsed/>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0"/>
    <w:rPr>
      <w:rFonts w:ascii="Times New Roman" w:hAnsi="Times New Roman"/>
      <w:b/>
      <w:sz w:val="21"/>
    </w:rPr>
  </w:style>
  <w:style w:type="character" w:styleId="41">
    <w:name w:val="Hyperlink"/>
    <w:basedOn w:val="39"/>
    <w:autoRedefine/>
    <w:qFormat/>
    <w:uiPriority w:val="99"/>
    <w:rPr>
      <w:rFonts w:eastAsia="宋体"/>
      <w:color w:val="0000FF"/>
      <w:kern w:val="2"/>
      <w:sz w:val="24"/>
      <w:u w:val="single"/>
      <w:lang w:val="en-US" w:eastAsia="zh-CN"/>
    </w:rPr>
  </w:style>
  <w:style w:type="character" w:customStyle="1" w:styleId="42">
    <w:name w:val="附图一级标题"/>
    <w:basedOn w:val="39"/>
    <w:qFormat/>
    <w:uiPriority w:val="0"/>
    <w:rPr>
      <w:rFonts w:hint="eastAsia" w:ascii="Calibri" w:hAnsi="Calibri" w:eastAsia="Times New Roman"/>
      <w:b/>
      <w:sz w:val="24"/>
      <w:lang w:val="en-US" w:eastAsia="zh-CN"/>
    </w:rPr>
  </w:style>
  <w:style w:type="character" w:customStyle="1" w:styleId="43">
    <w:name w:val="标题 1 Char"/>
    <w:link w:val="2"/>
    <w:autoRedefine/>
    <w:qFormat/>
    <w:uiPriority w:val="0"/>
    <w:rPr>
      <w:rFonts w:ascii="Arial" w:hAnsi="Arial" w:cs="Arial"/>
      <w:b/>
      <w:snapToGrid w:val="0"/>
      <w:color w:val="000000"/>
      <w:kern w:val="44"/>
      <w:sz w:val="44"/>
      <w:szCs w:val="21"/>
      <w:lang w:eastAsia="en-US"/>
    </w:rPr>
  </w:style>
  <w:style w:type="paragraph" w:customStyle="1" w:styleId="44">
    <w:name w:val="报告书-表体（左对齐）小五"/>
    <w:basedOn w:val="45"/>
    <w:next w:val="47"/>
    <w:autoRedefine/>
    <w:qFormat/>
    <w:uiPriority w:val="0"/>
    <w:pPr>
      <w:tabs>
        <w:tab w:val="left" w:pos="2760"/>
      </w:tabs>
    </w:pPr>
    <w:rPr>
      <w:sz w:val="18"/>
      <w:szCs w:val="18"/>
    </w:rPr>
  </w:style>
  <w:style w:type="paragraph" w:customStyle="1" w:styleId="45">
    <w:name w:val="报告书-表体（左对齐）"/>
    <w:basedOn w:val="46"/>
    <w:autoRedefine/>
    <w:qFormat/>
    <w:uiPriority w:val="0"/>
    <w:pPr>
      <w:tabs>
        <w:tab w:val="left" w:pos="2760"/>
      </w:tabs>
      <w:textAlignment w:val="baseline"/>
    </w:pPr>
    <w:rPr>
      <w:szCs w:val="21"/>
    </w:rPr>
  </w:style>
  <w:style w:type="paragraph" w:customStyle="1" w:styleId="46">
    <w:name w:val="报告书-表体（居中）"/>
    <w:basedOn w:val="1"/>
    <w:autoRedefine/>
    <w:qFormat/>
    <w:uiPriority w:val="0"/>
    <w:pPr>
      <w:tabs>
        <w:tab w:val="left" w:pos="2760"/>
      </w:tabs>
      <w:adjustRightInd w:val="0"/>
      <w:snapToGrid w:val="0"/>
      <w:spacing w:line="260" w:lineRule="exact"/>
      <w:jc w:val="center"/>
      <w:textAlignment w:val="center"/>
    </w:pPr>
    <w:rPr>
      <w:snapToGrid w:val="0"/>
      <w:szCs w:val="28"/>
    </w:rPr>
  </w:style>
  <w:style w:type="paragraph" w:customStyle="1" w:styleId="47">
    <w:name w:val="表格内容"/>
    <w:basedOn w:val="48"/>
    <w:next w:val="35"/>
    <w:autoRedefine/>
    <w:qFormat/>
    <w:uiPriority w:val="6"/>
    <w:pPr>
      <w:spacing w:line="280" w:lineRule="exact"/>
      <w:ind w:firstLine="0"/>
      <w:jc w:val="center"/>
    </w:pPr>
    <w:rPr>
      <w:rFonts w:cs="Times New Roman"/>
      <w:sz w:val="21"/>
      <w:szCs w:val="18"/>
    </w:rPr>
  </w:style>
  <w:style w:type="paragraph" w:customStyle="1" w:styleId="48">
    <w:name w:val="WW-正文缩进"/>
    <w:basedOn w:val="1"/>
    <w:autoRedefine/>
    <w:semiHidden/>
    <w:qFormat/>
    <w:uiPriority w:val="0"/>
    <w:pPr>
      <w:ind w:firstLine="420"/>
    </w:pPr>
    <w:rPr>
      <w:sz w:val="28"/>
      <w:szCs w:val="20"/>
    </w:rPr>
  </w:style>
  <w:style w:type="paragraph" w:customStyle="1" w:styleId="49">
    <w:name w:val="Table Text"/>
    <w:basedOn w:val="1"/>
    <w:autoRedefine/>
    <w:semiHidden/>
    <w:qFormat/>
    <w:uiPriority w:val="0"/>
    <w:pPr>
      <w:jc w:val="center"/>
    </w:pPr>
    <w:rPr>
      <w:rFonts w:ascii="宋体" w:hAnsi="宋体" w:eastAsia="黑体" w:cs="宋体"/>
      <w:sz w:val="21"/>
    </w:rPr>
  </w:style>
  <w:style w:type="paragraph" w:customStyle="1" w:styleId="50">
    <w:name w:val="表格文字"/>
    <w:basedOn w:val="51"/>
    <w:autoRedefine/>
    <w:qFormat/>
    <w:uiPriority w:val="0"/>
    <w:pPr>
      <w:keepNext/>
      <w:keepLines/>
      <w:spacing w:beforeLines="0" w:afterLines="0" w:line="240" w:lineRule="auto"/>
      <w:jc w:val="center"/>
      <w:outlineLvl w:val="4"/>
    </w:pPr>
    <w:rPr>
      <w:rFonts w:ascii="Arial" w:hAnsi="Arial" w:eastAsia="宋体"/>
      <w:sz w:val="21"/>
    </w:rPr>
  </w:style>
  <w:style w:type="paragraph" w:customStyle="1" w:styleId="51">
    <w:name w:val="我的表格"/>
    <w:basedOn w:val="1"/>
    <w:autoRedefine/>
    <w:qFormat/>
    <w:uiPriority w:val="0"/>
    <w:pPr>
      <w:adjustRightInd w:val="0"/>
      <w:spacing w:line="240" w:lineRule="atLeast"/>
      <w:ind w:firstLine="0" w:firstLineChars="0"/>
      <w:jc w:val="center"/>
      <w:textAlignment w:val="baseline"/>
    </w:pPr>
    <w:rPr>
      <w:rFonts w:ascii="Times New Roman" w:hAnsi="Times New Roman"/>
      <w:sz w:val="21"/>
    </w:rPr>
  </w:style>
  <w:style w:type="paragraph" w:customStyle="1" w:styleId="52">
    <w:name w:val="表、图名"/>
    <w:basedOn w:val="1"/>
    <w:autoRedefine/>
    <w:qFormat/>
    <w:uiPriority w:val="0"/>
    <w:pPr>
      <w:adjustRightInd w:val="0"/>
      <w:snapToGrid w:val="0"/>
      <w:spacing w:line="240" w:lineRule="auto"/>
      <w:jc w:val="center"/>
      <w:outlineLvl w:val="5"/>
    </w:pPr>
    <w:rPr>
      <w:rFonts w:ascii="Times New Roman" w:hAnsi="Times New Roman" w:eastAsia="黑体" w:cs="Times New Roman"/>
      <w:sz w:val="21"/>
    </w:rPr>
  </w:style>
  <w:style w:type="paragraph" w:customStyle="1" w:styleId="53">
    <w:name w:val="表、图名-"/>
    <w:basedOn w:val="1"/>
    <w:autoRedefine/>
    <w:qFormat/>
    <w:uiPriority w:val="0"/>
    <w:pPr>
      <w:adjustRightInd w:val="0"/>
      <w:snapToGrid w:val="0"/>
      <w:spacing w:line="360" w:lineRule="auto"/>
      <w:jc w:val="center"/>
      <w:textAlignment w:val="baseline"/>
    </w:pPr>
    <w:rPr>
      <w:rFonts w:ascii="Calibri" w:hAnsi="Calibri" w:eastAsia="黑体" w:cs="Times New Roman"/>
      <w:kern w:val="2"/>
      <w:sz w:val="21"/>
      <w:szCs w:val="22"/>
      <w:lang w:eastAsia="zh-CN"/>
    </w:rPr>
  </w:style>
  <w:style w:type="paragraph" w:customStyle="1" w:styleId="54">
    <w:name w:val="正文文本-"/>
    <w:basedOn w:val="1"/>
    <w:autoRedefine/>
    <w:qFormat/>
    <w:uiPriority w:val="0"/>
    <w:pPr>
      <w:spacing w:line="360" w:lineRule="auto"/>
    </w:pPr>
    <w:rPr>
      <w:rFonts w:ascii="Times New Roman" w:hAnsi="Times New Roman" w:cs="Times New Roman"/>
      <w:kern w:val="2"/>
      <w:sz w:val="24"/>
      <w:lang w:eastAsia="zh-CN"/>
    </w:rPr>
  </w:style>
  <w:style w:type="paragraph" w:customStyle="1" w:styleId="55">
    <w:name w:val="文本"/>
    <w:basedOn w:val="16"/>
    <w:autoRedefine/>
    <w:qFormat/>
    <w:uiPriority w:val="0"/>
    <w:pPr>
      <w:adjustRightInd w:val="0"/>
      <w:snapToGrid w:val="0"/>
      <w:spacing w:line="520" w:lineRule="exact"/>
      <w:ind w:firstLine="200" w:firstLineChars="200"/>
    </w:pPr>
    <w:rPr>
      <w:rFonts w:ascii="宋体" w:eastAsia="仿宋_GB2312"/>
      <w:sz w:val="24"/>
      <w:szCs w:val="24"/>
    </w:rPr>
  </w:style>
  <w:style w:type="paragraph" w:customStyle="1" w:styleId="56">
    <w:name w:val="1 表头"/>
    <w:basedOn w:val="1"/>
    <w:autoRedefine/>
    <w:qFormat/>
    <w:uiPriority w:val="0"/>
    <w:pPr>
      <w:adjustRightInd w:val="0"/>
      <w:snapToGrid w:val="0"/>
      <w:spacing w:line="240" w:lineRule="auto"/>
      <w:ind w:firstLine="0" w:firstLineChars="0"/>
      <w:jc w:val="center"/>
    </w:pPr>
    <w:rPr>
      <w:b/>
      <w:color w:val="000000"/>
      <w:sz w:val="21"/>
    </w:rPr>
  </w:style>
  <w:style w:type="paragraph" w:customStyle="1" w:styleId="57">
    <w:name w:val="标题2"/>
    <w:basedOn w:val="3"/>
    <w:autoRedefine/>
    <w:qFormat/>
    <w:uiPriority w:val="0"/>
    <w:rPr>
      <w:rFonts w:cs="Times New Roman"/>
      <w:color w:val="auto"/>
    </w:rPr>
  </w:style>
  <w:style w:type="paragraph" w:customStyle="1" w:styleId="58">
    <w:name w:val="标题3"/>
    <w:basedOn w:val="59"/>
    <w:autoRedefine/>
    <w:qFormat/>
    <w:uiPriority w:val="0"/>
    <w:pPr>
      <w:keepNext/>
      <w:keepLines/>
      <w:spacing w:before="120" w:after="120" w:line="360" w:lineRule="auto"/>
      <w:outlineLvl w:val="2"/>
    </w:pPr>
    <w:rPr>
      <w:szCs w:val="22"/>
    </w:rPr>
  </w:style>
  <w:style w:type="paragraph" w:customStyle="1" w:styleId="59">
    <w:name w:val="标题 3新"/>
    <w:basedOn w:val="4"/>
    <w:autoRedefine/>
    <w:qFormat/>
    <w:uiPriority w:val="0"/>
    <w:pPr>
      <w:widowControl w:val="0"/>
      <w:spacing w:before="120" w:after="120" w:line="240" w:lineRule="auto"/>
    </w:pPr>
    <w:rPr>
      <w:rFonts w:ascii="Times New Roman" w:hAnsi="Times New Roman" w:cs="Times New Roman"/>
      <w:sz w:val="28"/>
      <w:szCs w:val="28"/>
    </w:rPr>
  </w:style>
  <w:style w:type="paragraph" w:customStyle="1" w:styleId="60">
    <w:name w:val="图表标题"/>
    <w:basedOn w:val="1"/>
    <w:autoRedefine/>
    <w:qFormat/>
    <w:uiPriority w:val="0"/>
    <w:pPr>
      <w:spacing w:line="360" w:lineRule="auto"/>
      <w:jc w:val="center"/>
      <w:outlineLvl w:val="9"/>
    </w:pPr>
    <w:rPr>
      <w:rFonts w:ascii="Times New Roman" w:hAnsi="Times New Roman" w:cs="Times New Roman"/>
      <w:b/>
      <w:sz w:val="21"/>
      <w:szCs w:val="21"/>
    </w:rPr>
  </w:style>
  <w:style w:type="paragraph" w:customStyle="1" w:styleId="61">
    <w:name w:val="表中内容"/>
    <w:basedOn w:val="1"/>
    <w:autoRedefine/>
    <w:qFormat/>
    <w:uiPriority w:val="0"/>
    <w:pPr>
      <w:shd w:val="clear" w:color="auto" w:fill="FFFFFF"/>
      <w:overflowPunct w:val="0"/>
      <w:autoSpaceDE w:val="0"/>
      <w:autoSpaceDN w:val="0"/>
      <w:adjustRightInd w:val="0"/>
      <w:snapToGrid w:val="0"/>
      <w:jc w:val="center"/>
      <w:textAlignment w:val="baseline"/>
    </w:pPr>
    <w:rPr>
      <w:rFonts w:ascii="Times New Roman" w:hAnsi="Times New Roman" w:cs="Times New Roman"/>
      <w:kern w:val="2"/>
      <w:sz w:val="21"/>
    </w:rPr>
  </w:style>
  <w:style w:type="paragraph" w:customStyle="1" w:styleId="62">
    <w:name w:val="表标题"/>
    <w:basedOn w:val="1"/>
    <w:autoRedefine/>
    <w:qFormat/>
    <w:uiPriority w:val="0"/>
    <w:pPr>
      <w:widowControl w:val="0"/>
      <w:jc w:val="center"/>
    </w:pPr>
    <w:rPr>
      <w:rFonts w:ascii="Times New Roman" w:hAnsi="Times New Roman" w:eastAsia="黑体" w:cs="Times New Roman"/>
      <w:b/>
      <w:kern w:val="2"/>
      <w:sz w:val="21"/>
      <w:szCs w:val="20"/>
    </w:rPr>
  </w:style>
  <w:style w:type="paragraph" w:customStyle="1" w:styleId="63">
    <w:name w:val="标准正文"/>
    <w:basedOn w:val="1"/>
    <w:autoRedefine/>
    <w:qFormat/>
    <w:uiPriority w:val="0"/>
    <w:pPr>
      <w:widowControl w:val="0"/>
      <w:spacing w:line="360" w:lineRule="auto"/>
      <w:ind w:firstLine="480" w:firstLineChars="200"/>
    </w:pPr>
    <w:rPr>
      <w:rFonts w:hAnsi="Times New Roman" w:cs="Times New Roman"/>
      <w:kern w:val="2"/>
      <w:sz w:val="28"/>
      <w:szCs w:val="22"/>
    </w:rPr>
  </w:style>
  <w:style w:type="paragraph" w:customStyle="1" w:styleId="64">
    <w:name w:val="表格"/>
    <w:basedOn w:val="28"/>
    <w:next w:val="1"/>
    <w:autoRedefine/>
    <w:qFormat/>
    <w:uiPriority w:val="0"/>
    <w:pPr>
      <w:adjustRightInd w:val="0"/>
      <w:spacing w:line="400" w:lineRule="atLeast"/>
      <w:textAlignment w:val="baseline"/>
    </w:pPr>
    <w:rPr>
      <w:rFonts w:ascii="Calibri" w:hAnsi="Calibri" w:cs="Times New Roman"/>
      <w:szCs w:val="22"/>
    </w:rPr>
  </w:style>
  <w:style w:type="paragraph" w:customStyle="1" w:styleId="65">
    <w:name w:val="正文(首行缩进)"/>
    <w:basedOn w:val="1"/>
    <w:link w:val="107"/>
    <w:autoRedefine/>
    <w:qFormat/>
    <w:uiPriority w:val="0"/>
    <w:pPr>
      <w:spacing w:line="360" w:lineRule="auto"/>
      <w:ind w:firstLine="540" w:firstLineChars="225"/>
    </w:pPr>
    <w:rPr>
      <w:snapToGrid w:val="0"/>
      <w:color w:val="000000"/>
    </w:rPr>
  </w:style>
  <w:style w:type="paragraph" w:customStyle="1" w:styleId="66">
    <w:name w:val="表头"/>
    <w:basedOn w:val="1"/>
    <w:autoRedefine/>
    <w:qFormat/>
    <w:uiPriority w:val="0"/>
    <w:pPr>
      <w:spacing w:line="500" w:lineRule="exact"/>
      <w:jc w:val="center"/>
    </w:pPr>
    <w:rPr>
      <w:rFonts w:ascii="黑体" w:hAnsi="Calibri" w:eastAsia="黑体" w:cs="Times New Roman"/>
      <w:sz w:val="28"/>
      <w:szCs w:val="22"/>
    </w:rPr>
  </w:style>
  <w:style w:type="paragraph" w:customStyle="1" w:styleId="67">
    <w:name w:val="样式 样式 (中文) 楷体_GB2312 四号 行距: 固定值 26 磅 +"/>
    <w:basedOn w:val="1"/>
    <w:autoRedefine/>
    <w:qFormat/>
    <w:uiPriority w:val="0"/>
    <w:pPr>
      <w:spacing w:line="360" w:lineRule="auto"/>
      <w:ind w:firstLine="480" w:firstLineChars="200"/>
    </w:pPr>
    <w:rPr>
      <w:kern w:val="0"/>
      <w:sz w:val="24"/>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YJ正文*"/>
    <w:basedOn w:val="1"/>
    <w:autoRedefine/>
    <w:qFormat/>
    <w:uiPriority w:val="0"/>
    <w:pPr>
      <w:spacing w:line="500" w:lineRule="exact"/>
      <w:ind w:firstLine="200" w:firstLineChars="200"/>
    </w:pPr>
    <w:rPr>
      <w:rFonts w:ascii="宋体" w:hAnsi="宋体" w:eastAsia="宋体" w:cs="Times New Roman"/>
      <w:sz w:val="24"/>
      <w:szCs w:val="24"/>
    </w:rPr>
  </w:style>
  <w:style w:type="paragraph" w:customStyle="1" w:styleId="70">
    <w:name w:val="正文1"/>
    <w:basedOn w:val="1"/>
    <w:autoRedefine/>
    <w:qFormat/>
    <w:uiPriority w:val="0"/>
    <w:pPr>
      <w:spacing w:line="480" w:lineRule="exact"/>
      <w:ind w:firstLine="200" w:firstLineChars="200"/>
    </w:pPr>
    <w:rPr>
      <w:sz w:val="24"/>
      <w:szCs w:val="24"/>
    </w:rPr>
  </w:style>
  <w:style w:type="paragraph" w:customStyle="1" w:styleId="71">
    <w:name w:val="邵正文"/>
    <w:autoRedefine/>
    <w:qFormat/>
    <w:uiPriority w:val="0"/>
    <w:pPr>
      <w:widowControl/>
      <w:ind w:firstLine="200"/>
    </w:pPr>
    <w:rPr>
      <w:rFonts w:ascii="Times New Roman" w:hAnsi="Times New Roman" w:eastAsia="宋体" w:cs="宋体"/>
      <w:spacing w:val="0"/>
      <w:kern w:val="0"/>
      <w:szCs w:val="24"/>
    </w:rPr>
  </w:style>
  <w:style w:type="character" w:customStyle="1" w:styleId="72">
    <w:name w:val="正文文本 Char"/>
    <w:link w:val="11"/>
    <w:autoRedefine/>
    <w:qFormat/>
    <w:uiPriority w:val="0"/>
    <w:rPr>
      <w:rFonts w:ascii="宋体" w:hAnsi="宋体" w:eastAsia="宋体" w:cs="宋体"/>
    </w:rPr>
  </w:style>
  <w:style w:type="paragraph" w:customStyle="1" w:styleId="73">
    <w:name w:val="无间隔1"/>
    <w:autoRedefine/>
    <w:qFormat/>
    <w:uiPriority w:val="0"/>
    <w:pPr>
      <w:jc w:val="center"/>
    </w:pPr>
    <w:rPr>
      <w:rFonts w:ascii="宋体" w:hAnsi="宋体" w:eastAsia="宋体" w:cs="宋体"/>
      <w:sz w:val="21"/>
      <w:szCs w:val="24"/>
      <w:lang w:val="en-US" w:eastAsia="zh-CN" w:bidi="ar-SA"/>
    </w:rPr>
  </w:style>
  <w:style w:type="paragraph" w:customStyle="1" w:styleId="74">
    <w:name w:val="表格仔"/>
    <w:basedOn w:val="1"/>
    <w:next w:val="1"/>
    <w:autoRedefine/>
    <w:qFormat/>
    <w:uiPriority w:val="99"/>
    <w:pPr>
      <w:spacing w:line="240" w:lineRule="auto"/>
      <w:ind w:firstLine="0" w:firstLineChars="0"/>
      <w:jc w:val="center"/>
    </w:pPr>
    <w:rPr>
      <w:sz w:val="21"/>
    </w:rPr>
  </w:style>
  <w:style w:type="paragraph" w:customStyle="1" w:styleId="75">
    <w:name w:val="a)"/>
    <w:basedOn w:val="1"/>
    <w:autoRedefine/>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76">
    <w:name w:val="！正文"/>
    <w:basedOn w:val="1"/>
    <w:autoRedefine/>
    <w:qFormat/>
    <w:uiPriority w:val="0"/>
    <w:pPr>
      <w:ind w:firstLine="480" w:firstLineChars="200"/>
    </w:pPr>
    <w:rPr>
      <w:sz w:val="24"/>
    </w:rPr>
  </w:style>
  <w:style w:type="paragraph" w:customStyle="1" w:styleId="77">
    <w:name w:val="表内容"/>
    <w:basedOn w:val="51"/>
    <w:autoRedefine/>
    <w:qFormat/>
    <w:uiPriority w:val="0"/>
    <w:pPr>
      <w:spacing w:line="280" w:lineRule="exact"/>
      <w:ind w:left="-20" w:leftChars="-20" w:right="-20" w:rightChars="-20"/>
      <w:jc w:val="center"/>
    </w:pPr>
    <w:rPr>
      <w:sz w:val="18"/>
    </w:rPr>
  </w:style>
  <w:style w:type="paragraph" w:customStyle="1" w:styleId="78">
    <w:name w:val="样式62"/>
    <w:basedOn w:val="1"/>
    <w:autoRedefine/>
    <w:qFormat/>
    <w:uiPriority w:val="0"/>
    <w:pPr>
      <w:widowControl/>
      <w:spacing w:line="280" w:lineRule="exact"/>
      <w:jc w:val="center"/>
    </w:pPr>
    <w:rPr>
      <w:rFonts w:hAnsi="宋体"/>
      <w:kern w:val="0"/>
      <w:sz w:val="18"/>
      <w:szCs w:val="18"/>
    </w:rPr>
  </w:style>
  <w:style w:type="paragraph" w:customStyle="1" w:styleId="79">
    <w:name w:val="_Style 529"/>
    <w:basedOn w:val="16"/>
    <w:next w:val="36"/>
    <w:autoRedefine/>
    <w:qFormat/>
    <w:uiPriority w:val="0"/>
    <w:pPr>
      <w:ind w:firstLine="420" w:firstLineChars="200"/>
    </w:pPr>
    <w:rPr>
      <w:b/>
      <w:kern w:val="44"/>
      <w:sz w:val="44"/>
    </w:rPr>
  </w:style>
  <w:style w:type="paragraph" w:customStyle="1" w:styleId="80">
    <w:name w:val="报告正文 + 首行缩进:  2 字符 Char"/>
    <w:basedOn w:val="1"/>
    <w:autoRedefine/>
    <w:qFormat/>
    <w:uiPriority w:val="0"/>
    <w:pPr>
      <w:spacing w:line="360" w:lineRule="auto"/>
      <w:ind w:firstLine="480"/>
    </w:pPr>
    <w:rPr>
      <w:bCs/>
      <w:sz w:val="24"/>
    </w:rPr>
  </w:style>
  <w:style w:type="paragraph" w:customStyle="1" w:styleId="81">
    <w:name w:val="00.正文格式"/>
    <w:basedOn w:val="8"/>
    <w:autoRedefine/>
    <w:qFormat/>
    <w:uiPriority w:val="0"/>
    <w:pPr>
      <w:keepNext w:val="0"/>
      <w:keepLines w:val="0"/>
      <w:widowControl/>
      <w:suppressLineNumbers w:val="0"/>
      <w:spacing w:before="0" w:beforeAutospacing="0" w:after="0" w:afterAutospacing="0" w:line="360" w:lineRule="auto"/>
      <w:ind w:left="0" w:right="0" w:firstLine="480" w:firstLineChars="200"/>
      <w:jc w:val="left"/>
    </w:pPr>
    <w:rPr>
      <w:rFonts w:hint="default" w:ascii="Times New Roman" w:hAnsi="Times New Roman" w:eastAsia="宋体" w:cs="Times New Roman"/>
      <w:color w:val="000000"/>
      <w:kern w:val="2"/>
      <w:sz w:val="24"/>
      <w:szCs w:val="24"/>
      <w:lang w:val="en-US" w:eastAsia="zh-CN" w:bidi="ar"/>
    </w:rPr>
  </w:style>
  <w:style w:type="paragraph" w:customStyle="1" w:styleId="82">
    <w:name w:val="正文.."/>
    <w:basedOn w:val="1"/>
    <w:autoRedefine/>
    <w:qFormat/>
    <w:uiPriority w:val="0"/>
    <w:pPr>
      <w:widowControl w:val="0"/>
      <w:wordWrap w:val="0"/>
      <w:spacing w:line="360" w:lineRule="auto"/>
      <w:ind w:firstLine="480" w:firstLineChars="200"/>
    </w:pPr>
    <w:rPr>
      <w:bCs/>
      <w:snapToGrid w:val="0"/>
      <w:kern w:val="2"/>
      <w:szCs w:val="22"/>
      <w:lang w:val="zh-CN"/>
    </w:rPr>
  </w:style>
  <w:style w:type="table" w:customStyle="1" w:styleId="83">
    <w:name w:val="网格型18"/>
    <w:basedOn w:val="37"/>
    <w:autoRedefine/>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表格标题"/>
    <w:basedOn w:val="1"/>
    <w:link w:val="158"/>
    <w:autoRedefine/>
    <w:qFormat/>
    <w:uiPriority w:val="0"/>
    <w:pPr>
      <w:ind w:firstLine="514" w:firstLineChars="244"/>
      <w:jc w:val="center"/>
    </w:pPr>
    <w:rPr>
      <w:b/>
    </w:rPr>
  </w:style>
  <w:style w:type="paragraph" w:customStyle="1" w:styleId="85">
    <w:name w:val="表格定"/>
    <w:basedOn w:val="47"/>
    <w:autoRedefine/>
    <w:qFormat/>
    <w:uiPriority w:val="0"/>
    <w:pPr>
      <w:keepLines/>
      <w:widowControl w:val="0"/>
      <w:autoSpaceDE w:val="0"/>
      <w:autoSpaceDN w:val="0"/>
      <w:adjustRightInd w:val="0"/>
      <w:snapToGrid w:val="0"/>
      <w:spacing w:line="320" w:lineRule="exact"/>
      <w:jc w:val="center"/>
      <w:textAlignment w:val="center"/>
    </w:pPr>
    <w:rPr>
      <w:rFonts w:ascii="Times New Roman" w:hAnsi="Times New Roman" w:cs="Times New Roman"/>
      <w:color w:val="000000"/>
      <w:sz w:val="21"/>
      <w:szCs w:val="21"/>
      <w:lang w:bidi="en-US"/>
    </w:rPr>
  </w:style>
  <w:style w:type="paragraph" w:customStyle="1" w:styleId="86">
    <w:name w:val="报告书正文"/>
    <w:basedOn w:val="1"/>
    <w:autoRedefine/>
    <w:qFormat/>
    <w:uiPriority w:val="0"/>
    <w:pPr>
      <w:spacing w:beforeLines="25" w:afterLines="25" w:line="360" w:lineRule="auto"/>
      <w:ind w:firstLine="480" w:firstLineChars="200"/>
      <w:jc w:val="both"/>
    </w:pPr>
    <w:rPr>
      <w:rFonts w:ascii="Times New Roman" w:hAnsi="Times New Roman"/>
      <w:color w:val="000000"/>
      <w:szCs w:val="21"/>
      <w:lang w:bidi="en-US"/>
    </w:rPr>
  </w:style>
  <w:style w:type="paragraph" w:customStyle="1" w:styleId="87">
    <w:name w:val="报告书四级标题"/>
    <w:basedOn w:val="1"/>
    <w:autoRedefine/>
    <w:qFormat/>
    <w:uiPriority w:val="0"/>
    <w:pPr>
      <w:keepLines/>
      <w:adjustRightInd w:val="0"/>
      <w:snapToGrid w:val="0"/>
      <w:spacing w:line="360" w:lineRule="auto"/>
      <w:jc w:val="left"/>
      <w:outlineLvl w:val="3"/>
    </w:pPr>
    <w:rPr>
      <w:b/>
      <w:sz w:val="24"/>
      <w:szCs w:val="22"/>
    </w:rPr>
  </w:style>
  <w:style w:type="character" w:customStyle="1" w:styleId="88">
    <w:name w:val="纯文本 Char2"/>
    <w:autoRedefine/>
    <w:qFormat/>
    <w:uiPriority w:val="0"/>
    <w:rPr>
      <w:rFonts w:ascii="宋体" w:hAnsi="Courier New" w:eastAsia="宋体" w:cs="Courier New"/>
      <w:szCs w:val="21"/>
    </w:rPr>
  </w:style>
  <w:style w:type="paragraph" w:customStyle="1" w:styleId="89">
    <w:name w:val="正文格式"/>
    <w:next w:val="90"/>
    <w:autoRedefine/>
    <w:qFormat/>
    <w:uiPriority w:val="0"/>
    <w:pPr>
      <w:widowControl/>
      <w:adjustRightInd w:val="0"/>
      <w:snapToGrid w:val="0"/>
      <w:spacing w:line="360" w:lineRule="auto"/>
      <w:ind w:firstLine="560"/>
      <w:jc w:val="left"/>
    </w:pPr>
    <w:rPr>
      <w:rFonts w:ascii="Times New Roman" w:hAnsi="Times New Roman" w:eastAsia="宋体" w:cs="Times New Roman"/>
      <w:color w:val="000000"/>
      <w:kern w:val="0"/>
      <w:sz w:val="24"/>
      <w:szCs w:val="24"/>
    </w:rPr>
  </w:style>
  <w:style w:type="paragraph" w:customStyle="1" w:styleId="90">
    <w:name w:val="_Style 5"/>
    <w:basedOn w:val="1"/>
    <w:autoRedefine/>
    <w:qFormat/>
    <w:uiPriority w:val="0"/>
    <w:pPr>
      <w:ind w:firstLine="420"/>
    </w:pPr>
    <w:rPr>
      <w:rFonts w:ascii="Calibri" w:hAnsi="Calibri"/>
      <w:szCs w:val="22"/>
    </w:rPr>
  </w:style>
  <w:style w:type="paragraph" w:customStyle="1" w:styleId="91">
    <w:name w:val="正文首行缩进 Char Char Char Char Char Char"/>
    <w:basedOn w:val="1"/>
    <w:autoRedefine/>
    <w:qFormat/>
    <w:uiPriority w:val="0"/>
    <w:pPr>
      <w:spacing w:line="480" w:lineRule="exact"/>
      <w:ind w:firstLine="200" w:firstLineChars="200"/>
    </w:pPr>
    <w:rPr>
      <w:rFonts w:ascii="Calibri" w:hAnsi="Calibri"/>
      <w:sz w:val="21"/>
      <w:szCs w:val="21"/>
    </w:rPr>
  </w:style>
  <w:style w:type="paragraph" w:customStyle="1" w:styleId="92">
    <w:name w:val="邵表头"/>
    <w:basedOn w:val="71"/>
    <w:next w:val="71"/>
    <w:autoRedefine/>
    <w:qFormat/>
    <w:uiPriority w:val="0"/>
    <w:pPr>
      <w:spacing w:line="240" w:lineRule="auto"/>
      <w:ind w:firstLine="0" w:firstLineChars="0"/>
      <w:jc w:val="center"/>
    </w:pPr>
    <w:rPr>
      <w:rFonts w:hAnsi="Times New Roman" w:eastAsia="黑体"/>
      <w:b/>
      <w:sz w:val="21"/>
      <w:szCs w:val="22"/>
    </w:rPr>
  </w:style>
  <w:style w:type="paragraph" w:customStyle="1" w:styleId="93">
    <w:name w:val="表格内"/>
    <w:basedOn w:val="1"/>
    <w:autoRedefine/>
    <w:qFormat/>
    <w:uiPriority w:val="0"/>
    <w:pPr>
      <w:adjustRightInd w:val="0"/>
      <w:jc w:val="center"/>
      <w:textAlignment w:val="baseline"/>
    </w:pPr>
  </w:style>
  <w:style w:type="paragraph" w:customStyle="1" w:styleId="94">
    <w:name w:val="后评价正文"/>
    <w:basedOn w:val="65"/>
    <w:autoRedefine/>
    <w:qFormat/>
    <w:uiPriority w:val="0"/>
    <w:rPr>
      <w:kern w:val="0"/>
      <w:szCs w:val="24"/>
    </w:rPr>
  </w:style>
  <w:style w:type="paragraph" w:customStyle="1" w:styleId="95">
    <w:name w:val="03_正文"/>
    <w:basedOn w:val="1"/>
    <w:autoRedefine/>
    <w:qFormat/>
    <w:uiPriority w:val="0"/>
    <w:pPr>
      <w:adjustRightInd w:val="0"/>
      <w:snapToGrid w:val="0"/>
      <w:spacing w:line="360" w:lineRule="auto"/>
      <w:ind w:firstLine="200" w:firstLineChars="200"/>
    </w:pPr>
    <w:rPr>
      <w:rFonts w:ascii="宋体" w:hAnsi="Calibri"/>
      <w:color w:val="000000"/>
      <w:spacing w:val="5"/>
      <w:sz w:val="25"/>
      <w:szCs w:val="25"/>
    </w:rPr>
  </w:style>
  <w:style w:type="paragraph" w:customStyle="1" w:styleId="96">
    <w:name w:val="0正文"/>
    <w:basedOn w:val="11"/>
    <w:autoRedefine/>
    <w:qFormat/>
    <w:uiPriority w:val="0"/>
    <w:pPr>
      <w:snapToGrid w:val="0"/>
      <w:spacing w:line="360" w:lineRule="auto"/>
      <w:ind w:firstLine="480" w:firstLineChars="200"/>
    </w:pPr>
    <w:rPr>
      <w:rFonts w:ascii="Times New Roman" w:hAnsi="宋体"/>
      <w:sz w:val="24"/>
      <w:szCs w:val="21"/>
      <w:lang w:val="en-US" w:eastAsia="zh-CN"/>
    </w:rPr>
  </w:style>
  <w:style w:type="paragraph" w:customStyle="1" w:styleId="97">
    <w:name w:val="样式 表内容 + 行距: 固定值 28 磅"/>
    <w:basedOn w:val="77"/>
    <w:autoRedefine/>
    <w:qFormat/>
    <w:uiPriority w:val="0"/>
    <w:pPr>
      <w:ind w:left="-20" w:leftChars="-20" w:right="-20" w:rightChars="-20"/>
      <w:jc w:val="center"/>
    </w:pPr>
    <w:rPr>
      <w:rFonts w:ascii="Calibri" w:hAnsi="宋体" w:cs="宋体"/>
      <w:spacing w:val="5"/>
      <w:kern w:val="0"/>
    </w:rPr>
  </w:style>
  <w:style w:type="paragraph" w:customStyle="1" w:styleId="98">
    <w:name w:val="LSJ正文"/>
    <w:basedOn w:val="8"/>
    <w:autoRedefine/>
    <w:qFormat/>
    <w:uiPriority w:val="0"/>
    <w:pPr>
      <w:widowControl/>
      <w:spacing w:line="360" w:lineRule="auto"/>
      <w:ind w:firstLine="480"/>
      <w:jc w:val="left"/>
    </w:pPr>
    <w:rPr>
      <w:color w:val="000000"/>
      <w:sz w:val="24"/>
      <w:szCs w:val="24"/>
    </w:rPr>
  </w:style>
  <w:style w:type="paragraph" w:customStyle="1" w:styleId="99">
    <w:name w:val="表内文字"/>
    <w:basedOn w:val="100"/>
    <w:autoRedefine/>
    <w:qFormat/>
    <w:uiPriority w:val="0"/>
    <w:pPr>
      <w:adjustRightInd w:val="0"/>
      <w:jc w:val="center"/>
    </w:pPr>
    <w:rPr>
      <w:rFonts w:ascii="宋体" w:cs="宋体"/>
      <w:szCs w:val="24"/>
    </w:rPr>
  </w:style>
  <w:style w:type="paragraph" w:customStyle="1" w:styleId="100">
    <w:name w:val="表内"/>
    <w:basedOn w:val="17"/>
    <w:autoRedefine/>
    <w:qFormat/>
    <w:uiPriority w:val="0"/>
    <w:pPr>
      <w:widowControl/>
      <w:spacing w:beforeLines="0" w:line="240" w:lineRule="auto"/>
      <w:ind w:left="0" w:leftChars="0" w:firstLine="0" w:firstLineChars="0"/>
      <w:jc w:val="center"/>
    </w:pPr>
    <w:rPr>
      <w:rFonts w:ascii="宋体"/>
      <w:bCs/>
      <w:color w:val="000000"/>
      <w:szCs w:val="21"/>
    </w:rPr>
  </w:style>
  <w:style w:type="paragraph" w:customStyle="1" w:styleId="101">
    <w:name w:val="2"/>
    <w:basedOn w:val="1"/>
    <w:next w:val="29"/>
    <w:autoRedefine/>
    <w:qFormat/>
    <w:uiPriority w:val="0"/>
    <w:pPr>
      <w:ind w:firstLine="527" w:firstLineChars="200"/>
    </w:pPr>
    <w:rPr>
      <w:szCs w:val="25"/>
    </w:rPr>
  </w:style>
  <w:style w:type="character" w:customStyle="1" w:styleId="102">
    <w:name w:val="标题 3 Char"/>
    <w:link w:val="4"/>
    <w:autoRedefine/>
    <w:qFormat/>
    <w:uiPriority w:val="0"/>
    <w:rPr>
      <w:rFonts w:ascii="Arial" w:hAnsi="Arial" w:cs="Arial"/>
      <w:b/>
      <w:snapToGrid w:val="0"/>
      <w:color w:val="000000"/>
      <w:kern w:val="0"/>
      <w:sz w:val="28"/>
      <w:szCs w:val="21"/>
      <w:lang w:eastAsia="en-US"/>
    </w:rPr>
  </w:style>
  <w:style w:type="paragraph" w:customStyle="1" w:styleId="103">
    <w:name w:val="正文首行缩进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104">
    <w:name w:val="表格文字2"/>
    <w:basedOn w:val="1"/>
    <w:autoRedefine/>
    <w:qFormat/>
    <w:uiPriority w:val="0"/>
    <w:pPr>
      <w:widowControl/>
      <w:tabs>
        <w:tab w:val="left" w:pos="277"/>
        <w:tab w:val="left" w:pos="600"/>
        <w:tab w:val="left" w:pos="780"/>
        <w:tab w:val="left" w:pos="2517"/>
      </w:tabs>
      <w:adjustRightInd w:val="0"/>
      <w:spacing w:before="60" w:line="360" w:lineRule="auto"/>
      <w:ind w:firstLine="480" w:firstLineChars="200"/>
      <w:jc w:val="left"/>
      <w:textAlignment w:val="baseline"/>
    </w:pPr>
    <w:rPr>
      <w:rFonts w:cs="宋体"/>
      <w:kern w:val="0"/>
      <w:sz w:val="24"/>
      <w:szCs w:val="24"/>
    </w:rPr>
  </w:style>
  <w:style w:type="paragraph" w:customStyle="1" w:styleId="105">
    <w:name w:val="表头A"/>
    <w:basedOn w:val="1"/>
    <w:autoRedefine/>
    <w:qFormat/>
    <w:uiPriority w:val="0"/>
    <w:pPr>
      <w:spacing w:line="400" w:lineRule="exact"/>
      <w:jc w:val="center"/>
    </w:pPr>
    <w:rPr>
      <w:rFonts w:ascii="华文仿宋" w:hAnsi="华文仿宋" w:eastAsia="华文仿宋"/>
      <w:b/>
      <w:kern w:val="0"/>
      <w:sz w:val="24"/>
      <w:szCs w:val="24"/>
    </w:rPr>
  </w:style>
  <w:style w:type="paragraph" w:customStyle="1" w:styleId="106">
    <w:name w:val="正文文本2"/>
    <w:basedOn w:val="1"/>
    <w:autoRedefine/>
    <w:qFormat/>
    <w:uiPriority w:val="0"/>
    <w:pPr>
      <w:spacing w:line="360" w:lineRule="auto"/>
      <w:ind w:firstLine="480" w:firstLineChars="200"/>
    </w:pPr>
    <w:rPr>
      <w:rFonts w:ascii="宋体" w:hAnsi="宋体"/>
      <w:color w:val="000000"/>
      <w:sz w:val="24"/>
    </w:rPr>
  </w:style>
  <w:style w:type="character" w:customStyle="1" w:styleId="107">
    <w:name w:val="正文(首行缩进) Char Char"/>
    <w:link w:val="65"/>
    <w:autoRedefine/>
    <w:qFormat/>
    <w:uiPriority w:val="0"/>
    <w:rPr>
      <w:snapToGrid w:val="0"/>
      <w:color w:val="000000"/>
    </w:rPr>
  </w:style>
  <w:style w:type="paragraph" w:customStyle="1" w:styleId="108">
    <w:name w:val="p0"/>
    <w:basedOn w:val="1"/>
    <w:autoRedefine/>
    <w:qFormat/>
    <w:uiPriority w:val="0"/>
    <w:pPr>
      <w:widowControl/>
      <w:spacing w:line="360" w:lineRule="auto"/>
      <w:ind w:firstLine="420"/>
    </w:pPr>
    <w:rPr>
      <w:kern w:val="0"/>
      <w:sz w:val="24"/>
    </w:rPr>
  </w:style>
  <w:style w:type="paragraph" w:customStyle="1" w:styleId="109">
    <w:name w:val="正文(首缩进)"/>
    <w:basedOn w:val="1"/>
    <w:autoRedefine/>
    <w:qFormat/>
    <w:uiPriority w:val="0"/>
    <w:pPr>
      <w:spacing w:before="78" w:beforeLines="25" w:after="78" w:afterLines="25" w:line="420" w:lineRule="auto"/>
      <w:ind w:firstLine="200" w:firstLineChars="200"/>
    </w:pPr>
    <w:rPr>
      <w:sz w:val="28"/>
    </w:rPr>
  </w:style>
  <w:style w:type="paragraph" w:customStyle="1" w:styleId="110">
    <w:name w:val="样式45"/>
    <w:basedOn w:val="1"/>
    <w:autoRedefine/>
    <w:qFormat/>
    <w:uiPriority w:val="0"/>
    <w:pPr>
      <w:spacing w:line="400" w:lineRule="exact"/>
      <w:ind w:firstLine="200" w:firstLineChars="200"/>
    </w:pPr>
    <w:rPr>
      <w:rFonts w:ascii="宋体" w:hAnsi="宋体"/>
      <w:bCs/>
      <w:szCs w:val="24"/>
      <w:lang w:val="zh-CN"/>
    </w:rPr>
  </w:style>
  <w:style w:type="paragraph" w:customStyle="1" w:styleId="111">
    <w:name w:val="表内容       .."/>
    <w:basedOn w:val="1"/>
    <w:autoRedefine/>
    <w:qFormat/>
    <w:uiPriority w:val="0"/>
    <w:pPr>
      <w:adjustRightInd w:val="0"/>
      <w:snapToGrid w:val="0"/>
      <w:spacing w:line="240" w:lineRule="exact"/>
      <w:jc w:val="center"/>
      <w:textAlignment w:val="baseline"/>
    </w:pPr>
    <w:rPr>
      <w:szCs w:val="18"/>
    </w:rPr>
  </w:style>
  <w:style w:type="table" w:customStyle="1" w:styleId="112">
    <w:name w:val="网格型19"/>
    <w:basedOn w:val="37"/>
    <w:autoRedefine/>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
    <w:name w:val="表格11.5居中"/>
    <w:basedOn w:val="1"/>
    <w:autoRedefine/>
    <w:qFormat/>
    <w:uiPriority w:val="0"/>
    <w:pPr>
      <w:keepLines/>
      <w:adjustRightInd w:val="0"/>
      <w:snapToGrid w:val="0"/>
      <w:spacing w:line="240" w:lineRule="auto"/>
      <w:ind w:firstLine="0" w:firstLineChars="0"/>
      <w:jc w:val="center"/>
      <w:textAlignment w:val="center"/>
    </w:pPr>
    <w:rPr>
      <w:rFonts w:ascii="Times New Roman" w:hAnsi="Times New Roman" w:eastAsia="宋体" w:cs="Times New Roman"/>
      <w:kern w:val="0"/>
      <w:sz w:val="20"/>
      <w:szCs w:val="21"/>
      <w:lang w:bidi="en-US"/>
    </w:rPr>
  </w:style>
  <w:style w:type="paragraph" w:customStyle="1" w:styleId="114">
    <w:name w:val="正式格式"/>
    <w:basedOn w:val="1"/>
    <w:autoRedefine/>
    <w:qFormat/>
    <w:uiPriority w:val="0"/>
    <w:pPr>
      <w:adjustRightInd w:val="0"/>
      <w:snapToGrid w:val="0"/>
      <w:spacing w:line="360" w:lineRule="auto"/>
      <w:ind w:firstLine="200" w:firstLineChars="200"/>
    </w:pPr>
    <w:rPr>
      <w:kern w:val="10"/>
      <w:szCs w:val="24"/>
    </w:rPr>
  </w:style>
  <w:style w:type="character" w:customStyle="1" w:styleId="115">
    <w:name w:val="表内文字 Char"/>
    <w:autoRedefine/>
    <w:qFormat/>
    <w:uiPriority w:val="0"/>
    <w:rPr>
      <w:snapToGrid w:val="0"/>
      <w:sz w:val="21"/>
    </w:rPr>
  </w:style>
  <w:style w:type="paragraph" w:customStyle="1" w:styleId="116">
    <w:name w:val="标题4"/>
    <w:basedOn w:val="1"/>
    <w:autoRedefine/>
    <w:qFormat/>
    <w:uiPriority w:val="0"/>
    <w:pPr>
      <w:widowControl w:val="0"/>
      <w:adjustRightInd w:val="0"/>
      <w:snapToGrid w:val="0"/>
      <w:spacing w:line="360" w:lineRule="auto"/>
      <w:jc w:val="both"/>
      <w:outlineLvl w:val="3"/>
    </w:pPr>
    <w:rPr>
      <w:rFonts w:eastAsia="黑体"/>
      <w:snapToGrid w:val="0"/>
    </w:rPr>
  </w:style>
  <w:style w:type="table" w:customStyle="1" w:styleId="117">
    <w:name w:val="网格型20"/>
    <w:basedOn w:val="37"/>
    <w:autoRedefine/>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表格内容yy"/>
    <w:basedOn w:val="1"/>
    <w:autoRedefine/>
    <w:qFormat/>
    <w:uiPriority w:val="0"/>
    <w:pPr>
      <w:jc w:val="center"/>
    </w:pPr>
    <w:rPr>
      <w:sz w:val="21"/>
      <w:szCs w:val="18"/>
    </w:rPr>
  </w:style>
  <w:style w:type="paragraph" w:customStyle="1" w:styleId="119">
    <w:name w:val="_Style 57"/>
    <w:basedOn w:val="1"/>
    <w:autoRedefine/>
    <w:unhideWhenUsed/>
    <w:qFormat/>
    <w:uiPriority w:val="0"/>
    <w:pPr>
      <w:widowControl w:val="0"/>
      <w:spacing w:after="160" w:line="240" w:lineRule="exact"/>
    </w:pPr>
    <w:rPr>
      <w:rFonts w:hint="eastAsia"/>
      <w:kern w:val="2"/>
      <w:sz w:val="21"/>
    </w:rPr>
  </w:style>
  <w:style w:type="paragraph" w:styleId="120">
    <w:name w:val="List Paragraph"/>
    <w:basedOn w:val="1"/>
    <w:autoRedefine/>
    <w:qFormat/>
    <w:uiPriority w:val="1"/>
    <w:pPr>
      <w:jc w:val="center"/>
    </w:pPr>
    <w:rPr>
      <w:rFonts w:hAnsi="宋体"/>
      <w:color w:val="000000"/>
    </w:rPr>
  </w:style>
  <w:style w:type="paragraph" w:customStyle="1" w:styleId="121">
    <w:name w:val="@表格"/>
    <w:basedOn w:val="14"/>
    <w:autoRedefine/>
    <w:qFormat/>
    <w:uiPriority w:val="0"/>
    <w:pPr>
      <w:widowControl w:val="0"/>
      <w:adjustRightInd w:val="0"/>
      <w:snapToGrid w:val="0"/>
      <w:spacing w:line="240" w:lineRule="auto"/>
      <w:jc w:val="center"/>
    </w:pPr>
    <w:rPr>
      <w:sz w:val="21"/>
      <w:szCs w:val="24"/>
    </w:rPr>
  </w:style>
  <w:style w:type="paragraph" w:customStyle="1" w:styleId="122">
    <w:name w:val="表1"/>
    <w:basedOn w:val="1"/>
    <w:autoRedefine/>
    <w:qFormat/>
    <w:uiPriority w:val="0"/>
    <w:pPr>
      <w:widowControl w:val="0"/>
      <w:adjustRightInd w:val="0"/>
      <w:snapToGrid w:val="0"/>
      <w:jc w:val="center"/>
    </w:pPr>
    <w:rPr>
      <w:rFonts w:hAnsi="Arial Narrow"/>
      <w:kern w:val="24"/>
    </w:rPr>
  </w:style>
  <w:style w:type="paragraph" w:customStyle="1" w:styleId="123">
    <w:name w:val="美克BDO表格文字"/>
    <w:autoRedefine/>
    <w:qFormat/>
    <w:uiPriority w:val="0"/>
    <w:pPr>
      <w:jc w:val="center"/>
    </w:pPr>
    <w:rPr>
      <w:rFonts w:ascii="宋体" w:hAnsi="宋体" w:eastAsia="仿宋" w:cs="宋体"/>
      <w:kern w:val="0"/>
      <w:sz w:val="21"/>
      <w:szCs w:val="21"/>
      <w:lang w:val="en-US" w:eastAsia="zh-CN" w:bidi="ar-SA"/>
    </w:rPr>
  </w:style>
  <w:style w:type="paragraph" w:customStyle="1" w:styleId="124">
    <w:name w:val="正文-首行缩进"/>
    <w:basedOn w:val="1"/>
    <w:autoRedefine/>
    <w:qFormat/>
    <w:uiPriority w:val="0"/>
    <w:pPr>
      <w:widowControl w:val="0"/>
      <w:adjustRightInd w:val="0"/>
      <w:snapToGrid w:val="0"/>
      <w:spacing w:line="360" w:lineRule="auto"/>
      <w:ind w:firstLine="200" w:firstLineChars="200"/>
      <w:jc w:val="both"/>
    </w:pPr>
    <w:rPr>
      <w:rFonts w:cs="Times New Roman"/>
      <w:bCs/>
      <w:kern w:val="2"/>
      <w:sz w:val="21"/>
      <w:szCs w:val="25"/>
    </w:rPr>
  </w:style>
  <w:style w:type="paragraph" w:customStyle="1" w:styleId="125">
    <w:name w:val="样式 样式 样式 样式 首行缩进:  2 字符1 + 首行缩进:  2 字符 + 首行缩进:  2 字符 + 首行缩进:  2 ..."/>
    <w:basedOn w:val="1"/>
    <w:autoRedefine/>
    <w:qFormat/>
    <w:uiPriority w:val="0"/>
    <w:pPr>
      <w:ind w:firstLine="500" w:firstLineChars="200"/>
    </w:pPr>
    <w:rPr>
      <w:rFonts w:cs="宋体"/>
    </w:rPr>
  </w:style>
  <w:style w:type="paragraph" w:customStyle="1" w:styleId="126">
    <w:name w:val="表格两端对齐"/>
    <w:basedOn w:val="1"/>
    <w:autoRedefine/>
    <w:qFormat/>
    <w:uiPriority w:val="0"/>
    <w:pPr>
      <w:spacing w:line="360" w:lineRule="exact"/>
      <w:ind w:firstLine="0" w:firstLineChars="0"/>
      <w:jc w:val="both"/>
    </w:pPr>
    <w:rPr>
      <w:rFonts w:ascii="Times New Roman" w:hAnsi="Times New Roman" w:eastAsia="宋体" w:cs="Times New Roman"/>
      <w:sz w:val="21"/>
      <w:szCs w:val="18"/>
    </w:rPr>
  </w:style>
  <w:style w:type="paragraph" w:customStyle="1" w:styleId="127">
    <w:name w:val="一级标题"/>
    <w:basedOn w:val="1"/>
    <w:next w:val="1"/>
    <w:autoRedefine/>
    <w:qFormat/>
    <w:uiPriority w:val="0"/>
    <w:pPr>
      <w:keepNext/>
      <w:keepLines/>
      <w:widowControl w:val="0"/>
      <w:adjustRightInd w:val="0"/>
      <w:snapToGrid w:val="0"/>
      <w:spacing w:beforeLines="0" w:afterLines="0" w:line="360" w:lineRule="auto"/>
      <w:ind w:firstLine="0" w:firstLineChars="0"/>
      <w:outlineLvl w:val="0"/>
    </w:pPr>
    <w:rPr>
      <w:rFonts w:cs="Times New Roman"/>
      <w:b/>
      <w:snapToGrid w:val="0"/>
      <w:color w:val="auto"/>
      <w:kern w:val="44"/>
      <w:sz w:val="36"/>
      <w:szCs w:val="36"/>
      <w:lang w:eastAsia="en-US"/>
    </w:rPr>
  </w:style>
  <w:style w:type="paragraph" w:customStyle="1" w:styleId="128">
    <w:name w:val="二级标题"/>
    <w:basedOn w:val="1"/>
    <w:next w:val="1"/>
    <w:autoRedefine/>
    <w:qFormat/>
    <w:uiPriority w:val="0"/>
    <w:pPr>
      <w:keepNext/>
      <w:keepLines/>
      <w:widowControl w:val="0"/>
      <w:adjustRightInd w:val="0"/>
      <w:snapToGrid w:val="0"/>
      <w:spacing w:beforeLines="0" w:line="360" w:lineRule="auto"/>
      <w:ind w:firstLine="0" w:firstLineChars="0"/>
      <w:outlineLvl w:val="1"/>
    </w:pPr>
    <w:rPr>
      <w:rFonts w:cs="Times New Roman"/>
      <w:b/>
      <w:snapToGrid w:val="0"/>
      <w:color w:val="auto"/>
      <w:sz w:val="30"/>
      <w:szCs w:val="21"/>
      <w:lang w:eastAsia="en-US"/>
    </w:rPr>
  </w:style>
  <w:style w:type="paragraph" w:customStyle="1" w:styleId="129">
    <w:name w:val="三级标题"/>
    <w:basedOn w:val="1"/>
    <w:next w:val="1"/>
    <w:autoRedefine/>
    <w:qFormat/>
    <w:uiPriority w:val="0"/>
    <w:pPr>
      <w:keepNext/>
      <w:keepLines/>
      <w:widowControl w:val="0"/>
      <w:adjustRightInd w:val="0"/>
      <w:snapToGrid w:val="0"/>
      <w:spacing w:beforeLines="0" w:afterLines="0" w:line="360" w:lineRule="auto"/>
      <w:ind w:firstLine="0" w:firstLineChars="0"/>
      <w:outlineLvl w:val="2"/>
    </w:pPr>
    <w:rPr>
      <w:rFonts w:cs="Times New Roman"/>
      <w:b/>
      <w:snapToGrid w:val="0"/>
      <w:color w:val="auto"/>
      <w:sz w:val="28"/>
      <w:szCs w:val="21"/>
      <w:lang w:eastAsia="en-US"/>
    </w:rPr>
  </w:style>
  <w:style w:type="paragraph" w:customStyle="1" w:styleId="130">
    <w:name w:val="表格正文"/>
    <w:basedOn w:val="84"/>
    <w:autoRedefine/>
    <w:qFormat/>
    <w:uiPriority w:val="0"/>
    <w:pPr>
      <w:spacing w:line="360" w:lineRule="exact"/>
      <w:ind w:firstLine="0" w:firstLineChars="0"/>
    </w:pPr>
    <w:rPr>
      <w:b w:val="0"/>
    </w:rPr>
  </w:style>
  <w:style w:type="paragraph" w:customStyle="1" w:styleId="131">
    <w:name w:val="WPSOffice手动目录 1"/>
    <w:autoRedefine/>
    <w:qFormat/>
    <w:uiPriority w:val="0"/>
    <w:pPr>
      <w:ind w:leftChars="0"/>
    </w:pPr>
    <w:rPr>
      <w:rFonts w:ascii="Times New Roman" w:hAnsi="Times New Roman" w:eastAsia="宋体" w:cs="Times New Roman"/>
      <w:sz w:val="20"/>
      <w:szCs w:val="20"/>
    </w:rPr>
  </w:style>
  <w:style w:type="paragraph" w:customStyle="1" w:styleId="132">
    <w:name w:val="WPSOffice手动目录 2"/>
    <w:autoRedefine/>
    <w:qFormat/>
    <w:uiPriority w:val="0"/>
    <w:pPr>
      <w:ind w:leftChars="200"/>
    </w:pPr>
    <w:rPr>
      <w:rFonts w:ascii="Times New Roman" w:hAnsi="Times New Roman" w:eastAsia="宋体" w:cs="Times New Roman"/>
      <w:sz w:val="20"/>
      <w:szCs w:val="20"/>
    </w:rPr>
  </w:style>
  <w:style w:type="paragraph" w:customStyle="1" w:styleId="133">
    <w:name w:val="表格题目"/>
    <w:basedOn w:val="1"/>
    <w:autoRedefine/>
    <w:qFormat/>
    <w:uiPriority w:val="0"/>
    <w:pPr>
      <w:snapToGrid w:val="0"/>
      <w:spacing w:before="30" w:beforeLines="30" w:after="20" w:afterLines="20" w:line="240" w:lineRule="auto"/>
      <w:ind w:firstLine="0" w:firstLineChars="0"/>
      <w:jc w:val="center"/>
    </w:pPr>
    <w:rPr>
      <w:b/>
      <w:bCs/>
      <w:sz w:val="21"/>
    </w:rPr>
  </w:style>
  <w:style w:type="paragraph" w:customStyle="1" w:styleId="134">
    <w:name w:val="表格五号居中"/>
    <w:basedOn w:val="1"/>
    <w:autoRedefine/>
    <w:qFormat/>
    <w:uiPriority w:val="0"/>
    <w:pPr>
      <w:keepLines/>
      <w:adjustRightInd w:val="0"/>
      <w:snapToGrid w:val="0"/>
      <w:spacing w:line="240" w:lineRule="auto"/>
      <w:ind w:firstLine="0" w:firstLineChars="0"/>
      <w:jc w:val="center"/>
      <w:textAlignment w:val="center"/>
    </w:pPr>
    <w:rPr>
      <w:kern w:val="0"/>
      <w:sz w:val="20"/>
      <w:szCs w:val="20"/>
      <w:lang w:bidi="en-US"/>
    </w:rPr>
  </w:style>
  <w:style w:type="paragraph" w:customStyle="1" w:styleId="135">
    <w:name w:val="表格内两端对齐"/>
    <w:autoRedefine/>
    <w:qFormat/>
    <w:uiPriority w:val="0"/>
    <w:pPr>
      <w:kinsoku w:val="0"/>
      <w:wordWrap w:val="0"/>
      <w:overflowPunct w:val="0"/>
      <w:adjustRightInd w:val="0"/>
      <w:spacing w:line="300" w:lineRule="exact"/>
      <w:jc w:val="both"/>
      <w:textAlignment w:val="baseline"/>
    </w:pPr>
    <w:rPr>
      <w:rFonts w:ascii="Times New Roman" w:hAnsi="Times New Roman" w:eastAsia="宋体" w:cs="Times New Roman"/>
      <w:spacing w:val="6"/>
      <w:kern w:val="21"/>
      <w:lang w:val="en-US" w:eastAsia="zh-CN" w:bidi="ar-SA"/>
    </w:rPr>
  </w:style>
  <w:style w:type="paragraph" w:customStyle="1" w:styleId="136">
    <w:name w:val="正文段前0.5行"/>
    <w:basedOn w:val="1"/>
    <w:link w:val="137"/>
    <w:autoRedefine/>
    <w:qFormat/>
    <w:uiPriority w:val="0"/>
    <w:pPr>
      <w:spacing w:before="50" w:beforeLines="50"/>
      <w:ind w:firstLine="480"/>
    </w:pPr>
  </w:style>
  <w:style w:type="character" w:customStyle="1" w:styleId="137">
    <w:name w:val="正文段前0.5行 Char"/>
    <w:link w:val="136"/>
    <w:autoRedefine/>
    <w:qFormat/>
    <w:uiPriority w:val="0"/>
  </w:style>
  <w:style w:type="paragraph" w:customStyle="1" w:styleId="138">
    <w:name w:val="报告书三级标题"/>
    <w:autoRedefine/>
    <w:qFormat/>
    <w:uiPriority w:val="0"/>
    <w:pPr>
      <w:keepNext/>
      <w:keepLines/>
      <w:widowControl w:val="0"/>
      <w:spacing w:before="120" w:after="120" w:line="360" w:lineRule="auto"/>
      <w:jc w:val="both"/>
      <w:outlineLvl w:val="2"/>
    </w:pPr>
    <w:rPr>
      <w:rFonts w:ascii="Times New Roman" w:hAnsi="Times New Roman" w:eastAsia="宋体" w:cs="Times New Roman"/>
      <w:b/>
      <w:kern w:val="2"/>
      <w:sz w:val="28"/>
      <w:szCs w:val="22"/>
      <w:lang w:val="en-US" w:eastAsia="zh-CN" w:bidi="ar-SA"/>
    </w:rPr>
  </w:style>
  <w:style w:type="character" w:customStyle="1" w:styleId="139">
    <w:name w:val="font11"/>
    <w:basedOn w:val="39"/>
    <w:autoRedefine/>
    <w:qFormat/>
    <w:uiPriority w:val="0"/>
    <w:rPr>
      <w:rFonts w:hint="eastAsia" w:ascii="宋体" w:hAnsi="宋体" w:eastAsia="宋体" w:cs="宋体"/>
      <w:color w:val="000000"/>
      <w:sz w:val="21"/>
      <w:szCs w:val="21"/>
      <w:u w:val="none"/>
    </w:rPr>
  </w:style>
  <w:style w:type="paragraph" w:customStyle="1" w:styleId="140">
    <w:name w:val="邵表内容"/>
    <w:basedOn w:val="71"/>
    <w:autoRedefine/>
    <w:qFormat/>
    <w:uiPriority w:val="0"/>
    <w:pPr>
      <w:spacing w:line="240" w:lineRule="auto"/>
      <w:ind w:firstLine="0" w:firstLineChars="0"/>
      <w:jc w:val="center"/>
    </w:pPr>
    <w:rPr>
      <w:sz w:val="21"/>
    </w:rPr>
  </w:style>
  <w:style w:type="paragraph" w:customStyle="1" w:styleId="141">
    <w:name w:val="五号表内容"/>
    <w:basedOn w:val="1"/>
    <w:next w:val="1"/>
    <w:autoRedefine/>
    <w:qFormat/>
    <w:uiPriority w:val="0"/>
    <w:pPr>
      <w:spacing w:line="280" w:lineRule="exact"/>
    </w:pPr>
  </w:style>
  <w:style w:type="paragraph" w:customStyle="1" w:styleId="142">
    <w:name w:val="SSEC 正文"/>
    <w:basedOn w:val="143"/>
    <w:autoRedefine/>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143">
    <w:name w:val="STC 正文"/>
    <w:autoRedefine/>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1"/>
      <w:lang w:val="en-US" w:eastAsia="zh-CN" w:bidi="ar-SA"/>
    </w:rPr>
  </w:style>
  <w:style w:type="paragraph" w:customStyle="1" w:styleId="144">
    <w:name w:val="表格居中"/>
    <w:next w:val="1"/>
    <w:autoRedefine/>
    <w:qFormat/>
    <w:uiPriority w:val="0"/>
    <w:pPr>
      <w:adjustRightInd w:val="0"/>
      <w:snapToGrid w:val="0"/>
      <w:jc w:val="center"/>
      <w:textAlignment w:val="baseline"/>
    </w:pPr>
    <w:rPr>
      <w:rFonts w:ascii="Times New Roman" w:hAnsi="Times New Roman" w:eastAsia="宋体" w:cs="Times New Roman"/>
      <w:szCs w:val="21"/>
      <w:lang w:val="en-US" w:eastAsia="zh-CN" w:bidi="ar-SA"/>
    </w:rPr>
  </w:style>
  <w:style w:type="paragraph" w:customStyle="1" w:styleId="145">
    <w:name w:val="00正文"/>
    <w:autoRedefine/>
    <w:qFormat/>
    <w:uiPriority w:val="0"/>
    <w:pPr>
      <w:spacing w:line="360" w:lineRule="auto"/>
      <w:ind w:firstLine="480" w:firstLineChars="200"/>
      <w:jc w:val="both"/>
    </w:pPr>
    <w:rPr>
      <w:rFonts w:ascii="Arial" w:hAnsi="宋体" w:eastAsia="Arial" w:cs="Arial"/>
      <w:bCs/>
      <w:sz w:val="24"/>
      <w:szCs w:val="24"/>
      <w:lang w:val="en-US" w:eastAsia="zh-CN" w:bidi="ar-SA"/>
    </w:rPr>
  </w:style>
  <w:style w:type="paragraph" w:customStyle="1" w:styleId="146">
    <w:name w:val="MEL正文*"/>
    <w:autoRedefine/>
    <w:qFormat/>
    <w:uiPriority w:val="0"/>
    <w:pPr>
      <w:spacing w:line="500" w:lineRule="exact"/>
      <w:ind w:firstLine="200" w:firstLineChars="200"/>
    </w:pPr>
    <w:rPr>
      <w:rFonts w:ascii="宋体" w:hAnsi="宋体" w:eastAsia="宋体" w:cs="宋体"/>
      <w:kern w:val="0"/>
      <w:sz w:val="24"/>
      <w:szCs w:val="24"/>
      <w:lang w:val="en-US" w:eastAsia="zh-CN" w:bidi="ar-SA"/>
    </w:rPr>
  </w:style>
  <w:style w:type="paragraph" w:customStyle="1" w:styleId="147">
    <w:name w:val="YJ题注"/>
    <w:basedOn w:val="13"/>
    <w:autoRedefine/>
    <w:qFormat/>
    <w:uiPriority w:val="0"/>
    <w:pPr>
      <w:widowControl w:val="0"/>
      <w:tabs>
        <w:tab w:val="right" w:leader="middleDot" w:pos="8295"/>
      </w:tabs>
      <w:spacing w:line="500" w:lineRule="exact"/>
      <w:ind w:firstLine="0" w:firstLineChars="0"/>
      <w:jc w:val="center"/>
    </w:pPr>
    <w:rPr>
      <w:rFonts w:ascii="宋体" w:hAnsi="宋体" w:eastAsia="宋体"/>
      <w:b/>
      <w:kern w:val="0"/>
      <w:sz w:val="21"/>
    </w:rPr>
  </w:style>
  <w:style w:type="paragraph" w:customStyle="1" w:styleId="148">
    <w:name w:val="样式 首行缩进:  2 字符1"/>
    <w:basedOn w:val="1"/>
    <w:autoRedefine/>
    <w:qFormat/>
    <w:uiPriority w:val="0"/>
    <w:pPr>
      <w:spacing w:before="120" w:line="400" w:lineRule="exact"/>
      <w:ind w:firstLine="200" w:firstLineChars="200"/>
    </w:pPr>
    <w:rPr>
      <w:szCs w:val="20"/>
    </w:rPr>
  </w:style>
  <w:style w:type="paragraph" w:customStyle="1" w:styleId="149">
    <w:name w:val="WPSOffice手动目录 3"/>
    <w:autoRedefine/>
    <w:qFormat/>
    <w:uiPriority w:val="0"/>
    <w:pPr>
      <w:ind w:leftChars="400"/>
    </w:pPr>
    <w:rPr>
      <w:rFonts w:ascii="Times New Roman" w:hAnsi="Times New Roman" w:eastAsia="宋体" w:cs="Times New Roman"/>
      <w:sz w:val="20"/>
      <w:szCs w:val="20"/>
    </w:rPr>
  </w:style>
  <w:style w:type="paragraph" w:customStyle="1" w:styleId="150">
    <w:name w:val="AAP-正文"/>
    <w:autoRedefine/>
    <w:qFormat/>
    <w:uiPriority w:val="0"/>
    <w:pPr>
      <w:widowControl w:val="0"/>
      <w:snapToGrid/>
      <w:spacing w:line="360" w:lineRule="auto"/>
      <w:ind w:firstLine="480" w:firstLineChars="200"/>
      <w:jc w:val="both"/>
    </w:pPr>
    <w:rPr>
      <w:rFonts w:ascii="Times New Roman" w:hAnsi="Times New Roman" w:eastAsia="宋体" w:cs="Times New Roman"/>
      <w:color w:val="auto"/>
      <w:kern w:val="2"/>
      <w:sz w:val="24"/>
      <w:szCs w:val="24"/>
      <w:lang w:val="en-US" w:eastAsia="zh-CN" w:bidi="ar-SA"/>
    </w:rPr>
  </w:style>
  <w:style w:type="character" w:customStyle="1" w:styleId="151">
    <w:name w:val="！正文 Char Char"/>
    <w:autoRedefine/>
    <w:qFormat/>
    <w:uiPriority w:val="0"/>
    <w:rPr>
      <w:kern w:val="2"/>
      <w:sz w:val="24"/>
    </w:rPr>
  </w:style>
  <w:style w:type="paragraph" w:customStyle="1" w:styleId="152">
    <w:name w:val="L表名"/>
    <w:basedOn w:val="1"/>
    <w:autoRedefine/>
    <w:qFormat/>
    <w:uiPriority w:val="0"/>
    <w:pPr>
      <w:adjustRightInd w:val="0"/>
      <w:snapToGrid w:val="0"/>
      <w:spacing w:before="240" w:after="120"/>
      <w:jc w:val="center"/>
    </w:pPr>
    <w:rPr>
      <w:rFonts w:eastAsia="黑体"/>
      <w:snapToGrid w:val="0"/>
    </w:rPr>
  </w:style>
  <w:style w:type="paragraph" w:customStyle="1" w:styleId="153">
    <w:name w:val="正文首行缩进 Char"/>
    <w:basedOn w:val="1"/>
    <w:next w:val="1"/>
    <w:autoRedefine/>
    <w:qFormat/>
    <w:uiPriority w:val="0"/>
    <w:pPr>
      <w:spacing w:line="460" w:lineRule="exact"/>
      <w:ind w:firstLine="200" w:firstLineChars="200"/>
    </w:pPr>
    <w:rPr>
      <w:spacing w:val="8"/>
      <w:kern w:val="24"/>
      <w:sz w:val="24"/>
    </w:rPr>
  </w:style>
  <w:style w:type="paragraph" w:customStyle="1" w:styleId="154">
    <w:name w:val="报告正文"/>
    <w:basedOn w:val="1"/>
    <w:autoRedefine/>
    <w:qFormat/>
    <w:uiPriority w:val="0"/>
    <w:pPr>
      <w:widowControl w:val="0"/>
      <w:snapToGrid w:val="0"/>
      <w:spacing w:line="360" w:lineRule="auto"/>
      <w:ind w:firstLine="200" w:firstLineChars="200"/>
      <w:jc w:val="both"/>
    </w:pPr>
    <w:rPr>
      <w:kern w:val="0"/>
      <w:sz w:val="20"/>
      <w:szCs w:val="28"/>
    </w:rPr>
  </w:style>
  <w:style w:type="paragraph" w:customStyle="1" w:styleId="155">
    <w:name w:val="AF-表中表"/>
    <w:basedOn w:val="1"/>
    <w:autoRedefine/>
    <w:qFormat/>
    <w:uiPriority w:val="0"/>
    <w:pPr>
      <w:adjustRightInd w:val="0"/>
      <w:snapToGrid w:val="0"/>
      <w:jc w:val="center"/>
    </w:pPr>
    <w:rPr>
      <w:rFonts w:ascii="Times New Roman" w:hAnsi="Times New Roman" w:cs="Times New Roman"/>
      <w:snapToGrid w:val="0"/>
      <w:sz w:val="21"/>
      <w:szCs w:val="21"/>
    </w:rPr>
  </w:style>
  <w:style w:type="paragraph" w:customStyle="1" w:styleId="156">
    <w:name w:val="【正文】"/>
    <w:basedOn w:val="1"/>
    <w:next w:val="1"/>
    <w:autoRedefine/>
    <w:qFormat/>
    <w:uiPriority w:val="0"/>
    <w:pPr>
      <w:spacing w:line="360" w:lineRule="auto"/>
      <w:ind w:firstLine="200" w:firstLineChars="200"/>
    </w:pPr>
    <w:rPr>
      <w:rFonts w:ascii="Times New Roman" w:hAnsi="Times New Roman" w:eastAsia="宋体" w:cs="宋体"/>
      <w:snapToGrid w:val="0"/>
      <w:kern w:val="0"/>
      <w:sz w:val="24"/>
      <w:szCs w:val="20"/>
    </w:rPr>
  </w:style>
  <w:style w:type="paragraph" w:customStyle="1" w:styleId="157">
    <w:name w:val="五号表格内的文字"/>
    <w:basedOn w:val="1"/>
    <w:autoRedefine/>
    <w:qFormat/>
    <w:uiPriority w:val="99"/>
    <w:pPr>
      <w:adjustRightInd w:val="0"/>
      <w:spacing w:line="360" w:lineRule="exact"/>
      <w:ind w:firstLine="0" w:firstLineChars="0"/>
      <w:jc w:val="center"/>
      <w:textAlignment w:val="baseline"/>
    </w:pPr>
    <w:rPr>
      <w:sz w:val="21"/>
    </w:rPr>
  </w:style>
  <w:style w:type="character" w:customStyle="1" w:styleId="158">
    <w:name w:val="表格标题 Char"/>
    <w:link w:val="84"/>
    <w:autoRedefine/>
    <w:qFormat/>
    <w:uiPriority w:val="0"/>
    <w:rPr>
      <w:b/>
    </w:rPr>
  </w:style>
  <w:style w:type="paragraph" w:customStyle="1" w:styleId="159">
    <w:name w:val="图表名"/>
    <w:basedOn w:val="1"/>
    <w:next w:val="1"/>
    <w:autoRedefine/>
    <w:qFormat/>
    <w:uiPriority w:val="0"/>
    <w:pPr>
      <w:adjustRightInd w:val="0"/>
      <w:snapToGrid w:val="0"/>
      <w:spacing w:before="25" w:beforeLines="25" w:after="25" w:afterLines="25" w:line="240" w:lineRule="auto"/>
      <w:ind w:firstLine="0" w:firstLineChars="0"/>
      <w:jc w:val="center"/>
    </w:pPr>
    <w:rPr>
      <w:rFonts w:ascii="Times New Roman" w:hAnsi="Times New Roman"/>
      <w:b/>
      <w:color w:val="000000"/>
      <w:sz w:val="21"/>
      <w:lang w:val="zh-CN"/>
    </w:rPr>
  </w:style>
  <w:style w:type="character" w:customStyle="1" w:styleId="160">
    <w:name w:val="font21"/>
    <w:basedOn w:val="39"/>
    <w:autoRedefine/>
    <w:qFormat/>
    <w:uiPriority w:val="0"/>
    <w:rPr>
      <w:rFonts w:hint="default" w:ascii="Times New Roman" w:hAnsi="Times New Roman" w:cs="Times New Roman"/>
      <w:color w:val="FF0000"/>
      <w:sz w:val="22"/>
      <w:szCs w:val="22"/>
      <w:u w:val="none"/>
    </w:rPr>
  </w:style>
  <w:style w:type="paragraph" w:customStyle="1" w:styleId="161">
    <w:name w:val="STC 表格"/>
    <w:basedOn w:val="1"/>
    <w:autoRedefine/>
    <w:qFormat/>
    <w:uiPriority w:val="0"/>
    <w:pPr>
      <w:adjustRightInd w:val="0"/>
      <w:snapToGrid w:val="0"/>
      <w:jc w:val="center"/>
      <w:textAlignment w:val="center"/>
    </w:pPr>
    <w:rPr>
      <w:kern w:val="2"/>
    </w:rPr>
  </w:style>
  <w:style w:type="paragraph" w:customStyle="1" w:styleId="162">
    <w:name w:val="A正文*"/>
    <w:basedOn w:val="1"/>
    <w:qFormat/>
    <w:uiPriority w:val="0"/>
    <w:pPr>
      <w:ind w:firstLine="480"/>
    </w:pPr>
    <w:rPr>
      <w:rFonts w:ascii="宋体" w:hAnsi="宋体" w:eastAsia="宋体" w:cs="Times New Roman"/>
      <w:color w:val="FF0000"/>
      <w:kern w:val="2"/>
      <w:szCs w:val="24"/>
    </w:rPr>
  </w:style>
  <w:style w:type="paragraph" w:customStyle="1" w:styleId="163">
    <w:name w:val="Table Paragraph"/>
    <w:basedOn w:val="1"/>
    <w:autoRedefine/>
    <w:qFormat/>
    <w:uiPriority w:val="1"/>
    <w:pPr>
      <w:jc w:val="center"/>
    </w:pPr>
    <w:rPr>
      <w:rFonts w:eastAsia="Times New Roman"/>
      <w:lang w:val="zh-CN" w:bidi="zh-CN"/>
    </w:rPr>
  </w:style>
  <w:style w:type="table" w:customStyle="1" w:styleId="164">
    <w:name w:val="报告书表格样式"/>
    <w:basedOn w:val="37"/>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s>
</file>

<file path=word/_rels/document.xml.rels><?xml version="1.0" encoding="UTF-8" standalone="yes"?>
<Relationships xmlns="http://schemas.openxmlformats.org/package/2006/relationships"><Relationship Id="rId99" Type="http://schemas.openxmlformats.org/officeDocument/2006/relationships/image" Target="media/image58.wmf"/><Relationship Id="rId98" Type="http://schemas.openxmlformats.org/officeDocument/2006/relationships/image" Target="media/image57.wmf"/><Relationship Id="rId97" Type="http://schemas.openxmlformats.org/officeDocument/2006/relationships/image" Target="media/image56.png"/><Relationship Id="rId96" Type="http://schemas.openxmlformats.org/officeDocument/2006/relationships/image" Target="media/image55.png"/><Relationship Id="rId95" Type="http://schemas.openxmlformats.org/officeDocument/2006/relationships/image" Target="media/image54.png"/><Relationship Id="rId94"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png"/><Relationship Id="rId91" Type="http://schemas.openxmlformats.org/officeDocument/2006/relationships/image" Target="media/image50.png"/><Relationship Id="rId90" Type="http://schemas.openxmlformats.org/officeDocument/2006/relationships/image" Target="media/image49.png"/><Relationship Id="rId9" Type="http://schemas.openxmlformats.org/officeDocument/2006/relationships/header" Target="header3.xml"/><Relationship Id="rId89" Type="http://schemas.openxmlformats.org/officeDocument/2006/relationships/image" Target="media/image48.jpeg"/><Relationship Id="rId88" Type="http://schemas.openxmlformats.org/officeDocument/2006/relationships/image" Target="media/image47.jpeg"/><Relationship Id="rId87" Type="http://schemas.openxmlformats.org/officeDocument/2006/relationships/image" Target="media/image46.png"/><Relationship Id="rId86" Type="http://schemas.openxmlformats.org/officeDocument/2006/relationships/image" Target="media/image45.wmf"/><Relationship Id="rId85" Type="http://schemas.openxmlformats.org/officeDocument/2006/relationships/oleObject" Target="embeddings/oleObject27.bin"/><Relationship Id="rId84" Type="http://schemas.openxmlformats.org/officeDocument/2006/relationships/image" Target="media/image44.wmf"/><Relationship Id="rId83" Type="http://schemas.openxmlformats.org/officeDocument/2006/relationships/oleObject" Target="embeddings/oleObject26.bin"/><Relationship Id="rId82" Type="http://schemas.openxmlformats.org/officeDocument/2006/relationships/image" Target="media/image43.wmf"/><Relationship Id="rId81" Type="http://schemas.openxmlformats.org/officeDocument/2006/relationships/oleObject" Target="embeddings/oleObject25.bin"/><Relationship Id="rId80" Type="http://schemas.openxmlformats.org/officeDocument/2006/relationships/oleObject" Target="embeddings/oleObject24.bin"/><Relationship Id="rId8" Type="http://schemas.openxmlformats.org/officeDocument/2006/relationships/footer" Target="footer4.xml"/><Relationship Id="rId79" Type="http://schemas.openxmlformats.org/officeDocument/2006/relationships/image" Target="media/image42.wmf"/><Relationship Id="rId78" Type="http://schemas.openxmlformats.org/officeDocument/2006/relationships/oleObject" Target="embeddings/oleObject23.bin"/><Relationship Id="rId77" Type="http://schemas.openxmlformats.org/officeDocument/2006/relationships/image" Target="media/image41.wmf"/><Relationship Id="rId76" Type="http://schemas.openxmlformats.org/officeDocument/2006/relationships/oleObject" Target="embeddings/oleObject22.bin"/><Relationship Id="rId75" Type="http://schemas.openxmlformats.org/officeDocument/2006/relationships/image" Target="media/image40.wmf"/><Relationship Id="rId74" Type="http://schemas.openxmlformats.org/officeDocument/2006/relationships/oleObject" Target="embeddings/oleObject21.bin"/><Relationship Id="rId73" Type="http://schemas.openxmlformats.org/officeDocument/2006/relationships/image" Target="media/image39.wmf"/><Relationship Id="rId72" Type="http://schemas.openxmlformats.org/officeDocument/2006/relationships/oleObject" Target="embeddings/oleObject20.bin"/><Relationship Id="rId71" Type="http://schemas.openxmlformats.org/officeDocument/2006/relationships/oleObject" Target="embeddings/oleObject19.bin"/><Relationship Id="rId70" Type="http://schemas.openxmlformats.org/officeDocument/2006/relationships/oleObject" Target="embeddings/oleObject18.bin"/><Relationship Id="rId7" Type="http://schemas.openxmlformats.org/officeDocument/2006/relationships/footer" Target="footer3.xml"/><Relationship Id="rId69" Type="http://schemas.openxmlformats.org/officeDocument/2006/relationships/oleObject" Target="embeddings/oleObject17.bin"/><Relationship Id="rId68" Type="http://schemas.openxmlformats.org/officeDocument/2006/relationships/oleObject" Target="embeddings/oleObject16.bin"/><Relationship Id="rId67" Type="http://schemas.openxmlformats.org/officeDocument/2006/relationships/oleObject" Target="embeddings/oleObject15.bin"/><Relationship Id="rId66" Type="http://schemas.openxmlformats.org/officeDocument/2006/relationships/oleObject" Target="embeddings/oleObject14.bin"/><Relationship Id="rId65" Type="http://schemas.openxmlformats.org/officeDocument/2006/relationships/image" Target="media/image38.wmf"/><Relationship Id="rId64" Type="http://schemas.openxmlformats.org/officeDocument/2006/relationships/oleObject" Target="embeddings/oleObject13.bin"/><Relationship Id="rId63" Type="http://schemas.openxmlformats.org/officeDocument/2006/relationships/oleObject" Target="embeddings/oleObject12.bin"/><Relationship Id="rId62" Type="http://schemas.openxmlformats.org/officeDocument/2006/relationships/image" Target="media/image37.wmf"/><Relationship Id="rId61" Type="http://schemas.openxmlformats.org/officeDocument/2006/relationships/oleObject" Target="embeddings/oleObject11.bin"/><Relationship Id="rId60" Type="http://schemas.openxmlformats.org/officeDocument/2006/relationships/image" Target="media/image36.wmf"/><Relationship Id="rId6" Type="http://schemas.openxmlformats.org/officeDocument/2006/relationships/header" Target="header2.xml"/><Relationship Id="rId59" Type="http://schemas.openxmlformats.org/officeDocument/2006/relationships/oleObject" Target="embeddings/oleObject10.bin"/><Relationship Id="rId58" Type="http://schemas.openxmlformats.org/officeDocument/2006/relationships/image" Target="media/image35.wmf"/><Relationship Id="rId57" Type="http://schemas.openxmlformats.org/officeDocument/2006/relationships/oleObject" Target="embeddings/oleObject9.bin"/><Relationship Id="rId56" Type="http://schemas.openxmlformats.org/officeDocument/2006/relationships/image" Target="media/image34.wmf"/><Relationship Id="rId55" Type="http://schemas.openxmlformats.org/officeDocument/2006/relationships/oleObject" Target="embeddings/oleObject8.bin"/><Relationship Id="rId54" Type="http://schemas.openxmlformats.org/officeDocument/2006/relationships/image" Target="media/image33.wmf"/><Relationship Id="rId53" Type="http://schemas.openxmlformats.org/officeDocument/2006/relationships/oleObject" Target="embeddings/oleObject7.bin"/><Relationship Id="rId52" Type="http://schemas.openxmlformats.org/officeDocument/2006/relationships/image" Target="media/image32.wmf"/><Relationship Id="rId51" Type="http://schemas.openxmlformats.org/officeDocument/2006/relationships/oleObject" Target="embeddings/oleObject6.bin"/><Relationship Id="rId50" Type="http://schemas.openxmlformats.org/officeDocument/2006/relationships/image" Target="media/image31.wmf"/><Relationship Id="rId5" Type="http://schemas.openxmlformats.org/officeDocument/2006/relationships/footer" Target="footer2.xml"/><Relationship Id="rId49" Type="http://schemas.openxmlformats.org/officeDocument/2006/relationships/oleObject" Target="embeddings/oleObject5.bin"/><Relationship Id="rId48" Type="http://schemas.openxmlformats.org/officeDocument/2006/relationships/image" Target="media/image30.wmf"/><Relationship Id="rId47" Type="http://schemas.openxmlformats.org/officeDocument/2006/relationships/oleObject" Target="embeddings/oleObject4.bin"/><Relationship Id="rId46" Type="http://schemas.openxmlformats.org/officeDocument/2006/relationships/image" Target="media/image29.wmf"/><Relationship Id="rId45" Type="http://schemas.openxmlformats.org/officeDocument/2006/relationships/oleObject" Target="embeddings/oleObject3.bin"/><Relationship Id="rId44" Type="http://schemas.openxmlformats.org/officeDocument/2006/relationships/image" Target="media/image28.wmf"/><Relationship Id="rId43" Type="http://schemas.openxmlformats.org/officeDocument/2006/relationships/oleObject" Target="embeddings/oleObject2.bin"/><Relationship Id="rId42" Type="http://schemas.openxmlformats.org/officeDocument/2006/relationships/chart" Target="charts/chart2.xml"/><Relationship Id="rId41" Type="http://schemas.openxmlformats.org/officeDocument/2006/relationships/chart" Target="charts/chart1.xml"/><Relationship Id="rId40" Type="http://schemas.openxmlformats.org/officeDocument/2006/relationships/image" Target="media/image27.png"/><Relationship Id="rId4" Type="http://schemas.openxmlformats.org/officeDocument/2006/relationships/header" Target="head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1.bin"/><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ADMINI~1.DES/AppData/Local/Temp/ksohtml/wps226.tmp.jpg" TargetMode="External"/><Relationship Id="rId12" Type="http://schemas.openxmlformats.org/officeDocument/2006/relationships/image" Target="media/image1.jpeg"/><Relationship Id="rId11" Type="http://schemas.openxmlformats.org/officeDocument/2006/relationships/theme" Target="theme/theme1.xml"/><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59.png"/><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025-WN\10%20&#26032;&#21271;1X%20&#20117;&#21333;&#20117;&#35797;&#37319;&#24037;&#31243;(&#23391;&#29783;)\&#35745;&#31639;(1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025-WN\10%20&#26032;&#21271;1X%20&#20117;&#21333;&#20117;&#35797;&#37319;&#24037;&#31243;(&#23391;&#29783;)\&#35745;&#3163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'[计算(13).xlsx]温度 风速'!$A$41</c:f>
              <c:strCache>
                <c:ptCount val="1"/>
                <c:pt idx="0">
                  <c:v>温度</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'[计算(13).xlsx]温度 风速'!$B$40:$M$40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'[计算(13).xlsx]温度 风速'!$B$41:$M$41</c:f>
              <c:numCache>
                <c:formatCode>General</c:formatCode>
                <c:ptCount val="12"/>
                <c:pt idx="0">
                  <c:v>-7.4</c:v>
                </c:pt>
                <c:pt idx="1">
                  <c:v>-0.8</c:v>
                </c:pt>
                <c:pt idx="2">
                  <c:v>7.9</c:v>
                </c:pt>
                <c:pt idx="3">
                  <c:v>15.9</c:v>
                </c:pt>
                <c:pt idx="4">
                  <c:v>20.5</c:v>
                </c:pt>
                <c:pt idx="5">
                  <c:v>24</c:v>
                </c:pt>
                <c:pt idx="6">
                  <c:v>25.2</c:v>
                </c:pt>
                <c:pt idx="7">
                  <c:v>23.9</c:v>
                </c:pt>
                <c:pt idx="8">
                  <c:v>19.1</c:v>
                </c:pt>
                <c:pt idx="9">
                  <c:v>11.2</c:v>
                </c:pt>
                <c:pt idx="10">
                  <c:v>2.6</c:v>
                </c:pt>
                <c:pt idx="11">
                  <c:v>-5</c:v>
                </c:pt>
              </c:numCache>
            </c:numRef>
          </c:val>
          <c:smooth val="0"/>
        </c:ser>
        <c:dLbls>
          <c:showLegendKey val="0"/>
          <c:showVal val="0"/>
          <c:showCatName val="0"/>
          <c:showSerName val="0"/>
          <c:showPercent val="0"/>
          <c:showBubbleSize val="0"/>
        </c:dLbls>
        <c:marker val="1"/>
        <c:smooth val="0"/>
        <c:axId val="952119010"/>
        <c:axId val="831838929"/>
      </c:lineChart>
      <c:catAx>
        <c:axId val="952119010"/>
        <c:scaling>
          <c:orientation val="maxMin"/>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0"/>
          <a:lstStyle/>
          <a:p>
            <a:pPr>
              <a:defRPr lang="zh-CN" sz="900" b="0" i="0" u="none" strike="noStrike" kern="1200" baseline="0">
                <a:solidFill>
                  <a:srgbClr val="595959">
                    <a:lumMod val="65000"/>
                    <a:lumOff val="35000"/>
                  </a:srgbClr>
                </a:solidFill>
                <a:latin typeface="+mn-lt"/>
                <a:ea typeface="+mn-ea"/>
                <a:cs typeface="+mn-cs"/>
              </a:defRPr>
            </a:pPr>
          </a:p>
        </c:txPr>
        <c:crossAx val="831838929"/>
        <c:crossesAt val="-10"/>
        <c:auto val="1"/>
        <c:lblAlgn val="ctr"/>
        <c:lblOffset val="100"/>
        <c:noMultiLvlLbl val="0"/>
      </c:catAx>
      <c:valAx>
        <c:axId val="831838929"/>
        <c:scaling>
          <c:orientation val="minMax"/>
        </c:scaling>
        <c:delete val="0"/>
        <c:axPos val="l"/>
        <c:majorGridlines>
          <c:spPr>
            <a:ln w="9525" cap="flat" cmpd="sng" algn="ctr">
              <a:solidFill>
                <a:srgbClr val="BFBFBF">
                  <a:lumMod val="75000"/>
                  <a:alpha val="34000"/>
                </a:srgb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温度（℃）</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52119010"/>
        <c:crosses val="max"/>
        <c:crossBetween val="between"/>
      </c:valAx>
      <c:spPr>
        <a:solidFill>
          <a:srgbClr val="DDD9C3">
            <a:lumMod val="90000"/>
            <a:alpha val="60000"/>
          </a:srgbClr>
        </a:solidFill>
        <a:ln w="6350" cmpd="sng">
          <a:solidFill>
            <a:srgbClr val="404040">
              <a:lumMod val="75000"/>
              <a:lumOff val="25000"/>
            </a:srgbClr>
          </a:solidFill>
          <a:prstDash val="solid"/>
        </a:ln>
        <a:effectLst/>
      </c:spPr>
    </c:plotArea>
    <c:plotVisOnly val="1"/>
    <c:dispBlanksAs val="gap"/>
    <c:showDLblsOverMax val="0"/>
    <c:extLst>
      <c:ext uri="{0b15fc19-7d7d-44ad-8c2d-2c3a37ce22c3}">
        <chartProps xmlns="https://web.wps.cn/et/2018/main" chartId="{117db35a-340b-4190-8c1f-34e6399cd72c}"/>
      </c:ext>
    </c:extLst>
  </c:chart>
  <c:spPr>
    <a:solidFill>
      <a:srgbClr val="FFFFFF"/>
    </a:solidFill>
    <a:ln w="9525" cap="flat" cmpd="sng" algn="ctr">
      <a:solidFill>
        <a:srgbClr val="D9D9D9">
          <a:lumMod val="15000"/>
          <a:lumOff val="85000"/>
        </a:srgbClr>
      </a:solidFill>
      <a:round/>
    </a:ln>
    <a:effectLst/>
  </c:spPr>
  <c:txPr>
    <a:bodyPr rot="0" vert="horz" anchor="b"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'[计算(13).xlsx]温度 风速'!$A$27</c:f>
              <c:strCache>
                <c:ptCount val="1"/>
                <c:pt idx="0">
                  <c:v>风速</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'[计算(13).xlsx]温度 风速'!$B$26:$M$26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'[计算(13).xlsx]温度 风速'!$B$27:$M$27</c:f>
              <c:numCache>
                <c:formatCode>General</c:formatCode>
                <c:ptCount val="12"/>
                <c:pt idx="0">
                  <c:v>1.1</c:v>
                </c:pt>
                <c:pt idx="1">
                  <c:v>1.4</c:v>
                </c:pt>
                <c:pt idx="2">
                  <c:v>1.6</c:v>
                </c:pt>
                <c:pt idx="3">
                  <c:v>1.9</c:v>
                </c:pt>
                <c:pt idx="4">
                  <c:v>2.1</c:v>
                </c:pt>
                <c:pt idx="5">
                  <c:v>2</c:v>
                </c:pt>
                <c:pt idx="6">
                  <c:v>1.8</c:v>
                </c:pt>
                <c:pt idx="7">
                  <c:v>1.7</c:v>
                </c:pt>
                <c:pt idx="8">
                  <c:v>1.5</c:v>
                </c:pt>
                <c:pt idx="9">
                  <c:v>1.2</c:v>
                </c:pt>
                <c:pt idx="10">
                  <c:v>1.1</c:v>
                </c:pt>
                <c:pt idx="11">
                  <c:v>1.1</c:v>
                </c:pt>
              </c:numCache>
            </c:numRef>
          </c:val>
          <c:smooth val="0"/>
        </c:ser>
        <c:dLbls>
          <c:showLegendKey val="0"/>
          <c:showVal val="0"/>
          <c:showCatName val="0"/>
          <c:showSerName val="0"/>
          <c:showPercent val="0"/>
          <c:showBubbleSize val="0"/>
        </c:dLbls>
        <c:marker val="1"/>
        <c:smooth val="0"/>
        <c:axId val="952119010"/>
        <c:axId val="831838929"/>
      </c:lineChart>
      <c:catAx>
        <c:axId val="952119010"/>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31838929"/>
        <c:crosses val="autoZero"/>
        <c:auto val="1"/>
        <c:lblAlgn val="ctr"/>
        <c:lblOffset val="100"/>
        <c:noMultiLvlLbl val="0"/>
      </c:catAx>
      <c:valAx>
        <c:axId val="831838929"/>
        <c:scaling>
          <c:orientation val="minMax"/>
        </c:scaling>
        <c:delete val="0"/>
        <c:axPos val="l"/>
        <c:majorGridlines>
          <c:spPr>
            <a:ln w="9525" cap="flat" cmpd="sng" algn="ctr">
              <a:solidFill>
                <a:srgbClr val="BFBFBF">
                  <a:lumMod val="75000"/>
                  <a:alpha val="34000"/>
                </a:srgb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风速（</a:t>
                </a:r>
                <a:r>
                  <a:rPr lang="en-US" altLang="zh-CN"/>
                  <a:t>m/s</a:t>
                </a:r>
                <a:r>
                  <a: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52119010"/>
        <c:crosses val="autoZero"/>
        <c:crossBetween val="between"/>
      </c:valAx>
      <c:spPr>
        <a:solidFill>
          <a:srgbClr val="DDD9C3">
            <a:lumMod val="90000"/>
            <a:alpha val="60000"/>
          </a:srgbClr>
        </a:solidFill>
        <a:ln w="6350" cmpd="sng">
          <a:solidFill>
            <a:srgbClr val="404040">
              <a:lumMod val="75000"/>
              <a:lumOff val="25000"/>
            </a:srgbClr>
          </a:solidFill>
          <a:prstDash val="solid"/>
        </a:ln>
        <a:effectLst/>
      </c:spPr>
    </c:plotArea>
    <c:plotVisOnly val="1"/>
    <c:dispBlanksAs val="gap"/>
    <c:showDLblsOverMax val="0"/>
    <c:extLst>
      <c:ext uri="{0b15fc19-7d7d-44ad-8c2d-2c3a37ce22c3}">
        <chartProps xmlns="https://web.wps.cn/et/2018/main" chartId="{713a1523-f48c-485e-9685-3b5f7477bfb9}"/>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55">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0">
      <cs:styleClr val="auto"/>
    </cs:fillRef>
    <cs:effectRef idx="0"/>
    <cs:fontRef idx="minor">
      <a:srgbClr val="000000"/>
    </cs:fontRef>
    <cs:spPr>
      <a:ln w="28575" cap="rnd">
        <a:solidFill>
          <a:srgbClr val="FFFFFF"/>
        </a:solidFill>
        <a:round/>
      </a:ln>
      <a:effectLst/>
    </cs:spPr>
  </cs:dataPointLine>
  <cs:dataPointMarker>
    <cs:lnRef idx="0">
      <cs:styleClr val="auto"/>
    </cs:lnRef>
    <cs:fillRef idx="1">
      <cs:styleClr val="auto"/>
    </cs:fillRef>
    <cs:effectRef idx="0"/>
    <cs:fontRef idx="minor">
      <a:srgbClr val="000000"/>
    </cs:fontRef>
    <cs:spPr>
      <a:ln w="9525">
        <a:solidFill>
          <a:srgbClr val="FFFFFF"/>
        </a:solidFill>
      </a:ln>
      <a:effectLst/>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10055">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0">
      <cs:styleClr val="auto"/>
    </cs:fillRef>
    <cs:effectRef idx="0"/>
    <cs:fontRef idx="minor">
      <a:srgbClr val="000000"/>
    </cs:fontRef>
    <cs:spPr>
      <a:ln w="28575" cap="rnd">
        <a:solidFill>
          <a:srgbClr val="FFFFFF"/>
        </a:solidFill>
        <a:round/>
      </a:ln>
      <a:effectLst/>
    </cs:spPr>
  </cs:dataPointLine>
  <cs:dataPointMarker>
    <cs:lnRef idx="0">
      <cs:styleClr val="auto"/>
    </cs:lnRef>
    <cs:fillRef idx="1">
      <cs:styleClr val="auto"/>
    </cs:fillRef>
    <cs:effectRef idx="0"/>
    <cs:fontRef idx="minor">
      <a:srgbClr val="000000"/>
    </cs:fontRef>
    <cs:spPr>
      <a:ln w="9525">
        <a:solidFill>
          <a:srgbClr val="FFFFFF"/>
        </a:solidFill>
      </a:ln>
      <a:effectLst/>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244</Pages>
  <Words>9926</Words>
  <Characters>12303</Characters>
  <Lines>0</Lines>
  <Paragraphs>0</Paragraphs>
  <TotalTime>7</TotalTime>
  <ScaleCrop>false</ScaleCrop>
  <LinksUpToDate>false</LinksUpToDate>
  <CharactersWithSpaces>12431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2024-06-06T10:02:00Z</dcterms:created>
  <dc:creator>Lenovo</dc:creator>
  <cp:lastModifiedBy>起风了</cp:lastModifiedBy>
  <dcterms:modified xsi:type="dcterms:W3CDTF">2025-09-19T11:19:48Z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AB6C1BF08DA6493F8D849BD5470C93BA_13</vt:lpwstr>
  </property>
  <property fmtid="{D5CDD505-2E9C-101B-9397-08002B2CF9AE}" pid="4" name="KSOTemplateDocerSaveRecord">
    <vt:lpwstr>eyJoZGlkIjoiNWEzOWY3MWViMDM0ZjMzNDNhMWEwNTU0OGUyNTE2ZjEiLCJ1c2VySWQiOiI0NTkyNTM0MjcifQ==</vt:lpwstr>
  </property>
</Properties>
</file>